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Default Extension="emf" ContentType="image/x-emf"/>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7D46" w:rsidRPr="00017D46" w:rsidRDefault="00017D46" w:rsidP="00017D46">
      <w:pPr>
        <w:pStyle w:val="Title"/>
        <w:rPr>
          <w:sz w:val="44"/>
          <w:szCs w:val="44"/>
          <w:u w:val="none"/>
        </w:rPr>
      </w:pPr>
      <w:r w:rsidRPr="00017D46">
        <w:rPr>
          <w:caps w:val="0"/>
          <w:sz w:val="44"/>
          <w:szCs w:val="44"/>
          <w:u w:val="none"/>
        </w:rPr>
        <w:t>The Use of Health Economic Methods in the Development of New Interventions for Systemic Lupus Erythematosus</w:t>
      </w:r>
    </w:p>
    <w:p w:rsidR="00017D46" w:rsidRDefault="00017D46" w:rsidP="00017D46">
      <w:pPr>
        <w:jc w:val="center"/>
        <w:rPr>
          <w:sz w:val="36"/>
          <w:szCs w:val="28"/>
        </w:rPr>
      </w:pPr>
      <w:r w:rsidRPr="00017D46">
        <w:rPr>
          <w:sz w:val="36"/>
          <w:szCs w:val="28"/>
        </w:rPr>
        <w:t>Penelope Rose Watson</w:t>
      </w:r>
    </w:p>
    <w:p w:rsidR="00017D46" w:rsidRDefault="00017D46" w:rsidP="00017D46">
      <w:pPr>
        <w:jc w:val="center"/>
        <w:rPr>
          <w:sz w:val="36"/>
          <w:szCs w:val="28"/>
        </w:rPr>
      </w:pPr>
      <w:r>
        <w:rPr>
          <w:sz w:val="36"/>
          <w:szCs w:val="28"/>
        </w:rPr>
        <w:t>BA, MSc.</w:t>
      </w:r>
    </w:p>
    <w:p w:rsidR="00017D46" w:rsidRDefault="00017D46" w:rsidP="00017D46">
      <w:pPr>
        <w:jc w:val="center"/>
        <w:rPr>
          <w:sz w:val="36"/>
          <w:szCs w:val="28"/>
        </w:rPr>
      </w:pPr>
    </w:p>
    <w:p w:rsidR="00017D46" w:rsidRDefault="00017D46" w:rsidP="00017D46">
      <w:pPr>
        <w:jc w:val="center"/>
        <w:rPr>
          <w:sz w:val="28"/>
          <w:szCs w:val="22"/>
        </w:rPr>
      </w:pPr>
      <w:r>
        <w:rPr>
          <w:sz w:val="28"/>
          <w:szCs w:val="22"/>
        </w:rPr>
        <w:t xml:space="preserve">Thesis for the degree of </w:t>
      </w:r>
    </w:p>
    <w:p w:rsidR="00017D46" w:rsidRDefault="00017D46" w:rsidP="00017D46">
      <w:pPr>
        <w:jc w:val="center"/>
        <w:rPr>
          <w:sz w:val="28"/>
          <w:szCs w:val="22"/>
        </w:rPr>
      </w:pPr>
      <w:r>
        <w:rPr>
          <w:sz w:val="28"/>
          <w:szCs w:val="22"/>
        </w:rPr>
        <w:t>Doctor of Philosophy</w:t>
      </w:r>
    </w:p>
    <w:p w:rsidR="00017D46" w:rsidRDefault="00017D46" w:rsidP="00017D46">
      <w:pPr>
        <w:jc w:val="center"/>
        <w:rPr>
          <w:sz w:val="28"/>
          <w:szCs w:val="22"/>
        </w:rPr>
      </w:pPr>
      <w:r>
        <w:rPr>
          <w:sz w:val="28"/>
          <w:szCs w:val="22"/>
        </w:rPr>
        <w:t>School of Health and Related Research, University of Sheffield</w:t>
      </w:r>
    </w:p>
    <w:p w:rsidR="00017D46" w:rsidRPr="00017D46" w:rsidRDefault="004043DF" w:rsidP="00017D46">
      <w:pPr>
        <w:jc w:val="center"/>
        <w:rPr>
          <w:sz w:val="28"/>
          <w:szCs w:val="22"/>
        </w:rPr>
      </w:pPr>
      <w:r>
        <w:rPr>
          <w:sz w:val="28"/>
          <w:szCs w:val="22"/>
        </w:rPr>
        <w:t>Submitted August 2013</w:t>
      </w:r>
    </w:p>
    <w:p w:rsidR="00B97965" w:rsidRDefault="00D239B7">
      <w:pPr>
        <w:spacing w:after="0" w:afterAutospacing="0" w:line="240" w:lineRule="auto"/>
        <w:rPr>
          <w:sz w:val="28"/>
          <w:szCs w:val="28"/>
        </w:rPr>
        <w:sectPr w:rsidR="00B97965" w:rsidSect="00B97965">
          <w:footerReference w:type="default" r:id="rId8"/>
          <w:pgSz w:w="11906" w:h="16838"/>
          <w:pgMar w:top="1440" w:right="1440" w:bottom="1440" w:left="2268" w:header="708" w:footer="708" w:gutter="0"/>
          <w:pgNumType w:fmt="lowerRoman"/>
          <w:cols w:space="708"/>
          <w:docGrid w:linePitch="360"/>
        </w:sectPr>
      </w:pPr>
      <w:r>
        <w:rPr>
          <w:sz w:val="28"/>
          <w:szCs w:val="28"/>
        </w:rPr>
        <w:br w:type="page"/>
      </w:r>
    </w:p>
    <w:p w:rsidR="008E04BA" w:rsidRPr="00033D17" w:rsidRDefault="00FA7199" w:rsidP="00B97965">
      <w:pPr>
        <w:pStyle w:val="Heading1"/>
        <w:numPr>
          <w:ilvl w:val="0"/>
          <w:numId w:val="0"/>
        </w:numPr>
        <w:ind w:left="573" w:hanging="431"/>
      </w:pPr>
      <w:bookmarkStart w:id="0" w:name="_Toc379467530"/>
      <w:r w:rsidRPr="00033D17">
        <w:lastRenderedPageBreak/>
        <w:t>ABSTRACT</w:t>
      </w:r>
      <w:bookmarkEnd w:id="0"/>
    </w:p>
    <w:p w:rsidR="008E04BA" w:rsidRDefault="008E04BA" w:rsidP="00FA7199">
      <w:r>
        <w:t xml:space="preserve">The </w:t>
      </w:r>
      <w:r w:rsidRPr="00675A32">
        <w:t>objective of</w:t>
      </w:r>
      <w:r>
        <w:t xml:space="preserve"> this thesis is to investigate how health economic evaluation methods could be applied to optimise </w:t>
      </w:r>
      <w:r w:rsidR="00DB30DD">
        <w:t xml:space="preserve">clinical </w:t>
      </w:r>
      <w:r>
        <w:t>trial designs. The study focuses on trial design during the development of new drugs in the pharmaceutical industry. The methods developed account for many of the motivations, constraints, and uncertainties faced by a pharmaceutical company that have not be</w:t>
      </w:r>
      <w:r w:rsidR="006425C6">
        <w:t>en</w:t>
      </w:r>
      <w:r>
        <w:t xml:space="preserve"> factored in to previous Expected Net Benefit of Sampling </w:t>
      </w:r>
      <w:r w:rsidR="008518A1">
        <w:t xml:space="preserve">(ENBS) </w:t>
      </w:r>
      <w:r>
        <w:t xml:space="preserve">methods. </w:t>
      </w:r>
    </w:p>
    <w:p w:rsidR="008E04BA" w:rsidRDefault="008E04BA" w:rsidP="00FA7199">
      <w:r>
        <w:t xml:space="preserve">The study focussed on Systemic Lupus Erythematosus (SLE) because it is a disease area with a history of failed clinical trials, attributed to poor trial design. </w:t>
      </w:r>
      <w:r w:rsidR="00FA7199">
        <w:t>A</w:t>
      </w:r>
      <w:r>
        <w:t xml:space="preserve">lmost no health economic modelling studies had been published in this area. </w:t>
      </w:r>
      <w:r w:rsidR="008518A1">
        <w:t>The work in this PhD made substantial contributions to developments in the economic modelling for SLE.</w:t>
      </w:r>
    </w:p>
    <w:p w:rsidR="004043DF" w:rsidRDefault="008518A1" w:rsidP="00FA4062">
      <w:r>
        <w:t>In chapter 2</w:t>
      </w:r>
      <w:r w:rsidR="006425C6">
        <w:t>,</w:t>
      </w:r>
      <w:r w:rsidR="008E04BA" w:rsidRPr="008B23E4">
        <w:t xml:space="preserve"> </w:t>
      </w:r>
      <w:r>
        <w:t xml:space="preserve">I </w:t>
      </w:r>
      <w:r w:rsidR="006425C6">
        <w:t xml:space="preserve">systematically </w:t>
      </w:r>
      <w:r w:rsidR="008E04BA" w:rsidRPr="008B23E4">
        <w:t>review</w:t>
      </w:r>
      <w:r>
        <w:t>ed previous</w:t>
      </w:r>
      <w:r w:rsidR="008E04BA" w:rsidRPr="008B23E4">
        <w:t xml:space="preserve"> clinical trials in </w:t>
      </w:r>
      <w:r>
        <w:t>SLE</w:t>
      </w:r>
      <w:r w:rsidR="008E04BA" w:rsidRPr="008B23E4">
        <w:t xml:space="preserve"> </w:t>
      </w:r>
      <w:r w:rsidR="008E04BA">
        <w:t xml:space="preserve">and </w:t>
      </w:r>
      <w:r>
        <w:t xml:space="preserve">extracted and summarised </w:t>
      </w:r>
      <w:r w:rsidR="008E04BA">
        <w:t>their design features</w:t>
      </w:r>
      <w:r w:rsidR="008E04BA" w:rsidRPr="008B23E4">
        <w:t>.</w:t>
      </w:r>
      <w:r w:rsidR="006425C6">
        <w:t xml:space="preserve"> In c</w:t>
      </w:r>
      <w:r>
        <w:t>hapter 3</w:t>
      </w:r>
      <w:r w:rsidR="00FA7199">
        <w:t>,</w:t>
      </w:r>
      <w:r w:rsidR="006425C6">
        <w:t xml:space="preserve"> I</w:t>
      </w:r>
      <w:r>
        <w:t xml:space="preserve"> identified</w:t>
      </w:r>
      <w:r w:rsidR="006425C6">
        <w:t xml:space="preserve"> health economic methods that</w:t>
      </w:r>
      <w:r w:rsidR="008E04BA">
        <w:t xml:space="preserve"> have been used to design clinical trials</w:t>
      </w:r>
      <w:r>
        <w:t xml:space="preserve"> and which methods would be adopted. In chapter 4</w:t>
      </w:r>
      <w:r w:rsidR="006425C6">
        <w:t>,</w:t>
      </w:r>
      <w:r>
        <w:t xml:space="preserve"> I reviewed observational cohort studies for SLE to </w:t>
      </w:r>
      <w:r w:rsidR="008E04BA" w:rsidRPr="00D9451F">
        <w:t xml:space="preserve">develop </w:t>
      </w:r>
      <w:r w:rsidR="00FA4062">
        <w:t xml:space="preserve">(i) </w:t>
      </w:r>
      <w:r w:rsidR="008E04BA" w:rsidRPr="00D9451F">
        <w:t xml:space="preserve">a conceptual model of SLE </w:t>
      </w:r>
      <w:r w:rsidR="00FA4062">
        <w:t xml:space="preserve">(ii) </w:t>
      </w:r>
      <w:r w:rsidR="008E04BA" w:rsidRPr="00D9451F">
        <w:t>identify quantitative estimates</w:t>
      </w:r>
      <w:r w:rsidR="006425C6">
        <w:t xml:space="preserve"> of the natural history of the disease</w:t>
      </w:r>
      <w:r w:rsidR="008E04BA" w:rsidRPr="00D9451F">
        <w:t>.</w:t>
      </w:r>
      <w:r>
        <w:t xml:space="preserve"> I found that there was insufficient data from the published literature to describe the natural history of SLE according to the conceptual model so</w:t>
      </w:r>
      <w:r w:rsidR="008E04BA">
        <w:t xml:space="preserve"> </w:t>
      </w:r>
      <w:r w:rsidR="006425C6">
        <w:t xml:space="preserve">I undertook </w:t>
      </w:r>
      <w:r w:rsidR="008E04BA">
        <w:t xml:space="preserve">statistical analysis of </w:t>
      </w:r>
      <w:r w:rsidR="006425C6">
        <w:t>an</w:t>
      </w:r>
      <w:r>
        <w:t xml:space="preserve"> SLE registry</w:t>
      </w:r>
      <w:r w:rsidR="00FE1C17">
        <w:t xml:space="preserve">. </w:t>
      </w:r>
      <w:r w:rsidR="006425C6">
        <w:t>The analysis produces statistical models to extrapolate disease activity, steroid dose, organ damage incidence and mortality over the short and long term. In c</w:t>
      </w:r>
      <w:r w:rsidR="008E04BA">
        <w:t>hapter</w:t>
      </w:r>
      <w:r w:rsidR="00FE1C17">
        <w:t>s</w:t>
      </w:r>
      <w:r w:rsidR="008E04BA">
        <w:t xml:space="preserve"> </w:t>
      </w:r>
      <w:r>
        <w:t>6</w:t>
      </w:r>
      <w:r w:rsidR="00FE1C17">
        <w:t xml:space="preserve"> and 7,</w:t>
      </w:r>
      <w:r w:rsidR="006425C6">
        <w:t xml:space="preserve"> I</w:t>
      </w:r>
      <w:r w:rsidR="008E04BA">
        <w:t xml:space="preserve"> describe</w:t>
      </w:r>
      <w:r w:rsidR="006425C6">
        <w:t>d</w:t>
      </w:r>
      <w:r w:rsidR="008E04BA">
        <w:t xml:space="preserve"> a Bayesian Clinical Trial Simulation for a Phase III SLE trial</w:t>
      </w:r>
      <w:r w:rsidR="008E04BA" w:rsidRPr="00AE2350">
        <w:rPr>
          <w:sz w:val="18"/>
          <w:szCs w:val="18"/>
        </w:rPr>
        <w:t xml:space="preserve"> </w:t>
      </w:r>
      <w:r w:rsidR="008E04BA" w:rsidRPr="00AE2350">
        <w:t>to evaluate the value of alternative research designs</w:t>
      </w:r>
      <w:r w:rsidR="00FE1C17">
        <w:t xml:space="preserve"> and</w:t>
      </w:r>
      <w:r w:rsidR="008E04BA" w:rsidRPr="0032181F">
        <w:t xml:space="preserve"> a cost-effectiveness</w:t>
      </w:r>
      <w:r w:rsidR="008E04BA">
        <w:t xml:space="preserve"> </w:t>
      </w:r>
      <w:r w:rsidR="008E04BA" w:rsidRPr="0032181F">
        <w:t xml:space="preserve">model for </w:t>
      </w:r>
      <w:r>
        <w:t xml:space="preserve">SLE. </w:t>
      </w:r>
      <w:r w:rsidR="008E04BA">
        <w:t>I</w:t>
      </w:r>
      <w:r>
        <w:t>n chapter 8</w:t>
      </w:r>
      <w:r w:rsidR="00FA7199">
        <w:t>,</w:t>
      </w:r>
      <w:r>
        <w:t xml:space="preserve"> I</w:t>
      </w:r>
      <w:r w:rsidR="008E04BA">
        <w:t xml:space="preserve"> compare</w:t>
      </w:r>
      <w:r w:rsidR="006425C6">
        <w:t>d six</w:t>
      </w:r>
      <w:r w:rsidR="008E04BA">
        <w:t xml:space="preserve"> trial designs for an SLE Phase III RCT using </w:t>
      </w:r>
      <w:r w:rsidR="006425C6">
        <w:t>an</w:t>
      </w:r>
      <w:r>
        <w:t xml:space="preserve"> ENBS</w:t>
      </w:r>
      <w:r w:rsidR="006425C6">
        <w:t xml:space="preserve"> approach</w:t>
      </w:r>
      <w:r>
        <w:t xml:space="preserve"> adapted to the pharmaceutical perspective</w:t>
      </w:r>
      <w:r w:rsidR="008E04BA">
        <w:t xml:space="preserve">. </w:t>
      </w:r>
      <w:r w:rsidR="006425C6">
        <w:t>For each simulated trial the expected profits were calculated conditional on expected regulatory and reimbursement approval.</w:t>
      </w:r>
      <w:r w:rsidR="000338D8">
        <w:t xml:space="preserve"> </w:t>
      </w:r>
      <w:r w:rsidR="00FA4062">
        <w:t xml:space="preserve">The study found that the analysis was extremely time consuming and is currently not feasible with individual patient simulation models. However, the framework for evaluating trial designs from a pharmaceutical perspective use value-based pricing can be applied to trial designs in simple decision problems. </w:t>
      </w:r>
    </w:p>
    <w:p w:rsidR="004043DF" w:rsidRDefault="004043DF">
      <w:pPr>
        <w:spacing w:after="0" w:afterAutospacing="0" w:line="240" w:lineRule="auto"/>
      </w:pPr>
      <w:r>
        <w:br w:type="page"/>
      </w:r>
    </w:p>
    <w:p w:rsidR="008E04BA" w:rsidRPr="007C66A0" w:rsidRDefault="004043DF" w:rsidP="00B97965">
      <w:pPr>
        <w:pStyle w:val="Heading1"/>
        <w:numPr>
          <w:ilvl w:val="0"/>
          <w:numId w:val="0"/>
        </w:numPr>
        <w:ind w:left="573" w:hanging="431"/>
      </w:pPr>
      <w:bookmarkStart w:id="1" w:name="_Toc379467531"/>
      <w:r w:rsidRPr="007C66A0">
        <w:lastRenderedPageBreak/>
        <w:t>Acknowledgements</w:t>
      </w:r>
      <w:bookmarkEnd w:id="1"/>
    </w:p>
    <w:p w:rsidR="00BC788C" w:rsidRDefault="00BC788C" w:rsidP="00B01F87">
      <w:r>
        <w:t xml:space="preserve">I thank the Economic and Social research Council for funding </w:t>
      </w:r>
      <w:r w:rsidR="00B01F87">
        <w:t>this research</w:t>
      </w:r>
      <w:r>
        <w:t xml:space="preserve"> and who provided me with a wonderful opportunity to pursue my PhD.</w:t>
      </w:r>
    </w:p>
    <w:p w:rsidR="004043DF" w:rsidRDefault="004043DF" w:rsidP="00101F71">
      <w:r>
        <w:t>I am extremely grateful to my supervisor, Professor Alan Brennan</w:t>
      </w:r>
      <w:r w:rsidR="00BC788C">
        <w:t>,</w:t>
      </w:r>
      <w:r>
        <w:t xml:space="preserve"> for all his support, guidance and contributions to this work. His enthusiasm for the </w:t>
      </w:r>
      <w:r w:rsidR="0047576A">
        <w:t>project</w:t>
      </w:r>
      <w:r>
        <w:t xml:space="preserve"> have been motivating and </w:t>
      </w:r>
      <w:r w:rsidR="0047576A">
        <w:t>inspiring</w:t>
      </w:r>
      <w:r>
        <w:t xml:space="preserve"> throughout the PhD.</w:t>
      </w:r>
    </w:p>
    <w:p w:rsidR="004043DF" w:rsidRDefault="004043DF" w:rsidP="00101F71">
      <w:r>
        <w:t>I would like to thank my second supervisor Jeremy Oakley for his technical support and for comments on my thesis. I would like to</w:t>
      </w:r>
      <w:r w:rsidR="007C66A0">
        <w:t xml:space="preserve"> </w:t>
      </w:r>
      <w:r w:rsidR="00101F71">
        <w:t>acknowledge the help and assistance provided by</w:t>
      </w:r>
      <w:r>
        <w:t xml:space="preserve"> the staff in </w:t>
      </w:r>
      <w:r w:rsidR="00101F71">
        <w:t>ScHARR</w:t>
      </w:r>
      <w:r>
        <w:t xml:space="preserve"> during the course of this study. </w:t>
      </w:r>
      <w:r w:rsidR="001D0CA4">
        <w:t xml:space="preserve">I would like to extend particular thanks to Mark Strong for providing technical support throughout the PhD and </w:t>
      </w:r>
      <w:r w:rsidR="0047576A">
        <w:t>who provided invaluable support in using Iceberg</w:t>
      </w:r>
      <w:r w:rsidR="001D0CA4">
        <w:t xml:space="preserve">. </w:t>
      </w:r>
    </w:p>
    <w:p w:rsidR="0047576A" w:rsidRDefault="0047576A" w:rsidP="00101F71">
      <w:r>
        <w:t xml:space="preserve">All through my PhD I have been fortunate to have worked alongside PhD students who have provided a brilliant support and friendship network. I would like to extend particular thanks to Jenny Willson, Carl Tilling, Will Sullivan, Kiera Bartlett, Brian Reddy, </w:t>
      </w:r>
      <w:r w:rsidR="00101F71">
        <w:t xml:space="preserve">and </w:t>
      </w:r>
      <w:r>
        <w:t xml:space="preserve">Paul Richards, </w:t>
      </w:r>
      <w:r w:rsidR="00101F71">
        <w:t>for creating a helpful,</w:t>
      </w:r>
      <w:r>
        <w:t xml:space="preserve"> amusing and positive work environment. </w:t>
      </w:r>
    </w:p>
    <w:p w:rsidR="0047576A" w:rsidRDefault="00BC788C" w:rsidP="00B97965">
      <w:r>
        <w:t xml:space="preserve">I would also like to thank all my friends and family for their continuing love and </w:t>
      </w:r>
      <w:r w:rsidR="00B97965">
        <w:t>assistance</w:t>
      </w:r>
      <w:r>
        <w:t xml:space="preserve">. </w:t>
      </w:r>
      <w:r w:rsidR="007C66A0">
        <w:t xml:space="preserve">I thank my sister Naomi for her support and advice. </w:t>
      </w:r>
      <w:r>
        <w:t>I must acknowledge the invaluable emotional support, contribution</w:t>
      </w:r>
      <w:r w:rsidR="002A0DB8">
        <w:t>,</w:t>
      </w:r>
      <w:r>
        <w:t xml:space="preserve"> and proof-reading from </w:t>
      </w:r>
      <w:r w:rsidR="002A0DB8">
        <w:t xml:space="preserve">my </w:t>
      </w:r>
      <w:r>
        <w:t xml:space="preserve">father Peter, and my partner Jonathan. In sadness I thank and remember my mother Jan, whose love and </w:t>
      </w:r>
      <w:r w:rsidR="007C66A0">
        <w:t>encouragement have always been the greatest inspiration to me.</w:t>
      </w:r>
    </w:p>
    <w:p w:rsidR="009123FF" w:rsidRDefault="009123FF">
      <w:pPr>
        <w:spacing w:after="0" w:afterAutospacing="0" w:line="240" w:lineRule="auto"/>
      </w:pPr>
      <w:r>
        <w:br w:type="page"/>
      </w:r>
    </w:p>
    <w:bookmarkStart w:id="2" w:name="_Toc332720557" w:displacedByCustomXml="next"/>
    <w:sdt>
      <w:sdtPr>
        <w:rPr>
          <w:b w:val="0"/>
          <w:bCs w:val="0"/>
          <w:caps w:val="0"/>
          <w:color w:val="auto"/>
          <w:spacing w:val="0"/>
          <w:sz w:val="22"/>
          <w:szCs w:val="20"/>
        </w:rPr>
        <w:id w:val="9707955"/>
        <w:docPartObj>
          <w:docPartGallery w:val="Table of Contents"/>
          <w:docPartUnique/>
        </w:docPartObj>
      </w:sdtPr>
      <w:sdtContent>
        <w:p w:rsidR="006074C8" w:rsidRDefault="006074C8" w:rsidP="00BE457B">
          <w:pPr>
            <w:pStyle w:val="TOCHeading"/>
            <w:numPr>
              <w:ilvl w:val="0"/>
              <w:numId w:val="0"/>
            </w:numPr>
            <w:spacing w:line="240" w:lineRule="auto"/>
            <w:ind w:left="574"/>
          </w:pPr>
          <w:r>
            <w:t>Contents</w:t>
          </w:r>
        </w:p>
        <w:p w:rsidR="00CD16C3" w:rsidRDefault="00E729BA">
          <w:pPr>
            <w:pStyle w:val="TOC1"/>
            <w:rPr>
              <w:rFonts w:asciiTheme="minorHAnsi" w:hAnsiTheme="minorHAnsi" w:cstheme="minorBidi"/>
              <w:b w:val="0"/>
              <w:bCs w:val="0"/>
              <w:caps w:val="0"/>
              <w:noProof/>
              <w:sz w:val="22"/>
              <w:szCs w:val="22"/>
              <w:lang w:eastAsia="zh-CN" w:bidi="ar-SA"/>
            </w:rPr>
          </w:pPr>
          <w:r w:rsidRPr="00E729BA">
            <w:fldChar w:fldCharType="begin"/>
          </w:r>
          <w:r w:rsidR="006074C8">
            <w:instrText xml:space="preserve"> TOC \o "1-3" \h \z \u </w:instrText>
          </w:r>
          <w:r w:rsidRPr="00E729BA">
            <w:fldChar w:fldCharType="separate"/>
          </w:r>
          <w:hyperlink w:anchor="_Toc379467530" w:history="1">
            <w:r w:rsidR="00CD16C3" w:rsidRPr="008514F2">
              <w:rPr>
                <w:rStyle w:val="Hyperlink"/>
                <w:noProof/>
              </w:rPr>
              <w:t>ABSTRACT</w:t>
            </w:r>
            <w:r w:rsidR="00CD16C3">
              <w:rPr>
                <w:noProof/>
                <w:webHidden/>
              </w:rPr>
              <w:tab/>
            </w:r>
            <w:r w:rsidR="00CD16C3">
              <w:rPr>
                <w:noProof/>
                <w:webHidden/>
              </w:rPr>
              <w:fldChar w:fldCharType="begin"/>
            </w:r>
            <w:r w:rsidR="00CD16C3">
              <w:rPr>
                <w:noProof/>
                <w:webHidden/>
              </w:rPr>
              <w:instrText xml:space="preserve"> PAGEREF _Toc379467530 \h </w:instrText>
            </w:r>
            <w:r w:rsidR="00CD16C3">
              <w:rPr>
                <w:noProof/>
                <w:webHidden/>
              </w:rPr>
            </w:r>
            <w:r w:rsidR="00CD16C3">
              <w:rPr>
                <w:noProof/>
                <w:webHidden/>
              </w:rPr>
              <w:fldChar w:fldCharType="separate"/>
            </w:r>
            <w:r w:rsidR="004911B7">
              <w:rPr>
                <w:noProof/>
                <w:webHidden/>
              </w:rPr>
              <w:t>ii</w:t>
            </w:r>
            <w:r w:rsidR="00CD16C3">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31" w:history="1">
            <w:r w:rsidRPr="008514F2">
              <w:rPr>
                <w:rStyle w:val="Hyperlink"/>
                <w:noProof/>
              </w:rPr>
              <w:t>Acknowledgements</w:t>
            </w:r>
            <w:r>
              <w:rPr>
                <w:noProof/>
                <w:webHidden/>
              </w:rPr>
              <w:tab/>
            </w:r>
            <w:r>
              <w:rPr>
                <w:noProof/>
                <w:webHidden/>
              </w:rPr>
              <w:fldChar w:fldCharType="begin"/>
            </w:r>
            <w:r>
              <w:rPr>
                <w:noProof/>
                <w:webHidden/>
              </w:rPr>
              <w:instrText xml:space="preserve"> PAGEREF _Toc379467531 \h </w:instrText>
            </w:r>
            <w:r>
              <w:rPr>
                <w:noProof/>
                <w:webHidden/>
              </w:rPr>
            </w:r>
            <w:r>
              <w:rPr>
                <w:noProof/>
                <w:webHidden/>
              </w:rPr>
              <w:fldChar w:fldCharType="separate"/>
            </w:r>
            <w:r w:rsidR="004911B7">
              <w:rPr>
                <w:noProof/>
                <w:webHidden/>
              </w:rPr>
              <w:t>iii</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32" w:history="1">
            <w:r w:rsidRPr="008514F2">
              <w:rPr>
                <w:rStyle w:val="Hyperlink"/>
                <w:noProof/>
              </w:rPr>
              <w:t>LIST OF ABBREVIATIONS</w:t>
            </w:r>
            <w:r>
              <w:rPr>
                <w:noProof/>
                <w:webHidden/>
              </w:rPr>
              <w:tab/>
            </w:r>
            <w:r>
              <w:rPr>
                <w:noProof/>
                <w:webHidden/>
              </w:rPr>
              <w:fldChar w:fldCharType="begin"/>
            </w:r>
            <w:r>
              <w:rPr>
                <w:noProof/>
                <w:webHidden/>
              </w:rPr>
              <w:instrText xml:space="preserve"> PAGEREF _Toc379467532 \h </w:instrText>
            </w:r>
            <w:r>
              <w:rPr>
                <w:noProof/>
                <w:webHidden/>
              </w:rPr>
            </w:r>
            <w:r>
              <w:rPr>
                <w:noProof/>
                <w:webHidden/>
              </w:rPr>
              <w:fldChar w:fldCharType="separate"/>
            </w:r>
            <w:r w:rsidR="004911B7">
              <w:rPr>
                <w:noProof/>
                <w:webHidden/>
              </w:rPr>
              <w:t>xiv</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33" w:history="1">
            <w:r w:rsidRPr="008514F2">
              <w:rPr>
                <w:rStyle w:val="Hyperlink"/>
                <w:noProof/>
              </w:rPr>
              <w:t>1</w:t>
            </w:r>
            <w:r>
              <w:rPr>
                <w:rFonts w:asciiTheme="minorHAnsi" w:hAnsiTheme="minorHAnsi" w:cstheme="minorBidi"/>
                <w:b w:val="0"/>
                <w:bCs w:val="0"/>
                <w:caps w:val="0"/>
                <w:noProof/>
                <w:sz w:val="22"/>
                <w:szCs w:val="22"/>
                <w:lang w:eastAsia="zh-CN" w:bidi="ar-SA"/>
              </w:rPr>
              <w:tab/>
            </w:r>
            <w:r w:rsidRPr="008514F2">
              <w:rPr>
                <w:rStyle w:val="Hyperlink"/>
                <w:noProof/>
              </w:rPr>
              <w:t>Chapter 1: Introduction</w:t>
            </w:r>
            <w:r>
              <w:rPr>
                <w:noProof/>
                <w:webHidden/>
              </w:rPr>
              <w:tab/>
            </w:r>
            <w:r>
              <w:rPr>
                <w:noProof/>
                <w:webHidden/>
              </w:rPr>
              <w:fldChar w:fldCharType="begin"/>
            </w:r>
            <w:r>
              <w:rPr>
                <w:noProof/>
                <w:webHidden/>
              </w:rPr>
              <w:instrText xml:space="preserve"> PAGEREF _Toc379467533 \h </w:instrText>
            </w:r>
            <w:r>
              <w:rPr>
                <w:noProof/>
                <w:webHidden/>
              </w:rPr>
            </w:r>
            <w:r>
              <w:rPr>
                <w:noProof/>
                <w:webHidden/>
              </w:rPr>
              <w:fldChar w:fldCharType="separate"/>
            </w:r>
            <w:r w:rsidR="004911B7">
              <w:rPr>
                <w:noProof/>
                <w:webHidden/>
              </w:rPr>
              <w:t>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34" w:history="1">
            <w:r w:rsidRPr="008514F2">
              <w:rPr>
                <w:rStyle w:val="Hyperlink"/>
                <w:noProof/>
              </w:rPr>
              <w:t>1.1</w:t>
            </w:r>
            <w:r>
              <w:rPr>
                <w:rFonts w:asciiTheme="minorHAnsi" w:hAnsiTheme="minorHAnsi" w:cstheme="minorBidi"/>
                <w:b w:val="0"/>
                <w:bCs w:val="0"/>
                <w:noProof/>
                <w:szCs w:val="22"/>
                <w:lang w:eastAsia="zh-CN" w:bidi="ar-SA"/>
              </w:rPr>
              <w:tab/>
            </w:r>
            <w:r w:rsidRPr="008514F2">
              <w:rPr>
                <w:rStyle w:val="Hyperlink"/>
                <w:noProof/>
              </w:rPr>
              <w:t>Drug Development Processes</w:t>
            </w:r>
            <w:r>
              <w:rPr>
                <w:noProof/>
                <w:webHidden/>
              </w:rPr>
              <w:tab/>
            </w:r>
            <w:r>
              <w:rPr>
                <w:noProof/>
                <w:webHidden/>
              </w:rPr>
              <w:fldChar w:fldCharType="begin"/>
            </w:r>
            <w:r>
              <w:rPr>
                <w:noProof/>
                <w:webHidden/>
              </w:rPr>
              <w:instrText xml:space="preserve"> PAGEREF _Toc379467534 \h </w:instrText>
            </w:r>
            <w:r>
              <w:rPr>
                <w:noProof/>
                <w:webHidden/>
              </w:rPr>
            </w:r>
            <w:r>
              <w:rPr>
                <w:noProof/>
                <w:webHidden/>
              </w:rPr>
              <w:fldChar w:fldCharType="separate"/>
            </w:r>
            <w:r w:rsidR="004911B7">
              <w:rPr>
                <w:noProof/>
                <w:webHidden/>
              </w:rPr>
              <w:t>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35" w:history="1">
            <w:r w:rsidRPr="008514F2">
              <w:rPr>
                <w:rStyle w:val="Hyperlink"/>
                <w:noProof/>
              </w:rPr>
              <w:t>1.2</w:t>
            </w:r>
            <w:r>
              <w:rPr>
                <w:rFonts w:asciiTheme="minorHAnsi" w:hAnsiTheme="minorHAnsi" w:cstheme="minorBidi"/>
                <w:b w:val="0"/>
                <w:bCs w:val="0"/>
                <w:noProof/>
                <w:szCs w:val="22"/>
                <w:lang w:eastAsia="zh-CN" w:bidi="ar-SA"/>
              </w:rPr>
              <w:tab/>
            </w:r>
            <w:r w:rsidRPr="008514F2">
              <w:rPr>
                <w:rStyle w:val="Hyperlink"/>
                <w:noProof/>
              </w:rPr>
              <w:t>What are Decision Theoretic Methods?</w:t>
            </w:r>
            <w:r>
              <w:rPr>
                <w:noProof/>
                <w:webHidden/>
              </w:rPr>
              <w:tab/>
            </w:r>
            <w:r>
              <w:rPr>
                <w:noProof/>
                <w:webHidden/>
              </w:rPr>
              <w:fldChar w:fldCharType="begin"/>
            </w:r>
            <w:r>
              <w:rPr>
                <w:noProof/>
                <w:webHidden/>
              </w:rPr>
              <w:instrText xml:space="preserve"> PAGEREF _Toc379467535 \h </w:instrText>
            </w:r>
            <w:r>
              <w:rPr>
                <w:noProof/>
                <w:webHidden/>
              </w:rPr>
            </w:r>
            <w:r>
              <w:rPr>
                <w:noProof/>
                <w:webHidden/>
              </w:rPr>
              <w:fldChar w:fldCharType="separate"/>
            </w:r>
            <w:r w:rsidR="004911B7">
              <w:rPr>
                <w:noProof/>
                <w:webHidden/>
              </w:rPr>
              <w:t>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36" w:history="1">
            <w:r w:rsidRPr="008514F2">
              <w:rPr>
                <w:rStyle w:val="Hyperlink"/>
                <w:noProof/>
              </w:rPr>
              <w:t>1.2.1</w:t>
            </w:r>
            <w:r>
              <w:rPr>
                <w:rFonts w:asciiTheme="minorHAnsi" w:hAnsiTheme="minorHAnsi" w:cstheme="minorBidi"/>
                <w:noProof/>
                <w:sz w:val="22"/>
                <w:szCs w:val="22"/>
                <w:lang w:eastAsia="zh-CN" w:bidi="ar-SA"/>
              </w:rPr>
              <w:tab/>
            </w:r>
            <w:r w:rsidRPr="008514F2">
              <w:rPr>
                <w:rStyle w:val="Hyperlink"/>
                <w:noProof/>
              </w:rPr>
              <w:t>Bayesian Statistics</w:t>
            </w:r>
            <w:r>
              <w:rPr>
                <w:noProof/>
                <w:webHidden/>
              </w:rPr>
              <w:tab/>
            </w:r>
            <w:r>
              <w:rPr>
                <w:noProof/>
                <w:webHidden/>
              </w:rPr>
              <w:fldChar w:fldCharType="begin"/>
            </w:r>
            <w:r>
              <w:rPr>
                <w:noProof/>
                <w:webHidden/>
              </w:rPr>
              <w:instrText xml:space="preserve"> PAGEREF _Toc379467536 \h </w:instrText>
            </w:r>
            <w:r>
              <w:rPr>
                <w:noProof/>
                <w:webHidden/>
              </w:rPr>
            </w:r>
            <w:r>
              <w:rPr>
                <w:noProof/>
                <w:webHidden/>
              </w:rPr>
              <w:fldChar w:fldCharType="separate"/>
            </w:r>
            <w:r w:rsidR="004911B7">
              <w:rPr>
                <w:noProof/>
                <w:webHidden/>
              </w:rPr>
              <w:t>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37" w:history="1">
            <w:r w:rsidRPr="008514F2">
              <w:rPr>
                <w:rStyle w:val="Hyperlink"/>
                <w:noProof/>
              </w:rPr>
              <w:t>1.2.2</w:t>
            </w:r>
            <w:r>
              <w:rPr>
                <w:rFonts w:asciiTheme="minorHAnsi" w:hAnsiTheme="minorHAnsi" w:cstheme="minorBidi"/>
                <w:noProof/>
                <w:sz w:val="22"/>
                <w:szCs w:val="22"/>
                <w:lang w:eastAsia="zh-CN" w:bidi="ar-SA"/>
              </w:rPr>
              <w:tab/>
            </w:r>
            <w:r w:rsidRPr="008514F2">
              <w:rPr>
                <w:rStyle w:val="Hyperlink"/>
                <w:noProof/>
              </w:rPr>
              <w:t>Decision-Making</w:t>
            </w:r>
            <w:r>
              <w:rPr>
                <w:noProof/>
                <w:webHidden/>
              </w:rPr>
              <w:tab/>
            </w:r>
            <w:r>
              <w:rPr>
                <w:noProof/>
                <w:webHidden/>
              </w:rPr>
              <w:fldChar w:fldCharType="begin"/>
            </w:r>
            <w:r>
              <w:rPr>
                <w:noProof/>
                <w:webHidden/>
              </w:rPr>
              <w:instrText xml:space="preserve"> PAGEREF _Toc379467537 \h </w:instrText>
            </w:r>
            <w:r>
              <w:rPr>
                <w:noProof/>
                <w:webHidden/>
              </w:rPr>
            </w:r>
            <w:r>
              <w:rPr>
                <w:noProof/>
                <w:webHidden/>
              </w:rPr>
              <w:fldChar w:fldCharType="separate"/>
            </w:r>
            <w:r w:rsidR="004911B7">
              <w:rPr>
                <w:noProof/>
                <w:webHidden/>
              </w:rPr>
              <w:t>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38" w:history="1">
            <w:r w:rsidRPr="008514F2">
              <w:rPr>
                <w:rStyle w:val="Hyperlink"/>
                <w:noProof/>
              </w:rPr>
              <w:t>1.2.3</w:t>
            </w:r>
            <w:r>
              <w:rPr>
                <w:rFonts w:asciiTheme="minorHAnsi" w:hAnsiTheme="minorHAnsi" w:cstheme="minorBidi"/>
                <w:noProof/>
                <w:sz w:val="22"/>
                <w:szCs w:val="22"/>
                <w:lang w:eastAsia="zh-CN" w:bidi="ar-SA"/>
              </w:rPr>
              <w:tab/>
            </w:r>
            <w:r w:rsidRPr="008514F2">
              <w:rPr>
                <w:rStyle w:val="Hyperlink"/>
                <w:noProof/>
              </w:rPr>
              <w:t>Health Economic Decision-Making</w:t>
            </w:r>
            <w:r>
              <w:rPr>
                <w:noProof/>
                <w:webHidden/>
              </w:rPr>
              <w:tab/>
            </w:r>
            <w:r>
              <w:rPr>
                <w:noProof/>
                <w:webHidden/>
              </w:rPr>
              <w:fldChar w:fldCharType="begin"/>
            </w:r>
            <w:r>
              <w:rPr>
                <w:noProof/>
                <w:webHidden/>
              </w:rPr>
              <w:instrText xml:space="preserve"> PAGEREF _Toc379467538 \h </w:instrText>
            </w:r>
            <w:r>
              <w:rPr>
                <w:noProof/>
                <w:webHidden/>
              </w:rPr>
            </w:r>
            <w:r>
              <w:rPr>
                <w:noProof/>
                <w:webHidden/>
              </w:rPr>
              <w:fldChar w:fldCharType="separate"/>
            </w:r>
            <w:r w:rsidR="004911B7">
              <w:rPr>
                <w:noProof/>
                <w:webHidden/>
              </w:rPr>
              <w:t>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39" w:history="1">
            <w:r w:rsidRPr="008514F2">
              <w:rPr>
                <w:rStyle w:val="Hyperlink"/>
                <w:noProof/>
              </w:rPr>
              <w:t>1.2.4</w:t>
            </w:r>
            <w:r>
              <w:rPr>
                <w:rFonts w:asciiTheme="minorHAnsi" w:hAnsiTheme="minorHAnsi" w:cstheme="minorBidi"/>
                <w:noProof/>
                <w:sz w:val="22"/>
                <w:szCs w:val="22"/>
                <w:lang w:eastAsia="zh-CN" w:bidi="ar-SA"/>
              </w:rPr>
              <w:tab/>
            </w:r>
            <w:r w:rsidRPr="008514F2">
              <w:rPr>
                <w:rStyle w:val="Hyperlink"/>
                <w:noProof/>
              </w:rPr>
              <w:t>Value of Information</w:t>
            </w:r>
            <w:r>
              <w:rPr>
                <w:noProof/>
                <w:webHidden/>
              </w:rPr>
              <w:tab/>
            </w:r>
            <w:r>
              <w:rPr>
                <w:noProof/>
                <w:webHidden/>
              </w:rPr>
              <w:fldChar w:fldCharType="begin"/>
            </w:r>
            <w:r>
              <w:rPr>
                <w:noProof/>
                <w:webHidden/>
              </w:rPr>
              <w:instrText xml:space="preserve"> PAGEREF _Toc379467539 \h </w:instrText>
            </w:r>
            <w:r>
              <w:rPr>
                <w:noProof/>
                <w:webHidden/>
              </w:rPr>
            </w:r>
            <w:r>
              <w:rPr>
                <w:noProof/>
                <w:webHidden/>
              </w:rPr>
              <w:fldChar w:fldCharType="separate"/>
            </w:r>
            <w:r w:rsidR="004911B7">
              <w:rPr>
                <w:noProof/>
                <w:webHidden/>
              </w:rPr>
              <w:t>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40" w:history="1">
            <w:r w:rsidRPr="008514F2">
              <w:rPr>
                <w:rStyle w:val="Hyperlink"/>
                <w:noProof/>
              </w:rPr>
              <w:t>1.2.5</w:t>
            </w:r>
            <w:r>
              <w:rPr>
                <w:rFonts w:asciiTheme="minorHAnsi" w:hAnsiTheme="minorHAnsi" w:cstheme="minorBidi"/>
                <w:noProof/>
                <w:sz w:val="22"/>
                <w:szCs w:val="22"/>
                <w:lang w:eastAsia="zh-CN" w:bidi="ar-SA"/>
              </w:rPr>
              <w:tab/>
            </w:r>
            <w:r w:rsidRPr="008514F2">
              <w:rPr>
                <w:rStyle w:val="Hyperlink"/>
                <w:noProof/>
              </w:rPr>
              <w:t>Summary</w:t>
            </w:r>
            <w:r>
              <w:rPr>
                <w:noProof/>
                <w:webHidden/>
              </w:rPr>
              <w:tab/>
            </w:r>
            <w:r>
              <w:rPr>
                <w:noProof/>
                <w:webHidden/>
              </w:rPr>
              <w:fldChar w:fldCharType="begin"/>
            </w:r>
            <w:r>
              <w:rPr>
                <w:noProof/>
                <w:webHidden/>
              </w:rPr>
              <w:instrText xml:space="preserve"> PAGEREF _Toc379467540 \h </w:instrText>
            </w:r>
            <w:r>
              <w:rPr>
                <w:noProof/>
                <w:webHidden/>
              </w:rPr>
            </w:r>
            <w:r>
              <w:rPr>
                <w:noProof/>
                <w:webHidden/>
              </w:rPr>
              <w:fldChar w:fldCharType="separate"/>
            </w:r>
            <w:r w:rsidR="004911B7">
              <w:rPr>
                <w:noProof/>
                <w:webHidden/>
              </w:rPr>
              <w:t>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41" w:history="1">
            <w:r w:rsidRPr="008514F2">
              <w:rPr>
                <w:rStyle w:val="Hyperlink"/>
                <w:noProof/>
              </w:rPr>
              <w:t>1.3</w:t>
            </w:r>
            <w:r>
              <w:rPr>
                <w:rFonts w:asciiTheme="minorHAnsi" w:hAnsiTheme="minorHAnsi" w:cstheme="minorBidi"/>
                <w:b w:val="0"/>
                <w:bCs w:val="0"/>
                <w:noProof/>
                <w:szCs w:val="22"/>
                <w:lang w:eastAsia="zh-CN" w:bidi="ar-SA"/>
              </w:rPr>
              <w:tab/>
            </w:r>
            <w:r w:rsidRPr="008514F2">
              <w:rPr>
                <w:rStyle w:val="Hyperlink"/>
                <w:noProof/>
              </w:rPr>
              <w:t>What is Systemic Lupus Erythematosus (SLE)?</w:t>
            </w:r>
            <w:r>
              <w:rPr>
                <w:noProof/>
                <w:webHidden/>
              </w:rPr>
              <w:tab/>
            </w:r>
            <w:r>
              <w:rPr>
                <w:noProof/>
                <w:webHidden/>
              </w:rPr>
              <w:fldChar w:fldCharType="begin"/>
            </w:r>
            <w:r>
              <w:rPr>
                <w:noProof/>
                <w:webHidden/>
              </w:rPr>
              <w:instrText xml:space="preserve"> PAGEREF _Toc379467541 \h </w:instrText>
            </w:r>
            <w:r>
              <w:rPr>
                <w:noProof/>
                <w:webHidden/>
              </w:rPr>
            </w:r>
            <w:r>
              <w:rPr>
                <w:noProof/>
                <w:webHidden/>
              </w:rPr>
              <w:fldChar w:fldCharType="separate"/>
            </w:r>
            <w:r w:rsidR="004911B7">
              <w:rPr>
                <w:noProof/>
                <w:webHidden/>
              </w:rPr>
              <w:t>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42" w:history="1">
            <w:r w:rsidRPr="008514F2">
              <w:rPr>
                <w:rStyle w:val="Hyperlink"/>
                <w:noProof/>
              </w:rPr>
              <w:t>1.3.1</w:t>
            </w:r>
            <w:r>
              <w:rPr>
                <w:rFonts w:asciiTheme="minorHAnsi" w:hAnsiTheme="minorHAnsi" w:cstheme="minorBidi"/>
                <w:noProof/>
                <w:sz w:val="22"/>
                <w:szCs w:val="22"/>
                <w:lang w:eastAsia="zh-CN" w:bidi="ar-SA"/>
              </w:rPr>
              <w:tab/>
            </w:r>
            <w:r w:rsidRPr="008514F2">
              <w:rPr>
                <w:rStyle w:val="Hyperlink"/>
                <w:noProof/>
              </w:rPr>
              <w:t>Aetiology</w:t>
            </w:r>
            <w:r>
              <w:rPr>
                <w:noProof/>
                <w:webHidden/>
              </w:rPr>
              <w:tab/>
            </w:r>
            <w:r>
              <w:rPr>
                <w:noProof/>
                <w:webHidden/>
              </w:rPr>
              <w:fldChar w:fldCharType="begin"/>
            </w:r>
            <w:r>
              <w:rPr>
                <w:noProof/>
                <w:webHidden/>
              </w:rPr>
              <w:instrText xml:space="preserve"> PAGEREF _Toc379467542 \h </w:instrText>
            </w:r>
            <w:r>
              <w:rPr>
                <w:noProof/>
                <w:webHidden/>
              </w:rPr>
            </w:r>
            <w:r>
              <w:rPr>
                <w:noProof/>
                <w:webHidden/>
              </w:rPr>
              <w:fldChar w:fldCharType="separate"/>
            </w:r>
            <w:r w:rsidR="004911B7">
              <w:rPr>
                <w:noProof/>
                <w:webHidden/>
              </w:rPr>
              <w:t>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43" w:history="1">
            <w:r w:rsidRPr="008514F2">
              <w:rPr>
                <w:rStyle w:val="Hyperlink"/>
                <w:noProof/>
              </w:rPr>
              <w:t>1.3.2</w:t>
            </w:r>
            <w:r>
              <w:rPr>
                <w:rFonts w:asciiTheme="minorHAnsi" w:hAnsiTheme="minorHAnsi" w:cstheme="minorBidi"/>
                <w:noProof/>
                <w:sz w:val="22"/>
                <w:szCs w:val="22"/>
                <w:lang w:eastAsia="zh-CN" w:bidi="ar-SA"/>
              </w:rPr>
              <w:tab/>
            </w:r>
            <w:r w:rsidRPr="008514F2">
              <w:rPr>
                <w:rStyle w:val="Hyperlink"/>
                <w:noProof/>
              </w:rPr>
              <w:t>Incidence and Prevalence</w:t>
            </w:r>
            <w:r>
              <w:rPr>
                <w:noProof/>
                <w:webHidden/>
              </w:rPr>
              <w:tab/>
            </w:r>
            <w:r>
              <w:rPr>
                <w:noProof/>
                <w:webHidden/>
              </w:rPr>
              <w:fldChar w:fldCharType="begin"/>
            </w:r>
            <w:r>
              <w:rPr>
                <w:noProof/>
                <w:webHidden/>
              </w:rPr>
              <w:instrText xml:space="preserve"> PAGEREF _Toc379467543 \h </w:instrText>
            </w:r>
            <w:r>
              <w:rPr>
                <w:noProof/>
                <w:webHidden/>
              </w:rPr>
            </w:r>
            <w:r>
              <w:rPr>
                <w:noProof/>
                <w:webHidden/>
              </w:rPr>
              <w:fldChar w:fldCharType="separate"/>
            </w:r>
            <w:r w:rsidR="004911B7">
              <w:rPr>
                <w:noProof/>
                <w:webHidden/>
              </w:rPr>
              <w:t>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44" w:history="1">
            <w:r w:rsidRPr="008514F2">
              <w:rPr>
                <w:rStyle w:val="Hyperlink"/>
                <w:noProof/>
              </w:rPr>
              <w:t>1.3.3</w:t>
            </w:r>
            <w:r>
              <w:rPr>
                <w:rFonts w:asciiTheme="minorHAnsi" w:hAnsiTheme="minorHAnsi" w:cstheme="minorBidi"/>
                <w:noProof/>
                <w:sz w:val="22"/>
                <w:szCs w:val="22"/>
                <w:lang w:eastAsia="zh-CN" w:bidi="ar-SA"/>
              </w:rPr>
              <w:tab/>
            </w:r>
            <w:r w:rsidRPr="008514F2">
              <w:rPr>
                <w:rStyle w:val="Hyperlink"/>
                <w:noProof/>
              </w:rPr>
              <w:t>Symptoms and Consequences</w:t>
            </w:r>
            <w:r>
              <w:rPr>
                <w:noProof/>
                <w:webHidden/>
              </w:rPr>
              <w:tab/>
            </w:r>
            <w:r>
              <w:rPr>
                <w:noProof/>
                <w:webHidden/>
              </w:rPr>
              <w:fldChar w:fldCharType="begin"/>
            </w:r>
            <w:r>
              <w:rPr>
                <w:noProof/>
                <w:webHidden/>
              </w:rPr>
              <w:instrText xml:space="preserve"> PAGEREF _Toc379467544 \h </w:instrText>
            </w:r>
            <w:r>
              <w:rPr>
                <w:noProof/>
                <w:webHidden/>
              </w:rPr>
            </w:r>
            <w:r>
              <w:rPr>
                <w:noProof/>
                <w:webHidden/>
              </w:rPr>
              <w:fldChar w:fldCharType="separate"/>
            </w:r>
            <w:r w:rsidR="004911B7">
              <w:rPr>
                <w:noProof/>
                <w:webHidden/>
              </w:rPr>
              <w:t>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45" w:history="1">
            <w:r w:rsidRPr="008514F2">
              <w:rPr>
                <w:rStyle w:val="Hyperlink"/>
                <w:noProof/>
              </w:rPr>
              <w:t>1.3.4</w:t>
            </w:r>
            <w:r>
              <w:rPr>
                <w:rFonts w:asciiTheme="minorHAnsi" w:hAnsiTheme="minorHAnsi" w:cstheme="minorBidi"/>
                <w:noProof/>
                <w:sz w:val="22"/>
                <w:szCs w:val="22"/>
                <w:lang w:eastAsia="zh-CN" w:bidi="ar-SA"/>
              </w:rPr>
              <w:tab/>
            </w:r>
            <w:r w:rsidRPr="008514F2">
              <w:rPr>
                <w:rStyle w:val="Hyperlink"/>
                <w:noProof/>
              </w:rPr>
              <w:t>Treatment</w:t>
            </w:r>
            <w:r>
              <w:rPr>
                <w:noProof/>
                <w:webHidden/>
              </w:rPr>
              <w:tab/>
            </w:r>
            <w:r>
              <w:rPr>
                <w:noProof/>
                <w:webHidden/>
              </w:rPr>
              <w:fldChar w:fldCharType="begin"/>
            </w:r>
            <w:r>
              <w:rPr>
                <w:noProof/>
                <w:webHidden/>
              </w:rPr>
              <w:instrText xml:space="preserve"> PAGEREF _Toc379467545 \h </w:instrText>
            </w:r>
            <w:r>
              <w:rPr>
                <w:noProof/>
                <w:webHidden/>
              </w:rPr>
            </w:r>
            <w:r>
              <w:rPr>
                <w:noProof/>
                <w:webHidden/>
              </w:rPr>
              <w:fldChar w:fldCharType="separate"/>
            </w:r>
            <w:r w:rsidR="004911B7">
              <w:rPr>
                <w:noProof/>
                <w:webHidden/>
              </w:rPr>
              <w:t>11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46" w:history="1">
            <w:r w:rsidRPr="008514F2">
              <w:rPr>
                <w:rStyle w:val="Hyperlink"/>
                <w:noProof/>
              </w:rPr>
              <w:t>1.4</w:t>
            </w:r>
            <w:r>
              <w:rPr>
                <w:rFonts w:asciiTheme="minorHAnsi" w:hAnsiTheme="minorHAnsi" w:cstheme="minorBidi"/>
                <w:b w:val="0"/>
                <w:bCs w:val="0"/>
                <w:noProof/>
                <w:szCs w:val="22"/>
                <w:lang w:eastAsia="zh-CN" w:bidi="ar-SA"/>
              </w:rPr>
              <w:tab/>
            </w:r>
            <w:r w:rsidRPr="008514F2">
              <w:rPr>
                <w:rStyle w:val="Hyperlink"/>
                <w:noProof/>
              </w:rPr>
              <w:t>Hypothesis</w:t>
            </w:r>
            <w:r>
              <w:rPr>
                <w:noProof/>
                <w:webHidden/>
              </w:rPr>
              <w:tab/>
            </w:r>
            <w:r>
              <w:rPr>
                <w:noProof/>
                <w:webHidden/>
              </w:rPr>
              <w:fldChar w:fldCharType="begin"/>
            </w:r>
            <w:r>
              <w:rPr>
                <w:noProof/>
                <w:webHidden/>
              </w:rPr>
              <w:instrText xml:space="preserve"> PAGEREF _Toc379467546 \h </w:instrText>
            </w:r>
            <w:r>
              <w:rPr>
                <w:noProof/>
                <w:webHidden/>
              </w:rPr>
            </w:r>
            <w:r>
              <w:rPr>
                <w:noProof/>
                <w:webHidden/>
              </w:rPr>
              <w:fldChar w:fldCharType="separate"/>
            </w:r>
            <w:r w:rsidR="004911B7">
              <w:rPr>
                <w:noProof/>
                <w:webHidden/>
              </w:rPr>
              <w:t>12</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47" w:history="1">
            <w:r w:rsidRPr="008514F2">
              <w:rPr>
                <w:rStyle w:val="Hyperlink"/>
                <w:noProof/>
              </w:rPr>
              <w:t>1.5</w:t>
            </w:r>
            <w:r>
              <w:rPr>
                <w:rFonts w:asciiTheme="minorHAnsi" w:hAnsiTheme="minorHAnsi" w:cstheme="minorBidi"/>
                <w:b w:val="0"/>
                <w:bCs w:val="0"/>
                <w:noProof/>
                <w:szCs w:val="22"/>
                <w:lang w:eastAsia="zh-CN" w:bidi="ar-SA"/>
              </w:rPr>
              <w:tab/>
            </w:r>
            <w:r w:rsidRPr="008514F2">
              <w:rPr>
                <w:rStyle w:val="Hyperlink"/>
                <w:noProof/>
              </w:rPr>
              <w:t>Overview of Methods Used in This Thesis</w:t>
            </w:r>
            <w:r>
              <w:rPr>
                <w:noProof/>
                <w:webHidden/>
              </w:rPr>
              <w:tab/>
            </w:r>
            <w:r>
              <w:rPr>
                <w:noProof/>
                <w:webHidden/>
              </w:rPr>
              <w:fldChar w:fldCharType="begin"/>
            </w:r>
            <w:r>
              <w:rPr>
                <w:noProof/>
                <w:webHidden/>
              </w:rPr>
              <w:instrText xml:space="preserve"> PAGEREF _Toc379467547 \h </w:instrText>
            </w:r>
            <w:r>
              <w:rPr>
                <w:noProof/>
                <w:webHidden/>
              </w:rPr>
            </w:r>
            <w:r>
              <w:rPr>
                <w:noProof/>
                <w:webHidden/>
              </w:rPr>
              <w:fldChar w:fldCharType="separate"/>
            </w:r>
            <w:r w:rsidR="004911B7">
              <w:rPr>
                <w:noProof/>
                <w:webHidden/>
              </w:rPr>
              <w:t>12</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48" w:history="1">
            <w:r w:rsidRPr="008514F2">
              <w:rPr>
                <w:rStyle w:val="Hyperlink"/>
                <w:noProof/>
              </w:rPr>
              <w:t>1.6</w:t>
            </w:r>
            <w:r>
              <w:rPr>
                <w:rFonts w:asciiTheme="minorHAnsi" w:hAnsiTheme="minorHAnsi" w:cstheme="minorBidi"/>
                <w:b w:val="0"/>
                <w:bCs w:val="0"/>
                <w:noProof/>
                <w:szCs w:val="22"/>
                <w:lang w:eastAsia="zh-CN" w:bidi="ar-SA"/>
              </w:rPr>
              <w:tab/>
            </w:r>
            <w:r w:rsidRPr="008514F2">
              <w:rPr>
                <w:rStyle w:val="Hyperlink"/>
                <w:noProof/>
              </w:rPr>
              <w:t>Outline of this PHD Study</w:t>
            </w:r>
            <w:r>
              <w:rPr>
                <w:noProof/>
                <w:webHidden/>
              </w:rPr>
              <w:tab/>
            </w:r>
            <w:r>
              <w:rPr>
                <w:noProof/>
                <w:webHidden/>
              </w:rPr>
              <w:fldChar w:fldCharType="begin"/>
            </w:r>
            <w:r>
              <w:rPr>
                <w:noProof/>
                <w:webHidden/>
              </w:rPr>
              <w:instrText xml:space="preserve"> PAGEREF _Toc379467548 \h </w:instrText>
            </w:r>
            <w:r>
              <w:rPr>
                <w:noProof/>
                <w:webHidden/>
              </w:rPr>
            </w:r>
            <w:r>
              <w:rPr>
                <w:noProof/>
                <w:webHidden/>
              </w:rPr>
              <w:fldChar w:fldCharType="separate"/>
            </w:r>
            <w:r w:rsidR="004911B7">
              <w:rPr>
                <w:noProof/>
                <w:webHidden/>
              </w:rPr>
              <w:t>14</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49" w:history="1">
            <w:r w:rsidRPr="008514F2">
              <w:rPr>
                <w:rStyle w:val="Hyperlink"/>
                <w:noProof/>
              </w:rPr>
              <w:t>2</w:t>
            </w:r>
            <w:r>
              <w:rPr>
                <w:rFonts w:asciiTheme="minorHAnsi" w:hAnsiTheme="minorHAnsi" w:cstheme="minorBidi"/>
                <w:b w:val="0"/>
                <w:bCs w:val="0"/>
                <w:caps w:val="0"/>
                <w:noProof/>
                <w:sz w:val="22"/>
                <w:szCs w:val="22"/>
                <w:lang w:eastAsia="zh-CN" w:bidi="ar-SA"/>
              </w:rPr>
              <w:tab/>
            </w:r>
            <w:r w:rsidRPr="008514F2">
              <w:rPr>
                <w:rStyle w:val="Hyperlink"/>
                <w:noProof/>
              </w:rPr>
              <w:t>Chapter 2: A Review of Randomised Controlled Trials in SLE</w:t>
            </w:r>
            <w:r>
              <w:rPr>
                <w:noProof/>
                <w:webHidden/>
              </w:rPr>
              <w:tab/>
            </w:r>
            <w:r>
              <w:rPr>
                <w:noProof/>
                <w:webHidden/>
              </w:rPr>
              <w:fldChar w:fldCharType="begin"/>
            </w:r>
            <w:r>
              <w:rPr>
                <w:noProof/>
                <w:webHidden/>
              </w:rPr>
              <w:instrText xml:space="preserve"> PAGEREF _Toc379467549 \h </w:instrText>
            </w:r>
            <w:r>
              <w:rPr>
                <w:noProof/>
                <w:webHidden/>
              </w:rPr>
            </w:r>
            <w:r>
              <w:rPr>
                <w:noProof/>
                <w:webHidden/>
              </w:rPr>
              <w:fldChar w:fldCharType="separate"/>
            </w:r>
            <w:r w:rsidR="004911B7">
              <w:rPr>
                <w:noProof/>
                <w:webHidden/>
              </w:rPr>
              <w:t>18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50" w:history="1">
            <w:r w:rsidRPr="008514F2">
              <w:rPr>
                <w:rStyle w:val="Hyperlink"/>
                <w:noProof/>
              </w:rPr>
              <w:t>2.1</w:t>
            </w:r>
            <w:r>
              <w:rPr>
                <w:rFonts w:asciiTheme="minorHAnsi" w:hAnsiTheme="minorHAnsi" w:cstheme="minorBidi"/>
                <w:b w:val="0"/>
                <w:bCs w:val="0"/>
                <w:noProof/>
                <w:szCs w:val="22"/>
                <w:lang w:eastAsia="zh-CN" w:bidi="ar-SA"/>
              </w:rPr>
              <w:tab/>
            </w:r>
            <w:r w:rsidRPr="008514F2">
              <w:rPr>
                <w:rStyle w:val="Hyperlink"/>
                <w:noProof/>
              </w:rPr>
              <w:t>Method</w:t>
            </w:r>
            <w:r>
              <w:rPr>
                <w:noProof/>
                <w:webHidden/>
              </w:rPr>
              <w:tab/>
            </w:r>
            <w:r>
              <w:rPr>
                <w:noProof/>
                <w:webHidden/>
              </w:rPr>
              <w:fldChar w:fldCharType="begin"/>
            </w:r>
            <w:r>
              <w:rPr>
                <w:noProof/>
                <w:webHidden/>
              </w:rPr>
              <w:instrText xml:space="preserve"> PAGEREF _Toc379467550 \h </w:instrText>
            </w:r>
            <w:r>
              <w:rPr>
                <w:noProof/>
                <w:webHidden/>
              </w:rPr>
            </w:r>
            <w:r>
              <w:rPr>
                <w:noProof/>
                <w:webHidden/>
              </w:rPr>
              <w:fldChar w:fldCharType="separate"/>
            </w:r>
            <w:r w:rsidR="004911B7">
              <w:rPr>
                <w:noProof/>
                <w:webHidden/>
              </w:rPr>
              <w:t>18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1" w:history="1">
            <w:r w:rsidRPr="008514F2">
              <w:rPr>
                <w:rStyle w:val="Hyperlink"/>
                <w:noProof/>
              </w:rPr>
              <w:t>2.1.1</w:t>
            </w:r>
            <w:r>
              <w:rPr>
                <w:rFonts w:asciiTheme="minorHAnsi" w:hAnsiTheme="minorHAnsi" w:cstheme="minorBidi"/>
                <w:noProof/>
                <w:sz w:val="22"/>
                <w:szCs w:val="22"/>
                <w:lang w:eastAsia="zh-CN" w:bidi="ar-SA"/>
              </w:rPr>
              <w:tab/>
            </w:r>
            <w:r w:rsidRPr="008514F2">
              <w:rPr>
                <w:rStyle w:val="Hyperlink"/>
                <w:noProof/>
              </w:rPr>
              <w:t>Search Strategy</w:t>
            </w:r>
            <w:r>
              <w:rPr>
                <w:noProof/>
                <w:webHidden/>
              </w:rPr>
              <w:tab/>
            </w:r>
            <w:r>
              <w:rPr>
                <w:noProof/>
                <w:webHidden/>
              </w:rPr>
              <w:fldChar w:fldCharType="begin"/>
            </w:r>
            <w:r>
              <w:rPr>
                <w:noProof/>
                <w:webHidden/>
              </w:rPr>
              <w:instrText xml:space="preserve"> PAGEREF _Toc379467551 \h </w:instrText>
            </w:r>
            <w:r>
              <w:rPr>
                <w:noProof/>
                <w:webHidden/>
              </w:rPr>
            </w:r>
            <w:r>
              <w:rPr>
                <w:noProof/>
                <w:webHidden/>
              </w:rPr>
              <w:fldChar w:fldCharType="separate"/>
            </w:r>
            <w:r w:rsidR="004911B7">
              <w:rPr>
                <w:noProof/>
                <w:webHidden/>
              </w:rPr>
              <w:t>18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2" w:history="1">
            <w:r w:rsidRPr="008514F2">
              <w:rPr>
                <w:rStyle w:val="Hyperlink"/>
                <w:noProof/>
              </w:rPr>
              <w:t>2.1.2</w:t>
            </w:r>
            <w:r>
              <w:rPr>
                <w:rFonts w:asciiTheme="minorHAnsi" w:hAnsiTheme="minorHAnsi" w:cstheme="minorBidi"/>
                <w:noProof/>
                <w:sz w:val="22"/>
                <w:szCs w:val="22"/>
                <w:lang w:eastAsia="zh-CN" w:bidi="ar-SA"/>
              </w:rPr>
              <w:tab/>
            </w:r>
            <w:r w:rsidRPr="008514F2">
              <w:rPr>
                <w:rStyle w:val="Hyperlink"/>
                <w:noProof/>
              </w:rPr>
              <w:t>Data Extraction</w:t>
            </w:r>
            <w:r>
              <w:rPr>
                <w:noProof/>
                <w:webHidden/>
              </w:rPr>
              <w:tab/>
            </w:r>
            <w:r>
              <w:rPr>
                <w:noProof/>
                <w:webHidden/>
              </w:rPr>
              <w:fldChar w:fldCharType="begin"/>
            </w:r>
            <w:r>
              <w:rPr>
                <w:noProof/>
                <w:webHidden/>
              </w:rPr>
              <w:instrText xml:space="preserve"> PAGEREF _Toc379467552 \h </w:instrText>
            </w:r>
            <w:r>
              <w:rPr>
                <w:noProof/>
                <w:webHidden/>
              </w:rPr>
            </w:r>
            <w:r>
              <w:rPr>
                <w:noProof/>
                <w:webHidden/>
              </w:rPr>
              <w:fldChar w:fldCharType="separate"/>
            </w:r>
            <w:r w:rsidR="004911B7">
              <w:rPr>
                <w:noProof/>
                <w:webHidden/>
              </w:rPr>
              <w:t>20</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53" w:history="1">
            <w:r w:rsidRPr="008514F2">
              <w:rPr>
                <w:rStyle w:val="Hyperlink"/>
                <w:noProof/>
              </w:rPr>
              <w:t>2.2</w:t>
            </w:r>
            <w:r>
              <w:rPr>
                <w:rFonts w:asciiTheme="minorHAnsi" w:hAnsiTheme="minorHAnsi" w:cstheme="minorBidi"/>
                <w:b w:val="0"/>
                <w:bCs w:val="0"/>
                <w:noProof/>
                <w:szCs w:val="22"/>
                <w:lang w:eastAsia="zh-CN" w:bidi="ar-SA"/>
              </w:rPr>
              <w:tab/>
            </w:r>
            <w:r w:rsidRPr="008514F2">
              <w:rPr>
                <w:rStyle w:val="Hyperlink"/>
                <w:noProof/>
              </w:rPr>
              <w:t>Clinical Trials in SLE Results</w:t>
            </w:r>
            <w:r>
              <w:rPr>
                <w:noProof/>
                <w:webHidden/>
              </w:rPr>
              <w:tab/>
            </w:r>
            <w:r>
              <w:rPr>
                <w:noProof/>
                <w:webHidden/>
              </w:rPr>
              <w:fldChar w:fldCharType="begin"/>
            </w:r>
            <w:r>
              <w:rPr>
                <w:noProof/>
                <w:webHidden/>
              </w:rPr>
              <w:instrText xml:space="preserve"> PAGEREF _Toc379467553 \h </w:instrText>
            </w:r>
            <w:r>
              <w:rPr>
                <w:noProof/>
                <w:webHidden/>
              </w:rPr>
            </w:r>
            <w:r>
              <w:rPr>
                <w:noProof/>
                <w:webHidden/>
              </w:rPr>
              <w:fldChar w:fldCharType="separate"/>
            </w:r>
            <w:r w:rsidR="004911B7">
              <w:rPr>
                <w:noProof/>
                <w:webHidden/>
              </w:rPr>
              <w:t>20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4" w:history="1">
            <w:r w:rsidRPr="008514F2">
              <w:rPr>
                <w:rStyle w:val="Hyperlink"/>
                <w:noProof/>
                <w:lang w:eastAsia="zh-CN"/>
              </w:rPr>
              <w:t>2.2.1</w:t>
            </w:r>
            <w:r>
              <w:rPr>
                <w:rFonts w:asciiTheme="minorHAnsi" w:hAnsiTheme="minorHAnsi" w:cstheme="minorBidi"/>
                <w:noProof/>
                <w:sz w:val="22"/>
                <w:szCs w:val="22"/>
                <w:lang w:eastAsia="zh-CN" w:bidi="ar-SA"/>
              </w:rPr>
              <w:tab/>
            </w:r>
            <w:r w:rsidRPr="008514F2">
              <w:rPr>
                <w:rStyle w:val="Hyperlink"/>
                <w:noProof/>
                <w:lang w:eastAsia="zh-CN"/>
              </w:rPr>
              <w:t>Trial Duration</w:t>
            </w:r>
            <w:r>
              <w:rPr>
                <w:noProof/>
                <w:webHidden/>
              </w:rPr>
              <w:tab/>
            </w:r>
            <w:r>
              <w:rPr>
                <w:noProof/>
                <w:webHidden/>
              </w:rPr>
              <w:fldChar w:fldCharType="begin"/>
            </w:r>
            <w:r>
              <w:rPr>
                <w:noProof/>
                <w:webHidden/>
              </w:rPr>
              <w:instrText xml:space="preserve"> PAGEREF _Toc379467554 \h </w:instrText>
            </w:r>
            <w:r>
              <w:rPr>
                <w:noProof/>
                <w:webHidden/>
              </w:rPr>
            </w:r>
            <w:r>
              <w:rPr>
                <w:noProof/>
                <w:webHidden/>
              </w:rPr>
              <w:fldChar w:fldCharType="separate"/>
            </w:r>
            <w:r w:rsidR="004911B7">
              <w:rPr>
                <w:noProof/>
                <w:webHidden/>
              </w:rPr>
              <w:t>23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5" w:history="1">
            <w:r w:rsidRPr="008514F2">
              <w:rPr>
                <w:rStyle w:val="Hyperlink"/>
                <w:noProof/>
              </w:rPr>
              <w:t>2.2.2</w:t>
            </w:r>
            <w:r>
              <w:rPr>
                <w:rFonts w:asciiTheme="minorHAnsi" w:hAnsiTheme="minorHAnsi" w:cstheme="minorBidi"/>
                <w:noProof/>
                <w:sz w:val="22"/>
                <w:szCs w:val="22"/>
                <w:lang w:eastAsia="zh-CN" w:bidi="ar-SA"/>
              </w:rPr>
              <w:tab/>
            </w:r>
            <w:r w:rsidRPr="008514F2">
              <w:rPr>
                <w:rStyle w:val="Hyperlink"/>
                <w:noProof/>
              </w:rPr>
              <w:t>Sample Size</w:t>
            </w:r>
            <w:r>
              <w:rPr>
                <w:noProof/>
                <w:webHidden/>
              </w:rPr>
              <w:tab/>
            </w:r>
            <w:r>
              <w:rPr>
                <w:noProof/>
                <w:webHidden/>
              </w:rPr>
              <w:fldChar w:fldCharType="begin"/>
            </w:r>
            <w:r>
              <w:rPr>
                <w:noProof/>
                <w:webHidden/>
              </w:rPr>
              <w:instrText xml:space="preserve"> PAGEREF _Toc379467555 \h </w:instrText>
            </w:r>
            <w:r>
              <w:rPr>
                <w:noProof/>
                <w:webHidden/>
              </w:rPr>
            </w:r>
            <w:r>
              <w:rPr>
                <w:noProof/>
                <w:webHidden/>
              </w:rPr>
              <w:fldChar w:fldCharType="separate"/>
            </w:r>
            <w:r w:rsidR="004911B7">
              <w:rPr>
                <w:noProof/>
                <w:webHidden/>
              </w:rPr>
              <w:t>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6" w:history="1">
            <w:r w:rsidRPr="008514F2">
              <w:rPr>
                <w:rStyle w:val="Hyperlink"/>
                <w:noProof/>
                <w:lang w:eastAsia="zh-CN"/>
              </w:rPr>
              <w:t>2.2.3</w:t>
            </w:r>
            <w:r>
              <w:rPr>
                <w:rFonts w:asciiTheme="minorHAnsi" w:hAnsiTheme="minorHAnsi" w:cstheme="minorBidi"/>
                <w:noProof/>
                <w:sz w:val="22"/>
                <w:szCs w:val="22"/>
                <w:lang w:eastAsia="zh-CN" w:bidi="ar-SA"/>
              </w:rPr>
              <w:tab/>
            </w:r>
            <w:r w:rsidRPr="008514F2">
              <w:rPr>
                <w:rStyle w:val="Hyperlink"/>
                <w:noProof/>
                <w:lang w:eastAsia="zh-CN"/>
              </w:rPr>
              <w:t>Concomitant Medications</w:t>
            </w:r>
            <w:r>
              <w:rPr>
                <w:noProof/>
                <w:webHidden/>
              </w:rPr>
              <w:tab/>
            </w:r>
            <w:r>
              <w:rPr>
                <w:noProof/>
                <w:webHidden/>
              </w:rPr>
              <w:fldChar w:fldCharType="begin"/>
            </w:r>
            <w:r>
              <w:rPr>
                <w:noProof/>
                <w:webHidden/>
              </w:rPr>
              <w:instrText xml:space="preserve"> PAGEREF _Toc379467556 \h </w:instrText>
            </w:r>
            <w:r>
              <w:rPr>
                <w:noProof/>
                <w:webHidden/>
              </w:rPr>
            </w:r>
            <w:r>
              <w:rPr>
                <w:noProof/>
                <w:webHidden/>
              </w:rPr>
              <w:fldChar w:fldCharType="separate"/>
            </w:r>
            <w:r w:rsidR="004911B7">
              <w:rPr>
                <w:noProof/>
                <w:webHidden/>
              </w:rPr>
              <w:t>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7" w:history="1">
            <w:r w:rsidRPr="008514F2">
              <w:rPr>
                <w:rStyle w:val="Hyperlink"/>
                <w:noProof/>
                <w:lang w:eastAsia="zh-CN"/>
              </w:rPr>
              <w:t>2.2.4</w:t>
            </w:r>
            <w:r>
              <w:rPr>
                <w:rFonts w:asciiTheme="minorHAnsi" w:hAnsiTheme="minorHAnsi" w:cstheme="minorBidi"/>
                <w:noProof/>
                <w:sz w:val="22"/>
                <w:szCs w:val="22"/>
                <w:lang w:eastAsia="zh-CN" w:bidi="ar-SA"/>
              </w:rPr>
              <w:tab/>
            </w:r>
            <w:r w:rsidRPr="008514F2">
              <w:rPr>
                <w:rStyle w:val="Hyperlink"/>
                <w:noProof/>
                <w:lang w:eastAsia="zh-CN"/>
              </w:rPr>
              <w:t>Inclusion Criteria</w:t>
            </w:r>
            <w:r>
              <w:rPr>
                <w:noProof/>
                <w:webHidden/>
              </w:rPr>
              <w:tab/>
            </w:r>
            <w:r>
              <w:rPr>
                <w:noProof/>
                <w:webHidden/>
              </w:rPr>
              <w:fldChar w:fldCharType="begin"/>
            </w:r>
            <w:r>
              <w:rPr>
                <w:noProof/>
                <w:webHidden/>
              </w:rPr>
              <w:instrText xml:space="preserve"> PAGEREF _Toc379467557 \h </w:instrText>
            </w:r>
            <w:r>
              <w:rPr>
                <w:noProof/>
                <w:webHidden/>
              </w:rPr>
            </w:r>
            <w:r>
              <w:rPr>
                <w:noProof/>
                <w:webHidden/>
              </w:rPr>
              <w:fldChar w:fldCharType="separate"/>
            </w:r>
            <w:r w:rsidR="004911B7">
              <w:rPr>
                <w:noProof/>
                <w:webHidden/>
              </w:rPr>
              <w:t>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8" w:history="1">
            <w:r w:rsidRPr="008514F2">
              <w:rPr>
                <w:rStyle w:val="Hyperlink"/>
                <w:noProof/>
              </w:rPr>
              <w:t>2.2.5</w:t>
            </w:r>
            <w:r>
              <w:rPr>
                <w:rFonts w:asciiTheme="minorHAnsi" w:hAnsiTheme="minorHAnsi" w:cstheme="minorBidi"/>
                <w:noProof/>
                <w:sz w:val="22"/>
                <w:szCs w:val="22"/>
                <w:lang w:eastAsia="zh-CN" w:bidi="ar-SA"/>
              </w:rPr>
              <w:tab/>
            </w:r>
            <w:r w:rsidRPr="008514F2">
              <w:rPr>
                <w:rStyle w:val="Hyperlink"/>
                <w:noProof/>
              </w:rPr>
              <w:t>Trial Endpoints</w:t>
            </w:r>
            <w:r>
              <w:rPr>
                <w:noProof/>
                <w:webHidden/>
              </w:rPr>
              <w:tab/>
            </w:r>
            <w:r>
              <w:rPr>
                <w:noProof/>
                <w:webHidden/>
              </w:rPr>
              <w:fldChar w:fldCharType="begin"/>
            </w:r>
            <w:r>
              <w:rPr>
                <w:noProof/>
                <w:webHidden/>
              </w:rPr>
              <w:instrText xml:space="preserve"> PAGEREF _Toc379467558 \h </w:instrText>
            </w:r>
            <w:r>
              <w:rPr>
                <w:noProof/>
                <w:webHidden/>
              </w:rPr>
            </w:r>
            <w:r>
              <w:rPr>
                <w:noProof/>
                <w:webHidden/>
              </w:rPr>
              <w:fldChar w:fldCharType="separate"/>
            </w:r>
            <w:r w:rsidR="004911B7">
              <w:rPr>
                <w:noProof/>
                <w:webHidden/>
              </w:rPr>
              <w:t>27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59" w:history="1">
            <w:r w:rsidRPr="008514F2">
              <w:rPr>
                <w:rStyle w:val="Hyperlink"/>
                <w:noProof/>
              </w:rPr>
              <w:t>2.2.6</w:t>
            </w:r>
            <w:r>
              <w:rPr>
                <w:rFonts w:asciiTheme="minorHAnsi" w:hAnsiTheme="minorHAnsi" w:cstheme="minorBidi"/>
                <w:noProof/>
                <w:sz w:val="22"/>
                <w:szCs w:val="22"/>
                <w:lang w:eastAsia="zh-CN" w:bidi="ar-SA"/>
              </w:rPr>
              <w:tab/>
            </w:r>
            <w:r w:rsidRPr="008514F2">
              <w:rPr>
                <w:rStyle w:val="Hyperlink"/>
                <w:noProof/>
              </w:rPr>
              <w:t>Adverse Events</w:t>
            </w:r>
            <w:r>
              <w:rPr>
                <w:noProof/>
                <w:webHidden/>
              </w:rPr>
              <w:tab/>
            </w:r>
            <w:r>
              <w:rPr>
                <w:noProof/>
                <w:webHidden/>
              </w:rPr>
              <w:fldChar w:fldCharType="begin"/>
            </w:r>
            <w:r>
              <w:rPr>
                <w:noProof/>
                <w:webHidden/>
              </w:rPr>
              <w:instrText xml:space="preserve"> PAGEREF _Toc379467559 \h </w:instrText>
            </w:r>
            <w:r>
              <w:rPr>
                <w:noProof/>
                <w:webHidden/>
              </w:rPr>
            </w:r>
            <w:r>
              <w:rPr>
                <w:noProof/>
                <w:webHidden/>
              </w:rPr>
              <w:fldChar w:fldCharType="separate"/>
            </w:r>
            <w:r w:rsidR="004911B7">
              <w:rPr>
                <w:noProof/>
                <w:webHidden/>
              </w:rPr>
              <w:t>30</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60" w:history="1">
            <w:r w:rsidRPr="008514F2">
              <w:rPr>
                <w:rStyle w:val="Hyperlink"/>
                <w:noProof/>
              </w:rPr>
              <w:t>2.3</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_Toc379467560 \h </w:instrText>
            </w:r>
            <w:r>
              <w:rPr>
                <w:noProof/>
                <w:webHidden/>
              </w:rPr>
            </w:r>
            <w:r>
              <w:rPr>
                <w:noProof/>
                <w:webHidden/>
              </w:rPr>
              <w:fldChar w:fldCharType="separate"/>
            </w:r>
            <w:r w:rsidR="004911B7">
              <w:rPr>
                <w:noProof/>
                <w:webHidden/>
              </w:rPr>
              <w:t>31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1" w:history="1">
            <w:r w:rsidRPr="008514F2">
              <w:rPr>
                <w:rStyle w:val="Hyperlink"/>
                <w:noProof/>
              </w:rPr>
              <w:t>2.3.1</w:t>
            </w:r>
            <w:r>
              <w:rPr>
                <w:rFonts w:asciiTheme="minorHAnsi" w:hAnsiTheme="minorHAnsi" w:cstheme="minorBidi"/>
                <w:noProof/>
                <w:sz w:val="22"/>
                <w:szCs w:val="22"/>
                <w:lang w:eastAsia="zh-CN" w:bidi="ar-SA"/>
              </w:rPr>
              <w:tab/>
            </w:r>
            <w:r w:rsidRPr="008514F2">
              <w:rPr>
                <w:rStyle w:val="Hyperlink"/>
                <w:noProof/>
              </w:rPr>
              <w:t>Duration of Follow-up</w:t>
            </w:r>
            <w:r>
              <w:rPr>
                <w:noProof/>
                <w:webHidden/>
              </w:rPr>
              <w:tab/>
            </w:r>
            <w:r>
              <w:rPr>
                <w:noProof/>
                <w:webHidden/>
              </w:rPr>
              <w:fldChar w:fldCharType="begin"/>
            </w:r>
            <w:r>
              <w:rPr>
                <w:noProof/>
                <w:webHidden/>
              </w:rPr>
              <w:instrText xml:space="preserve"> PAGEREF _Toc379467561 \h </w:instrText>
            </w:r>
            <w:r>
              <w:rPr>
                <w:noProof/>
                <w:webHidden/>
              </w:rPr>
            </w:r>
            <w:r>
              <w:rPr>
                <w:noProof/>
                <w:webHidden/>
              </w:rPr>
              <w:fldChar w:fldCharType="separate"/>
            </w:r>
            <w:r w:rsidR="004911B7">
              <w:rPr>
                <w:noProof/>
                <w:webHidden/>
              </w:rPr>
              <w:t>31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2" w:history="1">
            <w:r w:rsidRPr="008514F2">
              <w:rPr>
                <w:rStyle w:val="Hyperlink"/>
                <w:noProof/>
              </w:rPr>
              <w:t>2.3.2</w:t>
            </w:r>
            <w:r>
              <w:rPr>
                <w:rFonts w:asciiTheme="minorHAnsi" w:hAnsiTheme="minorHAnsi" w:cstheme="minorBidi"/>
                <w:noProof/>
                <w:sz w:val="22"/>
                <w:szCs w:val="22"/>
                <w:lang w:eastAsia="zh-CN" w:bidi="ar-SA"/>
              </w:rPr>
              <w:tab/>
            </w:r>
            <w:r w:rsidRPr="008514F2">
              <w:rPr>
                <w:rStyle w:val="Hyperlink"/>
                <w:noProof/>
              </w:rPr>
              <w:t>Sample Size</w:t>
            </w:r>
            <w:r>
              <w:rPr>
                <w:noProof/>
                <w:webHidden/>
              </w:rPr>
              <w:tab/>
            </w:r>
            <w:r>
              <w:rPr>
                <w:noProof/>
                <w:webHidden/>
              </w:rPr>
              <w:fldChar w:fldCharType="begin"/>
            </w:r>
            <w:r>
              <w:rPr>
                <w:noProof/>
                <w:webHidden/>
              </w:rPr>
              <w:instrText xml:space="preserve"> PAGEREF _Toc379467562 \h </w:instrText>
            </w:r>
            <w:r>
              <w:rPr>
                <w:noProof/>
                <w:webHidden/>
              </w:rPr>
            </w:r>
            <w:r>
              <w:rPr>
                <w:noProof/>
                <w:webHidden/>
              </w:rPr>
              <w:fldChar w:fldCharType="separate"/>
            </w:r>
            <w:r w:rsidR="004911B7">
              <w:rPr>
                <w:noProof/>
                <w:webHidden/>
              </w:rPr>
              <w:t>32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3" w:history="1">
            <w:r w:rsidRPr="008514F2">
              <w:rPr>
                <w:rStyle w:val="Hyperlink"/>
                <w:noProof/>
              </w:rPr>
              <w:t>2.3.3</w:t>
            </w:r>
            <w:r>
              <w:rPr>
                <w:rFonts w:asciiTheme="minorHAnsi" w:hAnsiTheme="minorHAnsi" w:cstheme="minorBidi"/>
                <w:noProof/>
                <w:sz w:val="22"/>
                <w:szCs w:val="22"/>
                <w:lang w:eastAsia="zh-CN" w:bidi="ar-SA"/>
              </w:rPr>
              <w:tab/>
            </w:r>
            <w:r w:rsidRPr="008514F2">
              <w:rPr>
                <w:rStyle w:val="Hyperlink"/>
                <w:noProof/>
              </w:rPr>
              <w:t>Concommitant Medications</w:t>
            </w:r>
            <w:r>
              <w:rPr>
                <w:noProof/>
                <w:webHidden/>
              </w:rPr>
              <w:tab/>
            </w:r>
            <w:r>
              <w:rPr>
                <w:noProof/>
                <w:webHidden/>
              </w:rPr>
              <w:fldChar w:fldCharType="begin"/>
            </w:r>
            <w:r>
              <w:rPr>
                <w:noProof/>
                <w:webHidden/>
              </w:rPr>
              <w:instrText xml:space="preserve"> PAGEREF _Toc379467563 \h </w:instrText>
            </w:r>
            <w:r>
              <w:rPr>
                <w:noProof/>
                <w:webHidden/>
              </w:rPr>
            </w:r>
            <w:r>
              <w:rPr>
                <w:noProof/>
                <w:webHidden/>
              </w:rPr>
              <w:fldChar w:fldCharType="separate"/>
            </w:r>
            <w:r w:rsidR="004911B7">
              <w:rPr>
                <w:noProof/>
                <w:webHidden/>
              </w:rPr>
              <w:t>33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4" w:history="1">
            <w:r w:rsidRPr="008514F2">
              <w:rPr>
                <w:rStyle w:val="Hyperlink"/>
                <w:noProof/>
              </w:rPr>
              <w:t>2.3.4</w:t>
            </w:r>
            <w:r>
              <w:rPr>
                <w:rFonts w:asciiTheme="minorHAnsi" w:hAnsiTheme="minorHAnsi" w:cstheme="minorBidi"/>
                <w:noProof/>
                <w:sz w:val="22"/>
                <w:szCs w:val="22"/>
                <w:lang w:eastAsia="zh-CN" w:bidi="ar-SA"/>
              </w:rPr>
              <w:tab/>
            </w:r>
            <w:r w:rsidRPr="008514F2">
              <w:rPr>
                <w:rStyle w:val="Hyperlink"/>
                <w:noProof/>
              </w:rPr>
              <w:t>Inclusion Criteria</w:t>
            </w:r>
            <w:r>
              <w:rPr>
                <w:noProof/>
                <w:webHidden/>
              </w:rPr>
              <w:tab/>
            </w:r>
            <w:r>
              <w:rPr>
                <w:noProof/>
                <w:webHidden/>
              </w:rPr>
              <w:fldChar w:fldCharType="begin"/>
            </w:r>
            <w:r>
              <w:rPr>
                <w:noProof/>
                <w:webHidden/>
              </w:rPr>
              <w:instrText xml:space="preserve"> PAGEREF _Toc379467564 \h </w:instrText>
            </w:r>
            <w:r>
              <w:rPr>
                <w:noProof/>
                <w:webHidden/>
              </w:rPr>
            </w:r>
            <w:r>
              <w:rPr>
                <w:noProof/>
                <w:webHidden/>
              </w:rPr>
              <w:fldChar w:fldCharType="separate"/>
            </w:r>
            <w:r w:rsidR="004911B7">
              <w:rPr>
                <w:noProof/>
                <w:webHidden/>
              </w:rPr>
              <w:t>33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5" w:history="1">
            <w:r w:rsidRPr="008514F2">
              <w:rPr>
                <w:rStyle w:val="Hyperlink"/>
                <w:noProof/>
              </w:rPr>
              <w:t>2.3.5</w:t>
            </w:r>
            <w:r>
              <w:rPr>
                <w:rFonts w:asciiTheme="minorHAnsi" w:hAnsiTheme="minorHAnsi" w:cstheme="minorBidi"/>
                <w:noProof/>
                <w:sz w:val="22"/>
                <w:szCs w:val="22"/>
                <w:lang w:eastAsia="zh-CN" w:bidi="ar-SA"/>
              </w:rPr>
              <w:tab/>
            </w:r>
            <w:r w:rsidRPr="008514F2">
              <w:rPr>
                <w:rStyle w:val="Hyperlink"/>
                <w:noProof/>
              </w:rPr>
              <w:t>Definition of Endpoints</w:t>
            </w:r>
            <w:r>
              <w:rPr>
                <w:noProof/>
                <w:webHidden/>
              </w:rPr>
              <w:tab/>
            </w:r>
            <w:r>
              <w:rPr>
                <w:noProof/>
                <w:webHidden/>
              </w:rPr>
              <w:fldChar w:fldCharType="begin"/>
            </w:r>
            <w:r>
              <w:rPr>
                <w:noProof/>
                <w:webHidden/>
              </w:rPr>
              <w:instrText xml:space="preserve"> PAGEREF _Toc379467565 \h </w:instrText>
            </w:r>
            <w:r>
              <w:rPr>
                <w:noProof/>
                <w:webHidden/>
              </w:rPr>
            </w:r>
            <w:r>
              <w:rPr>
                <w:noProof/>
                <w:webHidden/>
              </w:rPr>
              <w:fldChar w:fldCharType="separate"/>
            </w:r>
            <w:r w:rsidR="004911B7">
              <w:rPr>
                <w:noProof/>
                <w:webHidden/>
              </w:rPr>
              <w:t>34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66" w:history="1">
            <w:r w:rsidRPr="008514F2">
              <w:rPr>
                <w:rStyle w:val="Hyperlink"/>
                <w:noProof/>
              </w:rPr>
              <w:t>2.3.6</w:t>
            </w:r>
            <w:r>
              <w:rPr>
                <w:rFonts w:asciiTheme="minorHAnsi" w:hAnsiTheme="minorHAnsi" w:cstheme="minorBidi"/>
                <w:noProof/>
                <w:sz w:val="22"/>
                <w:szCs w:val="22"/>
                <w:lang w:eastAsia="zh-CN" w:bidi="ar-SA"/>
              </w:rPr>
              <w:tab/>
            </w:r>
            <w:r w:rsidRPr="008514F2">
              <w:rPr>
                <w:rStyle w:val="Hyperlink"/>
                <w:noProof/>
              </w:rPr>
              <w:t>Adverse Events</w:t>
            </w:r>
            <w:r>
              <w:rPr>
                <w:noProof/>
                <w:webHidden/>
              </w:rPr>
              <w:tab/>
            </w:r>
            <w:r>
              <w:rPr>
                <w:noProof/>
                <w:webHidden/>
              </w:rPr>
              <w:fldChar w:fldCharType="begin"/>
            </w:r>
            <w:r>
              <w:rPr>
                <w:noProof/>
                <w:webHidden/>
              </w:rPr>
              <w:instrText xml:space="preserve"> PAGEREF _Toc379467566 \h </w:instrText>
            </w:r>
            <w:r>
              <w:rPr>
                <w:noProof/>
                <w:webHidden/>
              </w:rPr>
            </w:r>
            <w:r>
              <w:rPr>
                <w:noProof/>
                <w:webHidden/>
              </w:rPr>
              <w:fldChar w:fldCharType="separate"/>
            </w:r>
            <w:r w:rsidR="004911B7">
              <w:rPr>
                <w:noProof/>
                <w:webHidden/>
              </w:rPr>
              <w:t>34</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67" w:history="1">
            <w:r w:rsidRPr="008514F2">
              <w:rPr>
                <w:rStyle w:val="Hyperlink"/>
                <w:noProof/>
              </w:rPr>
              <w:t>2.4</w:t>
            </w:r>
            <w:r>
              <w:rPr>
                <w:rFonts w:asciiTheme="minorHAnsi" w:hAnsiTheme="minorHAnsi" w:cstheme="minorBidi"/>
                <w:b w:val="0"/>
                <w:bCs w:val="0"/>
                <w:noProof/>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_Toc379467567 \h </w:instrText>
            </w:r>
            <w:r>
              <w:rPr>
                <w:noProof/>
                <w:webHidden/>
              </w:rPr>
            </w:r>
            <w:r>
              <w:rPr>
                <w:noProof/>
                <w:webHidden/>
              </w:rPr>
              <w:fldChar w:fldCharType="separate"/>
            </w:r>
            <w:r w:rsidR="004911B7">
              <w:rPr>
                <w:noProof/>
                <w:webHidden/>
              </w:rPr>
              <w:t>34</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68" w:history="1">
            <w:r w:rsidRPr="008514F2">
              <w:rPr>
                <w:rStyle w:val="Hyperlink"/>
                <w:noProof/>
              </w:rPr>
              <w:t>3</w:t>
            </w:r>
            <w:r>
              <w:rPr>
                <w:rFonts w:asciiTheme="minorHAnsi" w:hAnsiTheme="minorHAnsi" w:cstheme="minorBidi"/>
                <w:b w:val="0"/>
                <w:bCs w:val="0"/>
                <w:caps w:val="0"/>
                <w:noProof/>
                <w:sz w:val="22"/>
                <w:szCs w:val="22"/>
                <w:lang w:eastAsia="zh-CN" w:bidi="ar-SA"/>
              </w:rPr>
              <w:tab/>
            </w:r>
            <w:r w:rsidRPr="008514F2">
              <w:rPr>
                <w:rStyle w:val="Hyperlink"/>
                <w:noProof/>
              </w:rPr>
              <w:t>Chapter 3: Modelling Methods Literature Review</w:t>
            </w:r>
            <w:r>
              <w:rPr>
                <w:noProof/>
                <w:webHidden/>
              </w:rPr>
              <w:tab/>
            </w:r>
            <w:r>
              <w:rPr>
                <w:noProof/>
                <w:webHidden/>
              </w:rPr>
              <w:fldChar w:fldCharType="begin"/>
            </w:r>
            <w:r>
              <w:rPr>
                <w:noProof/>
                <w:webHidden/>
              </w:rPr>
              <w:instrText xml:space="preserve"> PAGEREF _Toc379467568 \h </w:instrText>
            </w:r>
            <w:r>
              <w:rPr>
                <w:noProof/>
                <w:webHidden/>
              </w:rPr>
            </w:r>
            <w:r>
              <w:rPr>
                <w:noProof/>
                <w:webHidden/>
              </w:rPr>
              <w:fldChar w:fldCharType="separate"/>
            </w:r>
            <w:r w:rsidR="004911B7">
              <w:rPr>
                <w:noProof/>
                <w:webHidden/>
              </w:rPr>
              <w:t>36</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69" w:history="1">
            <w:r w:rsidRPr="008514F2">
              <w:rPr>
                <w:rStyle w:val="Hyperlink"/>
                <w:noProof/>
              </w:rPr>
              <w:t>3.1</w:t>
            </w:r>
            <w:r>
              <w:rPr>
                <w:rFonts w:asciiTheme="minorHAnsi" w:hAnsiTheme="minorHAnsi" w:cstheme="minorBidi"/>
                <w:b w:val="0"/>
                <w:bCs w:val="0"/>
                <w:noProof/>
                <w:szCs w:val="22"/>
                <w:lang w:eastAsia="zh-CN" w:bidi="ar-SA"/>
              </w:rPr>
              <w:tab/>
            </w:r>
            <w:r w:rsidRPr="008514F2">
              <w:rPr>
                <w:rStyle w:val="Hyperlink"/>
                <w:noProof/>
              </w:rPr>
              <w:t>Chilcott et al. (2003)</w:t>
            </w:r>
            <w:r>
              <w:rPr>
                <w:noProof/>
                <w:webHidden/>
              </w:rPr>
              <w:tab/>
            </w:r>
            <w:r>
              <w:rPr>
                <w:noProof/>
                <w:webHidden/>
              </w:rPr>
              <w:fldChar w:fldCharType="begin"/>
            </w:r>
            <w:r>
              <w:rPr>
                <w:noProof/>
                <w:webHidden/>
              </w:rPr>
              <w:instrText xml:space="preserve"> PAGEREF _Toc379467569 \h </w:instrText>
            </w:r>
            <w:r>
              <w:rPr>
                <w:noProof/>
                <w:webHidden/>
              </w:rPr>
            </w:r>
            <w:r>
              <w:rPr>
                <w:noProof/>
                <w:webHidden/>
              </w:rPr>
              <w:fldChar w:fldCharType="separate"/>
            </w:r>
            <w:r w:rsidR="004911B7">
              <w:rPr>
                <w:noProof/>
                <w:webHidden/>
              </w:rPr>
              <w:t>36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0" w:history="1">
            <w:r w:rsidRPr="008514F2">
              <w:rPr>
                <w:rStyle w:val="Hyperlink"/>
                <w:noProof/>
              </w:rPr>
              <w:t>3.1.1</w:t>
            </w:r>
            <w:r>
              <w:rPr>
                <w:rFonts w:asciiTheme="minorHAnsi" w:hAnsiTheme="minorHAnsi" w:cstheme="minorBidi"/>
                <w:noProof/>
                <w:sz w:val="22"/>
                <w:szCs w:val="22"/>
                <w:lang w:eastAsia="zh-CN" w:bidi="ar-SA"/>
              </w:rPr>
              <w:tab/>
            </w:r>
            <w:r w:rsidRPr="008514F2">
              <w:rPr>
                <w:rStyle w:val="Hyperlink"/>
                <w:noProof/>
              </w:rPr>
              <w:t>Expected Value of Information</w:t>
            </w:r>
            <w:r>
              <w:rPr>
                <w:noProof/>
                <w:webHidden/>
              </w:rPr>
              <w:tab/>
            </w:r>
            <w:r>
              <w:rPr>
                <w:noProof/>
                <w:webHidden/>
              </w:rPr>
              <w:fldChar w:fldCharType="begin"/>
            </w:r>
            <w:r>
              <w:rPr>
                <w:noProof/>
                <w:webHidden/>
              </w:rPr>
              <w:instrText xml:space="preserve"> PAGEREF _Toc379467570 \h </w:instrText>
            </w:r>
            <w:r>
              <w:rPr>
                <w:noProof/>
                <w:webHidden/>
              </w:rPr>
            </w:r>
            <w:r>
              <w:rPr>
                <w:noProof/>
                <w:webHidden/>
              </w:rPr>
              <w:fldChar w:fldCharType="separate"/>
            </w:r>
            <w:r w:rsidR="004911B7">
              <w:rPr>
                <w:noProof/>
                <w:webHidden/>
              </w:rPr>
              <w:t>37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1" w:history="1">
            <w:r w:rsidRPr="008514F2">
              <w:rPr>
                <w:rStyle w:val="Hyperlink"/>
                <w:noProof/>
              </w:rPr>
              <w:t>3.1.2</w:t>
            </w:r>
            <w:r>
              <w:rPr>
                <w:rFonts w:asciiTheme="minorHAnsi" w:hAnsiTheme="minorHAnsi" w:cstheme="minorBidi"/>
                <w:noProof/>
                <w:sz w:val="22"/>
                <w:szCs w:val="22"/>
                <w:lang w:eastAsia="zh-CN" w:bidi="ar-SA"/>
              </w:rPr>
              <w:tab/>
            </w:r>
            <w:r w:rsidRPr="008514F2">
              <w:rPr>
                <w:rStyle w:val="Hyperlink"/>
                <w:noProof/>
              </w:rPr>
              <w:t>The ‘Payback’ of Research</w:t>
            </w:r>
            <w:r>
              <w:rPr>
                <w:noProof/>
                <w:webHidden/>
              </w:rPr>
              <w:tab/>
            </w:r>
            <w:r>
              <w:rPr>
                <w:noProof/>
                <w:webHidden/>
              </w:rPr>
              <w:fldChar w:fldCharType="begin"/>
            </w:r>
            <w:r>
              <w:rPr>
                <w:noProof/>
                <w:webHidden/>
              </w:rPr>
              <w:instrText xml:space="preserve"> PAGEREF _Toc379467571 \h </w:instrText>
            </w:r>
            <w:r>
              <w:rPr>
                <w:noProof/>
                <w:webHidden/>
              </w:rPr>
            </w:r>
            <w:r>
              <w:rPr>
                <w:noProof/>
                <w:webHidden/>
              </w:rPr>
              <w:fldChar w:fldCharType="separate"/>
            </w:r>
            <w:r w:rsidR="004911B7">
              <w:rPr>
                <w:noProof/>
                <w:webHidden/>
              </w:rPr>
              <w:t>38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2" w:history="1">
            <w:r w:rsidRPr="008514F2">
              <w:rPr>
                <w:rStyle w:val="Hyperlink"/>
                <w:noProof/>
              </w:rPr>
              <w:t>3.1.3</w:t>
            </w:r>
            <w:r>
              <w:rPr>
                <w:rFonts w:asciiTheme="minorHAnsi" w:hAnsiTheme="minorHAnsi" w:cstheme="minorBidi"/>
                <w:noProof/>
                <w:sz w:val="22"/>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_Toc379467572 \h </w:instrText>
            </w:r>
            <w:r>
              <w:rPr>
                <w:noProof/>
                <w:webHidden/>
              </w:rPr>
            </w:r>
            <w:r>
              <w:rPr>
                <w:noProof/>
                <w:webHidden/>
              </w:rPr>
              <w:fldChar w:fldCharType="separate"/>
            </w:r>
            <w:r w:rsidR="004911B7">
              <w:rPr>
                <w:noProof/>
                <w:webHidden/>
              </w:rPr>
              <w:t>39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73" w:history="1">
            <w:r w:rsidRPr="008514F2">
              <w:rPr>
                <w:rStyle w:val="Hyperlink"/>
                <w:noProof/>
              </w:rPr>
              <w:t>3.2</w:t>
            </w:r>
            <w:r>
              <w:rPr>
                <w:rFonts w:asciiTheme="minorHAnsi" w:hAnsiTheme="minorHAnsi" w:cstheme="minorBidi"/>
                <w:b w:val="0"/>
                <w:bCs w:val="0"/>
                <w:noProof/>
                <w:szCs w:val="22"/>
                <w:lang w:eastAsia="zh-CN" w:bidi="ar-SA"/>
              </w:rPr>
              <w:tab/>
            </w:r>
            <w:r w:rsidRPr="008514F2">
              <w:rPr>
                <w:rStyle w:val="Hyperlink"/>
                <w:noProof/>
              </w:rPr>
              <w:t>Literature Search and Review Methods</w:t>
            </w:r>
            <w:r>
              <w:rPr>
                <w:noProof/>
                <w:webHidden/>
              </w:rPr>
              <w:tab/>
            </w:r>
            <w:r>
              <w:rPr>
                <w:noProof/>
                <w:webHidden/>
              </w:rPr>
              <w:fldChar w:fldCharType="begin"/>
            </w:r>
            <w:r>
              <w:rPr>
                <w:noProof/>
                <w:webHidden/>
              </w:rPr>
              <w:instrText xml:space="preserve"> PAGEREF _Toc379467573 \h </w:instrText>
            </w:r>
            <w:r>
              <w:rPr>
                <w:noProof/>
                <w:webHidden/>
              </w:rPr>
            </w:r>
            <w:r>
              <w:rPr>
                <w:noProof/>
                <w:webHidden/>
              </w:rPr>
              <w:fldChar w:fldCharType="separate"/>
            </w:r>
            <w:r w:rsidR="004911B7">
              <w:rPr>
                <w:noProof/>
                <w:webHidden/>
              </w:rPr>
              <w:t>40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4" w:history="1">
            <w:r w:rsidRPr="008514F2">
              <w:rPr>
                <w:rStyle w:val="Hyperlink"/>
                <w:noProof/>
              </w:rPr>
              <w:t>3.2.1</w:t>
            </w:r>
            <w:r>
              <w:rPr>
                <w:rFonts w:asciiTheme="minorHAnsi" w:hAnsiTheme="minorHAnsi" w:cstheme="minorBidi"/>
                <w:noProof/>
                <w:sz w:val="22"/>
                <w:szCs w:val="22"/>
                <w:lang w:eastAsia="zh-CN" w:bidi="ar-SA"/>
              </w:rPr>
              <w:tab/>
            </w:r>
            <w:r w:rsidRPr="008514F2">
              <w:rPr>
                <w:rStyle w:val="Hyperlink"/>
                <w:noProof/>
              </w:rPr>
              <w:t>Inclusion Exclusion</w:t>
            </w:r>
            <w:r>
              <w:rPr>
                <w:noProof/>
                <w:webHidden/>
              </w:rPr>
              <w:tab/>
            </w:r>
            <w:r>
              <w:rPr>
                <w:noProof/>
                <w:webHidden/>
              </w:rPr>
              <w:fldChar w:fldCharType="begin"/>
            </w:r>
            <w:r>
              <w:rPr>
                <w:noProof/>
                <w:webHidden/>
              </w:rPr>
              <w:instrText xml:space="preserve"> PAGEREF _Toc379467574 \h </w:instrText>
            </w:r>
            <w:r>
              <w:rPr>
                <w:noProof/>
                <w:webHidden/>
              </w:rPr>
            </w:r>
            <w:r>
              <w:rPr>
                <w:noProof/>
                <w:webHidden/>
              </w:rPr>
              <w:fldChar w:fldCharType="separate"/>
            </w:r>
            <w:r w:rsidR="004911B7">
              <w:rPr>
                <w:noProof/>
                <w:webHidden/>
              </w:rPr>
              <w:t>40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5" w:history="1">
            <w:r w:rsidRPr="008514F2">
              <w:rPr>
                <w:rStyle w:val="Hyperlink"/>
                <w:noProof/>
              </w:rPr>
              <w:t>3.2.2</w:t>
            </w:r>
            <w:r>
              <w:rPr>
                <w:rFonts w:asciiTheme="minorHAnsi" w:hAnsiTheme="minorHAnsi" w:cstheme="minorBidi"/>
                <w:noProof/>
                <w:sz w:val="22"/>
                <w:szCs w:val="22"/>
                <w:lang w:eastAsia="zh-CN" w:bidi="ar-SA"/>
              </w:rPr>
              <w:tab/>
            </w:r>
            <w:r w:rsidRPr="008514F2">
              <w:rPr>
                <w:rStyle w:val="Hyperlink"/>
                <w:noProof/>
              </w:rPr>
              <w:t>Search Strategy</w:t>
            </w:r>
            <w:r>
              <w:rPr>
                <w:noProof/>
                <w:webHidden/>
              </w:rPr>
              <w:tab/>
            </w:r>
            <w:r>
              <w:rPr>
                <w:noProof/>
                <w:webHidden/>
              </w:rPr>
              <w:fldChar w:fldCharType="begin"/>
            </w:r>
            <w:r>
              <w:rPr>
                <w:noProof/>
                <w:webHidden/>
              </w:rPr>
              <w:instrText xml:space="preserve"> PAGEREF _Toc379467575 \h </w:instrText>
            </w:r>
            <w:r>
              <w:rPr>
                <w:noProof/>
                <w:webHidden/>
              </w:rPr>
            </w:r>
            <w:r>
              <w:rPr>
                <w:noProof/>
                <w:webHidden/>
              </w:rPr>
              <w:fldChar w:fldCharType="separate"/>
            </w:r>
            <w:r w:rsidR="004911B7">
              <w:rPr>
                <w:noProof/>
                <w:webHidden/>
              </w:rPr>
              <w:t>41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6" w:history="1">
            <w:r w:rsidRPr="008514F2">
              <w:rPr>
                <w:rStyle w:val="Hyperlink"/>
                <w:noProof/>
              </w:rPr>
              <w:t>3.2.3</w:t>
            </w:r>
            <w:r>
              <w:rPr>
                <w:rFonts w:asciiTheme="minorHAnsi" w:hAnsiTheme="minorHAnsi" w:cstheme="minorBidi"/>
                <w:noProof/>
                <w:sz w:val="22"/>
                <w:szCs w:val="22"/>
                <w:lang w:eastAsia="zh-CN" w:bidi="ar-SA"/>
              </w:rPr>
              <w:tab/>
            </w:r>
            <w:r w:rsidRPr="008514F2">
              <w:rPr>
                <w:rStyle w:val="Hyperlink"/>
                <w:noProof/>
              </w:rPr>
              <w:t>Data Extraction</w:t>
            </w:r>
            <w:r>
              <w:rPr>
                <w:noProof/>
                <w:webHidden/>
              </w:rPr>
              <w:tab/>
            </w:r>
            <w:r>
              <w:rPr>
                <w:noProof/>
                <w:webHidden/>
              </w:rPr>
              <w:fldChar w:fldCharType="begin"/>
            </w:r>
            <w:r>
              <w:rPr>
                <w:noProof/>
                <w:webHidden/>
              </w:rPr>
              <w:instrText xml:space="preserve"> PAGEREF _Toc379467576 \h </w:instrText>
            </w:r>
            <w:r>
              <w:rPr>
                <w:noProof/>
                <w:webHidden/>
              </w:rPr>
            </w:r>
            <w:r>
              <w:rPr>
                <w:noProof/>
                <w:webHidden/>
              </w:rPr>
              <w:fldChar w:fldCharType="separate"/>
            </w:r>
            <w:r w:rsidR="004911B7">
              <w:rPr>
                <w:noProof/>
                <w:webHidden/>
              </w:rPr>
              <w:t>41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77" w:history="1">
            <w:r w:rsidRPr="008514F2">
              <w:rPr>
                <w:rStyle w:val="Hyperlink"/>
                <w:noProof/>
              </w:rPr>
              <w:t>3.3</w:t>
            </w:r>
            <w:r>
              <w:rPr>
                <w:rFonts w:asciiTheme="minorHAnsi" w:hAnsiTheme="minorHAnsi" w:cstheme="minorBidi"/>
                <w:b w:val="0"/>
                <w:bCs w:val="0"/>
                <w:noProof/>
                <w:szCs w:val="22"/>
                <w:lang w:eastAsia="zh-CN" w:bidi="ar-SA"/>
              </w:rPr>
              <w:tab/>
            </w:r>
            <w:r w:rsidRPr="008514F2">
              <w:rPr>
                <w:rStyle w:val="Hyperlink"/>
                <w:noProof/>
              </w:rPr>
              <w:t>Literature Search and Review Results</w:t>
            </w:r>
            <w:r>
              <w:rPr>
                <w:noProof/>
                <w:webHidden/>
              </w:rPr>
              <w:tab/>
            </w:r>
            <w:r>
              <w:rPr>
                <w:noProof/>
                <w:webHidden/>
              </w:rPr>
              <w:fldChar w:fldCharType="begin"/>
            </w:r>
            <w:r>
              <w:rPr>
                <w:noProof/>
                <w:webHidden/>
              </w:rPr>
              <w:instrText xml:space="preserve"> PAGEREF _Toc379467577 \h </w:instrText>
            </w:r>
            <w:r>
              <w:rPr>
                <w:noProof/>
                <w:webHidden/>
              </w:rPr>
            </w:r>
            <w:r>
              <w:rPr>
                <w:noProof/>
                <w:webHidden/>
              </w:rPr>
              <w:fldChar w:fldCharType="separate"/>
            </w:r>
            <w:r w:rsidR="004911B7">
              <w:rPr>
                <w:noProof/>
                <w:webHidden/>
              </w:rPr>
              <w:t>42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8" w:history="1">
            <w:r w:rsidRPr="008514F2">
              <w:rPr>
                <w:rStyle w:val="Hyperlink"/>
                <w:noProof/>
              </w:rPr>
              <w:t>3.3.1</w:t>
            </w:r>
            <w:r>
              <w:rPr>
                <w:rFonts w:asciiTheme="minorHAnsi" w:hAnsiTheme="minorHAnsi" w:cstheme="minorBidi"/>
                <w:noProof/>
                <w:sz w:val="22"/>
                <w:szCs w:val="22"/>
                <w:lang w:eastAsia="zh-CN" w:bidi="ar-SA"/>
              </w:rPr>
              <w:tab/>
            </w:r>
            <w:r w:rsidRPr="008514F2">
              <w:rPr>
                <w:rStyle w:val="Hyperlink"/>
                <w:noProof/>
              </w:rPr>
              <w:t>ENBS assuming Net Benefit is Normally Distributed</w:t>
            </w:r>
            <w:r>
              <w:rPr>
                <w:noProof/>
                <w:webHidden/>
              </w:rPr>
              <w:tab/>
            </w:r>
            <w:r>
              <w:rPr>
                <w:noProof/>
                <w:webHidden/>
              </w:rPr>
              <w:fldChar w:fldCharType="begin"/>
            </w:r>
            <w:r>
              <w:rPr>
                <w:noProof/>
                <w:webHidden/>
              </w:rPr>
              <w:instrText xml:space="preserve"> PAGEREF _Toc379467578 \h </w:instrText>
            </w:r>
            <w:r>
              <w:rPr>
                <w:noProof/>
                <w:webHidden/>
              </w:rPr>
            </w:r>
            <w:r>
              <w:rPr>
                <w:noProof/>
                <w:webHidden/>
              </w:rPr>
              <w:fldChar w:fldCharType="separate"/>
            </w:r>
            <w:r w:rsidR="004911B7">
              <w:rPr>
                <w:noProof/>
                <w:webHidden/>
              </w:rPr>
              <w:t>44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79" w:history="1">
            <w:r w:rsidRPr="008514F2">
              <w:rPr>
                <w:rStyle w:val="Hyperlink"/>
                <w:noProof/>
              </w:rPr>
              <w:t>3.3.2</w:t>
            </w:r>
            <w:r>
              <w:rPr>
                <w:rFonts w:asciiTheme="minorHAnsi" w:hAnsiTheme="minorHAnsi" w:cstheme="minorBidi"/>
                <w:noProof/>
                <w:sz w:val="22"/>
                <w:szCs w:val="22"/>
                <w:lang w:eastAsia="zh-CN" w:bidi="ar-SA"/>
              </w:rPr>
              <w:tab/>
            </w:r>
            <w:r w:rsidRPr="008514F2">
              <w:rPr>
                <w:rStyle w:val="Hyperlink"/>
                <w:noProof/>
              </w:rPr>
              <w:t>ENBS assuming Conjugate Priors</w:t>
            </w:r>
            <w:r>
              <w:rPr>
                <w:noProof/>
                <w:webHidden/>
              </w:rPr>
              <w:tab/>
            </w:r>
            <w:r>
              <w:rPr>
                <w:noProof/>
                <w:webHidden/>
              </w:rPr>
              <w:fldChar w:fldCharType="begin"/>
            </w:r>
            <w:r>
              <w:rPr>
                <w:noProof/>
                <w:webHidden/>
              </w:rPr>
              <w:instrText xml:space="preserve"> PAGEREF _Toc379467579 \h </w:instrText>
            </w:r>
            <w:r>
              <w:rPr>
                <w:noProof/>
                <w:webHidden/>
              </w:rPr>
            </w:r>
            <w:r>
              <w:rPr>
                <w:noProof/>
                <w:webHidden/>
              </w:rPr>
              <w:fldChar w:fldCharType="separate"/>
            </w:r>
            <w:r w:rsidR="004911B7">
              <w:rPr>
                <w:noProof/>
                <w:webHidden/>
              </w:rPr>
              <w:t>46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0" w:history="1">
            <w:r w:rsidRPr="008514F2">
              <w:rPr>
                <w:rStyle w:val="Hyperlink"/>
                <w:noProof/>
              </w:rPr>
              <w:t>3.3.3</w:t>
            </w:r>
            <w:r>
              <w:rPr>
                <w:rFonts w:asciiTheme="minorHAnsi" w:hAnsiTheme="minorHAnsi" w:cstheme="minorBidi"/>
                <w:noProof/>
                <w:sz w:val="22"/>
                <w:szCs w:val="22"/>
                <w:lang w:eastAsia="zh-CN" w:bidi="ar-SA"/>
              </w:rPr>
              <w:tab/>
            </w:r>
            <w:r w:rsidRPr="008514F2">
              <w:rPr>
                <w:rStyle w:val="Hyperlink"/>
                <w:noProof/>
              </w:rPr>
              <w:t>ENBS With Non-Conjugate Priors</w:t>
            </w:r>
            <w:r>
              <w:rPr>
                <w:noProof/>
                <w:webHidden/>
              </w:rPr>
              <w:tab/>
            </w:r>
            <w:r>
              <w:rPr>
                <w:noProof/>
                <w:webHidden/>
              </w:rPr>
              <w:fldChar w:fldCharType="begin"/>
            </w:r>
            <w:r>
              <w:rPr>
                <w:noProof/>
                <w:webHidden/>
              </w:rPr>
              <w:instrText xml:space="preserve"> PAGEREF _Toc379467580 \h </w:instrText>
            </w:r>
            <w:r>
              <w:rPr>
                <w:noProof/>
                <w:webHidden/>
              </w:rPr>
            </w:r>
            <w:r>
              <w:rPr>
                <w:noProof/>
                <w:webHidden/>
              </w:rPr>
              <w:fldChar w:fldCharType="separate"/>
            </w:r>
            <w:r w:rsidR="004911B7">
              <w:rPr>
                <w:noProof/>
                <w:webHidden/>
              </w:rPr>
              <w:t>48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1" w:history="1">
            <w:r w:rsidRPr="008514F2">
              <w:rPr>
                <w:rStyle w:val="Hyperlink"/>
                <w:noProof/>
              </w:rPr>
              <w:t>3.3.4</w:t>
            </w:r>
            <w:r>
              <w:rPr>
                <w:rFonts w:asciiTheme="minorHAnsi" w:hAnsiTheme="minorHAnsi" w:cstheme="minorBidi"/>
                <w:noProof/>
                <w:sz w:val="22"/>
                <w:szCs w:val="22"/>
                <w:lang w:eastAsia="zh-CN" w:bidi="ar-SA"/>
              </w:rPr>
              <w:tab/>
            </w:r>
            <w:r w:rsidRPr="008514F2">
              <w:rPr>
                <w:rStyle w:val="Hyperlink"/>
                <w:noProof/>
              </w:rPr>
              <w:t>Behavioural Bayesian Approaches to Clinical Trial Design</w:t>
            </w:r>
            <w:r>
              <w:rPr>
                <w:noProof/>
                <w:webHidden/>
              </w:rPr>
              <w:tab/>
            </w:r>
            <w:r>
              <w:rPr>
                <w:noProof/>
                <w:webHidden/>
              </w:rPr>
              <w:fldChar w:fldCharType="begin"/>
            </w:r>
            <w:r>
              <w:rPr>
                <w:noProof/>
                <w:webHidden/>
              </w:rPr>
              <w:instrText xml:space="preserve"> PAGEREF _Toc379467581 \h </w:instrText>
            </w:r>
            <w:r>
              <w:rPr>
                <w:noProof/>
                <w:webHidden/>
              </w:rPr>
            </w:r>
            <w:r>
              <w:rPr>
                <w:noProof/>
                <w:webHidden/>
              </w:rPr>
              <w:fldChar w:fldCharType="separate"/>
            </w:r>
            <w:r w:rsidR="004911B7">
              <w:rPr>
                <w:noProof/>
                <w:webHidden/>
              </w:rPr>
              <w:t>49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2" w:history="1">
            <w:r w:rsidRPr="008514F2">
              <w:rPr>
                <w:rStyle w:val="Hyperlink"/>
                <w:noProof/>
              </w:rPr>
              <w:t>3.3.5</w:t>
            </w:r>
            <w:r>
              <w:rPr>
                <w:rFonts w:asciiTheme="minorHAnsi" w:hAnsiTheme="minorHAnsi" w:cstheme="minorBidi"/>
                <w:noProof/>
                <w:sz w:val="22"/>
                <w:szCs w:val="22"/>
                <w:lang w:eastAsia="zh-CN" w:bidi="ar-SA"/>
              </w:rPr>
              <w:tab/>
            </w:r>
            <w:r w:rsidRPr="008514F2">
              <w:rPr>
                <w:rStyle w:val="Hyperlink"/>
                <w:noProof/>
              </w:rPr>
              <w:t>Probability of success Approaches to Clinical Trial Design</w:t>
            </w:r>
            <w:r>
              <w:rPr>
                <w:noProof/>
                <w:webHidden/>
              </w:rPr>
              <w:tab/>
            </w:r>
            <w:r>
              <w:rPr>
                <w:noProof/>
                <w:webHidden/>
              </w:rPr>
              <w:fldChar w:fldCharType="begin"/>
            </w:r>
            <w:r>
              <w:rPr>
                <w:noProof/>
                <w:webHidden/>
              </w:rPr>
              <w:instrText xml:space="preserve"> PAGEREF _Toc379467582 \h </w:instrText>
            </w:r>
            <w:r>
              <w:rPr>
                <w:noProof/>
                <w:webHidden/>
              </w:rPr>
            </w:r>
            <w:r>
              <w:rPr>
                <w:noProof/>
                <w:webHidden/>
              </w:rPr>
              <w:fldChar w:fldCharType="separate"/>
            </w:r>
            <w:r w:rsidR="004911B7">
              <w:rPr>
                <w:noProof/>
                <w:webHidden/>
              </w:rPr>
              <w:t>52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3" w:history="1">
            <w:r w:rsidRPr="008514F2">
              <w:rPr>
                <w:rStyle w:val="Hyperlink"/>
                <w:noProof/>
              </w:rPr>
              <w:t>3.3.6</w:t>
            </w:r>
            <w:r>
              <w:rPr>
                <w:rFonts w:asciiTheme="minorHAnsi" w:hAnsiTheme="minorHAnsi" w:cstheme="minorBidi"/>
                <w:noProof/>
                <w:sz w:val="22"/>
                <w:szCs w:val="22"/>
                <w:lang w:eastAsia="zh-CN" w:bidi="ar-SA"/>
              </w:rPr>
              <w:tab/>
            </w:r>
            <w:r w:rsidRPr="008514F2">
              <w:rPr>
                <w:rStyle w:val="Hyperlink"/>
                <w:noProof/>
              </w:rPr>
              <w:t>Other approaches</w:t>
            </w:r>
            <w:r>
              <w:rPr>
                <w:noProof/>
                <w:webHidden/>
              </w:rPr>
              <w:tab/>
            </w:r>
            <w:r>
              <w:rPr>
                <w:noProof/>
                <w:webHidden/>
              </w:rPr>
              <w:fldChar w:fldCharType="begin"/>
            </w:r>
            <w:r>
              <w:rPr>
                <w:noProof/>
                <w:webHidden/>
              </w:rPr>
              <w:instrText xml:space="preserve"> PAGEREF _Toc379467583 \h </w:instrText>
            </w:r>
            <w:r>
              <w:rPr>
                <w:noProof/>
                <w:webHidden/>
              </w:rPr>
            </w:r>
            <w:r>
              <w:rPr>
                <w:noProof/>
                <w:webHidden/>
              </w:rPr>
              <w:fldChar w:fldCharType="separate"/>
            </w:r>
            <w:r w:rsidR="004911B7">
              <w:rPr>
                <w:noProof/>
                <w:webHidden/>
              </w:rPr>
              <w:t>53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4" w:history="1">
            <w:r w:rsidRPr="008514F2">
              <w:rPr>
                <w:rStyle w:val="Hyperlink"/>
                <w:noProof/>
              </w:rPr>
              <w:t>3.3.7</w:t>
            </w:r>
            <w:r>
              <w:rPr>
                <w:rFonts w:asciiTheme="minorHAnsi" w:hAnsiTheme="minorHAnsi" w:cstheme="minorBidi"/>
                <w:noProof/>
                <w:sz w:val="22"/>
                <w:szCs w:val="22"/>
                <w:lang w:eastAsia="zh-CN" w:bidi="ar-SA"/>
              </w:rPr>
              <w:tab/>
            </w:r>
            <w:r w:rsidRPr="008514F2">
              <w:rPr>
                <w:rStyle w:val="Hyperlink"/>
                <w:noProof/>
              </w:rPr>
              <w:t>Subsequent Published Literature</w:t>
            </w:r>
            <w:r>
              <w:rPr>
                <w:noProof/>
                <w:webHidden/>
              </w:rPr>
              <w:tab/>
            </w:r>
            <w:r>
              <w:rPr>
                <w:noProof/>
                <w:webHidden/>
              </w:rPr>
              <w:fldChar w:fldCharType="begin"/>
            </w:r>
            <w:r>
              <w:rPr>
                <w:noProof/>
                <w:webHidden/>
              </w:rPr>
              <w:instrText xml:space="preserve"> PAGEREF _Toc379467584 \h </w:instrText>
            </w:r>
            <w:r>
              <w:rPr>
                <w:noProof/>
                <w:webHidden/>
              </w:rPr>
            </w:r>
            <w:r>
              <w:rPr>
                <w:noProof/>
                <w:webHidden/>
              </w:rPr>
              <w:fldChar w:fldCharType="separate"/>
            </w:r>
            <w:r w:rsidR="004911B7">
              <w:rPr>
                <w:noProof/>
                <w:webHidden/>
              </w:rPr>
              <w:t>54</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85" w:history="1">
            <w:r w:rsidRPr="008514F2">
              <w:rPr>
                <w:rStyle w:val="Hyperlink"/>
                <w:noProof/>
              </w:rPr>
              <w:t>3.4</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_Toc379467585 \h </w:instrText>
            </w:r>
            <w:r>
              <w:rPr>
                <w:noProof/>
                <w:webHidden/>
              </w:rPr>
            </w:r>
            <w:r>
              <w:rPr>
                <w:noProof/>
                <w:webHidden/>
              </w:rPr>
              <w:fldChar w:fldCharType="separate"/>
            </w:r>
            <w:r w:rsidR="004911B7">
              <w:rPr>
                <w:noProof/>
                <w:webHidden/>
              </w:rPr>
              <w:t>54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6" w:history="1">
            <w:r w:rsidRPr="008514F2">
              <w:rPr>
                <w:rStyle w:val="Hyperlink"/>
                <w:noProof/>
              </w:rPr>
              <w:t>3.4.1</w:t>
            </w:r>
            <w:r>
              <w:rPr>
                <w:rFonts w:asciiTheme="minorHAnsi" w:hAnsiTheme="minorHAnsi" w:cstheme="minorBidi"/>
                <w:noProof/>
                <w:sz w:val="22"/>
                <w:szCs w:val="22"/>
                <w:lang w:eastAsia="zh-CN" w:bidi="ar-SA"/>
              </w:rPr>
              <w:tab/>
            </w:r>
            <w:r w:rsidRPr="008514F2">
              <w:rPr>
                <w:rStyle w:val="Hyperlink"/>
                <w:noProof/>
              </w:rPr>
              <w:t>Literature Review Methodology</w:t>
            </w:r>
            <w:r>
              <w:rPr>
                <w:noProof/>
                <w:webHidden/>
              </w:rPr>
              <w:tab/>
            </w:r>
            <w:r>
              <w:rPr>
                <w:noProof/>
                <w:webHidden/>
              </w:rPr>
              <w:fldChar w:fldCharType="begin"/>
            </w:r>
            <w:r>
              <w:rPr>
                <w:noProof/>
                <w:webHidden/>
              </w:rPr>
              <w:instrText xml:space="preserve"> PAGEREF _Toc379467586 \h </w:instrText>
            </w:r>
            <w:r>
              <w:rPr>
                <w:noProof/>
                <w:webHidden/>
              </w:rPr>
            </w:r>
            <w:r>
              <w:rPr>
                <w:noProof/>
                <w:webHidden/>
              </w:rPr>
              <w:fldChar w:fldCharType="separate"/>
            </w:r>
            <w:r w:rsidR="004911B7">
              <w:rPr>
                <w:noProof/>
                <w:webHidden/>
              </w:rPr>
              <w:t>54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7" w:history="1">
            <w:r w:rsidRPr="008514F2">
              <w:rPr>
                <w:rStyle w:val="Hyperlink"/>
                <w:noProof/>
              </w:rPr>
              <w:t>3.4.2</w:t>
            </w:r>
            <w:r>
              <w:rPr>
                <w:rFonts w:asciiTheme="minorHAnsi" w:hAnsiTheme="minorHAnsi" w:cstheme="minorBidi"/>
                <w:noProof/>
                <w:sz w:val="22"/>
                <w:szCs w:val="22"/>
                <w:lang w:eastAsia="zh-CN" w:bidi="ar-SA"/>
              </w:rPr>
              <w:tab/>
            </w:r>
            <w:r w:rsidRPr="008514F2">
              <w:rPr>
                <w:rStyle w:val="Hyperlink"/>
                <w:noProof/>
              </w:rPr>
              <w:t>Merits of the Approaches to Valuing Clinical Trials</w:t>
            </w:r>
            <w:r>
              <w:rPr>
                <w:noProof/>
                <w:webHidden/>
              </w:rPr>
              <w:tab/>
            </w:r>
            <w:r>
              <w:rPr>
                <w:noProof/>
                <w:webHidden/>
              </w:rPr>
              <w:fldChar w:fldCharType="begin"/>
            </w:r>
            <w:r>
              <w:rPr>
                <w:noProof/>
                <w:webHidden/>
              </w:rPr>
              <w:instrText xml:space="preserve"> PAGEREF _Toc379467587 \h </w:instrText>
            </w:r>
            <w:r>
              <w:rPr>
                <w:noProof/>
                <w:webHidden/>
              </w:rPr>
            </w:r>
            <w:r>
              <w:rPr>
                <w:noProof/>
                <w:webHidden/>
              </w:rPr>
              <w:fldChar w:fldCharType="separate"/>
            </w:r>
            <w:r w:rsidR="004911B7">
              <w:rPr>
                <w:noProof/>
                <w:webHidden/>
              </w:rPr>
              <w:t>55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8" w:history="1">
            <w:r w:rsidRPr="008514F2">
              <w:rPr>
                <w:rStyle w:val="Hyperlink"/>
                <w:noProof/>
              </w:rPr>
              <w:t>3.4.3</w:t>
            </w:r>
            <w:r>
              <w:rPr>
                <w:rFonts w:asciiTheme="minorHAnsi" w:hAnsiTheme="minorHAnsi" w:cstheme="minorBidi"/>
                <w:noProof/>
                <w:sz w:val="22"/>
                <w:szCs w:val="22"/>
                <w:lang w:eastAsia="zh-CN" w:bidi="ar-SA"/>
              </w:rPr>
              <w:tab/>
            </w:r>
            <w:r w:rsidRPr="008514F2">
              <w:rPr>
                <w:rStyle w:val="Hyperlink"/>
                <w:noProof/>
              </w:rPr>
              <w:t>Methods for Sampling Trial Outcomes</w:t>
            </w:r>
            <w:r>
              <w:rPr>
                <w:noProof/>
                <w:webHidden/>
              </w:rPr>
              <w:tab/>
            </w:r>
            <w:r>
              <w:rPr>
                <w:noProof/>
                <w:webHidden/>
              </w:rPr>
              <w:fldChar w:fldCharType="begin"/>
            </w:r>
            <w:r>
              <w:rPr>
                <w:noProof/>
                <w:webHidden/>
              </w:rPr>
              <w:instrText xml:space="preserve"> PAGEREF _Toc379467588 \h </w:instrText>
            </w:r>
            <w:r>
              <w:rPr>
                <w:noProof/>
                <w:webHidden/>
              </w:rPr>
            </w:r>
            <w:r>
              <w:rPr>
                <w:noProof/>
                <w:webHidden/>
              </w:rPr>
              <w:fldChar w:fldCharType="separate"/>
            </w:r>
            <w:r w:rsidR="004911B7">
              <w:rPr>
                <w:noProof/>
                <w:webHidden/>
              </w:rPr>
              <w:t>57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89" w:history="1">
            <w:r w:rsidRPr="008514F2">
              <w:rPr>
                <w:rStyle w:val="Hyperlink"/>
                <w:noProof/>
              </w:rPr>
              <w:t>3.4.4</w:t>
            </w:r>
            <w:r>
              <w:rPr>
                <w:rFonts w:asciiTheme="minorHAnsi" w:hAnsiTheme="minorHAnsi" w:cstheme="minorBidi"/>
                <w:noProof/>
                <w:sz w:val="22"/>
                <w:szCs w:val="22"/>
                <w:lang w:eastAsia="zh-CN" w:bidi="ar-SA"/>
              </w:rPr>
              <w:tab/>
            </w:r>
            <w:r w:rsidRPr="008514F2">
              <w:rPr>
                <w:rStyle w:val="Hyperlink"/>
                <w:noProof/>
              </w:rPr>
              <w:t>Problems with Computational Burden</w:t>
            </w:r>
            <w:r>
              <w:rPr>
                <w:noProof/>
                <w:webHidden/>
              </w:rPr>
              <w:tab/>
            </w:r>
            <w:r>
              <w:rPr>
                <w:noProof/>
                <w:webHidden/>
              </w:rPr>
              <w:fldChar w:fldCharType="begin"/>
            </w:r>
            <w:r>
              <w:rPr>
                <w:noProof/>
                <w:webHidden/>
              </w:rPr>
              <w:instrText xml:space="preserve"> PAGEREF _Toc379467589 \h </w:instrText>
            </w:r>
            <w:r>
              <w:rPr>
                <w:noProof/>
                <w:webHidden/>
              </w:rPr>
            </w:r>
            <w:r>
              <w:rPr>
                <w:noProof/>
                <w:webHidden/>
              </w:rPr>
              <w:fldChar w:fldCharType="separate"/>
            </w:r>
            <w:r w:rsidR="004911B7">
              <w:rPr>
                <w:noProof/>
                <w:webHidden/>
              </w:rPr>
              <w:t>58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0" w:history="1">
            <w:r w:rsidRPr="008514F2">
              <w:rPr>
                <w:rStyle w:val="Hyperlink"/>
                <w:noProof/>
              </w:rPr>
              <w:t>3.4.5</w:t>
            </w:r>
            <w:r>
              <w:rPr>
                <w:rFonts w:asciiTheme="minorHAnsi" w:hAnsiTheme="minorHAnsi" w:cstheme="minorBidi"/>
                <w:noProof/>
                <w:sz w:val="22"/>
                <w:szCs w:val="22"/>
                <w:lang w:eastAsia="zh-CN" w:bidi="ar-SA"/>
              </w:rPr>
              <w:tab/>
            </w:r>
            <w:r w:rsidRPr="008514F2">
              <w:rPr>
                <w:rStyle w:val="Hyperlink"/>
                <w:noProof/>
              </w:rPr>
              <w:t>Using VOI in Reimbursement Decision-Making</w:t>
            </w:r>
            <w:r>
              <w:rPr>
                <w:noProof/>
                <w:webHidden/>
              </w:rPr>
              <w:tab/>
            </w:r>
            <w:r>
              <w:rPr>
                <w:noProof/>
                <w:webHidden/>
              </w:rPr>
              <w:fldChar w:fldCharType="begin"/>
            </w:r>
            <w:r>
              <w:rPr>
                <w:noProof/>
                <w:webHidden/>
              </w:rPr>
              <w:instrText xml:space="preserve"> PAGEREF _Toc379467590 \h </w:instrText>
            </w:r>
            <w:r>
              <w:rPr>
                <w:noProof/>
                <w:webHidden/>
              </w:rPr>
            </w:r>
            <w:r>
              <w:rPr>
                <w:noProof/>
                <w:webHidden/>
              </w:rPr>
              <w:fldChar w:fldCharType="separate"/>
            </w:r>
            <w:r w:rsidR="004911B7">
              <w:rPr>
                <w:noProof/>
                <w:webHidden/>
              </w:rPr>
              <w:t>58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91" w:history="1">
            <w:r w:rsidRPr="008514F2">
              <w:rPr>
                <w:rStyle w:val="Hyperlink"/>
                <w:noProof/>
              </w:rPr>
              <w:t>3.5</w:t>
            </w:r>
            <w:r>
              <w:rPr>
                <w:rFonts w:asciiTheme="minorHAnsi" w:hAnsiTheme="minorHAnsi" w:cstheme="minorBidi"/>
                <w:b w:val="0"/>
                <w:bCs w:val="0"/>
                <w:noProof/>
                <w:szCs w:val="22"/>
                <w:lang w:eastAsia="zh-CN" w:bidi="ar-SA"/>
              </w:rPr>
              <w:tab/>
            </w:r>
            <w:r w:rsidRPr="008514F2">
              <w:rPr>
                <w:rStyle w:val="Hyperlink"/>
                <w:noProof/>
              </w:rPr>
              <w:t>Conclusion</w:t>
            </w:r>
            <w:r>
              <w:rPr>
                <w:noProof/>
                <w:webHidden/>
              </w:rPr>
              <w:tab/>
            </w:r>
            <w:r>
              <w:rPr>
                <w:noProof/>
                <w:webHidden/>
              </w:rPr>
              <w:fldChar w:fldCharType="begin"/>
            </w:r>
            <w:r>
              <w:rPr>
                <w:noProof/>
                <w:webHidden/>
              </w:rPr>
              <w:instrText xml:space="preserve"> PAGEREF _Toc379467591 \h </w:instrText>
            </w:r>
            <w:r>
              <w:rPr>
                <w:noProof/>
                <w:webHidden/>
              </w:rPr>
            </w:r>
            <w:r>
              <w:rPr>
                <w:noProof/>
                <w:webHidden/>
              </w:rPr>
              <w:fldChar w:fldCharType="separate"/>
            </w:r>
            <w:r w:rsidR="004911B7">
              <w:rPr>
                <w:noProof/>
                <w:webHidden/>
              </w:rPr>
              <w:t>58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592" w:history="1">
            <w:r w:rsidRPr="008514F2">
              <w:rPr>
                <w:rStyle w:val="Hyperlink"/>
                <w:noProof/>
              </w:rPr>
              <w:t>4</w:t>
            </w:r>
            <w:r>
              <w:rPr>
                <w:rFonts w:asciiTheme="minorHAnsi" w:hAnsiTheme="minorHAnsi" w:cstheme="minorBidi"/>
                <w:b w:val="0"/>
                <w:bCs w:val="0"/>
                <w:caps w:val="0"/>
                <w:noProof/>
                <w:sz w:val="22"/>
                <w:szCs w:val="22"/>
                <w:lang w:eastAsia="zh-CN" w:bidi="ar-SA"/>
              </w:rPr>
              <w:tab/>
            </w:r>
            <w:r w:rsidRPr="008514F2">
              <w:rPr>
                <w:rStyle w:val="Hyperlink"/>
                <w:noProof/>
              </w:rPr>
              <w:t>Chapter 4: Natural History Of SLE Literature Review</w:t>
            </w:r>
            <w:r>
              <w:rPr>
                <w:noProof/>
                <w:webHidden/>
              </w:rPr>
              <w:tab/>
            </w:r>
            <w:r>
              <w:rPr>
                <w:noProof/>
                <w:webHidden/>
              </w:rPr>
              <w:fldChar w:fldCharType="begin"/>
            </w:r>
            <w:r>
              <w:rPr>
                <w:noProof/>
                <w:webHidden/>
              </w:rPr>
              <w:instrText xml:space="preserve"> PAGEREF _Toc379467592 \h </w:instrText>
            </w:r>
            <w:r>
              <w:rPr>
                <w:noProof/>
                <w:webHidden/>
              </w:rPr>
            </w:r>
            <w:r>
              <w:rPr>
                <w:noProof/>
                <w:webHidden/>
              </w:rPr>
              <w:fldChar w:fldCharType="separate"/>
            </w:r>
            <w:r w:rsidR="004911B7">
              <w:rPr>
                <w:noProof/>
                <w:webHidden/>
              </w:rPr>
              <w:t>60</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93" w:history="1">
            <w:r w:rsidRPr="008514F2">
              <w:rPr>
                <w:rStyle w:val="Hyperlink"/>
                <w:noProof/>
              </w:rPr>
              <w:t>4.1</w:t>
            </w:r>
            <w:r>
              <w:rPr>
                <w:rFonts w:asciiTheme="minorHAnsi" w:hAnsiTheme="minorHAnsi" w:cstheme="minorBidi"/>
                <w:b w:val="0"/>
                <w:bCs w:val="0"/>
                <w:noProof/>
                <w:szCs w:val="22"/>
                <w:lang w:eastAsia="zh-CN" w:bidi="ar-SA"/>
              </w:rPr>
              <w:tab/>
            </w:r>
            <w:r w:rsidRPr="008514F2">
              <w:rPr>
                <w:rStyle w:val="Hyperlink"/>
                <w:noProof/>
              </w:rPr>
              <w:t>Method</w:t>
            </w:r>
            <w:r>
              <w:rPr>
                <w:noProof/>
                <w:webHidden/>
              </w:rPr>
              <w:tab/>
            </w:r>
            <w:r>
              <w:rPr>
                <w:noProof/>
                <w:webHidden/>
              </w:rPr>
              <w:fldChar w:fldCharType="begin"/>
            </w:r>
            <w:r>
              <w:rPr>
                <w:noProof/>
                <w:webHidden/>
              </w:rPr>
              <w:instrText xml:space="preserve"> PAGEREF _Toc379467593 \h </w:instrText>
            </w:r>
            <w:r>
              <w:rPr>
                <w:noProof/>
                <w:webHidden/>
              </w:rPr>
            </w:r>
            <w:r>
              <w:rPr>
                <w:noProof/>
                <w:webHidden/>
              </w:rPr>
              <w:fldChar w:fldCharType="separate"/>
            </w:r>
            <w:r w:rsidR="004911B7">
              <w:rPr>
                <w:noProof/>
                <w:webHidden/>
              </w:rPr>
              <w:t>60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4" w:history="1">
            <w:r w:rsidRPr="008514F2">
              <w:rPr>
                <w:rStyle w:val="Hyperlink"/>
                <w:noProof/>
              </w:rPr>
              <w:t>4.1.1</w:t>
            </w:r>
            <w:r>
              <w:rPr>
                <w:rFonts w:asciiTheme="minorHAnsi" w:hAnsiTheme="minorHAnsi" w:cstheme="minorBidi"/>
                <w:noProof/>
                <w:sz w:val="22"/>
                <w:szCs w:val="22"/>
                <w:lang w:eastAsia="zh-CN" w:bidi="ar-SA"/>
              </w:rPr>
              <w:tab/>
            </w:r>
            <w:r w:rsidRPr="008514F2">
              <w:rPr>
                <w:rStyle w:val="Hyperlink"/>
                <w:noProof/>
              </w:rPr>
              <w:t>Search Strategy</w:t>
            </w:r>
            <w:r>
              <w:rPr>
                <w:noProof/>
                <w:webHidden/>
              </w:rPr>
              <w:tab/>
            </w:r>
            <w:r>
              <w:rPr>
                <w:noProof/>
                <w:webHidden/>
              </w:rPr>
              <w:fldChar w:fldCharType="begin"/>
            </w:r>
            <w:r>
              <w:rPr>
                <w:noProof/>
                <w:webHidden/>
              </w:rPr>
              <w:instrText xml:space="preserve"> PAGEREF _Toc379467594 \h </w:instrText>
            </w:r>
            <w:r>
              <w:rPr>
                <w:noProof/>
                <w:webHidden/>
              </w:rPr>
            </w:r>
            <w:r>
              <w:rPr>
                <w:noProof/>
                <w:webHidden/>
              </w:rPr>
              <w:fldChar w:fldCharType="separate"/>
            </w:r>
            <w:r w:rsidR="004911B7">
              <w:rPr>
                <w:noProof/>
                <w:webHidden/>
              </w:rPr>
              <w:t>60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5" w:history="1">
            <w:r w:rsidRPr="008514F2">
              <w:rPr>
                <w:rStyle w:val="Hyperlink"/>
                <w:noProof/>
              </w:rPr>
              <w:t>4.1.2</w:t>
            </w:r>
            <w:r>
              <w:rPr>
                <w:rFonts w:asciiTheme="minorHAnsi" w:hAnsiTheme="minorHAnsi" w:cstheme="minorBidi"/>
                <w:noProof/>
                <w:sz w:val="22"/>
                <w:szCs w:val="22"/>
                <w:lang w:eastAsia="zh-CN" w:bidi="ar-SA"/>
              </w:rPr>
              <w:tab/>
            </w:r>
            <w:r w:rsidRPr="008514F2">
              <w:rPr>
                <w:rStyle w:val="Hyperlink"/>
                <w:noProof/>
              </w:rPr>
              <w:t>Data Extraction</w:t>
            </w:r>
            <w:r>
              <w:rPr>
                <w:noProof/>
                <w:webHidden/>
              </w:rPr>
              <w:tab/>
            </w:r>
            <w:r>
              <w:rPr>
                <w:noProof/>
                <w:webHidden/>
              </w:rPr>
              <w:fldChar w:fldCharType="begin"/>
            </w:r>
            <w:r>
              <w:rPr>
                <w:noProof/>
                <w:webHidden/>
              </w:rPr>
              <w:instrText xml:space="preserve"> PAGEREF _Toc379467595 \h </w:instrText>
            </w:r>
            <w:r>
              <w:rPr>
                <w:noProof/>
                <w:webHidden/>
              </w:rPr>
            </w:r>
            <w:r>
              <w:rPr>
                <w:noProof/>
                <w:webHidden/>
              </w:rPr>
              <w:fldChar w:fldCharType="separate"/>
            </w:r>
            <w:r w:rsidR="004911B7">
              <w:rPr>
                <w:noProof/>
                <w:webHidden/>
              </w:rPr>
              <w:t>62</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596" w:history="1">
            <w:r w:rsidRPr="008514F2">
              <w:rPr>
                <w:rStyle w:val="Hyperlink"/>
                <w:noProof/>
              </w:rPr>
              <w:t>4.2</w:t>
            </w:r>
            <w:r>
              <w:rPr>
                <w:rFonts w:asciiTheme="minorHAnsi" w:hAnsiTheme="minorHAnsi" w:cstheme="minorBidi"/>
                <w:b w:val="0"/>
                <w:bCs w:val="0"/>
                <w:noProof/>
                <w:szCs w:val="22"/>
                <w:lang w:eastAsia="zh-CN" w:bidi="ar-SA"/>
              </w:rPr>
              <w:tab/>
            </w:r>
            <w:r w:rsidRPr="008514F2">
              <w:rPr>
                <w:rStyle w:val="Hyperlink"/>
                <w:noProof/>
              </w:rPr>
              <w:t>Results</w:t>
            </w:r>
            <w:r>
              <w:rPr>
                <w:noProof/>
                <w:webHidden/>
              </w:rPr>
              <w:tab/>
            </w:r>
            <w:r>
              <w:rPr>
                <w:noProof/>
                <w:webHidden/>
              </w:rPr>
              <w:fldChar w:fldCharType="begin"/>
            </w:r>
            <w:r>
              <w:rPr>
                <w:noProof/>
                <w:webHidden/>
              </w:rPr>
              <w:instrText xml:space="preserve"> PAGEREF _Toc379467596 \h </w:instrText>
            </w:r>
            <w:r>
              <w:rPr>
                <w:noProof/>
                <w:webHidden/>
              </w:rPr>
            </w:r>
            <w:r>
              <w:rPr>
                <w:noProof/>
                <w:webHidden/>
              </w:rPr>
              <w:fldChar w:fldCharType="separate"/>
            </w:r>
            <w:r w:rsidR="004911B7">
              <w:rPr>
                <w:noProof/>
                <w:webHidden/>
              </w:rPr>
              <w:t>64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7" w:history="1">
            <w:r w:rsidRPr="008514F2">
              <w:rPr>
                <w:rStyle w:val="Hyperlink"/>
                <w:noProof/>
                <w:lang w:eastAsia="zh-CN"/>
              </w:rPr>
              <w:t>4.2.1</w:t>
            </w:r>
            <w:r>
              <w:rPr>
                <w:rFonts w:asciiTheme="minorHAnsi" w:hAnsiTheme="minorHAnsi" w:cstheme="minorBidi"/>
                <w:noProof/>
                <w:sz w:val="22"/>
                <w:szCs w:val="22"/>
                <w:lang w:eastAsia="zh-CN" w:bidi="ar-SA"/>
              </w:rPr>
              <w:tab/>
            </w:r>
            <w:r w:rsidRPr="008514F2">
              <w:rPr>
                <w:rStyle w:val="Hyperlink"/>
                <w:noProof/>
                <w:lang w:eastAsia="zh-CN"/>
              </w:rPr>
              <w:t>Conceptual Map and Conceptual Model</w:t>
            </w:r>
            <w:r>
              <w:rPr>
                <w:noProof/>
                <w:webHidden/>
              </w:rPr>
              <w:tab/>
            </w:r>
            <w:r>
              <w:rPr>
                <w:noProof/>
                <w:webHidden/>
              </w:rPr>
              <w:fldChar w:fldCharType="begin"/>
            </w:r>
            <w:r>
              <w:rPr>
                <w:noProof/>
                <w:webHidden/>
              </w:rPr>
              <w:instrText xml:space="preserve"> PAGEREF _Toc379467597 \h </w:instrText>
            </w:r>
            <w:r>
              <w:rPr>
                <w:noProof/>
                <w:webHidden/>
              </w:rPr>
            </w:r>
            <w:r>
              <w:rPr>
                <w:noProof/>
                <w:webHidden/>
              </w:rPr>
              <w:fldChar w:fldCharType="separate"/>
            </w:r>
            <w:r w:rsidR="004911B7">
              <w:rPr>
                <w:noProof/>
                <w:webHidden/>
              </w:rPr>
              <w:t>64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8" w:history="1">
            <w:r w:rsidRPr="008514F2">
              <w:rPr>
                <w:rStyle w:val="Hyperlink"/>
                <w:noProof/>
              </w:rPr>
              <w:t>4.2.2</w:t>
            </w:r>
            <w:r>
              <w:rPr>
                <w:rFonts w:asciiTheme="minorHAnsi" w:hAnsiTheme="minorHAnsi" w:cstheme="minorBidi"/>
                <w:noProof/>
                <w:sz w:val="22"/>
                <w:szCs w:val="22"/>
                <w:lang w:eastAsia="zh-CN" w:bidi="ar-SA"/>
              </w:rPr>
              <w:tab/>
            </w:r>
            <w:r w:rsidRPr="008514F2">
              <w:rPr>
                <w:rStyle w:val="Hyperlink"/>
                <w:noProof/>
              </w:rPr>
              <w:t>Disease Activity</w:t>
            </w:r>
            <w:r>
              <w:rPr>
                <w:noProof/>
                <w:webHidden/>
              </w:rPr>
              <w:tab/>
            </w:r>
            <w:r>
              <w:rPr>
                <w:noProof/>
                <w:webHidden/>
              </w:rPr>
              <w:fldChar w:fldCharType="begin"/>
            </w:r>
            <w:r>
              <w:rPr>
                <w:noProof/>
                <w:webHidden/>
              </w:rPr>
              <w:instrText xml:space="preserve"> PAGEREF _Toc379467598 \h </w:instrText>
            </w:r>
            <w:r>
              <w:rPr>
                <w:noProof/>
                <w:webHidden/>
              </w:rPr>
            </w:r>
            <w:r>
              <w:rPr>
                <w:noProof/>
                <w:webHidden/>
              </w:rPr>
              <w:fldChar w:fldCharType="separate"/>
            </w:r>
            <w:r w:rsidR="004911B7">
              <w:rPr>
                <w:noProof/>
                <w:webHidden/>
              </w:rPr>
              <w:t>67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599" w:history="1">
            <w:r w:rsidRPr="008514F2">
              <w:rPr>
                <w:rStyle w:val="Hyperlink"/>
                <w:noProof/>
              </w:rPr>
              <w:t>4.2.3</w:t>
            </w:r>
            <w:r>
              <w:rPr>
                <w:rFonts w:asciiTheme="minorHAnsi" w:hAnsiTheme="minorHAnsi" w:cstheme="minorBidi"/>
                <w:noProof/>
                <w:sz w:val="22"/>
                <w:szCs w:val="22"/>
                <w:lang w:eastAsia="zh-CN" w:bidi="ar-SA"/>
              </w:rPr>
              <w:tab/>
            </w:r>
            <w:r w:rsidRPr="008514F2">
              <w:rPr>
                <w:rStyle w:val="Hyperlink"/>
                <w:noProof/>
              </w:rPr>
              <w:t>Mortality</w:t>
            </w:r>
            <w:r>
              <w:rPr>
                <w:noProof/>
                <w:webHidden/>
              </w:rPr>
              <w:tab/>
            </w:r>
            <w:r>
              <w:rPr>
                <w:noProof/>
                <w:webHidden/>
              </w:rPr>
              <w:fldChar w:fldCharType="begin"/>
            </w:r>
            <w:r>
              <w:rPr>
                <w:noProof/>
                <w:webHidden/>
              </w:rPr>
              <w:instrText xml:space="preserve"> PAGEREF _Toc379467599 \h </w:instrText>
            </w:r>
            <w:r>
              <w:rPr>
                <w:noProof/>
                <w:webHidden/>
              </w:rPr>
            </w:r>
            <w:r>
              <w:rPr>
                <w:noProof/>
                <w:webHidden/>
              </w:rPr>
              <w:fldChar w:fldCharType="separate"/>
            </w:r>
            <w:r w:rsidR="004911B7">
              <w:rPr>
                <w:noProof/>
                <w:webHidden/>
              </w:rPr>
              <w:t>69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0" w:history="1">
            <w:r w:rsidRPr="008514F2">
              <w:rPr>
                <w:rStyle w:val="Hyperlink"/>
                <w:noProof/>
              </w:rPr>
              <w:t>4.2.4</w:t>
            </w:r>
            <w:r>
              <w:rPr>
                <w:rFonts w:asciiTheme="minorHAnsi" w:hAnsiTheme="minorHAnsi" w:cstheme="minorBidi"/>
                <w:noProof/>
                <w:sz w:val="22"/>
                <w:szCs w:val="22"/>
                <w:lang w:eastAsia="zh-CN" w:bidi="ar-SA"/>
              </w:rPr>
              <w:tab/>
            </w:r>
            <w:r w:rsidRPr="008514F2">
              <w:rPr>
                <w:rStyle w:val="Hyperlink"/>
                <w:noProof/>
              </w:rPr>
              <w:t>Organ Damage</w:t>
            </w:r>
            <w:r>
              <w:rPr>
                <w:noProof/>
                <w:webHidden/>
              </w:rPr>
              <w:tab/>
            </w:r>
            <w:r>
              <w:rPr>
                <w:noProof/>
                <w:webHidden/>
              </w:rPr>
              <w:fldChar w:fldCharType="begin"/>
            </w:r>
            <w:r>
              <w:rPr>
                <w:noProof/>
                <w:webHidden/>
              </w:rPr>
              <w:instrText xml:space="preserve"> PAGEREF _Toc379467600 \h </w:instrText>
            </w:r>
            <w:r>
              <w:rPr>
                <w:noProof/>
                <w:webHidden/>
              </w:rPr>
            </w:r>
            <w:r>
              <w:rPr>
                <w:noProof/>
                <w:webHidden/>
              </w:rPr>
              <w:fldChar w:fldCharType="separate"/>
            </w:r>
            <w:r w:rsidR="004911B7">
              <w:rPr>
                <w:noProof/>
                <w:webHidden/>
              </w:rPr>
              <w:t>73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1" w:history="1">
            <w:r w:rsidRPr="008514F2">
              <w:rPr>
                <w:rStyle w:val="Hyperlink"/>
                <w:noProof/>
              </w:rPr>
              <w:t>4.2.5</w:t>
            </w:r>
            <w:r>
              <w:rPr>
                <w:rFonts w:asciiTheme="minorHAnsi" w:hAnsiTheme="minorHAnsi" w:cstheme="minorBidi"/>
                <w:noProof/>
                <w:sz w:val="22"/>
                <w:szCs w:val="22"/>
                <w:lang w:eastAsia="zh-CN" w:bidi="ar-SA"/>
              </w:rPr>
              <w:tab/>
            </w:r>
            <w:r w:rsidRPr="008514F2">
              <w:rPr>
                <w:rStyle w:val="Hyperlink"/>
                <w:noProof/>
              </w:rPr>
              <w:t>Organ Damage by Organ System</w:t>
            </w:r>
            <w:r>
              <w:rPr>
                <w:noProof/>
                <w:webHidden/>
              </w:rPr>
              <w:tab/>
            </w:r>
            <w:r>
              <w:rPr>
                <w:noProof/>
                <w:webHidden/>
              </w:rPr>
              <w:fldChar w:fldCharType="begin"/>
            </w:r>
            <w:r>
              <w:rPr>
                <w:noProof/>
                <w:webHidden/>
              </w:rPr>
              <w:instrText xml:space="preserve"> PAGEREF _Toc379467601 \h </w:instrText>
            </w:r>
            <w:r>
              <w:rPr>
                <w:noProof/>
                <w:webHidden/>
              </w:rPr>
            </w:r>
            <w:r>
              <w:rPr>
                <w:noProof/>
                <w:webHidden/>
              </w:rPr>
              <w:fldChar w:fldCharType="separate"/>
            </w:r>
            <w:r w:rsidR="004911B7">
              <w:rPr>
                <w:noProof/>
                <w:webHidden/>
              </w:rPr>
              <w:t>77</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02" w:history="1">
            <w:r w:rsidRPr="008514F2">
              <w:rPr>
                <w:rStyle w:val="Hyperlink"/>
                <w:noProof/>
              </w:rPr>
              <w:t>4.3</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_Toc379467602 \h </w:instrText>
            </w:r>
            <w:r>
              <w:rPr>
                <w:noProof/>
                <w:webHidden/>
              </w:rPr>
            </w:r>
            <w:r>
              <w:rPr>
                <w:noProof/>
                <w:webHidden/>
              </w:rPr>
              <w:fldChar w:fldCharType="separate"/>
            </w:r>
            <w:r w:rsidR="004911B7">
              <w:rPr>
                <w:noProof/>
                <w:webHidden/>
              </w:rPr>
              <w:t>88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3" w:history="1">
            <w:r w:rsidRPr="008514F2">
              <w:rPr>
                <w:rStyle w:val="Hyperlink"/>
                <w:noProof/>
              </w:rPr>
              <w:t>4.3.1</w:t>
            </w:r>
            <w:r>
              <w:rPr>
                <w:rFonts w:asciiTheme="minorHAnsi" w:hAnsiTheme="minorHAnsi" w:cstheme="minorBidi"/>
                <w:noProof/>
                <w:sz w:val="22"/>
                <w:szCs w:val="22"/>
                <w:lang w:eastAsia="zh-CN" w:bidi="ar-SA"/>
              </w:rPr>
              <w:tab/>
            </w:r>
            <w:r w:rsidRPr="008514F2">
              <w:rPr>
                <w:rStyle w:val="Hyperlink"/>
                <w:noProof/>
              </w:rPr>
              <w:t>The Formulation of a Conceptual Model for SLE</w:t>
            </w:r>
            <w:r>
              <w:rPr>
                <w:noProof/>
                <w:webHidden/>
              </w:rPr>
              <w:tab/>
            </w:r>
            <w:r>
              <w:rPr>
                <w:noProof/>
                <w:webHidden/>
              </w:rPr>
              <w:fldChar w:fldCharType="begin"/>
            </w:r>
            <w:r>
              <w:rPr>
                <w:noProof/>
                <w:webHidden/>
              </w:rPr>
              <w:instrText xml:space="preserve"> PAGEREF _Toc379467603 \h </w:instrText>
            </w:r>
            <w:r>
              <w:rPr>
                <w:noProof/>
                <w:webHidden/>
              </w:rPr>
            </w:r>
            <w:r>
              <w:rPr>
                <w:noProof/>
                <w:webHidden/>
              </w:rPr>
              <w:fldChar w:fldCharType="separate"/>
            </w:r>
            <w:r w:rsidR="004911B7">
              <w:rPr>
                <w:noProof/>
                <w:webHidden/>
              </w:rPr>
              <w:t>88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4" w:history="1">
            <w:r w:rsidRPr="008514F2">
              <w:rPr>
                <w:rStyle w:val="Hyperlink"/>
                <w:noProof/>
              </w:rPr>
              <w:t>4.3.2</w:t>
            </w:r>
            <w:r>
              <w:rPr>
                <w:rFonts w:asciiTheme="minorHAnsi" w:hAnsiTheme="minorHAnsi" w:cstheme="minorBidi"/>
                <w:noProof/>
                <w:sz w:val="22"/>
                <w:szCs w:val="22"/>
                <w:lang w:eastAsia="zh-CN" w:bidi="ar-SA"/>
              </w:rPr>
              <w:tab/>
            </w:r>
            <w:r w:rsidRPr="008514F2">
              <w:rPr>
                <w:rStyle w:val="Hyperlink"/>
                <w:noProof/>
              </w:rPr>
              <w:t>Justification for further Data Analysis</w:t>
            </w:r>
            <w:r>
              <w:rPr>
                <w:noProof/>
                <w:webHidden/>
              </w:rPr>
              <w:tab/>
            </w:r>
            <w:r>
              <w:rPr>
                <w:noProof/>
                <w:webHidden/>
              </w:rPr>
              <w:fldChar w:fldCharType="begin"/>
            </w:r>
            <w:r>
              <w:rPr>
                <w:noProof/>
                <w:webHidden/>
              </w:rPr>
              <w:instrText xml:space="preserve"> PAGEREF _Toc379467604 \h </w:instrText>
            </w:r>
            <w:r>
              <w:rPr>
                <w:noProof/>
                <w:webHidden/>
              </w:rPr>
            </w:r>
            <w:r>
              <w:rPr>
                <w:noProof/>
                <w:webHidden/>
              </w:rPr>
              <w:fldChar w:fldCharType="separate"/>
            </w:r>
            <w:r w:rsidR="004911B7">
              <w:rPr>
                <w:noProof/>
                <w:webHidden/>
              </w:rPr>
              <w:t>88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5" w:history="1">
            <w:r w:rsidRPr="008514F2">
              <w:rPr>
                <w:rStyle w:val="Hyperlink"/>
                <w:noProof/>
              </w:rPr>
              <w:t>4.3.3</w:t>
            </w:r>
            <w:r>
              <w:rPr>
                <w:rFonts w:asciiTheme="minorHAnsi" w:hAnsiTheme="minorHAnsi" w:cstheme="minorBidi"/>
                <w:noProof/>
                <w:sz w:val="22"/>
                <w:szCs w:val="22"/>
                <w:lang w:eastAsia="zh-CN" w:bidi="ar-SA"/>
              </w:rPr>
              <w:tab/>
            </w:r>
            <w:r w:rsidRPr="008514F2">
              <w:rPr>
                <w:rStyle w:val="Hyperlink"/>
                <w:noProof/>
              </w:rPr>
              <w:t>Identification of Large Observational Cohorts</w:t>
            </w:r>
            <w:r>
              <w:rPr>
                <w:noProof/>
                <w:webHidden/>
              </w:rPr>
              <w:tab/>
            </w:r>
            <w:r>
              <w:rPr>
                <w:noProof/>
                <w:webHidden/>
              </w:rPr>
              <w:fldChar w:fldCharType="begin"/>
            </w:r>
            <w:r>
              <w:rPr>
                <w:noProof/>
                <w:webHidden/>
              </w:rPr>
              <w:instrText xml:space="preserve"> PAGEREF _Toc379467605 \h </w:instrText>
            </w:r>
            <w:r>
              <w:rPr>
                <w:noProof/>
                <w:webHidden/>
              </w:rPr>
            </w:r>
            <w:r>
              <w:rPr>
                <w:noProof/>
                <w:webHidden/>
              </w:rPr>
              <w:fldChar w:fldCharType="separate"/>
            </w:r>
            <w:r w:rsidR="004911B7">
              <w:rPr>
                <w:noProof/>
                <w:webHidden/>
              </w:rPr>
              <w:t>89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06" w:history="1">
            <w:r w:rsidRPr="008514F2">
              <w:rPr>
                <w:rStyle w:val="Hyperlink"/>
                <w:noProof/>
              </w:rPr>
              <w:t>4.4</w:t>
            </w:r>
            <w:r>
              <w:rPr>
                <w:rFonts w:asciiTheme="minorHAnsi" w:hAnsiTheme="minorHAnsi" w:cstheme="minorBidi"/>
                <w:b w:val="0"/>
                <w:bCs w:val="0"/>
                <w:noProof/>
                <w:szCs w:val="22"/>
                <w:lang w:eastAsia="zh-CN" w:bidi="ar-SA"/>
              </w:rPr>
              <w:tab/>
            </w:r>
            <w:r w:rsidRPr="008514F2">
              <w:rPr>
                <w:rStyle w:val="Hyperlink"/>
                <w:noProof/>
              </w:rPr>
              <w:t>Conclusion</w:t>
            </w:r>
            <w:r>
              <w:rPr>
                <w:noProof/>
                <w:webHidden/>
              </w:rPr>
              <w:tab/>
            </w:r>
            <w:r>
              <w:rPr>
                <w:noProof/>
                <w:webHidden/>
              </w:rPr>
              <w:fldChar w:fldCharType="begin"/>
            </w:r>
            <w:r>
              <w:rPr>
                <w:noProof/>
                <w:webHidden/>
              </w:rPr>
              <w:instrText xml:space="preserve"> PAGEREF _Toc379467606 \h </w:instrText>
            </w:r>
            <w:r>
              <w:rPr>
                <w:noProof/>
                <w:webHidden/>
              </w:rPr>
            </w:r>
            <w:r>
              <w:rPr>
                <w:noProof/>
                <w:webHidden/>
              </w:rPr>
              <w:fldChar w:fldCharType="separate"/>
            </w:r>
            <w:r w:rsidR="004911B7">
              <w:rPr>
                <w:noProof/>
                <w:webHidden/>
              </w:rPr>
              <w:t>90</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607" w:history="1">
            <w:r w:rsidRPr="008514F2">
              <w:rPr>
                <w:rStyle w:val="Hyperlink"/>
                <w:noProof/>
              </w:rPr>
              <w:t>5</w:t>
            </w:r>
            <w:r>
              <w:rPr>
                <w:rFonts w:asciiTheme="minorHAnsi" w:hAnsiTheme="minorHAnsi" w:cstheme="minorBidi"/>
                <w:b w:val="0"/>
                <w:bCs w:val="0"/>
                <w:caps w:val="0"/>
                <w:noProof/>
                <w:sz w:val="22"/>
                <w:szCs w:val="22"/>
                <w:lang w:eastAsia="zh-CN" w:bidi="ar-SA"/>
              </w:rPr>
              <w:tab/>
            </w:r>
            <w:r w:rsidRPr="008514F2">
              <w:rPr>
                <w:rStyle w:val="Hyperlink"/>
                <w:noProof/>
              </w:rPr>
              <w:t>Chapter 5: Developing A Model for the Natural History Of SLE</w:t>
            </w:r>
            <w:r>
              <w:rPr>
                <w:noProof/>
                <w:webHidden/>
              </w:rPr>
              <w:tab/>
            </w:r>
            <w:r>
              <w:rPr>
                <w:noProof/>
                <w:webHidden/>
              </w:rPr>
              <w:fldChar w:fldCharType="begin"/>
            </w:r>
            <w:r>
              <w:rPr>
                <w:noProof/>
                <w:webHidden/>
              </w:rPr>
              <w:instrText xml:space="preserve"> PAGEREF _Toc379467607 \h </w:instrText>
            </w:r>
            <w:r>
              <w:rPr>
                <w:noProof/>
                <w:webHidden/>
              </w:rPr>
            </w:r>
            <w:r>
              <w:rPr>
                <w:noProof/>
                <w:webHidden/>
              </w:rPr>
              <w:fldChar w:fldCharType="separate"/>
            </w:r>
            <w:r w:rsidR="004911B7">
              <w:rPr>
                <w:noProof/>
                <w:webHidden/>
              </w:rPr>
              <w:t>91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08" w:history="1">
            <w:r w:rsidRPr="008514F2">
              <w:rPr>
                <w:rStyle w:val="Hyperlink"/>
                <w:noProof/>
              </w:rPr>
              <w:t>5.1</w:t>
            </w:r>
            <w:r>
              <w:rPr>
                <w:rFonts w:asciiTheme="minorHAnsi" w:hAnsiTheme="minorHAnsi" w:cstheme="minorBidi"/>
                <w:b w:val="0"/>
                <w:bCs w:val="0"/>
                <w:noProof/>
                <w:szCs w:val="22"/>
                <w:lang w:eastAsia="zh-CN" w:bidi="ar-SA"/>
              </w:rPr>
              <w:tab/>
            </w:r>
            <w:r w:rsidRPr="008514F2">
              <w:rPr>
                <w:rStyle w:val="Hyperlink"/>
                <w:noProof/>
              </w:rPr>
              <w:t>Methods</w:t>
            </w:r>
            <w:r>
              <w:rPr>
                <w:noProof/>
                <w:webHidden/>
              </w:rPr>
              <w:tab/>
            </w:r>
            <w:r>
              <w:rPr>
                <w:noProof/>
                <w:webHidden/>
              </w:rPr>
              <w:fldChar w:fldCharType="begin"/>
            </w:r>
            <w:r>
              <w:rPr>
                <w:noProof/>
                <w:webHidden/>
              </w:rPr>
              <w:instrText xml:space="preserve"> PAGEREF _Toc379467608 \h </w:instrText>
            </w:r>
            <w:r>
              <w:rPr>
                <w:noProof/>
                <w:webHidden/>
              </w:rPr>
            </w:r>
            <w:r>
              <w:rPr>
                <w:noProof/>
                <w:webHidden/>
              </w:rPr>
              <w:fldChar w:fldCharType="separate"/>
            </w:r>
            <w:r w:rsidR="004911B7">
              <w:rPr>
                <w:noProof/>
                <w:webHidden/>
              </w:rPr>
              <w:t>92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09" w:history="1">
            <w:r w:rsidRPr="008514F2">
              <w:rPr>
                <w:rStyle w:val="Hyperlink"/>
                <w:noProof/>
              </w:rPr>
              <w:t>5.1.1</w:t>
            </w:r>
            <w:r>
              <w:rPr>
                <w:rFonts w:asciiTheme="minorHAnsi" w:hAnsiTheme="minorHAnsi" w:cstheme="minorBidi"/>
                <w:noProof/>
                <w:sz w:val="22"/>
                <w:szCs w:val="22"/>
                <w:lang w:eastAsia="zh-CN" w:bidi="ar-SA"/>
              </w:rPr>
              <w:tab/>
            </w:r>
            <w:r w:rsidRPr="008514F2">
              <w:rPr>
                <w:rStyle w:val="Hyperlink"/>
                <w:noProof/>
              </w:rPr>
              <w:t>Patient Population</w:t>
            </w:r>
            <w:r>
              <w:rPr>
                <w:noProof/>
                <w:webHidden/>
              </w:rPr>
              <w:tab/>
            </w:r>
            <w:r>
              <w:rPr>
                <w:noProof/>
                <w:webHidden/>
              </w:rPr>
              <w:fldChar w:fldCharType="begin"/>
            </w:r>
            <w:r>
              <w:rPr>
                <w:noProof/>
                <w:webHidden/>
              </w:rPr>
              <w:instrText xml:space="preserve"> PAGEREF _Toc379467609 \h </w:instrText>
            </w:r>
            <w:r>
              <w:rPr>
                <w:noProof/>
                <w:webHidden/>
              </w:rPr>
            </w:r>
            <w:r>
              <w:rPr>
                <w:noProof/>
                <w:webHidden/>
              </w:rPr>
              <w:fldChar w:fldCharType="separate"/>
            </w:r>
            <w:r w:rsidR="004911B7">
              <w:rPr>
                <w:noProof/>
                <w:webHidden/>
              </w:rPr>
              <w:t>92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0" w:history="1">
            <w:r w:rsidRPr="008514F2">
              <w:rPr>
                <w:rStyle w:val="Hyperlink"/>
                <w:noProof/>
              </w:rPr>
              <w:t>5.1.2</w:t>
            </w:r>
            <w:r>
              <w:rPr>
                <w:rFonts w:asciiTheme="minorHAnsi" w:hAnsiTheme="minorHAnsi" w:cstheme="minorBidi"/>
                <w:noProof/>
                <w:sz w:val="22"/>
                <w:szCs w:val="22"/>
                <w:lang w:eastAsia="zh-CN" w:bidi="ar-SA"/>
              </w:rPr>
              <w:tab/>
            </w:r>
            <w:r w:rsidRPr="008514F2">
              <w:rPr>
                <w:rStyle w:val="Hyperlink"/>
                <w:noProof/>
              </w:rPr>
              <w:t>Analysis Plan</w:t>
            </w:r>
            <w:r>
              <w:rPr>
                <w:noProof/>
                <w:webHidden/>
              </w:rPr>
              <w:tab/>
            </w:r>
            <w:r>
              <w:rPr>
                <w:noProof/>
                <w:webHidden/>
              </w:rPr>
              <w:fldChar w:fldCharType="begin"/>
            </w:r>
            <w:r>
              <w:rPr>
                <w:noProof/>
                <w:webHidden/>
              </w:rPr>
              <w:instrText xml:space="preserve"> PAGEREF _Toc379467610 \h </w:instrText>
            </w:r>
            <w:r>
              <w:rPr>
                <w:noProof/>
                <w:webHidden/>
              </w:rPr>
            </w:r>
            <w:r>
              <w:rPr>
                <w:noProof/>
                <w:webHidden/>
              </w:rPr>
              <w:fldChar w:fldCharType="separate"/>
            </w:r>
            <w:r w:rsidR="004911B7">
              <w:rPr>
                <w:noProof/>
                <w:webHidden/>
              </w:rPr>
              <w:t>92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1" w:history="1">
            <w:r w:rsidRPr="008514F2">
              <w:rPr>
                <w:rStyle w:val="Hyperlink"/>
                <w:noProof/>
              </w:rPr>
              <w:t>5.1.3</w:t>
            </w:r>
            <w:r>
              <w:rPr>
                <w:rFonts w:asciiTheme="minorHAnsi" w:hAnsiTheme="minorHAnsi" w:cstheme="minorBidi"/>
                <w:noProof/>
                <w:sz w:val="22"/>
                <w:szCs w:val="22"/>
                <w:lang w:eastAsia="zh-CN" w:bidi="ar-SA"/>
              </w:rPr>
              <w:tab/>
            </w:r>
            <w:r w:rsidRPr="008514F2">
              <w:rPr>
                <w:rStyle w:val="Hyperlink"/>
                <w:noProof/>
              </w:rPr>
              <w:t>SPecification of the Dependent Variables</w:t>
            </w:r>
            <w:r>
              <w:rPr>
                <w:noProof/>
                <w:webHidden/>
              </w:rPr>
              <w:tab/>
            </w:r>
            <w:r>
              <w:rPr>
                <w:noProof/>
                <w:webHidden/>
              </w:rPr>
              <w:fldChar w:fldCharType="begin"/>
            </w:r>
            <w:r>
              <w:rPr>
                <w:noProof/>
                <w:webHidden/>
              </w:rPr>
              <w:instrText xml:space="preserve"> PAGEREF _Toc379467611 \h </w:instrText>
            </w:r>
            <w:r>
              <w:rPr>
                <w:noProof/>
                <w:webHidden/>
              </w:rPr>
            </w:r>
            <w:r>
              <w:rPr>
                <w:noProof/>
                <w:webHidden/>
              </w:rPr>
              <w:fldChar w:fldCharType="separate"/>
            </w:r>
            <w:r w:rsidR="004911B7">
              <w:rPr>
                <w:noProof/>
                <w:webHidden/>
              </w:rPr>
              <w:t>94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2" w:history="1">
            <w:r w:rsidRPr="008514F2">
              <w:rPr>
                <w:rStyle w:val="Hyperlink"/>
                <w:noProof/>
              </w:rPr>
              <w:t>5.1.4</w:t>
            </w:r>
            <w:r>
              <w:rPr>
                <w:rFonts w:asciiTheme="minorHAnsi" w:hAnsiTheme="minorHAnsi" w:cstheme="minorBidi"/>
                <w:noProof/>
                <w:sz w:val="22"/>
                <w:szCs w:val="22"/>
                <w:lang w:eastAsia="zh-CN" w:bidi="ar-SA"/>
              </w:rPr>
              <w:tab/>
            </w:r>
            <w:r w:rsidRPr="008514F2">
              <w:rPr>
                <w:rStyle w:val="Hyperlink"/>
                <w:noProof/>
              </w:rPr>
              <w:t>Covariate Measures</w:t>
            </w:r>
            <w:r>
              <w:rPr>
                <w:noProof/>
                <w:webHidden/>
              </w:rPr>
              <w:tab/>
            </w:r>
            <w:r>
              <w:rPr>
                <w:noProof/>
                <w:webHidden/>
              </w:rPr>
              <w:fldChar w:fldCharType="begin"/>
            </w:r>
            <w:r>
              <w:rPr>
                <w:noProof/>
                <w:webHidden/>
              </w:rPr>
              <w:instrText xml:space="preserve"> PAGEREF _Toc379467612 \h </w:instrText>
            </w:r>
            <w:r>
              <w:rPr>
                <w:noProof/>
                <w:webHidden/>
              </w:rPr>
            </w:r>
            <w:r>
              <w:rPr>
                <w:noProof/>
                <w:webHidden/>
              </w:rPr>
              <w:fldChar w:fldCharType="separate"/>
            </w:r>
            <w:r w:rsidR="004911B7">
              <w:rPr>
                <w:noProof/>
                <w:webHidden/>
              </w:rPr>
              <w:t>97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3" w:history="1">
            <w:r w:rsidRPr="008514F2">
              <w:rPr>
                <w:rStyle w:val="Hyperlink"/>
                <w:noProof/>
              </w:rPr>
              <w:t>5.1.5</w:t>
            </w:r>
            <w:r>
              <w:rPr>
                <w:rFonts w:asciiTheme="minorHAnsi" w:hAnsiTheme="minorHAnsi" w:cstheme="minorBidi"/>
                <w:noProof/>
                <w:sz w:val="22"/>
                <w:szCs w:val="22"/>
                <w:lang w:eastAsia="zh-CN" w:bidi="ar-SA"/>
              </w:rPr>
              <w:tab/>
            </w:r>
            <w:r w:rsidRPr="008514F2">
              <w:rPr>
                <w:rStyle w:val="Hyperlink"/>
                <w:noProof/>
              </w:rPr>
              <w:t>Statistical Models</w:t>
            </w:r>
            <w:r>
              <w:rPr>
                <w:noProof/>
                <w:webHidden/>
              </w:rPr>
              <w:tab/>
            </w:r>
            <w:r>
              <w:rPr>
                <w:noProof/>
                <w:webHidden/>
              </w:rPr>
              <w:fldChar w:fldCharType="begin"/>
            </w:r>
            <w:r>
              <w:rPr>
                <w:noProof/>
                <w:webHidden/>
              </w:rPr>
              <w:instrText xml:space="preserve"> PAGEREF _Toc379467613 \h </w:instrText>
            </w:r>
            <w:r>
              <w:rPr>
                <w:noProof/>
                <w:webHidden/>
              </w:rPr>
            </w:r>
            <w:r>
              <w:rPr>
                <w:noProof/>
                <w:webHidden/>
              </w:rPr>
              <w:fldChar w:fldCharType="separate"/>
            </w:r>
            <w:r w:rsidR="004911B7">
              <w:rPr>
                <w:noProof/>
                <w:webHidden/>
              </w:rPr>
              <w:t>101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4" w:history="1">
            <w:r w:rsidRPr="008514F2">
              <w:rPr>
                <w:rStyle w:val="Hyperlink"/>
                <w:noProof/>
              </w:rPr>
              <w:t>5.1.6</w:t>
            </w:r>
            <w:r>
              <w:rPr>
                <w:rFonts w:asciiTheme="minorHAnsi" w:hAnsiTheme="minorHAnsi" w:cstheme="minorBidi"/>
                <w:noProof/>
                <w:sz w:val="22"/>
                <w:szCs w:val="22"/>
                <w:lang w:eastAsia="zh-CN" w:bidi="ar-SA"/>
              </w:rPr>
              <w:tab/>
            </w:r>
            <w:r w:rsidRPr="008514F2">
              <w:rPr>
                <w:rStyle w:val="Hyperlink"/>
                <w:noProof/>
              </w:rPr>
              <w:t>Statistical Model Validation</w:t>
            </w:r>
            <w:r>
              <w:rPr>
                <w:noProof/>
                <w:webHidden/>
              </w:rPr>
              <w:tab/>
            </w:r>
            <w:r>
              <w:rPr>
                <w:noProof/>
                <w:webHidden/>
              </w:rPr>
              <w:fldChar w:fldCharType="begin"/>
            </w:r>
            <w:r>
              <w:rPr>
                <w:noProof/>
                <w:webHidden/>
              </w:rPr>
              <w:instrText xml:space="preserve"> PAGEREF _Toc379467614 \h </w:instrText>
            </w:r>
            <w:r>
              <w:rPr>
                <w:noProof/>
                <w:webHidden/>
              </w:rPr>
            </w:r>
            <w:r>
              <w:rPr>
                <w:noProof/>
                <w:webHidden/>
              </w:rPr>
              <w:fldChar w:fldCharType="separate"/>
            </w:r>
            <w:r w:rsidR="004911B7">
              <w:rPr>
                <w:noProof/>
                <w:webHidden/>
              </w:rPr>
              <w:t>105</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15" w:history="1">
            <w:r w:rsidRPr="008514F2">
              <w:rPr>
                <w:rStyle w:val="Hyperlink"/>
                <w:noProof/>
              </w:rPr>
              <w:t>5.2</w:t>
            </w:r>
            <w:r>
              <w:rPr>
                <w:rFonts w:asciiTheme="minorHAnsi" w:hAnsiTheme="minorHAnsi" w:cstheme="minorBidi"/>
                <w:b w:val="0"/>
                <w:bCs w:val="0"/>
                <w:noProof/>
                <w:szCs w:val="22"/>
                <w:lang w:eastAsia="zh-CN" w:bidi="ar-SA"/>
              </w:rPr>
              <w:tab/>
            </w:r>
            <w:r w:rsidRPr="008514F2">
              <w:rPr>
                <w:rStyle w:val="Hyperlink"/>
                <w:noProof/>
              </w:rPr>
              <w:t>Results</w:t>
            </w:r>
            <w:r>
              <w:rPr>
                <w:noProof/>
                <w:webHidden/>
              </w:rPr>
              <w:tab/>
            </w:r>
            <w:r>
              <w:rPr>
                <w:noProof/>
                <w:webHidden/>
              </w:rPr>
              <w:fldChar w:fldCharType="begin"/>
            </w:r>
            <w:r>
              <w:rPr>
                <w:noProof/>
                <w:webHidden/>
              </w:rPr>
              <w:instrText xml:space="preserve"> PAGEREF _Toc379467615 \h </w:instrText>
            </w:r>
            <w:r>
              <w:rPr>
                <w:noProof/>
                <w:webHidden/>
              </w:rPr>
            </w:r>
            <w:r>
              <w:rPr>
                <w:noProof/>
                <w:webHidden/>
              </w:rPr>
              <w:fldChar w:fldCharType="separate"/>
            </w:r>
            <w:r w:rsidR="004911B7">
              <w:rPr>
                <w:noProof/>
                <w:webHidden/>
              </w:rPr>
              <w:t>105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6" w:history="1">
            <w:r w:rsidRPr="008514F2">
              <w:rPr>
                <w:rStyle w:val="Hyperlink"/>
                <w:noProof/>
              </w:rPr>
              <w:t>5.2.1</w:t>
            </w:r>
            <w:r>
              <w:rPr>
                <w:rFonts w:asciiTheme="minorHAnsi" w:hAnsiTheme="minorHAnsi" w:cstheme="minorBidi"/>
                <w:noProof/>
                <w:sz w:val="22"/>
                <w:szCs w:val="22"/>
                <w:lang w:eastAsia="zh-CN" w:bidi="ar-SA"/>
              </w:rPr>
              <w:tab/>
            </w:r>
            <w:r w:rsidRPr="008514F2">
              <w:rPr>
                <w:rStyle w:val="Hyperlink"/>
                <w:noProof/>
              </w:rPr>
              <w:t>Baseline characteristics</w:t>
            </w:r>
            <w:r>
              <w:rPr>
                <w:noProof/>
                <w:webHidden/>
              </w:rPr>
              <w:tab/>
            </w:r>
            <w:r>
              <w:rPr>
                <w:noProof/>
                <w:webHidden/>
              </w:rPr>
              <w:fldChar w:fldCharType="begin"/>
            </w:r>
            <w:r>
              <w:rPr>
                <w:noProof/>
                <w:webHidden/>
              </w:rPr>
              <w:instrText xml:space="preserve"> PAGEREF _Toc379467616 \h </w:instrText>
            </w:r>
            <w:r>
              <w:rPr>
                <w:noProof/>
                <w:webHidden/>
              </w:rPr>
            </w:r>
            <w:r>
              <w:rPr>
                <w:noProof/>
                <w:webHidden/>
              </w:rPr>
              <w:fldChar w:fldCharType="separate"/>
            </w:r>
            <w:r w:rsidR="004911B7">
              <w:rPr>
                <w:noProof/>
                <w:webHidden/>
              </w:rPr>
              <w:t>105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7" w:history="1">
            <w:r w:rsidRPr="008514F2">
              <w:rPr>
                <w:rStyle w:val="Hyperlink"/>
                <w:noProof/>
              </w:rPr>
              <w:t>5.2.2</w:t>
            </w:r>
            <w:r>
              <w:rPr>
                <w:rFonts w:asciiTheme="minorHAnsi" w:hAnsiTheme="minorHAnsi" w:cstheme="minorBidi"/>
                <w:noProof/>
                <w:sz w:val="22"/>
                <w:szCs w:val="22"/>
                <w:lang w:eastAsia="zh-CN" w:bidi="ar-SA"/>
              </w:rPr>
              <w:tab/>
            </w:r>
            <w:r w:rsidRPr="008514F2">
              <w:rPr>
                <w:rStyle w:val="Hyperlink"/>
                <w:noProof/>
              </w:rPr>
              <w:t>Results of Analysis of SLEDAI Items and Steroid dose</w:t>
            </w:r>
            <w:r>
              <w:rPr>
                <w:noProof/>
                <w:webHidden/>
              </w:rPr>
              <w:tab/>
            </w:r>
            <w:r>
              <w:rPr>
                <w:noProof/>
                <w:webHidden/>
              </w:rPr>
              <w:fldChar w:fldCharType="begin"/>
            </w:r>
            <w:r>
              <w:rPr>
                <w:noProof/>
                <w:webHidden/>
              </w:rPr>
              <w:instrText xml:space="preserve"> PAGEREF _Toc379467617 \h </w:instrText>
            </w:r>
            <w:r>
              <w:rPr>
                <w:noProof/>
                <w:webHidden/>
              </w:rPr>
            </w:r>
            <w:r>
              <w:rPr>
                <w:noProof/>
                <w:webHidden/>
              </w:rPr>
              <w:fldChar w:fldCharType="separate"/>
            </w:r>
            <w:r w:rsidR="004911B7">
              <w:rPr>
                <w:noProof/>
                <w:webHidden/>
              </w:rPr>
              <w:t>106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8" w:history="1">
            <w:r w:rsidRPr="008514F2">
              <w:rPr>
                <w:rStyle w:val="Hyperlink"/>
                <w:noProof/>
              </w:rPr>
              <w:t>5.2.3</w:t>
            </w:r>
            <w:r>
              <w:rPr>
                <w:rFonts w:asciiTheme="minorHAnsi" w:hAnsiTheme="minorHAnsi" w:cstheme="minorBidi"/>
                <w:noProof/>
                <w:sz w:val="22"/>
                <w:szCs w:val="22"/>
                <w:lang w:eastAsia="zh-CN" w:bidi="ar-SA"/>
              </w:rPr>
              <w:tab/>
            </w:r>
            <w:r w:rsidRPr="008514F2">
              <w:rPr>
                <w:rStyle w:val="Hyperlink"/>
                <w:noProof/>
              </w:rPr>
              <w:t>Results of Average SLEDAI and Average Steroid dose</w:t>
            </w:r>
            <w:r>
              <w:rPr>
                <w:noProof/>
                <w:webHidden/>
              </w:rPr>
              <w:tab/>
            </w:r>
            <w:r>
              <w:rPr>
                <w:noProof/>
                <w:webHidden/>
              </w:rPr>
              <w:fldChar w:fldCharType="begin"/>
            </w:r>
            <w:r>
              <w:rPr>
                <w:noProof/>
                <w:webHidden/>
              </w:rPr>
              <w:instrText xml:space="preserve"> PAGEREF _Toc379467618 \h </w:instrText>
            </w:r>
            <w:r>
              <w:rPr>
                <w:noProof/>
                <w:webHidden/>
              </w:rPr>
            </w:r>
            <w:r>
              <w:rPr>
                <w:noProof/>
                <w:webHidden/>
              </w:rPr>
              <w:fldChar w:fldCharType="separate"/>
            </w:r>
            <w:r w:rsidR="004911B7">
              <w:rPr>
                <w:noProof/>
                <w:webHidden/>
              </w:rPr>
              <w:t>111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19" w:history="1">
            <w:r w:rsidRPr="008514F2">
              <w:rPr>
                <w:rStyle w:val="Hyperlink"/>
                <w:noProof/>
              </w:rPr>
              <w:t>5.2.4</w:t>
            </w:r>
            <w:r>
              <w:rPr>
                <w:rFonts w:asciiTheme="minorHAnsi" w:hAnsiTheme="minorHAnsi" w:cstheme="minorBidi"/>
                <w:noProof/>
                <w:sz w:val="22"/>
                <w:szCs w:val="22"/>
                <w:lang w:eastAsia="zh-CN" w:bidi="ar-SA"/>
              </w:rPr>
              <w:tab/>
            </w:r>
            <w:r w:rsidRPr="008514F2">
              <w:rPr>
                <w:rStyle w:val="Hyperlink"/>
                <w:noProof/>
              </w:rPr>
              <w:t>Results of Mortality and Organ Damage</w:t>
            </w:r>
            <w:r>
              <w:rPr>
                <w:noProof/>
                <w:webHidden/>
              </w:rPr>
              <w:tab/>
            </w:r>
            <w:r>
              <w:rPr>
                <w:noProof/>
                <w:webHidden/>
              </w:rPr>
              <w:fldChar w:fldCharType="begin"/>
            </w:r>
            <w:r>
              <w:rPr>
                <w:noProof/>
                <w:webHidden/>
              </w:rPr>
              <w:instrText xml:space="preserve"> PAGEREF _Toc379467619 \h </w:instrText>
            </w:r>
            <w:r>
              <w:rPr>
                <w:noProof/>
                <w:webHidden/>
              </w:rPr>
            </w:r>
            <w:r>
              <w:rPr>
                <w:noProof/>
                <w:webHidden/>
              </w:rPr>
              <w:fldChar w:fldCharType="separate"/>
            </w:r>
            <w:r w:rsidR="004911B7">
              <w:rPr>
                <w:noProof/>
                <w:webHidden/>
              </w:rPr>
              <w:t>114</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20" w:history="1">
            <w:r w:rsidRPr="008514F2">
              <w:rPr>
                <w:rStyle w:val="Hyperlink"/>
                <w:noProof/>
              </w:rPr>
              <w:t>5.3</w:t>
            </w:r>
            <w:r>
              <w:rPr>
                <w:rFonts w:asciiTheme="minorHAnsi" w:hAnsiTheme="minorHAnsi" w:cstheme="minorBidi"/>
                <w:b w:val="0"/>
                <w:bCs w:val="0"/>
                <w:noProof/>
                <w:szCs w:val="22"/>
                <w:lang w:eastAsia="zh-CN" w:bidi="ar-SA"/>
              </w:rPr>
              <w:tab/>
            </w:r>
            <w:r w:rsidRPr="008514F2">
              <w:rPr>
                <w:rStyle w:val="Hyperlink"/>
                <w:noProof/>
              </w:rPr>
              <w:t>Simulation Validation Exercises</w:t>
            </w:r>
            <w:r>
              <w:rPr>
                <w:noProof/>
                <w:webHidden/>
              </w:rPr>
              <w:tab/>
            </w:r>
            <w:r>
              <w:rPr>
                <w:noProof/>
                <w:webHidden/>
              </w:rPr>
              <w:fldChar w:fldCharType="begin"/>
            </w:r>
            <w:r>
              <w:rPr>
                <w:noProof/>
                <w:webHidden/>
              </w:rPr>
              <w:instrText xml:space="preserve"> PAGEREF _Toc379467620 \h </w:instrText>
            </w:r>
            <w:r>
              <w:rPr>
                <w:noProof/>
                <w:webHidden/>
              </w:rPr>
            </w:r>
            <w:r>
              <w:rPr>
                <w:noProof/>
                <w:webHidden/>
              </w:rPr>
              <w:fldChar w:fldCharType="separate"/>
            </w:r>
            <w:r w:rsidR="004911B7">
              <w:rPr>
                <w:noProof/>
                <w:webHidden/>
              </w:rPr>
              <w:t>121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1" w:history="1">
            <w:r w:rsidRPr="008514F2">
              <w:rPr>
                <w:rStyle w:val="Hyperlink"/>
                <w:noProof/>
              </w:rPr>
              <w:t>5.3.1</w:t>
            </w:r>
            <w:r>
              <w:rPr>
                <w:rFonts w:asciiTheme="minorHAnsi" w:hAnsiTheme="minorHAnsi" w:cstheme="minorBidi"/>
                <w:noProof/>
                <w:sz w:val="22"/>
                <w:szCs w:val="22"/>
                <w:lang w:eastAsia="zh-CN" w:bidi="ar-SA"/>
              </w:rPr>
              <w:tab/>
            </w:r>
            <w:r w:rsidRPr="008514F2">
              <w:rPr>
                <w:rStyle w:val="Hyperlink"/>
                <w:noProof/>
              </w:rPr>
              <w:t>Validation of Longitudinal SLEDAI Scores Against Hopkins Lupus COhort</w:t>
            </w:r>
            <w:r>
              <w:rPr>
                <w:noProof/>
                <w:webHidden/>
              </w:rPr>
              <w:tab/>
            </w:r>
            <w:r>
              <w:rPr>
                <w:noProof/>
                <w:webHidden/>
              </w:rPr>
              <w:fldChar w:fldCharType="begin"/>
            </w:r>
            <w:r>
              <w:rPr>
                <w:noProof/>
                <w:webHidden/>
              </w:rPr>
              <w:instrText xml:space="preserve"> PAGEREF _Toc379467621 \h </w:instrText>
            </w:r>
            <w:r>
              <w:rPr>
                <w:noProof/>
                <w:webHidden/>
              </w:rPr>
            </w:r>
            <w:r>
              <w:rPr>
                <w:noProof/>
                <w:webHidden/>
              </w:rPr>
              <w:fldChar w:fldCharType="separate"/>
            </w:r>
            <w:r w:rsidR="004911B7">
              <w:rPr>
                <w:noProof/>
                <w:webHidden/>
              </w:rPr>
              <w:t>121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2" w:history="1">
            <w:r w:rsidRPr="008514F2">
              <w:rPr>
                <w:rStyle w:val="Hyperlink"/>
                <w:noProof/>
              </w:rPr>
              <w:t>5.3.2</w:t>
            </w:r>
            <w:r>
              <w:rPr>
                <w:rFonts w:asciiTheme="minorHAnsi" w:hAnsiTheme="minorHAnsi" w:cstheme="minorBidi"/>
                <w:noProof/>
                <w:sz w:val="22"/>
                <w:szCs w:val="22"/>
                <w:lang w:eastAsia="zh-CN" w:bidi="ar-SA"/>
              </w:rPr>
              <w:tab/>
            </w:r>
            <w:r w:rsidRPr="008514F2">
              <w:rPr>
                <w:rStyle w:val="Hyperlink"/>
                <w:noProof/>
              </w:rPr>
              <w:t>Validation of Organ Damage Accrual Against Hopkins Lupus Cohort and the Toronto Lupus Cohort</w:t>
            </w:r>
            <w:r>
              <w:rPr>
                <w:noProof/>
                <w:webHidden/>
              </w:rPr>
              <w:tab/>
            </w:r>
            <w:r>
              <w:rPr>
                <w:noProof/>
                <w:webHidden/>
              </w:rPr>
              <w:fldChar w:fldCharType="begin"/>
            </w:r>
            <w:r>
              <w:rPr>
                <w:noProof/>
                <w:webHidden/>
              </w:rPr>
              <w:instrText xml:space="preserve"> PAGEREF _Toc379467622 \h </w:instrText>
            </w:r>
            <w:r>
              <w:rPr>
                <w:noProof/>
                <w:webHidden/>
              </w:rPr>
            </w:r>
            <w:r>
              <w:rPr>
                <w:noProof/>
                <w:webHidden/>
              </w:rPr>
              <w:fldChar w:fldCharType="separate"/>
            </w:r>
            <w:r w:rsidR="004911B7">
              <w:rPr>
                <w:noProof/>
                <w:webHidden/>
              </w:rPr>
              <w:t>123</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23" w:history="1">
            <w:r w:rsidRPr="008514F2">
              <w:rPr>
                <w:rStyle w:val="Hyperlink"/>
                <w:noProof/>
              </w:rPr>
              <w:t>5.4</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_Toc379467623 \h </w:instrText>
            </w:r>
            <w:r>
              <w:rPr>
                <w:noProof/>
                <w:webHidden/>
              </w:rPr>
            </w:r>
            <w:r>
              <w:rPr>
                <w:noProof/>
                <w:webHidden/>
              </w:rPr>
              <w:fldChar w:fldCharType="separate"/>
            </w:r>
            <w:r w:rsidR="004911B7">
              <w:rPr>
                <w:noProof/>
                <w:webHidden/>
              </w:rPr>
              <w:t>124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4" w:history="1">
            <w:r w:rsidRPr="008514F2">
              <w:rPr>
                <w:rStyle w:val="Hyperlink"/>
                <w:noProof/>
              </w:rPr>
              <w:t>5.4.1</w:t>
            </w:r>
            <w:r>
              <w:rPr>
                <w:rFonts w:asciiTheme="minorHAnsi" w:hAnsiTheme="minorHAnsi" w:cstheme="minorBidi"/>
                <w:noProof/>
                <w:sz w:val="22"/>
                <w:szCs w:val="22"/>
                <w:lang w:eastAsia="zh-CN" w:bidi="ar-SA"/>
              </w:rPr>
              <w:tab/>
            </w:r>
            <w:r w:rsidRPr="008514F2">
              <w:rPr>
                <w:rStyle w:val="Hyperlink"/>
                <w:noProof/>
              </w:rPr>
              <w:t>Summary of the Key Findings of the SLEDAI Item and Steroid Model, Annual Disease Activity and Steroid Models and Organ damage and Mortality Models</w:t>
            </w:r>
            <w:r>
              <w:rPr>
                <w:noProof/>
                <w:webHidden/>
              </w:rPr>
              <w:tab/>
            </w:r>
            <w:r>
              <w:rPr>
                <w:noProof/>
                <w:webHidden/>
              </w:rPr>
              <w:fldChar w:fldCharType="begin"/>
            </w:r>
            <w:r>
              <w:rPr>
                <w:noProof/>
                <w:webHidden/>
              </w:rPr>
              <w:instrText xml:space="preserve"> PAGEREF _Toc379467624 \h </w:instrText>
            </w:r>
            <w:r>
              <w:rPr>
                <w:noProof/>
                <w:webHidden/>
              </w:rPr>
            </w:r>
            <w:r>
              <w:rPr>
                <w:noProof/>
                <w:webHidden/>
              </w:rPr>
              <w:fldChar w:fldCharType="separate"/>
            </w:r>
            <w:r w:rsidR="004911B7">
              <w:rPr>
                <w:noProof/>
                <w:webHidden/>
              </w:rPr>
              <w:t>124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5" w:history="1">
            <w:r w:rsidRPr="008514F2">
              <w:rPr>
                <w:rStyle w:val="Hyperlink"/>
                <w:noProof/>
              </w:rPr>
              <w:t>5.4.2</w:t>
            </w:r>
            <w:r>
              <w:rPr>
                <w:rFonts w:asciiTheme="minorHAnsi" w:hAnsiTheme="minorHAnsi" w:cstheme="minorBidi"/>
                <w:noProof/>
                <w:sz w:val="22"/>
                <w:szCs w:val="22"/>
                <w:lang w:eastAsia="zh-CN" w:bidi="ar-SA"/>
              </w:rPr>
              <w:tab/>
            </w:r>
            <w:r w:rsidRPr="008514F2">
              <w:rPr>
                <w:rStyle w:val="Hyperlink"/>
                <w:noProof/>
              </w:rPr>
              <w:t>Describing Disease Activity With the SLEDAI</w:t>
            </w:r>
            <w:r>
              <w:rPr>
                <w:noProof/>
                <w:webHidden/>
              </w:rPr>
              <w:tab/>
            </w:r>
            <w:r>
              <w:rPr>
                <w:noProof/>
                <w:webHidden/>
              </w:rPr>
              <w:fldChar w:fldCharType="begin"/>
            </w:r>
            <w:r>
              <w:rPr>
                <w:noProof/>
                <w:webHidden/>
              </w:rPr>
              <w:instrText xml:space="preserve"> PAGEREF _Toc379467625 \h </w:instrText>
            </w:r>
            <w:r>
              <w:rPr>
                <w:noProof/>
                <w:webHidden/>
              </w:rPr>
            </w:r>
            <w:r>
              <w:rPr>
                <w:noProof/>
                <w:webHidden/>
              </w:rPr>
              <w:fldChar w:fldCharType="separate"/>
            </w:r>
            <w:r w:rsidR="004911B7">
              <w:rPr>
                <w:noProof/>
                <w:webHidden/>
              </w:rPr>
              <w:t>125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6" w:history="1">
            <w:r w:rsidRPr="008514F2">
              <w:rPr>
                <w:rStyle w:val="Hyperlink"/>
                <w:noProof/>
              </w:rPr>
              <w:t>5.4.3</w:t>
            </w:r>
            <w:r>
              <w:rPr>
                <w:rFonts w:asciiTheme="minorHAnsi" w:hAnsiTheme="minorHAnsi" w:cstheme="minorBidi"/>
                <w:noProof/>
                <w:sz w:val="22"/>
                <w:szCs w:val="22"/>
                <w:lang w:eastAsia="zh-CN" w:bidi="ar-SA"/>
              </w:rPr>
              <w:tab/>
            </w:r>
            <w:r w:rsidRPr="008514F2">
              <w:rPr>
                <w:rStyle w:val="Hyperlink"/>
                <w:noProof/>
              </w:rPr>
              <w:t>The Validity of the Natural History Model</w:t>
            </w:r>
            <w:r>
              <w:rPr>
                <w:noProof/>
                <w:webHidden/>
              </w:rPr>
              <w:tab/>
            </w:r>
            <w:r>
              <w:rPr>
                <w:noProof/>
                <w:webHidden/>
              </w:rPr>
              <w:fldChar w:fldCharType="begin"/>
            </w:r>
            <w:r>
              <w:rPr>
                <w:noProof/>
                <w:webHidden/>
              </w:rPr>
              <w:instrText xml:space="preserve"> PAGEREF _Toc379467626 \h </w:instrText>
            </w:r>
            <w:r>
              <w:rPr>
                <w:noProof/>
                <w:webHidden/>
              </w:rPr>
            </w:r>
            <w:r>
              <w:rPr>
                <w:noProof/>
                <w:webHidden/>
              </w:rPr>
              <w:fldChar w:fldCharType="separate"/>
            </w:r>
            <w:r w:rsidR="004911B7">
              <w:rPr>
                <w:noProof/>
                <w:webHidden/>
              </w:rPr>
              <w:t>126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27" w:history="1">
            <w:r w:rsidRPr="008514F2">
              <w:rPr>
                <w:rStyle w:val="Hyperlink"/>
                <w:noProof/>
              </w:rPr>
              <w:t>5.4.4</w:t>
            </w:r>
            <w:r>
              <w:rPr>
                <w:rFonts w:asciiTheme="minorHAnsi" w:hAnsiTheme="minorHAnsi" w:cstheme="minorBidi"/>
                <w:noProof/>
                <w:sz w:val="22"/>
                <w:szCs w:val="22"/>
                <w:lang w:eastAsia="zh-CN" w:bidi="ar-SA"/>
              </w:rPr>
              <w:tab/>
            </w:r>
            <w:r w:rsidRPr="008514F2">
              <w:rPr>
                <w:rStyle w:val="Hyperlink"/>
                <w:noProof/>
              </w:rPr>
              <w:t>Limitations of the Statistical Methods</w:t>
            </w:r>
            <w:r>
              <w:rPr>
                <w:noProof/>
                <w:webHidden/>
              </w:rPr>
              <w:tab/>
            </w:r>
            <w:r>
              <w:rPr>
                <w:noProof/>
                <w:webHidden/>
              </w:rPr>
              <w:fldChar w:fldCharType="begin"/>
            </w:r>
            <w:r>
              <w:rPr>
                <w:noProof/>
                <w:webHidden/>
              </w:rPr>
              <w:instrText xml:space="preserve"> PAGEREF _Toc379467627 \h </w:instrText>
            </w:r>
            <w:r>
              <w:rPr>
                <w:noProof/>
                <w:webHidden/>
              </w:rPr>
            </w:r>
            <w:r>
              <w:rPr>
                <w:noProof/>
                <w:webHidden/>
              </w:rPr>
              <w:fldChar w:fldCharType="separate"/>
            </w:r>
            <w:r w:rsidR="004911B7">
              <w:rPr>
                <w:noProof/>
                <w:webHidden/>
              </w:rPr>
              <w:t>126</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28" w:history="1">
            <w:r w:rsidRPr="008514F2">
              <w:rPr>
                <w:rStyle w:val="Hyperlink"/>
                <w:noProof/>
              </w:rPr>
              <w:t>5.5</w:t>
            </w:r>
            <w:r>
              <w:rPr>
                <w:rFonts w:asciiTheme="minorHAnsi" w:hAnsiTheme="minorHAnsi" w:cstheme="minorBidi"/>
                <w:b w:val="0"/>
                <w:bCs w:val="0"/>
                <w:noProof/>
                <w:szCs w:val="22"/>
                <w:lang w:eastAsia="zh-CN" w:bidi="ar-SA"/>
              </w:rPr>
              <w:tab/>
            </w:r>
            <w:r w:rsidRPr="008514F2">
              <w:rPr>
                <w:rStyle w:val="Hyperlink"/>
                <w:noProof/>
              </w:rPr>
              <w:t>Conclusion</w:t>
            </w:r>
            <w:r>
              <w:rPr>
                <w:noProof/>
                <w:webHidden/>
              </w:rPr>
              <w:tab/>
            </w:r>
            <w:r>
              <w:rPr>
                <w:noProof/>
                <w:webHidden/>
              </w:rPr>
              <w:fldChar w:fldCharType="begin"/>
            </w:r>
            <w:r>
              <w:rPr>
                <w:noProof/>
                <w:webHidden/>
              </w:rPr>
              <w:instrText xml:space="preserve"> PAGEREF _Toc379467628 \h </w:instrText>
            </w:r>
            <w:r>
              <w:rPr>
                <w:noProof/>
                <w:webHidden/>
              </w:rPr>
            </w:r>
            <w:r>
              <w:rPr>
                <w:noProof/>
                <w:webHidden/>
              </w:rPr>
              <w:fldChar w:fldCharType="separate"/>
            </w:r>
            <w:r w:rsidR="004911B7">
              <w:rPr>
                <w:noProof/>
                <w:webHidden/>
              </w:rPr>
              <w:t>127</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629" w:history="1">
            <w:r w:rsidRPr="008514F2">
              <w:rPr>
                <w:rStyle w:val="Hyperlink"/>
                <w:noProof/>
              </w:rPr>
              <w:t>6</w:t>
            </w:r>
            <w:r>
              <w:rPr>
                <w:rFonts w:asciiTheme="minorHAnsi" w:hAnsiTheme="minorHAnsi" w:cstheme="minorBidi"/>
                <w:b w:val="0"/>
                <w:bCs w:val="0"/>
                <w:caps w:val="0"/>
                <w:noProof/>
                <w:sz w:val="22"/>
                <w:szCs w:val="22"/>
                <w:lang w:eastAsia="zh-CN" w:bidi="ar-SA"/>
              </w:rPr>
              <w:tab/>
            </w:r>
            <w:r w:rsidRPr="008514F2">
              <w:rPr>
                <w:rStyle w:val="Hyperlink"/>
                <w:noProof/>
              </w:rPr>
              <w:t>Chapter 6: The development of A Bayesian Clinical Trial Simulation for SLE Phase III trials</w:t>
            </w:r>
            <w:r>
              <w:rPr>
                <w:noProof/>
                <w:webHidden/>
              </w:rPr>
              <w:tab/>
            </w:r>
            <w:r>
              <w:rPr>
                <w:noProof/>
                <w:webHidden/>
              </w:rPr>
              <w:fldChar w:fldCharType="begin"/>
            </w:r>
            <w:r>
              <w:rPr>
                <w:noProof/>
                <w:webHidden/>
              </w:rPr>
              <w:instrText xml:space="preserve"> PAGEREF _Toc379467629 \h </w:instrText>
            </w:r>
            <w:r>
              <w:rPr>
                <w:noProof/>
                <w:webHidden/>
              </w:rPr>
            </w:r>
            <w:r>
              <w:rPr>
                <w:noProof/>
                <w:webHidden/>
              </w:rPr>
              <w:fldChar w:fldCharType="separate"/>
            </w:r>
            <w:r w:rsidR="004911B7">
              <w:rPr>
                <w:noProof/>
                <w:webHidden/>
              </w:rPr>
              <w:t>128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30" w:history="1">
            <w:r w:rsidRPr="008514F2">
              <w:rPr>
                <w:rStyle w:val="Hyperlink"/>
                <w:noProof/>
                <w:lang w:eastAsia="nl-NL"/>
              </w:rPr>
              <w:t>6.1</w:t>
            </w:r>
            <w:r>
              <w:rPr>
                <w:rFonts w:asciiTheme="minorHAnsi" w:hAnsiTheme="minorHAnsi" w:cstheme="minorBidi"/>
                <w:b w:val="0"/>
                <w:bCs w:val="0"/>
                <w:noProof/>
                <w:szCs w:val="22"/>
                <w:lang w:eastAsia="zh-CN" w:bidi="ar-SA"/>
              </w:rPr>
              <w:tab/>
            </w:r>
            <w:r w:rsidRPr="008514F2">
              <w:rPr>
                <w:rStyle w:val="Hyperlink"/>
                <w:noProof/>
                <w:lang w:eastAsia="nl-NL"/>
              </w:rPr>
              <w:t>Model Structure</w:t>
            </w:r>
            <w:r>
              <w:rPr>
                <w:noProof/>
                <w:webHidden/>
              </w:rPr>
              <w:tab/>
            </w:r>
            <w:r>
              <w:rPr>
                <w:noProof/>
                <w:webHidden/>
              </w:rPr>
              <w:fldChar w:fldCharType="begin"/>
            </w:r>
            <w:r>
              <w:rPr>
                <w:noProof/>
                <w:webHidden/>
              </w:rPr>
              <w:instrText xml:space="preserve"> PAGEREF _Toc379467630 \h </w:instrText>
            </w:r>
            <w:r>
              <w:rPr>
                <w:noProof/>
                <w:webHidden/>
              </w:rPr>
            </w:r>
            <w:r>
              <w:rPr>
                <w:noProof/>
                <w:webHidden/>
              </w:rPr>
              <w:fldChar w:fldCharType="separate"/>
            </w:r>
            <w:r w:rsidR="004911B7">
              <w:rPr>
                <w:noProof/>
                <w:webHidden/>
              </w:rPr>
              <w:t>128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31" w:history="1">
            <w:r w:rsidRPr="008514F2">
              <w:rPr>
                <w:rStyle w:val="Hyperlink"/>
                <w:noProof/>
                <w:lang w:eastAsia="nl-NL"/>
              </w:rPr>
              <w:t>6.2</w:t>
            </w:r>
            <w:r>
              <w:rPr>
                <w:rFonts w:asciiTheme="minorHAnsi" w:hAnsiTheme="minorHAnsi" w:cstheme="minorBidi"/>
                <w:b w:val="0"/>
                <w:bCs w:val="0"/>
                <w:noProof/>
                <w:szCs w:val="22"/>
                <w:lang w:eastAsia="zh-CN" w:bidi="ar-SA"/>
              </w:rPr>
              <w:tab/>
            </w:r>
            <w:r w:rsidRPr="008514F2">
              <w:rPr>
                <w:rStyle w:val="Hyperlink"/>
                <w:noProof/>
                <w:lang w:eastAsia="nl-NL"/>
              </w:rPr>
              <w:t>Simulation Process</w:t>
            </w:r>
            <w:r>
              <w:rPr>
                <w:noProof/>
                <w:webHidden/>
              </w:rPr>
              <w:tab/>
            </w:r>
            <w:r>
              <w:rPr>
                <w:noProof/>
                <w:webHidden/>
              </w:rPr>
              <w:fldChar w:fldCharType="begin"/>
            </w:r>
            <w:r>
              <w:rPr>
                <w:noProof/>
                <w:webHidden/>
              </w:rPr>
              <w:instrText xml:space="preserve"> PAGEREF _Toc379467631 \h </w:instrText>
            </w:r>
            <w:r>
              <w:rPr>
                <w:noProof/>
                <w:webHidden/>
              </w:rPr>
            </w:r>
            <w:r>
              <w:rPr>
                <w:noProof/>
                <w:webHidden/>
              </w:rPr>
              <w:fldChar w:fldCharType="separate"/>
            </w:r>
            <w:r w:rsidR="004911B7">
              <w:rPr>
                <w:noProof/>
                <w:webHidden/>
              </w:rPr>
              <w:t>129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2" w:history="1">
            <w:r w:rsidRPr="008514F2">
              <w:rPr>
                <w:rStyle w:val="Hyperlink"/>
                <w:noProof/>
                <w:lang w:eastAsia="nl-NL"/>
              </w:rPr>
              <w:t>6.2.1</w:t>
            </w:r>
            <w:r>
              <w:rPr>
                <w:rFonts w:asciiTheme="minorHAnsi" w:hAnsiTheme="minorHAnsi" w:cstheme="minorBidi"/>
                <w:noProof/>
                <w:sz w:val="22"/>
                <w:szCs w:val="22"/>
                <w:lang w:eastAsia="zh-CN" w:bidi="ar-SA"/>
              </w:rPr>
              <w:tab/>
            </w:r>
            <w:r w:rsidRPr="008514F2">
              <w:rPr>
                <w:rStyle w:val="Hyperlink"/>
                <w:noProof/>
                <w:lang w:eastAsia="nl-NL"/>
              </w:rPr>
              <w:t>Overview of the Simulation</w:t>
            </w:r>
            <w:r>
              <w:rPr>
                <w:noProof/>
                <w:webHidden/>
              </w:rPr>
              <w:tab/>
            </w:r>
            <w:r>
              <w:rPr>
                <w:noProof/>
                <w:webHidden/>
              </w:rPr>
              <w:fldChar w:fldCharType="begin"/>
            </w:r>
            <w:r>
              <w:rPr>
                <w:noProof/>
                <w:webHidden/>
              </w:rPr>
              <w:instrText xml:space="preserve"> PAGEREF _Toc379467632 \h </w:instrText>
            </w:r>
            <w:r>
              <w:rPr>
                <w:noProof/>
                <w:webHidden/>
              </w:rPr>
            </w:r>
            <w:r>
              <w:rPr>
                <w:noProof/>
                <w:webHidden/>
              </w:rPr>
              <w:fldChar w:fldCharType="separate"/>
            </w:r>
            <w:r w:rsidR="004911B7">
              <w:rPr>
                <w:noProof/>
                <w:webHidden/>
              </w:rPr>
              <w:t>129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3" w:history="1">
            <w:r w:rsidRPr="008514F2">
              <w:rPr>
                <w:rStyle w:val="Hyperlink"/>
                <w:noProof/>
                <w:lang w:eastAsia="nl-NL"/>
              </w:rPr>
              <w:t>6.2.2</w:t>
            </w:r>
            <w:r>
              <w:rPr>
                <w:rFonts w:asciiTheme="minorHAnsi" w:hAnsiTheme="minorHAnsi" w:cstheme="minorBidi"/>
                <w:noProof/>
                <w:sz w:val="22"/>
                <w:szCs w:val="22"/>
                <w:lang w:eastAsia="zh-CN" w:bidi="ar-SA"/>
              </w:rPr>
              <w:tab/>
            </w:r>
            <w:r w:rsidRPr="008514F2">
              <w:rPr>
                <w:rStyle w:val="Hyperlink"/>
                <w:noProof/>
                <w:lang w:eastAsia="nl-NL"/>
              </w:rPr>
              <w:t>Generate Population Process</w:t>
            </w:r>
            <w:r>
              <w:rPr>
                <w:noProof/>
                <w:webHidden/>
              </w:rPr>
              <w:tab/>
            </w:r>
            <w:r>
              <w:rPr>
                <w:noProof/>
                <w:webHidden/>
              </w:rPr>
              <w:fldChar w:fldCharType="begin"/>
            </w:r>
            <w:r>
              <w:rPr>
                <w:noProof/>
                <w:webHidden/>
              </w:rPr>
              <w:instrText xml:space="preserve"> PAGEREF _Toc379467633 \h </w:instrText>
            </w:r>
            <w:r>
              <w:rPr>
                <w:noProof/>
                <w:webHidden/>
              </w:rPr>
            </w:r>
            <w:r>
              <w:rPr>
                <w:noProof/>
                <w:webHidden/>
              </w:rPr>
              <w:fldChar w:fldCharType="separate"/>
            </w:r>
            <w:r w:rsidR="004911B7">
              <w:rPr>
                <w:noProof/>
                <w:webHidden/>
              </w:rPr>
              <w:t>130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4" w:history="1">
            <w:r w:rsidRPr="008514F2">
              <w:rPr>
                <w:rStyle w:val="Hyperlink"/>
                <w:noProof/>
              </w:rPr>
              <w:t>6.2.3</w:t>
            </w:r>
            <w:r>
              <w:rPr>
                <w:rFonts w:asciiTheme="minorHAnsi" w:hAnsiTheme="minorHAnsi" w:cstheme="minorBidi"/>
                <w:noProof/>
                <w:sz w:val="22"/>
                <w:szCs w:val="22"/>
                <w:lang w:eastAsia="zh-CN" w:bidi="ar-SA"/>
              </w:rPr>
              <w:tab/>
            </w:r>
            <w:r w:rsidRPr="008514F2">
              <w:rPr>
                <w:rStyle w:val="Hyperlink"/>
                <w:noProof/>
              </w:rPr>
              <w:t>The Bayesian Clinical Trial Simulation Process</w:t>
            </w:r>
            <w:r>
              <w:rPr>
                <w:noProof/>
                <w:webHidden/>
              </w:rPr>
              <w:tab/>
            </w:r>
            <w:r>
              <w:rPr>
                <w:noProof/>
                <w:webHidden/>
              </w:rPr>
              <w:fldChar w:fldCharType="begin"/>
            </w:r>
            <w:r>
              <w:rPr>
                <w:noProof/>
                <w:webHidden/>
              </w:rPr>
              <w:instrText xml:space="preserve"> PAGEREF _Toc379467634 \h </w:instrText>
            </w:r>
            <w:r>
              <w:rPr>
                <w:noProof/>
                <w:webHidden/>
              </w:rPr>
            </w:r>
            <w:r>
              <w:rPr>
                <w:noProof/>
                <w:webHidden/>
              </w:rPr>
              <w:fldChar w:fldCharType="separate"/>
            </w:r>
            <w:r w:rsidR="004911B7">
              <w:rPr>
                <w:noProof/>
                <w:webHidden/>
              </w:rPr>
              <w:t>134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5" w:history="1">
            <w:r w:rsidRPr="008514F2">
              <w:rPr>
                <w:rStyle w:val="Hyperlink"/>
                <w:noProof/>
              </w:rPr>
              <w:t>6.2.4</w:t>
            </w:r>
            <w:r>
              <w:rPr>
                <w:rFonts w:asciiTheme="minorHAnsi" w:hAnsiTheme="minorHAnsi" w:cstheme="minorBidi"/>
                <w:noProof/>
                <w:sz w:val="22"/>
                <w:szCs w:val="22"/>
                <w:lang w:eastAsia="zh-CN" w:bidi="ar-SA"/>
              </w:rPr>
              <w:tab/>
            </w:r>
            <w:r w:rsidRPr="008514F2">
              <w:rPr>
                <w:rStyle w:val="Hyperlink"/>
                <w:noProof/>
              </w:rPr>
              <w:t>Treatment Efficacy</w:t>
            </w:r>
            <w:r>
              <w:rPr>
                <w:noProof/>
                <w:webHidden/>
              </w:rPr>
              <w:tab/>
            </w:r>
            <w:r>
              <w:rPr>
                <w:noProof/>
                <w:webHidden/>
              </w:rPr>
              <w:fldChar w:fldCharType="begin"/>
            </w:r>
            <w:r>
              <w:rPr>
                <w:noProof/>
                <w:webHidden/>
              </w:rPr>
              <w:instrText xml:space="preserve"> PAGEREF _Toc379467635 \h </w:instrText>
            </w:r>
            <w:r>
              <w:rPr>
                <w:noProof/>
                <w:webHidden/>
              </w:rPr>
            </w:r>
            <w:r>
              <w:rPr>
                <w:noProof/>
                <w:webHidden/>
              </w:rPr>
              <w:fldChar w:fldCharType="separate"/>
            </w:r>
            <w:r w:rsidR="004911B7">
              <w:rPr>
                <w:noProof/>
                <w:webHidden/>
              </w:rPr>
              <w:t>139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36" w:history="1">
            <w:r w:rsidRPr="008514F2">
              <w:rPr>
                <w:rStyle w:val="Hyperlink"/>
                <w:noProof/>
              </w:rPr>
              <w:t>6.3</w:t>
            </w:r>
            <w:r>
              <w:rPr>
                <w:rFonts w:asciiTheme="minorHAnsi" w:hAnsiTheme="minorHAnsi" w:cstheme="minorBidi"/>
                <w:b w:val="0"/>
                <w:bCs w:val="0"/>
                <w:noProof/>
                <w:szCs w:val="22"/>
                <w:lang w:eastAsia="zh-CN" w:bidi="ar-SA"/>
              </w:rPr>
              <w:tab/>
            </w:r>
            <w:r w:rsidRPr="008514F2">
              <w:rPr>
                <w:rStyle w:val="Hyperlink"/>
                <w:noProof/>
              </w:rPr>
              <w:t>Elicitation of Uncertainty in Long-term treatment effects on disease Activity, Organ Damage and Mortality</w:t>
            </w:r>
            <w:r>
              <w:rPr>
                <w:noProof/>
                <w:webHidden/>
              </w:rPr>
              <w:tab/>
            </w:r>
            <w:r>
              <w:rPr>
                <w:noProof/>
                <w:webHidden/>
              </w:rPr>
              <w:fldChar w:fldCharType="begin"/>
            </w:r>
            <w:r>
              <w:rPr>
                <w:noProof/>
                <w:webHidden/>
              </w:rPr>
              <w:instrText xml:space="preserve"> PAGEREF _Toc379467636 \h </w:instrText>
            </w:r>
            <w:r>
              <w:rPr>
                <w:noProof/>
                <w:webHidden/>
              </w:rPr>
            </w:r>
            <w:r>
              <w:rPr>
                <w:noProof/>
                <w:webHidden/>
              </w:rPr>
              <w:fldChar w:fldCharType="separate"/>
            </w:r>
            <w:r w:rsidR="004911B7">
              <w:rPr>
                <w:noProof/>
                <w:webHidden/>
              </w:rPr>
              <w:t>140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7" w:history="1">
            <w:r w:rsidRPr="008514F2">
              <w:rPr>
                <w:rStyle w:val="Hyperlink"/>
                <w:noProof/>
              </w:rPr>
              <w:t>6.3.1</w:t>
            </w:r>
            <w:r>
              <w:rPr>
                <w:rFonts w:asciiTheme="minorHAnsi" w:hAnsiTheme="minorHAnsi" w:cstheme="minorBidi"/>
                <w:noProof/>
                <w:sz w:val="22"/>
                <w:szCs w:val="22"/>
                <w:lang w:eastAsia="zh-CN" w:bidi="ar-SA"/>
              </w:rPr>
              <w:tab/>
            </w:r>
            <w:r w:rsidRPr="008514F2">
              <w:rPr>
                <w:rStyle w:val="Hyperlink"/>
                <w:noProof/>
              </w:rPr>
              <w:t>Elicitation Introduction</w:t>
            </w:r>
            <w:r>
              <w:rPr>
                <w:noProof/>
                <w:webHidden/>
              </w:rPr>
              <w:tab/>
            </w:r>
            <w:r>
              <w:rPr>
                <w:noProof/>
                <w:webHidden/>
              </w:rPr>
              <w:fldChar w:fldCharType="begin"/>
            </w:r>
            <w:r>
              <w:rPr>
                <w:noProof/>
                <w:webHidden/>
              </w:rPr>
              <w:instrText xml:space="preserve"> PAGEREF _Toc379467637 \h </w:instrText>
            </w:r>
            <w:r>
              <w:rPr>
                <w:noProof/>
                <w:webHidden/>
              </w:rPr>
            </w:r>
            <w:r>
              <w:rPr>
                <w:noProof/>
                <w:webHidden/>
              </w:rPr>
              <w:fldChar w:fldCharType="separate"/>
            </w:r>
            <w:r w:rsidR="004911B7">
              <w:rPr>
                <w:noProof/>
                <w:webHidden/>
              </w:rPr>
              <w:t>140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8" w:history="1">
            <w:r w:rsidRPr="008514F2">
              <w:rPr>
                <w:rStyle w:val="Hyperlink"/>
                <w:noProof/>
              </w:rPr>
              <w:t>6.3.2</w:t>
            </w:r>
            <w:r>
              <w:rPr>
                <w:rFonts w:asciiTheme="minorHAnsi" w:hAnsiTheme="minorHAnsi" w:cstheme="minorBidi"/>
                <w:noProof/>
                <w:sz w:val="22"/>
                <w:szCs w:val="22"/>
                <w:lang w:eastAsia="zh-CN" w:bidi="ar-SA"/>
              </w:rPr>
              <w:tab/>
            </w:r>
            <w:r w:rsidRPr="008514F2">
              <w:rPr>
                <w:rStyle w:val="Hyperlink"/>
                <w:noProof/>
              </w:rPr>
              <w:t>Elicitation Methods</w:t>
            </w:r>
            <w:r>
              <w:rPr>
                <w:noProof/>
                <w:webHidden/>
              </w:rPr>
              <w:tab/>
            </w:r>
            <w:r>
              <w:rPr>
                <w:noProof/>
                <w:webHidden/>
              </w:rPr>
              <w:fldChar w:fldCharType="begin"/>
            </w:r>
            <w:r>
              <w:rPr>
                <w:noProof/>
                <w:webHidden/>
              </w:rPr>
              <w:instrText xml:space="preserve"> PAGEREF _Toc379467638 \h </w:instrText>
            </w:r>
            <w:r>
              <w:rPr>
                <w:noProof/>
                <w:webHidden/>
              </w:rPr>
            </w:r>
            <w:r>
              <w:rPr>
                <w:noProof/>
                <w:webHidden/>
              </w:rPr>
              <w:fldChar w:fldCharType="separate"/>
            </w:r>
            <w:r w:rsidR="004911B7">
              <w:rPr>
                <w:noProof/>
                <w:webHidden/>
              </w:rPr>
              <w:t>141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39" w:history="1">
            <w:r w:rsidRPr="008514F2">
              <w:rPr>
                <w:rStyle w:val="Hyperlink"/>
                <w:noProof/>
              </w:rPr>
              <w:t>6.3.3</w:t>
            </w:r>
            <w:r>
              <w:rPr>
                <w:rFonts w:asciiTheme="minorHAnsi" w:hAnsiTheme="minorHAnsi" w:cstheme="minorBidi"/>
                <w:noProof/>
                <w:sz w:val="22"/>
                <w:szCs w:val="22"/>
                <w:lang w:eastAsia="zh-CN" w:bidi="ar-SA"/>
              </w:rPr>
              <w:tab/>
            </w:r>
            <w:r w:rsidRPr="008514F2">
              <w:rPr>
                <w:rStyle w:val="Hyperlink"/>
                <w:noProof/>
              </w:rPr>
              <w:t>Results</w:t>
            </w:r>
            <w:r>
              <w:rPr>
                <w:noProof/>
                <w:webHidden/>
              </w:rPr>
              <w:tab/>
            </w:r>
            <w:r>
              <w:rPr>
                <w:noProof/>
                <w:webHidden/>
              </w:rPr>
              <w:fldChar w:fldCharType="begin"/>
            </w:r>
            <w:r>
              <w:rPr>
                <w:noProof/>
                <w:webHidden/>
              </w:rPr>
              <w:instrText xml:space="preserve"> PAGEREF _Toc379467639 \h </w:instrText>
            </w:r>
            <w:r>
              <w:rPr>
                <w:noProof/>
                <w:webHidden/>
              </w:rPr>
            </w:r>
            <w:r>
              <w:rPr>
                <w:noProof/>
                <w:webHidden/>
              </w:rPr>
              <w:fldChar w:fldCharType="separate"/>
            </w:r>
            <w:r w:rsidR="004911B7">
              <w:rPr>
                <w:noProof/>
                <w:webHidden/>
              </w:rPr>
              <w:t>150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0" w:history="1">
            <w:r w:rsidRPr="008514F2">
              <w:rPr>
                <w:rStyle w:val="Hyperlink"/>
                <w:noProof/>
              </w:rPr>
              <w:t>6.3.4</w:t>
            </w:r>
            <w:r>
              <w:rPr>
                <w:rFonts w:asciiTheme="minorHAnsi" w:hAnsiTheme="minorHAnsi" w:cstheme="minorBidi"/>
                <w:noProof/>
                <w:sz w:val="22"/>
                <w:szCs w:val="22"/>
                <w:lang w:eastAsia="zh-CN" w:bidi="ar-SA"/>
              </w:rPr>
              <w:tab/>
            </w:r>
            <w:r w:rsidRPr="008514F2">
              <w:rPr>
                <w:rStyle w:val="Hyperlink"/>
                <w:noProof/>
              </w:rPr>
              <w:t>Summary</w:t>
            </w:r>
            <w:r>
              <w:rPr>
                <w:noProof/>
                <w:webHidden/>
              </w:rPr>
              <w:tab/>
            </w:r>
            <w:r>
              <w:rPr>
                <w:noProof/>
                <w:webHidden/>
              </w:rPr>
              <w:fldChar w:fldCharType="begin"/>
            </w:r>
            <w:r>
              <w:rPr>
                <w:noProof/>
                <w:webHidden/>
              </w:rPr>
              <w:instrText xml:space="preserve"> PAGEREF _Toc379467640 \h </w:instrText>
            </w:r>
            <w:r>
              <w:rPr>
                <w:noProof/>
                <w:webHidden/>
              </w:rPr>
            </w:r>
            <w:r>
              <w:rPr>
                <w:noProof/>
                <w:webHidden/>
              </w:rPr>
              <w:fldChar w:fldCharType="separate"/>
            </w:r>
            <w:r w:rsidR="004911B7">
              <w:rPr>
                <w:noProof/>
                <w:webHidden/>
              </w:rPr>
              <w:t>156</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41" w:history="1">
            <w:r w:rsidRPr="008514F2">
              <w:rPr>
                <w:rStyle w:val="Hyperlink"/>
                <w:noProof/>
              </w:rPr>
              <w:t>6.4</w:t>
            </w:r>
            <w:r>
              <w:rPr>
                <w:rFonts w:asciiTheme="minorHAnsi" w:hAnsiTheme="minorHAnsi" w:cstheme="minorBidi"/>
                <w:b w:val="0"/>
                <w:bCs w:val="0"/>
                <w:noProof/>
                <w:szCs w:val="22"/>
                <w:lang w:eastAsia="zh-CN" w:bidi="ar-SA"/>
              </w:rPr>
              <w:tab/>
            </w:r>
            <w:r w:rsidRPr="008514F2">
              <w:rPr>
                <w:rStyle w:val="Hyperlink"/>
                <w:noProof/>
              </w:rPr>
              <w:t>BCTS Outcomes</w:t>
            </w:r>
            <w:r>
              <w:rPr>
                <w:noProof/>
                <w:webHidden/>
              </w:rPr>
              <w:tab/>
            </w:r>
            <w:r>
              <w:rPr>
                <w:noProof/>
                <w:webHidden/>
              </w:rPr>
              <w:fldChar w:fldCharType="begin"/>
            </w:r>
            <w:r>
              <w:rPr>
                <w:noProof/>
                <w:webHidden/>
              </w:rPr>
              <w:instrText xml:space="preserve"> PAGEREF _Toc379467641 \h </w:instrText>
            </w:r>
            <w:r>
              <w:rPr>
                <w:noProof/>
                <w:webHidden/>
              </w:rPr>
            </w:r>
            <w:r>
              <w:rPr>
                <w:noProof/>
                <w:webHidden/>
              </w:rPr>
              <w:fldChar w:fldCharType="separate"/>
            </w:r>
            <w:r w:rsidR="004911B7">
              <w:rPr>
                <w:noProof/>
                <w:webHidden/>
              </w:rPr>
              <w:t>158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2" w:history="1">
            <w:r w:rsidRPr="008514F2">
              <w:rPr>
                <w:rStyle w:val="Hyperlink"/>
                <w:noProof/>
              </w:rPr>
              <w:t>6.4.1</w:t>
            </w:r>
            <w:r>
              <w:rPr>
                <w:rFonts w:asciiTheme="minorHAnsi" w:hAnsiTheme="minorHAnsi" w:cstheme="minorBidi"/>
                <w:noProof/>
                <w:sz w:val="22"/>
                <w:szCs w:val="22"/>
                <w:lang w:eastAsia="zh-CN" w:bidi="ar-SA"/>
              </w:rPr>
              <w:tab/>
            </w:r>
            <w:r w:rsidRPr="008514F2">
              <w:rPr>
                <w:rStyle w:val="Hyperlink"/>
                <w:noProof/>
              </w:rPr>
              <w:t>BCTS Validation of Predicted Outcomes</w:t>
            </w:r>
            <w:r>
              <w:rPr>
                <w:noProof/>
                <w:webHidden/>
              </w:rPr>
              <w:tab/>
            </w:r>
            <w:r>
              <w:rPr>
                <w:noProof/>
                <w:webHidden/>
              </w:rPr>
              <w:fldChar w:fldCharType="begin"/>
            </w:r>
            <w:r>
              <w:rPr>
                <w:noProof/>
                <w:webHidden/>
              </w:rPr>
              <w:instrText xml:space="preserve"> PAGEREF _Toc379467642 \h </w:instrText>
            </w:r>
            <w:r>
              <w:rPr>
                <w:noProof/>
                <w:webHidden/>
              </w:rPr>
            </w:r>
            <w:r>
              <w:rPr>
                <w:noProof/>
                <w:webHidden/>
              </w:rPr>
              <w:fldChar w:fldCharType="separate"/>
            </w:r>
            <w:r w:rsidR="004911B7">
              <w:rPr>
                <w:noProof/>
                <w:webHidden/>
              </w:rPr>
              <w:t>158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3" w:history="1">
            <w:r w:rsidRPr="008514F2">
              <w:rPr>
                <w:rStyle w:val="Hyperlink"/>
                <w:noProof/>
              </w:rPr>
              <w:t>6.4.2</w:t>
            </w:r>
            <w:r>
              <w:rPr>
                <w:rFonts w:asciiTheme="minorHAnsi" w:hAnsiTheme="minorHAnsi" w:cstheme="minorBidi"/>
                <w:noProof/>
                <w:sz w:val="22"/>
                <w:szCs w:val="22"/>
                <w:lang w:eastAsia="zh-CN" w:bidi="ar-SA"/>
              </w:rPr>
              <w:tab/>
            </w:r>
            <w:r w:rsidRPr="008514F2">
              <w:rPr>
                <w:rStyle w:val="Hyperlink"/>
                <w:noProof/>
              </w:rPr>
              <w:t>Computation Time</w:t>
            </w:r>
            <w:r>
              <w:rPr>
                <w:noProof/>
                <w:webHidden/>
              </w:rPr>
              <w:tab/>
            </w:r>
            <w:r>
              <w:rPr>
                <w:noProof/>
                <w:webHidden/>
              </w:rPr>
              <w:fldChar w:fldCharType="begin"/>
            </w:r>
            <w:r>
              <w:rPr>
                <w:noProof/>
                <w:webHidden/>
              </w:rPr>
              <w:instrText xml:space="preserve"> PAGEREF _Toc379467643 \h </w:instrText>
            </w:r>
            <w:r>
              <w:rPr>
                <w:noProof/>
                <w:webHidden/>
              </w:rPr>
            </w:r>
            <w:r>
              <w:rPr>
                <w:noProof/>
                <w:webHidden/>
              </w:rPr>
              <w:fldChar w:fldCharType="separate"/>
            </w:r>
            <w:r w:rsidR="004911B7">
              <w:rPr>
                <w:noProof/>
                <w:webHidden/>
              </w:rPr>
              <w:t>159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44" w:history="1">
            <w:r w:rsidRPr="008514F2">
              <w:rPr>
                <w:rStyle w:val="Hyperlink"/>
                <w:noProof/>
              </w:rPr>
              <w:t>6.5</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_Toc379467644 \h </w:instrText>
            </w:r>
            <w:r>
              <w:rPr>
                <w:noProof/>
                <w:webHidden/>
              </w:rPr>
            </w:r>
            <w:r>
              <w:rPr>
                <w:noProof/>
                <w:webHidden/>
              </w:rPr>
              <w:fldChar w:fldCharType="separate"/>
            </w:r>
            <w:r w:rsidR="004911B7">
              <w:rPr>
                <w:noProof/>
                <w:webHidden/>
              </w:rPr>
              <w:t>159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5" w:history="1">
            <w:r w:rsidRPr="008514F2">
              <w:rPr>
                <w:rStyle w:val="Hyperlink"/>
                <w:noProof/>
              </w:rPr>
              <w:t>6.5.1</w:t>
            </w:r>
            <w:r>
              <w:rPr>
                <w:rFonts w:asciiTheme="minorHAnsi" w:hAnsiTheme="minorHAnsi" w:cstheme="minorBidi"/>
                <w:noProof/>
                <w:sz w:val="22"/>
                <w:szCs w:val="22"/>
                <w:lang w:eastAsia="zh-CN" w:bidi="ar-SA"/>
              </w:rPr>
              <w:tab/>
            </w:r>
            <w:r w:rsidRPr="008514F2">
              <w:rPr>
                <w:rStyle w:val="Hyperlink"/>
                <w:noProof/>
              </w:rPr>
              <w:t>Generating an SLE population</w:t>
            </w:r>
            <w:r>
              <w:rPr>
                <w:noProof/>
                <w:webHidden/>
              </w:rPr>
              <w:tab/>
            </w:r>
            <w:r>
              <w:rPr>
                <w:noProof/>
                <w:webHidden/>
              </w:rPr>
              <w:fldChar w:fldCharType="begin"/>
            </w:r>
            <w:r>
              <w:rPr>
                <w:noProof/>
                <w:webHidden/>
              </w:rPr>
              <w:instrText xml:space="preserve"> PAGEREF _Toc379467645 \h </w:instrText>
            </w:r>
            <w:r>
              <w:rPr>
                <w:noProof/>
                <w:webHidden/>
              </w:rPr>
            </w:r>
            <w:r>
              <w:rPr>
                <w:noProof/>
                <w:webHidden/>
              </w:rPr>
              <w:fldChar w:fldCharType="separate"/>
            </w:r>
            <w:r w:rsidR="004911B7">
              <w:rPr>
                <w:noProof/>
                <w:webHidden/>
              </w:rPr>
              <w:t>159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6" w:history="1">
            <w:r w:rsidRPr="008514F2">
              <w:rPr>
                <w:rStyle w:val="Hyperlink"/>
                <w:noProof/>
              </w:rPr>
              <w:t>6.5.2</w:t>
            </w:r>
            <w:r>
              <w:rPr>
                <w:rFonts w:asciiTheme="minorHAnsi" w:hAnsiTheme="minorHAnsi" w:cstheme="minorBidi"/>
                <w:noProof/>
                <w:sz w:val="22"/>
                <w:szCs w:val="22"/>
                <w:lang w:eastAsia="zh-CN" w:bidi="ar-SA"/>
              </w:rPr>
              <w:tab/>
            </w:r>
            <w:r w:rsidRPr="008514F2">
              <w:rPr>
                <w:rStyle w:val="Hyperlink"/>
                <w:noProof/>
              </w:rPr>
              <w:t>Flexibility to Simulate Multiple Design Specifications</w:t>
            </w:r>
            <w:r>
              <w:rPr>
                <w:noProof/>
                <w:webHidden/>
              </w:rPr>
              <w:tab/>
            </w:r>
            <w:r>
              <w:rPr>
                <w:noProof/>
                <w:webHidden/>
              </w:rPr>
              <w:fldChar w:fldCharType="begin"/>
            </w:r>
            <w:r>
              <w:rPr>
                <w:noProof/>
                <w:webHidden/>
              </w:rPr>
              <w:instrText xml:space="preserve"> PAGEREF _Toc379467646 \h </w:instrText>
            </w:r>
            <w:r>
              <w:rPr>
                <w:noProof/>
                <w:webHidden/>
              </w:rPr>
            </w:r>
            <w:r>
              <w:rPr>
                <w:noProof/>
                <w:webHidden/>
              </w:rPr>
              <w:fldChar w:fldCharType="separate"/>
            </w:r>
            <w:r w:rsidR="004911B7">
              <w:rPr>
                <w:noProof/>
                <w:webHidden/>
              </w:rPr>
              <w:t>160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7" w:history="1">
            <w:r w:rsidRPr="008514F2">
              <w:rPr>
                <w:rStyle w:val="Hyperlink"/>
                <w:noProof/>
              </w:rPr>
              <w:t>6.5.3</w:t>
            </w:r>
            <w:r>
              <w:rPr>
                <w:rFonts w:asciiTheme="minorHAnsi" w:hAnsiTheme="minorHAnsi" w:cstheme="minorBidi"/>
                <w:noProof/>
                <w:sz w:val="22"/>
                <w:szCs w:val="22"/>
                <w:lang w:eastAsia="zh-CN" w:bidi="ar-SA"/>
              </w:rPr>
              <w:tab/>
            </w:r>
            <w:r w:rsidRPr="008514F2">
              <w:rPr>
                <w:rStyle w:val="Hyperlink"/>
                <w:noProof/>
              </w:rPr>
              <w:t>Simulating Disease Activity with One Disease Activity Index</w:t>
            </w:r>
            <w:r>
              <w:rPr>
                <w:noProof/>
                <w:webHidden/>
              </w:rPr>
              <w:tab/>
            </w:r>
            <w:r>
              <w:rPr>
                <w:noProof/>
                <w:webHidden/>
              </w:rPr>
              <w:fldChar w:fldCharType="begin"/>
            </w:r>
            <w:r>
              <w:rPr>
                <w:noProof/>
                <w:webHidden/>
              </w:rPr>
              <w:instrText xml:space="preserve"> PAGEREF _Toc379467647 \h </w:instrText>
            </w:r>
            <w:r>
              <w:rPr>
                <w:noProof/>
                <w:webHidden/>
              </w:rPr>
            </w:r>
            <w:r>
              <w:rPr>
                <w:noProof/>
                <w:webHidden/>
              </w:rPr>
              <w:fldChar w:fldCharType="separate"/>
            </w:r>
            <w:r w:rsidR="004911B7">
              <w:rPr>
                <w:noProof/>
                <w:webHidden/>
              </w:rPr>
              <w:t>160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48" w:history="1">
            <w:r w:rsidRPr="008514F2">
              <w:rPr>
                <w:rStyle w:val="Hyperlink"/>
                <w:noProof/>
              </w:rPr>
              <w:t>6.5.4</w:t>
            </w:r>
            <w:r>
              <w:rPr>
                <w:rFonts w:asciiTheme="minorHAnsi" w:hAnsiTheme="minorHAnsi" w:cstheme="minorBidi"/>
                <w:noProof/>
                <w:sz w:val="22"/>
                <w:szCs w:val="22"/>
                <w:lang w:eastAsia="zh-CN" w:bidi="ar-SA"/>
              </w:rPr>
              <w:tab/>
            </w:r>
            <w:r w:rsidRPr="008514F2">
              <w:rPr>
                <w:rStyle w:val="Hyperlink"/>
                <w:noProof/>
              </w:rPr>
              <w:t>The Exclusion of Adverse Events</w:t>
            </w:r>
            <w:r>
              <w:rPr>
                <w:noProof/>
                <w:webHidden/>
              </w:rPr>
              <w:tab/>
            </w:r>
            <w:r>
              <w:rPr>
                <w:noProof/>
                <w:webHidden/>
              </w:rPr>
              <w:fldChar w:fldCharType="begin"/>
            </w:r>
            <w:r>
              <w:rPr>
                <w:noProof/>
                <w:webHidden/>
              </w:rPr>
              <w:instrText xml:space="preserve"> PAGEREF _Toc379467648 \h </w:instrText>
            </w:r>
            <w:r>
              <w:rPr>
                <w:noProof/>
                <w:webHidden/>
              </w:rPr>
            </w:r>
            <w:r>
              <w:rPr>
                <w:noProof/>
                <w:webHidden/>
              </w:rPr>
              <w:fldChar w:fldCharType="separate"/>
            </w:r>
            <w:r w:rsidR="004911B7">
              <w:rPr>
                <w:noProof/>
                <w:webHidden/>
              </w:rPr>
              <w:t>161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49" w:history="1">
            <w:r w:rsidRPr="008514F2">
              <w:rPr>
                <w:rStyle w:val="Hyperlink"/>
                <w:noProof/>
              </w:rPr>
              <w:t>6.6</w:t>
            </w:r>
            <w:r>
              <w:rPr>
                <w:rFonts w:asciiTheme="minorHAnsi" w:hAnsiTheme="minorHAnsi" w:cstheme="minorBidi"/>
                <w:b w:val="0"/>
                <w:bCs w:val="0"/>
                <w:noProof/>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_Toc379467649 \h </w:instrText>
            </w:r>
            <w:r>
              <w:rPr>
                <w:noProof/>
                <w:webHidden/>
              </w:rPr>
            </w:r>
            <w:r>
              <w:rPr>
                <w:noProof/>
                <w:webHidden/>
              </w:rPr>
              <w:fldChar w:fldCharType="separate"/>
            </w:r>
            <w:r w:rsidR="004911B7">
              <w:rPr>
                <w:noProof/>
                <w:webHidden/>
              </w:rPr>
              <w:t>161</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650" w:history="1">
            <w:r w:rsidRPr="008514F2">
              <w:rPr>
                <w:rStyle w:val="Hyperlink"/>
                <w:noProof/>
              </w:rPr>
              <w:t>7</w:t>
            </w:r>
            <w:r>
              <w:rPr>
                <w:rFonts w:asciiTheme="minorHAnsi" w:hAnsiTheme="minorHAnsi" w:cstheme="minorBidi"/>
                <w:b w:val="0"/>
                <w:bCs w:val="0"/>
                <w:caps w:val="0"/>
                <w:noProof/>
                <w:sz w:val="22"/>
                <w:szCs w:val="22"/>
                <w:lang w:eastAsia="zh-CN" w:bidi="ar-SA"/>
              </w:rPr>
              <w:tab/>
            </w:r>
            <w:r w:rsidRPr="008514F2">
              <w:rPr>
                <w:rStyle w:val="Hyperlink"/>
                <w:noProof/>
              </w:rPr>
              <w:t>Chapter 7: Cost-effectiveness analysis</w:t>
            </w:r>
            <w:r>
              <w:rPr>
                <w:noProof/>
                <w:webHidden/>
              </w:rPr>
              <w:tab/>
            </w:r>
            <w:r>
              <w:rPr>
                <w:noProof/>
                <w:webHidden/>
              </w:rPr>
              <w:fldChar w:fldCharType="begin"/>
            </w:r>
            <w:r>
              <w:rPr>
                <w:noProof/>
                <w:webHidden/>
              </w:rPr>
              <w:instrText xml:space="preserve"> PAGEREF _Toc379467650 \h </w:instrText>
            </w:r>
            <w:r>
              <w:rPr>
                <w:noProof/>
                <w:webHidden/>
              </w:rPr>
            </w:r>
            <w:r>
              <w:rPr>
                <w:noProof/>
                <w:webHidden/>
              </w:rPr>
              <w:fldChar w:fldCharType="separate"/>
            </w:r>
            <w:r w:rsidR="004911B7">
              <w:rPr>
                <w:noProof/>
                <w:webHidden/>
              </w:rPr>
              <w:t>163</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51" w:history="1">
            <w:r w:rsidRPr="008514F2">
              <w:rPr>
                <w:rStyle w:val="Hyperlink"/>
                <w:noProof/>
              </w:rPr>
              <w:t>7.1</w:t>
            </w:r>
            <w:r>
              <w:rPr>
                <w:rFonts w:asciiTheme="minorHAnsi" w:hAnsiTheme="minorHAnsi" w:cstheme="minorBidi"/>
                <w:b w:val="0"/>
                <w:bCs w:val="0"/>
                <w:noProof/>
                <w:szCs w:val="22"/>
                <w:lang w:eastAsia="zh-CN" w:bidi="ar-SA"/>
              </w:rPr>
              <w:tab/>
            </w:r>
            <w:r w:rsidRPr="008514F2">
              <w:rPr>
                <w:rStyle w:val="Hyperlink"/>
                <w:noProof/>
              </w:rPr>
              <w:t>CE Model Structure</w:t>
            </w:r>
            <w:r>
              <w:rPr>
                <w:noProof/>
                <w:webHidden/>
              </w:rPr>
              <w:tab/>
            </w:r>
            <w:r>
              <w:rPr>
                <w:noProof/>
                <w:webHidden/>
              </w:rPr>
              <w:fldChar w:fldCharType="begin"/>
            </w:r>
            <w:r>
              <w:rPr>
                <w:noProof/>
                <w:webHidden/>
              </w:rPr>
              <w:instrText xml:space="preserve"> PAGEREF _Toc379467651 \h </w:instrText>
            </w:r>
            <w:r>
              <w:rPr>
                <w:noProof/>
                <w:webHidden/>
              </w:rPr>
            </w:r>
            <w:r>
              <w:rPr>
                <w:noProof/>
                <w:webHidden/>
              </w:rPr>
              <w:fldChar w:fldCharType="separate"/>
            </w:r>
            <w:r w:rsidR="004911B7">
              <w:rPr>
                <w:noProof/>
                <w:webHidden/>
              </w:rPr>
              <w:t>163</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52" w:history="1">
            <w:r w:rsidRPr="008514F2">
              <w:rPr>
                <w:rStyle w:val="Hyperlink"/>
                <w:noProof/>
              </w:rPr>
              <w:t>7.2</w:t>
            </w:r>
            <w:r>
              <w:rPr>
                <w:rFonts w:asciiTheme="minorHAnsi" w:hAnsiTheme="minorHAnsi" w:cstheme="minorBidi"/>
                <w:b w:val="0"/>
                <w:bCs w:val="0"/>
                <w:noProof/>
                <w:szCs w:val="22"/>
                <w:lang w:eastAsia="zh-CN" w:bidi="ar-SA"/>
              </w:rPr>
              <w:tab/>
            </w:r>
            <w:r w:rsidRPr="008514F2">
              <w:rPr>
                <w:rStyle w:val="Hyperlink"/>
                <w:noProof/>
              </w:rPr>
              <w:t>Simulation Process and Parameter Inputs</w:t>
            </w:r>
            <w:r>
              <w:rPr>
                <w:noProof/>
                <w:webHidden/>
              </w:rPr>
              <w:tab/>
            </w:r>
            <w:r>
              <w:rPr>
                <w:noProof/>
                <w:webHidden/>
              </w:rPr>
              <w:fldChar w:fldCharType="begin"/>
            </w:r>
            <w:r>
              <w:rPr>
                <w:noProof/>
                <w:webHidden/>
              </w:rPr>
              <w:instrText xml:space="preserve"> PAGEREF _Toc379467652 \h </w:instrText>
            </w:r>
            <w:r>
              <w:rPr>
                <w:noProof/>
                <w:webHidden/>
              </w:rPr>
            </w:r>
            <w:r>
              <w:rPr>
                <w:noProof/>
                <w:webHidden/>
              </w:rPr>
              <w:fldChar w:fldCharType="separate"/>
            </w:r>
            <w:r w:rsidR="004911B7">
              <w:rPr>
                <w:noProof/>
                <w:webHidden/>
              </w:rPr>
              <w:t>165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3" w:history="1">
            <w:r w:rsidRPr="008514F2">
              <w:rPr>
                <w:rStyle w:val="Hyperlink"/>
                <w:noProof/>
                <w:lang w:eastAsia="nl-NL"/>
              </w:rPr>
              <w:t>7.2.1</w:t>
            </w:r>
            <w:r>
              <w:rPr>
                <w:rFonts w:asciiTheme="minorHAnsi" w:hAnsiTheme="minorHAnsi" w:cstheme="minorBidi"/>
                <w:noProof/>
                <w:sz w:val="22"/>
                <w:szCs w:val="22"/>
                <w:lang w:eastAsia="zh-CN" w:bidi="ar-SA"/>
              </w:rPr>
              <w:tab/>
            </w:r>
            <w:r w:rsidRPr="008514F2">
              <w:rPr>
                <w:rStyle w:val="Hyperlink"/>
                <w:noProof/>
                <w:lang w:eastAsia="nl-NL"/>
              </w:rPr>
              <w:t>Generate Population</w:t>
            </w:r>
            <w:r>
              <w:rPr>
                <w:noProof/>
                <w:webHidden/>
              </w:rPr>
              <w:tab/>
            </w:r>
            <w:r>
              <w:rPr>
                <w:noProof/>
                <w:webHidden/>
              </w:rPr>
              <w:fldChar w:fldCharType="begin"/>
            </w:r>
            <w:r>
              <w:rPr>
                <w:noProof/>
                <w:webHidden/>
              </w:rPr>
              <w:instrText xml:space="preserve"> PAGEREF _Toc379467653 \h </w:instrText>
            </w:r>
            <w:r>
              <w:rPr>
                <w:noProof/>
                <w:webHidden/>
              </w:rPr>
            </w:r>
            <w:r>
              <w:rPr>
                <w:noProof/>
                <w:webHidden/>
              </w:rPr>
              <w:fldChar w:fldCharType="separate"/>
            </w:r>
            <w:r w:rsidR="004911B7">
              <w:rPr>
                <w:noProof/>
                <w:webHidden/>
              </w:rPr>
              <w:t>166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4" w:history="1">
            <w:r w:rsidRPr="008514F2">
              <w:rPr>
                <w:rStyle w:val="Hyperlink"/>
                <w:noProof/>
                <w:lang w:eastAsia="nl-NL"/>
              </w:rPr>
              <w:t>7.2.2</w:t>
            </w:r>
            <w:r>
              <w:rPr>
                <w:rFonts w:asciiTheme="minorHAnsi" w:hAnsiTheme="minorHAnsi" w:cstheme="minorBidi"/>
                <w:noProof/>
                <w:sz w:val="22"/>
                <w:szCs w:val="22"/>
                <w:lang w:eastAsia="zh-CN" w:bidi="ar-SA"/>
              </w:rPr>
              <w:tab/>
            </w:r>
            <w:r w:rsidRPr="008514F2">
              <w:rPr>
                <w:rStyle w:val="Hyperlink"/>
                <w:noProof/>
                <w:lang w:eastAsia="nl-NL"/>
              </w:rPr>
              <w:t>The Cost-Effectiveness Model</w:t>
            </w:r>
            <w:r>
              <w:rPr>
                <w:noProof/>
                <w:webHidden/>
              </w:rPr>
              <w:tab/>
            </w:r>
            <w:r>
              <w:rPr>
                <w:noProof/>
                <w:webHidden/>
              </w:rPr>
              <w:fldChar w:fldCharType="begin"/>
            </w:r>
            <w:r>
              <w:rPr>
                <w:noProof/>
                <w:webHidden/>
              </w:rPr>
              <w:instrText xml:space="preserve"> PAGEREF _Toc379467654 \h </w:instrText>
            </w:r>
            <w:r>
              <w:rPr>
                <w:noProof/>
                <w:webHidden/>
              </w:rPr>
            </w:r>
            <w:r>
              <w:rPr>
                <w:noProof/>
                <w:webHidden/>
              </w:rPr>
              <w:fldChar w:fldCharType="separate"/>
            </w:r>
            <w:r w:rsidR="004911B7">
              <w:rPr>
                <w:noProof/>
                <w:webHidden/>
              </w:rPr>
              <w:t>166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5" w:history="1">
            <w:r w:rsidRPr="008514F2">
              <w:rPr>
                <w:rStyle w:val="Hyperlink"/>
                <w:noProof/>
                <w:lang w:eastAsia="nl-NL"/>
              </w:rPr>
              <w:t>7.2.3</w:t>
            </w:r>
            <w:r>
              <w:rPr>
                <w:rFonts w:asciiTheme="minorHAnsi" w:hAnsiTheme="minorHAnsi" w:cstheme="minorBidi"/>
                <w:noProof/>
                <w:sz w:val="22"/>
                <w:szCs w:val="22"/>
                <w:lang w:eastAsia="zh-CN" w:bidi="ar-SA"/>
              </w:rPr>
              <w:tab/>
            </w:r>
            <w:r w:rsidRPr="008514F2">
              <w:rPr>
                <w:rStyle w:val="Hyperlink"/>
                <w:noProof/>
                <w:lang w:eastAsia="nl-NL"/>
              </w:rPr>
              <w:t>Discounting</w:t>
            </w:r>
            <w:r>
              <w:rPr>
                <w:noProof/>
                <w:webHidden/>
              </w:rPr>
              <w:tab/>
            </w:r>
            <w:r>
              <w:rPr>
                <w:noProof/>
                <w:webHidden/>
              </w:rPr>
              <w:fldChar w:fldCharType="begin"/>
            </w:r>
            <w:r>
              <w:rPr>
                <w:noProof/>
                <w:webHidden/>
              </w:rPr>
              <w:instrText xml:space="preserve"> PAGEREF _Toc379467655 \h </w:instrText>
            </w:r>
            <w:r>
              <w:rPr>
                <w:noProof/>
                <w:webHidden/>
              </w:rPr>
            </w:r>
            <w:r>
              <w:rPr>
                <w:noProof/>
                <w:webHidden/>
              </w:rPr>
              <w:fldChar w:fldCharType="separate"/>
            </w:r>
            <w:r w:rsidR="004911B7">
              <w:rPr>
                <w:noProof/>
                <w:webHidden/>
              </w:rPr>
              <w:t>176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6" w:history="1">
            <w:r w:rsidRPr="008514F2">
              <w:rPr>
                <w:rStyle w:val="Hyperlink"/>
                <w:noProof/>
                <w:lang w:eastAsia="nl-NL"/>
              </w:rPr>
              <w:t>7.2.4</w:t>
            </w:r>
            <w:r>
              <w:rPr>
                <w:rFonts w:asciiTheme="minorHAnsi" w:hAnsiTheme="minorHAnsi" w:cstheme="minorBidi"/>
                <w:noProof/>
                <w:sz w:val="22"/>
                <w:szCs w:val="22"/>
                <w:lang w:eastAsia="zh-CN" w:bidi="ar-SA"/>
              </w:rPr>
              <w:tab/>
            </w:r>
            <w:r w:rsidRPr="008514F2">
              <w:rPr>
                <w:rStyle w:val="Hyperlink"/>
                <w:noProof/>
                <w:lang w:eastAsia="nl-NL"/>
              </w:rPr>
              <w:t>Reducing Simulation Error</w:t>
            </w:r>
            <w:r>
              <w:rPr>
                <w:noProof/>
                <w:webHidden/>
              </w:rPr>
              <w:tab/>
            </w:r>
            <w:r>
              <w:rPr>
                <w:noProof/>
                <w:webHidden/>
              </w:rPr>
              <w:fldChar w:fldCharType="begin"/>
            </w:r>
            <w:r>
              <w:rPr>
                <w:noProof/>
                <w:webHidden/>
              </w:rPr>
              <w:instrText xml:space="preserve"> PAGEREF _Toc379467656 \h </w:instrText>
            </w:r>
            <w:r>
              <w:rPr>
                <w:noProof/>
                <w:webHidden/>
              </w:rPr>
            </w:r>
            <w:r>
              <w:rPr>
                <w:noProof/>
                <w:webHidden/>
              </w:rPr>
              <w:fldChar w:fldCharType="separate"/>
            </w:r>
            <w:r w:rsidR="004911B7">
              <w:rPr>
                <w:noProof/>
                <w:webHidden/>
              </w:rPr>
              <w:t>177</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57" w:history="1">
            <w:r w:rsidRPr="008514F2">
              <w:rPr>
                <w:rStyle w:val="Hyperlink"/>
                <w:noProof/>
              </w:rPr>
              <w:t>7.3</w:t>
            </w:r>
            <w:r>
              <w:rPr>
                <w:rFonts w:asciiTheme="minorHAnsi" w:hAnsiTheme="minorHAnsi" w:cstheme="minorBidi"/>
                <w:b w:val="0"/>
                <w:bCs w:val="0"/>
                <w:noProof/>
                <w:szCs w:val="22"/>
                <w:lang w:eastAsia="zh-CN" w:bidi="ar-SA"/>
              </w:rPr>
              <w:tab/>
            </w:r>
            <w:r w:rsidRPr="008514F2">
              <w:rPr>
                <w:rStyle w:val="Hyperlink"/>
                <w:noProof/>
              </w:rPr>
              <w:t>CE Model Outcomes</w:t>
            </w:r>
            <w:r>
              <w:rPr>
                <w:noProof/>
                <w:webHidden/>
              </w:rPr>
              <w:tab/>
            </w:r>
            <w:r>
              <w:rPr>
                <w:noProof/>
                <w:webHidden/>
              </w:rPr>
              <w:fldChar w:fldCharType="begin"/>
            </w:r>
            <w:r>
              <w:rPr>
                <w:noProof/>
                <w:webHidden/>
              </w:rPr>
              <w:instrText xml:space="preserve"> PAGEREF _Toc379467657 \h </w:instrText>
            </w:r>
            <w:r>
              <w:rPr>
                <w:noProof/>
                <w:webHidden/>
              </w:rPr>
            </w:r>
            <w:r>
              <w:rPr>
                <w:noProof/>
                <w:webHidden/>
              </w:rPr>
              <w:fldChar w:fldCharType="separate"/>
            </w:r>
            <w:r w:rsidR="004911B7">
              <w:rPr>
                <w:noProof/>
                <w:webHidden/>
              </w:rPr>
              <w:t>177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8" w:history="1">
            <w:r w:rsidRPr="008514F2">
              <w:rPr>
                <w:rStyle w:val="Hyperlink"/>
                <w:noProof/>
              </w:rPr>
              <w:t>7.3.1</w:t>
            </w:r>
            <w:r>
              <w:rPr>
                <w:rFonts w:asciiTheme="minorHAnsi" w:hAnsiTheme="minorHAnsi" w:cstheme="minorBidi"/>
                <w:noProof/>
                <w:sz w:val="22"/>
                <w:szCs w:val="22"/>
                <w:lang w:eastAsia="zh-CN" w:bidi="ar-SA"/>
              </w:rPr>
              <w:tab/>
            </w:r>
            <w:r w:rsidRPr="008514F2">
              <w:rPr>
                <w:rStyle w:val="Hyperlink"/>
                <w:noProof/>
              </w:rPr>
              <w:t>Health Outcomes and Costs</w:t>
            </w:r>
            <w:r>
              <w:rPr>
                <w:noProof/>
                <w:webHidden/>
              </w:rPr>
              <w:tab/>
            </w:r>
            <w:r>
              <w:rPr>
                <w:noProof/>
                <w:webHidden/>
              </w:rPr>
              <w:fldChar w:fldCharType="begin"/>
            </w:r>
            <w:r>
              <w:rPr>
                <w:noProof/>
                <w:webHidden/>
              </w:rPr>
              <w:instrText xml:space="preserve"> PAGEREF _Toc379467658 \h </w:instrText>
            </w:r>
            <w:r>
              <w:rPr>
                <w:noProof/>
                <w:webHidden/>
              </w:rPr>
            </w:r>
            <w:r>
              <w:rPr>
                <w:noProof/>
                <w:webHidden/>
              </w:rPr>
              <w:fldChar w:fldCharType="separate"/>
            </w:r>
            <w:r w:rsidR="004911B7">
              <w:rPr>
                <w:noProof/>
                <w:webHidden/>
              </w:rPr>
              <w:t>177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59" w:history="1">
            <w:r w:rsidRPr="008514F2">
              <w:rPr>
                <w:rStyle w:val="Hyperlink"/>
                <w:noProof/>
              </w:rPr>
              <w:t>7.3.2</w:t>
            </w:r>
            <w:r>
              <w:rPr>
                <w:rFonts w:asciiTheme="minorHAnsi" w:hAnsiTheme="minorHAnsi" w:cstheme="minorBidi"/>
                <w:noProof/>
                <w:sz w:val="22"/>
                <w:szCs w:val="22"/>
                <w:lang w:eastAsia="zh-CN" w:bidi="ar-SA"/>
              </w:rPr>
              <w:tab/>
            </w:r>
            <w:r w:rsidRPr="008514F2">
              <w:rPr>
                <w:rStyle w:val="Hyperlink"/>
                <w:noProof/>
              </w:rPr>
              <w:t>Parameter Sensitivity Analysis</w:t>
            </w:r>
            <w:r>
              <w:rPr>
                <w:noProof/>
                <w:webHidden/>
              </w:rPr>
              <w:tab/>
            </w:r>
            <w:r>
              <w:rPr>
                <w:noProof/>
                <w:webHidden/>
              </w:rPr>
              <w:fldChar w:fldCharType="begin"/>
            </w:r>
            <w:r>
              <w:rPr>
                <w:noProof/>
                <w:webHidden/>
              </w:rPr>
              <w:instrText xml:space="preserve"> PAGEREF _Toc379467659 \h </w:instrText>
            </w:r>
            <w:r>
              <w:rPr>
                <w:noProof/>
                <w:webHidden/>
              </w:rPr>
            </w:r>
            <w:r>
              <w:rPr>
                <w:noProof/>
                <w:webHidden/>
              </w:rPr>
              <w:fldChar w:fldCharType="separate"/>
            </w:r>
            <w:r w:rsidR="004911B7">
              <w:rPr>
                <w:noProof/>
                <w:webHidden/>
              </w:rPr>
              <w:t>178</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60" w:history="1">
            <w:r w:rsidRPr="008514F2">
              <w:rPr>
                <w:rStyle w:val="Hyperlink"/>
                <w:noProof/>
                <w:lang w:eastAsia="nl-NL"/>
              </w:rPr>
              <w:t>7.4</w:t>
            </w:r>
            <w:r>
              <w:rPr>
                <w:rFonts w:asciiTheme="minorHAnsi" w:hAnsiTheme="minorHAnsi" w:cstheme="minorBidi"/>
                <w:b w:val="0"/>
                <w:bCs w:val="0"/>
                <w:noProof/>
                <w:szCs w:val="22"/>
                <w:lang w:eastAsia="zh-CN" w:bidi="ar-SA"/>
              </w:rPr>
              <w:tab/>
            </w:r>
            <w:r w:rsidRPr="008514F2">
              <w:rPr>
                <w:rStyle w:val="Hyperlink"/>
                <w:noProof/>
                <w:lang w:eastAsia="nl-NL"/>
              </w:rPr>
              <w:t>RESULTS</w:t>
            </w:r>
            <w:r>
              <w:rPr>
                <w:noProof/>
                <w:webHidden/>
              </w:rPr>
              <w:tab/>
            </w:r>
            <w:r>
              <w:rPr>
                <w:noProof/>
                <w:webHidden/>
              </w:rPr>
              <w:fldChar w:fldCharType="begin"/>
            </w:r>
            <w:r>
              <w:rPr>
                <w:noProof/>
                <w:webHidden/>
              </w:rPr>
              <w:instrText xml:space="preserve"> PAGEREF _Toc379467660 \h </w:instrText>
            </w:r>
            <w:r>
              <w:rPr>
                <w:noProof/>
                <w:webHidden/>
              </w:rPr>
            </w:r>
            <w:r>
              <w:rPr>
                <w:noProof/>
                <w:webHidden/>
              </w:rPr>
              <w:fldChar w:fldCharType="separate"/>
            </w:r>
            <w:r w:rsidR="004911B7">
              <w:rPr>
                <w:noProof/>
                <w:webHidden/>
              </w:rPr>
              <w:t>178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1" w:history="1">
            <w:r w:rsidRPr="008514F2">
              <w:rPr>
                <w:rStyle w:val="Hyperlink"/>
                <w:noProof/>
                <w:lang w:eastAsia="nl-NL"/>
              </w:rPr>
              <w:t>7.4.1</w:t>
            </w:r>
            <w:r>
              <w:rPr>
                <w:rFonts w:asciiTheme="minorHAnsi" w:hAnsiTheme="minorHAnsi" w:cstheme="minorBidi"/>
                <w:noProof/>
                <w:sz w:val="22"/>
                <w:szCs w:val="22"/>
                <w:lang w:eastAsia="zh-CN" w:bidi="ar-SA"/>
              </w:rPr>
              <w:tab/>
            </w:r>
            <w:r w:rsidRPr="008514F2">
              <w:rPr>
                <w:rStyle w:val="Hyperlink"/>
                <w:noProof/>
                <w:lang w:eastAsia="nl-NL"/>
              </w:rPr>
              <w:t>CE Model Outcomes</w:t>
            </w:r>
            <w:r>
              <w:rPr>
                <w:noProof/>
                <w:webHidden/>
              </w:rPr>
              <w:tab/>
            </w:r>
            <w:r>
              <w:rPr>
                <w:noProof/>
                <w:webHidden/>
              </w:rPr>
              <w:fldChar w:fldCharType="begin"/>
            </w:r>
            <w:r>
              <w:rPr>
                <w:noProof/>
                <w:webHidden/>
              </w:rPr>
              <w:instrText xml:space="preserve"> PAGEREF _Toc379467661 \h </w:instrText>
            </w:r>
            <w:r>
              <w:rPr>
                <w:noProof/>
                <w:webHidden/>
              </w:rPr>
            </w:r>
            <w:r>
              <w:rPr>
                <w:noProof/>
                <w:webHidden/>
              </w:rPr>
              <w:fldChar w:fldCharType="separate"/>
            </w:r>
            <w:r w:rsidR="004911B7">
              <w:rPr>
                <w:noProof/>
                <w:webHidden/>
              </w:rPr>
              <w:t>178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2" w:history="1">
            <w:r w:rsidRPr="008514F2">
              <w:rPr>
                <w:rStyle w:val="Hyperlink"/>
                <w:noProof/>
                <w:lang w:eastAsia="nl-NL"/>
              </w:rPr>
              <w:t>7.4.2</w:t>
            </w:r>
            <w:r>
              <w:rPr>
                <w:rFonts w:asciiTheme="minorHAnsi" w:hAnsiTheme="minorHAnsi" w:cstheme="minorBidi"/>
                <w:noProof/>
                <w:sz w:val="22"/>
                <w:szCs w:val="22"/>
                <w:lang w:eastAsia="zh-CN" w:bidi="ar-SA"/>
              </w:rPr>
              <w:tab/>
            </w:r>
            <w:r w:rsidRPr="008514F2">
              <w:rPr>
                <w:rStyle w:val="Hyperlink"/>
                <w:noProof/>
                <w:lang w:eastAsia="nl-NL"/>
              </w:rPr>
              <w:t>Drug Price Analysis</w:t>
            </w:r>
            <w:r>
              <w:rPr>
                <w:noProof/>
                <w:webHidden/>
              </w:rPr>
              <w:tab/>
            </w:r>
            <w:r>
              <w:rPr>
                <w:noProof/>
                <w:webHidden/>
              </w:rPr>
              <w:fldChar w:fldCharType="begin"/>
            </w:r>
            <w:r>
              <w:rPr>
                <w:noProof/>
                <w:webHidden/>
              </w:rPr>
              <w:instrText xml:space="preserve"> PAGEREF _Toc379467662 \h </w:instrText>
            </w:r>
            <w:r>
              <w:rPr>
                <w:noProof/>
                <w:webHidden/>
              </w:rPr>
            </w:r>
            <w:r>
              <w:rPr>
                <w:noProof/>
                <w:webHidden/>
              </w:rPr>
              <w:fldChar w:fldCharType="separate"/>
            </w:r>
            <w:r w:rsidR="004911B7">
              <w:rPr>
                <w:noProof/>
                <w:webHidden/>
              </w:rPr>
              <w:t>181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3" w:history="1">
            <w:r w:rsidRPr="008514F2">
              <w:rPr>
                <w:rStyle w:val="Hyperlink"/>
                <w:noProof/>
                <w:lang w:eastAsia="nl-NL"/>
              </w:rPr>
              <w:t>7.4.3</w:t>
            </w:r>
            <w:r>
              <w:rPr>
                <w:rFonts w:asciiTheme="minorHAnsi" w:hAnsiTheme="minorHAnsi" w:cstheme="minorBidi"/>
                <w:noProof/>
                <w:sz w:val="22"/>
                <w:szCs w:val="22"/>
                <w:lang w:eastAsia="zh-CN" w:bidi="ar-SA"/>
              </w:rPr>
              <w:tab/>
            </w:r>
            <w:r w:rsidRPr="008514F2">
              <w:rPr>
                <w:rStyle w:val="Hyperlink"/>
                <w:noProof/>
                <w:lang w:eastAsia="nl-NL"/>
              </w:rPr>
              <w:t>Parameter Sensitivity</w:t>
            </w:r>
            <w:r>
              <w:rPr>
                <w:noProof/>
                <w:webHidden/>
              </w:rPr>
              <w:tab/>
            </w:r>
            <w:r>
              <w:rPr>
                <w:noProof/>
                <w:webHidden/>
              </w:rPr>
              <w:fldChar w:fldCharType="begin"/>
            </w:r>
            <w:r>
              <w:rPr>
                <w:noProof/>
                <w:webHidden/>
              </w:rPr>
              <w:instrText xml:space="preserve"> PAGEREF _Toc379467663 \h </w:instrText>
            </w:r>
            <w:r>
              <w:rPr>
                <w:noProof/>
                <w:webHidden/>
              </w:rPr>
            </w:r>
            <w:r>
              <w:rPr>
                <w:noProof/>
                <w:webHidden/>
              </w:rPr>
              <w:fldChar w:fldCharType="separate"/>
            </w:r>
            <w:r w:rsidR="004911B7">
              <w:rPr>
                <w:noProof/>
                <w:webHidden/>
              </w:rPr>
              <w:t>183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4" w:history="1">
            <w:r w:rsidRPr="008514F2">
              <w:rPr>
                <w:rStyle w:val="Hyperlink"/>
                <w:noProof/>
                <w:lang w:eastAsia="nl-NL"/>
              </w:rPr>
              <w:t>7.4.4</w:t>
            </w:r>
            <w:r>
              <w:rPr>
                <w:rFonts w:asciiTheme="minorHAnsi" w:hAnsiTheme="minorHAnsi" w:cstheme="minorBidi"/>
                <w:noProof/>
                <w:sz w:val="22"/>
                <w:szCs w:val="22"/>
                <w:lang w:eastAsia="zh-CN" w:bidi="ar-SA"/>
              </w:rPr>
              <w:tab/>
            </w:r>
            <w:r w:rsidRPr="008514F2">
              <w:rPr>
                <w:rStyle w:val="Hyperlink"/>
                <w:noProof/>
                <w:lang w:eastAsia="nl-NL"/>
              </w:rPr>
              <w:t>Computation Burden</w:t>
            </w:r>
            <w:r>
              <w:rPr>
                <w:noProof/>
                <w:webHidden/>
              </w:rPr>
              <w:tab/>
            </w:r>
            <w:r>
              <w:rPr>
                <w:noProof/>
                <w:webHidden/>
              </w:rPr>
              <w:fldChar w:fldCharType="begin"/>
            </w:r>
            <w:r>
              <w:rPr>
                <w:noProof/>
                <w:webHidden/>
              </w:rPr>
              <w:instrText xml:space="preserve"> PAGEREF _Toc379467664 \h </w:instrText>
            </w:r>
            <w:r>
              <w:rPr>
                <w:noProof/>
                <w:webHidden/>
              </w:rPr>
            </w:r>
            <w:r>
              <w:rPr>
                <w:noProof/>
                <w:webHidden/>
              </w:rPr>
              <w:fldChar w:fldCharType="separate"/>
            </w:r>
            <w:r w:rsidR="004911B7">
              <w:rPr>
                <w:noProof/>
                <w:webHidden/>
              </w:rPr>
              <w:t>185</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65" w:history="1">
            <w:r w:rsidRPr="008514F2">
              <w:rPr>
                <w:rStyle w:val="Hyperlink"/>
                <w:noProof/>
                <w:lang w:eastAsia="nl-NL"/>
              </w:rPr>
              <w:t>7.5</w:t>
            </w:r>
            <w:r>
              <w:rPr>
                <w:rFonts w:asciiTheme="minorHAnsi" w:hAnsiTheme="minorHAnsi" w:cstheme="minorBidi"/>
                <w:b w:val="0"/>
                <w:bCs w:val="0"/>
                <w:noProof/>
                <w:szCs w:val="22"/>
                <w:lang w:eastAsia="zh-CN" w:bidi="ar-SA"/>
              </w:rPr>
              <w:tab/>
            </w:r>
            <w:r w:rsidRPr="008514F2">
              <w:rPr>
                <w:rStyle w:val="Hyperlink"/>
                <w:noProof/>
                <w:lang w:eastAsia="nl-NL"/>
              </w:rPr>
              <w:t>Discussion</w:t>
            </w:r>
            <w:r>
              <w:rPr>
                <w:noProof/>
                <w:webHidden/>
              </w:rPr>
              <w:tab/>
            </w:r>
            <w:r>
              <w:rPr>
                <w:noProof/>
                <w:webHidden/>
              </w:rPr>
              <w:fldChar w:fldCharType="begin"/>
            </w:r>
            <w:r>
              <w:rPr>
                <w:noProof/>
                <w:webHidden/>
              </w:rPr>
              <w:instrText xml:space="preserve"> PAGEREF _Toc379467665 \h </w:instrText>
            </w:r>
            <w:r>
              <w:rPr>
                <w:noProof/>
                <w:webHidden/>
              </w:rPr>
            </w:r>
            <w:r>
              <w:rPr>
                <w:noProof/>
                <w:webHidden/>
              </w:rPr>
              <w:fldChar w:fldCharType="separate"/>
            </w:r>
            <w:r w:rsidR="004911B7">
              <w:rPr>
                <w:noProof/>
                <w:webHidden/>
              </w:rPr>
              <w:t>187</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66" w:history="1">
            <w:r w:rsidRPr="008514F2">
              <w:rPr>
                <w:rStyle w:val="Hyperlink"/>
                <w:noProof/>
                <w:lang w:eastAsia="nl-NL"/>
              </w:rPr>
              <w:t>7.6</w:t>
            </w:r>
            <w:r>
              <w:rPr>
                <w:rFonts w:asciiTheme="minorHAnsi" w:hAnsiTheme="minorHAnsi" w:cstheme="minorBidi"/>
                <w:b w:val="0"/>
                <w:bCs w:val="0"/>
                <w:noProof/>
                <w:szCs w:val="22"/>
                <w:lang w:eastAsia="zh-CN" w:bidi="ar-SA"/>
              </w:rPr>
              <w:tab/>
            </w:r>
            <w:r w:rsidRPr="008514F2">
              <w:rPr>
                <w:rStyle w:val="Hyperlink"/>
                <w:noProof/>
                <w:lang w:eastAsia="nl-NL"/>
              </w:rPr>
              <w:t>The Cost-Effectiveness of New Treatments in SLE</w:t>
            </w:r>
            <w:r>
              <w:rPr>
                <w:noProof/>
                <w:webHidden/>
              </w:rPr>
              <w:tab/>
            </w:r>
            <w:r>
              <w:rPr>
                <w:noProof/>
                <w:webHidden/>
              </w:rPr>
              <w:fldChar w:fldCharType="begin"/>
            </w:r>
            <w:r>
              <w:rPr>
                <w:noProof/>
                <w:webHidden/>
              </w:rPr>
              <w:instrText xml:space="preserve"> PAGEREF _Toc379467666 \h </w:instrText>
            </w:r>
            <w:r>
              <w:rPr>
                <w:noProof/>
                <w:webHidden/>
              </w:rPr>
            </w:r>
            <w:r>
              <w:rPr>
                <w:noProof/>
                <w:webHidden/>
              </w:rPr>
              <w:fldChar w:fldCharType="separate"/>
            </w:r>
            <w:r w:rsidR="004911B7">
              <w:rPr>
                <w:noProof/>
                <w:webHidden/>
              </w:rPr>
              <w:t>187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7" w:history="1">
            <w:r w:rsidRPr="008514F2">
              <w:rPr>
                <w:rStyle w:val="Hyperlink"/>
                <w:noProof/>
              </w:rPr>
              <w:t>7.6.1</w:t>
            </w:r>
            <w:r>
              <w:rPr>
                <w:rFonts w:asciiTheme="minorHAnsi" w:hAnsiTheme="minorHAnsi" w:cstheme="minorBidi"/>
                <w:noProof/>
                <w:sz w:val="22"/>
                <w:szCs w:val="22"/>
                <w:lang w:eastAsia="zh-CN" w:bidi="ar-SA"/>
              </w:rPr>
              <w:tab/>
            </w:r>
            <w:r w:rsidRPr="008514F2">
              <w:rPr>
                <w:rStyle w:val="Hyperlink"/>
                <w:noProof/>
              </w:rPr>
              <w:t>How can CE models be used in Drug Development?</w:t>
            </w:r>
            <w:r>
              <w:rPr>
                <w:noProof/>
                <w:webHidden/>
              </w:rPr>
              <w:tab/>
            </w:r>
            <w:r>
              <w:rPr>
                <w:noProof/>
                <w:webHidden/>
              </w:rPr>
              <w:fldChar w:fldCharType="begin"/>
            </w:r>
            <w:r>
              <w:rPr>
                <w:noProof/>
                <w:webHidden/>
              </w:rPr>
              <w:instrText xml:space="preserve"> PAGEREF _Toc379467667 \h </w:instrText>
            </w:r>
            <w:r>
              <w:rPr>
                <w:noProof/>
                <w:webHidden/>
              </w:rPr>
            </w:r>
            <w:r>
              <w:rPr>
                <w:noProof/>
                <w:webHidden/>
              </w:rPr>
              <w:fldChar w:fldCharType="separate"/>
            </w:r>
            <w:r w:rsidR="004911B7">
              <w:rPr>
                <w:noProof/>
                <w:webHidden/>
              </w:rPr>
              <w:t>187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8" w:history="1">
            <w:r w:rsidRPr="008514F2">
              <w:rPr>
                <w:rStyle w:val="Hyperlink"/>
                <w:noProof/>
              </w:rPr>
              <w:t>7.6.2</w:t>
            </w:r>
            <w:r>
              <w:rPr>
                <w:rFonts w:asciiTheme="minorHAnsi" w:hAnsiTheme="minorHAnsi" w:cstheme="minorBidi"/>
                <w:noProof/>
                <w:sz w:val="22"/>
                <w:szCs w:val="22"/>
                <w:lang w:eastAsia="zh-CN" w:bidi="ar-SA"/>
              </w:rPr>
              <w:tab/>
            </w:r>
            <w:r w:rsidRPr="008514F2">
              <w:rPr>
                <w:rStyle w:val="Hyperlink"/>
                <w:noProof/>
              </w:rPr>
              <w:t>Computation Burden</w:t>
            </w:r>
            <w:r>
              <w:rPr>
                <w:noProof/>
                <w:webHidden/>
              </w:rPr>
              <w:tab/>
            </w:r>
            <w:r>
              <w:rPr>
                <w:noProof/>
                <w:webHidden/>
              </w:rPr>
              <w:fldChar w:fldCharType="begin"/>
            </w:r>
            <w:r>
              <w:rPr>
                <w:noProof/>
                <w:webHidden/>
              </w:rPr>
              <w:instrText xml:space="preserve"> PAGEREF _Toc379467668 \h </w:instrText>
            </w:r>
            <w:r>
              <w:rPr>
                <w:noProof/>
                <w:webHidden/>
              </w:rPr>
            </w:r>
            <w:r>
              <w:rPr>
                <w:noProof/>
                <w:webHidden/>
              </w:rPr>
              <w:fldChar w:fldCharType="separate"/>
            </w:r>
            <w:r w:rsidR="004911B7">
              <w:rPr>
                <w:noProof/>
                <w:webHidden/>
              </w:rPr>
              <w:t>188</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69" w:history="1">
            <w:r w:rsidRPr="008514F2">
              <w:rPr>
                <w:rStyle w:val="Hyperlink"/>
                <w:noProof/>
              </w:rPr>
              <w:t>7.6.3</w:t>
            </w:r>
            <w:r>
              <w:rPr>
                <w:rFonts w:asciiTheme="minorHAnsi" w:hAnsiTheme="minorHAnsi" w:cstheme="minorBidi"/>
                <w:noProof/>
                <w:sz w:val="22"/>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_Toc379467669 \h </w:instrText>
            </w:r>
            <w:r>
              <w:rPr>
                <w:noProof/>
                <w:webHidden/>
              </w:rPr>
            </w:r>
            <w:r>
              <w:rPr>
                <w:noProof/>
                <w:webHidden/>
              </w:rPr>
              <w:fldChar w:fldCharType="separate"/>
            </w:r>
            <w:r w:rsidR="004911B7">
              <w:rPr>
                <w:noProof/>
                <w:webHidden/>
              </w:rPr>
              <w:t>189</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670" w:history="1">
            <w:r w:rsidRPr="008514F2">
              <w:rPr>
                <w:rStyle w:val="Hyperlink"/>
                <w:noProof/>
              </w:rPr>
              <w:t>8</w:t>
            </w:r>
            <w:r>
              <w:rPr>
                <w:rFonts w:asciiTheme="minorHAnsi" w:hAnsiTheme="minorHAnsi" w:cstheme="minorBidi"/>
                <w:b w:val="0"/>
                <w:bCs w:val="0"/>
                <w:caps w:val="0"/>
                <w:noProof/>
                <w:sz w:val="22"/>
                <w:szCs w:val="22"/>
                <w:lang w:eastAsia="zh-CN" w:bidi="ar-SA"/>
              </w:rPr>
              <w:tab/>
            </w:r>
            <w:r w:rsidRPr="008514F2">
              <w:rPr>
                <w:rStyle w:val="Hyperlink"/>
                <w:noProof/>
              </w:rPr>
              <w:t>Chapter 8: Value of Trials Analysis</w:t>
            </w:r>
            <w:r>
              <w:rPr>
                <w:noProof/>
                <w:webHidden/>
              </w:rPr>
              <w:tab/>
            </w:r>
            <w:r>
              <w:rPr>
                <w:noProof/>
                <w:webHidden/>
              </w:rPr>
              <w:fldChar w:fldCharType="begin"/>
            </w:r>
            <w:r>
              <w:rPr>
                <w:noProof/>
                <w:webHidden/>
              </w:rPr>
              <w:instrText xml:space="preserve"> PAGEREF _Toc379467670 \h </w:instrText>
            </w:r>
            <w:r>
              <w:rPr>
                <w:noProof/>
                <w:webHidden/>
              </w:rPr>
            </w:r>
            <w:r>
              <w:rPr>
                <w:noProof/>
                <w:webHidden/>
              </w:rPr>
              <w:fldChar w:fldCharType="separate"/>
            </w:r>
            <w:r w:rsidR="004911B7">
              <w:rPr>
                <w:noProof/>
                <w:webHidden/>
              </w:rPr>
              <w:t>190</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71" w:history="1">
            <w:r w:rsidRPr="008514F2">
              <w:rPr>
                <w:rStyle w:val="Hyperlink"/>
                <w:noProof/>
              </w:rPr>
              <w:t>8.1</w:t>
            </w:r>
            <w:r>
              <w:rPr>
                <w:rFonts w:asciiTheme="minorHAnsi" w:hAnsiTheme="minorHAnsi" w:cstheme="minorBidi"/>
                <w:b w:val="0"/>
                <w:bCs w:val="0"/>
                <w:noProof/>
                <w:szCs w:val="22"/>
                <w:lang w:eastAsia="zh-CN" w:bidi="ar-SA"/>
              </w:rPr>
              <w:tab/>
            </w:r>
            <w:r w:rsidRPr="008514F2">
              <w:rPr>
                <w:rStyle w:val="Hyperlink"/>
                <w:noProof/>
              </w:rPr>
              <w:t>Bayesian Statistical Methods in Planning SLE Clinical Trials</w:t>
            </w:r>
            <w:r>
              <w:rPr>
                <w:noProof/>
                <w:webHidden/>
              </w:rPr>
              <w:tab/>
            </w:r>
            <w:r>
              <w:rPr>
                <w:noProof/>
                <w:webHidden/>
              </w:rPr>
              <w:fldChar w:fldCharType="begin"/>
            </w:r>
            <w:r>
              <w:rPr>
                <w:noProof/>
                <w:webHidden/>
              </w:rPr>
              <w:instrText xml:space="preserve"> PAGEREF _Toc379467671 \h </w:instrText>
            </w:r>
            <w:r>
              <w:rPr>
                <w:noProof/>
                <w:webHidden/>
              </w:rPr>
            </w:r>
            <w:r>
              <w:rPr>
                <w:noProof/>
                <w:webHidden/>
              </w:rPr>
              <w:fldChar w:fldCharType="separate"/>
            </w:r>
            <w:r w:rsidR="004911B7">
              <w:rPr>
                <w:noProof/>
                <w:webHidden/>
              </w:rPr>
              <w:t>190</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72" w:history="1">
            <w:r w:rsidRPr="008514F2">
              <w:rPr>
                <w:rStyle w:val="Hyperlink"/>
                <w:noProof/>
              </w:rPr>
              <w:t>8.2</w:t>
            </w:r>
            <w:r>
              <w:rPr>
                <w:rFonts w:asciiTheme="minorHAnsi" w:hAnsiTheme="minorHAnsi" w:cstheme="minorBidi"/>
                <w:b w:val="0"/>
                <w:bCs w:val="0"/>
                <w:noProof/>
                <w:szCs w:val="22"/>
                <w:lang w:eastAsia="zh-CN" w:bidi="ar-SA"/>
              </w:rPr>
              <w:tab/>
            </w:r>
            <w:r w:rsidRPr="008514F2">
              <w:rPr>
                <w:rStyle w:val="Hyperlink"/>
                <w:noProof/>
              </w:rPr>
              <w:t>The Prior Parameter Distributions</w:t>
            </w:r>
            <w:r>
              <w:rPr>
                <w:noProof/>
                <w:webHidden/>
              </w:rPr>
              <w:tab/>
            </w:r>
            <w:r>
              <w:rPr>
                <w:noProof/>
                <w:webHidden/>
              </w:rPr>
              <w:fldChar w:fldCharType="begin"/>
            </w:r>
            <w:r>
              <w:rPr>
                <w:noProof/>
                <w:webHidden/>
              </w:rPr>
              <w:instrText xml:space="preserve"> PAGEREF _Toc379467672 \h </w:instrText>
            </w:r>
            <w:r>
              <w:rPr>
                <w:noProof/>
                <w:webHidden/>
              </w:rPr>
            </w:r>
            <w:r>
              <w:rPr>
                <w:noProof/>
                <w:webHidden/>
              </w:rPr>
              <w:fldChar w:fldCharType="separate"/>
            </w:r>
            <w:r w:rsidR="004911B7">
              <w:rPr>
                <w:noProof/>
                <w:webHidden/>
              </w:rPr>
              <w:t>192</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73" w:history="1">
            <w:r w:rsidRPr="008514F2">
              <w:rPr>
                <w:rStyle w:val="Hyperlink"/>
                <w:noProof/>
              </w:rPr>
              <w:t>8.3</w:t>
            </w:r>
            <w:r>
              <w:rPr>
                <w:rFonts w:asciiTheme="minorHAnsi" w:hAnsiTheme="minorHAnsi" w:cstheme="minorBidi"/>
                <w:b w:val="0"/>
                <w:bCs w:val="0"/>
                <w:noProof/>
                <w:szCs w:val="22"/>
                <w:lang w:eastAsia="zh-CN" w:bidi="ar-SA"/>
              </w:rPr>
              <w:tab/>
            </w:r>
            <w:r w:rsidRPr="008514F2">
              <w:rPr>
                <w:rStyle w:val="Hyperlink"/>
                <w:noProof/>
              </w:rPr>
              <w:t>Data Simulation</w:t>
            </w:r>
            <w:r>
              <w:rPr>
                <w:noProof/>
                <w:webHidden/>
              </w:rPr>
              <w:tab/>
            </w:r>
            <w:r>
              <w:rPr>
                <w:noProof/>
                <w:webHidden/>
              </w:rPr>
              <w:fldChar w:fldCharType="begin"/>
            </w:r>
            <w:r>
              <w:rPr>
                <w:noProof/>
                <w:webHidden/>
              </w:rPr>
              <w:instrText xml:space="preserve"> PAGEREF _Toc379467673 \h </w:instrText>
            </w:r>
            <w:r>
              <w:rPr>
                <w:noProof/>
                <w:webHidden/>
              </w:rPr>
            </w:r>
            <w:r>
              <w:rPr>
                <w:noProof/>
                <w:webHidden/>
              </w:rPr>
              <w:fldChar w:fldCharType="separate"/>
            </w:r>
            <w:r w:rsidR="004911B7">
              <w:rPr>
                <w:noProof/>
                <w:webHidden/>
              </w:rPr>
              <w:t>192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74" w:history="1">
            <w:r w:rsidRPr="008514F2">
              <w:rPr>
                <w:rStyle w:val="Hyperlink"/>
                <w:noProof/>
              </w:rPr>
              <w:t>8.3.1</w:t>
            </w:r>
            <w:r>
              <w:rPr>
                <w:rFonts w:asciiTheme="minorHAnsi" w:hAnsiTheme="minorHAnsi" w:cstheme="minorBidi"/>
                <w:noProof/>
                <w:sz w:val="22"/>
                <w:szCs w:val="22"/>
                <w:lang w:eastAsia="zh-CN" w:bidi="ar-SA"/>
              </w:rPr>
              <w:tab/>
            </w:r>
            <w:r w:rsidRPr="008514F2">
              <w:rPr>
                <w:rStyle w:val="Hyperlink"/>
                <w:noProof/>
              </w:rPr>
              <w:t>Clinical Trial Characteristics</w:t>
            </w:r>
            <w:r>
              <w:rPr>
                <w:noProof/>
                <w:webHidden/>
              </w:rPr>
              <w:tab/>
            </w:r>
            <w:r>
              <w:rPr>
                <w:noProof/>
                <w:webHidden/>
              </w:rPr>
              <w:fldChar w:fldCharType="begin"/>
            </w:r>
            <w:r>
              <w:rPr>
                <w:noProof/>
                <w:webHidden/>
              </w:rPr>
              <w:instrText xml:space="preserve"> PAGEREF _Toc379467674 \h </w:instrText>
            </w:r>
            <w:r>
              <w:rPr>
                <w:noProof/>
                <w:webHidden/>
              </w:rPr>
            </w:r>
            <w:r>
              <w:rPr>
                <w:noProof/>
                <w:webHidden/>
              </w:rPr>
              <w:fldChar w:fldCharType="separate"/>
            </w:r>
            <w:r w:rsidR="004911B7">
              <w:rPr>
                <w:noProof/>
                <w:webHidden/>
              </w:rPr>
              <w:t>193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75" w:history="1">
            <w:r w:rsidRPr="008514F2">
              <w:rPr>
                <w:rStyle w:val="Hyperlink"/>
                <w:noProof/>
              </w:rPr>
              <w:t>8.3.2</w:t>
            </w:r>
            <w:r>
              <w:rPr>
                <w:rFonts w:asciiTheme="minorHAnsi" w:hAnsiTheme="minorHAnsi" w:cstheme="minorBidi"/>
                <w:noProof/>
                <w:sz w:val="22"/>
                <w:szCs w:val="22"/>
                <w:lang w:eastAsia="zh-CN" w:bidi="ar-SA"/>
              </w:rPr>
              <w:tab/>
            </w:r>
            <w:r w:rsidRPr="008514F2">
              <w:rPr>
                <w:rStyle w:val="Hyperlink"/>
                <w:noProof/>
              </w:rPr>
              <w:t>Modified Clinical Trial Settings</w:t>
            </w:r>
            <w:r>
              <w:rPr>
                <w:noProof/>
                <w:webHidden/>
              </w:rPr>
              <w:tab/>
            </w:r>
            <w:r>
              <w:rPr>
                <w:noProof/>
                <w:webHidden/>
              </w:rPr>
              <w:fldChar w:fldCharType="begin"/>
            </w:r>
            <w:r>
              <w:rPr>
                <w:noProof/>
                <w:webHidden/>
              </w:rPr>
              <w:instrText xml:space="preserve"> PAGEREF _Toc379467675 \h </w:instrText>
            </w:r>
            <w:r>
              <w:rPr>
                <w:noProof/>
                <w:webHidden/>
              </w:rPr>
            </w:r>
            <w:r>
              <w:rPr>
                <w:noProof/>
                <w:webHidden/>
              </w:rPr>
              <w:fldChar w:fldCharType="separate"/>
            </w:r>
            <w:r w:rsidR="004911B7">
              <w:rPr>
                <w:noProof/>
                <w:webHidden/>
              </w:rPr>
              <w:t>195</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76" w:history="1">
            <w:r w:rsidRPr="008514F2">
              <w:rPr>
                <w:rStyle w:val="Hyperlink"/>
                <w:noProof/>
              </w:rPr>
              <w:t>8.4</w:t>
            </w:r>
            <w:r>
              <w:rPr>
                <w:rFonts w:asciiTheme="minorHAnsi" w:hAnsiTheme="minorHAnsi" w:cstheme="minorBidi"/>
                <w:b w:val="0"/>
                <w:bCs w:val="0"/>
                <w:noProof/>
                <w:szCs w:val="22"/>
                <w:lang w:eastAsia="zh-CN" w:bidi="ar-SA"/>
              </w:rPr>
              <w:tab/>
            </w:r>
            <w:r w:rsidRPr="008514F2">
              <w:rPr>
                <w:rStyle w:val="Hyperlink"/>
                <w:noProof/>
              </w:rPr>
              <w:t>Bayesian Updating of Probability Density</w:t>
            </w:r>
            <w:r>
              <w:rPr>
                <w:noProof/>
                <w:webHidden/>
              </w:rPr>
              <w:tab/>
            </w:r>
            <w:r>
              <w:rPr>
                <w:noProof/>
                <w:webHidden/>
              </w:rPr>
              <w:fldChar w:fldCharType="begin"/>
            </w:r>
            <w:r>
              <w:rPr>
                <w:noProof/>
                <w:webHidden/>
              </w:rPr>
              <w:instrText xml:space="preserve"> PAGEREF _Toc379467676 \h </w:instrText>
            </w:r>
            <w:r>
              <w:rPr>
                <w:noProof/>
                <w:webHidden/>
              </w:rPr>
            </w:r>
            <w:r>
              <w:rPr>
                <w:noProof/>
                <w:webHidden/>
              </w:rPr>
              <w:fldChar w:fldCharType="separate"/>
            </w:r>
            <w:r w:rsidR="004911B7">
              <w:rPr>
                <w:noProof/>
                <w:webHidden/>
              </w:rPr>
              <w:t>199</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77" w:history="1">
            <w:r w:rsidRPr="008514F2">
              <w:rPr>
                <w:rStyle w:val="Hyperlink"/>
                <w:noProof/>
              </w:rPr>
              <w:t>8.4.1</w:t>
            </w:r>
            <w:r>
              <w:rPr>
                <w:rFonts w:asciiTheme="minorHAnsi" w:hAnsiTheme="minorHAnsi" w:cstheme="minorBidi"/>
                <w:noProof/>
                <w:sz w:val="22"/>
                <w:szCs w:val="22"/>
                <w:lang w:eastAsia="zh-CN" w:bidi="ar-SA"/>
              </w:rPr>
              <w:tab/>
            </w:r>
            <w:r w:rsidRPr="008514F2">
              <w:rPr>
                <w:rStyle w:val="Hyperlink"/>
                <w:noProof/>
              </w:rPr>
              <w:t>Markov Chain Monte Carlo (MCMC) Methods</w:t>
            </w:r>
            <w:r>
              <w:rPr>
                <w:noProof/>
                <w:webHidden/>
              </w:rPr>
              <w:tab/>
            </w:r>
            <w:r>
              <w:rPr>
                <w:noProof/>
                <w:webHidden/>
              </w:rPr>
              <w:fldChar w:fldCharType="begin"/>
            </w:r>
            <w:r>
              <w:rPr>
                <w:noProof/>
                <w:webHidden/>
              </w:rPr>
              <w:instrText xml:space="preserve"> PAGEREF _Toc379467677 \h </w:instrText>
            </w:r>
            <w:r>
              <w:rPr>
                <w:noProof/>
                <w:webHidden/>
              </w:rPr>
            </w:r>
            <w:r>
              <w:rPr>
                <w:noProof/>
                <w:webHidden/>
              </w:rPr>
              <w:fldChar w:fldCharType="separate"/>
            </w:r>
            <w:r w:rsidR="004911B7">
              <w:rPr>
                <w:noProof/>
                <w:webHidden/>
              </w:rPr>
              <w:t>200</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78" w:history="1">
            <w:r w:rsidRPr="008514F2">
              <w:rPr>
                <w:rStyle w:val="Hyperlink"/>
                <w:noProof/>
              </w:rPr>
              <w:t>8.4.2</w:t>
            </w:r>
            <w:r>
              <w:rPr>
                <w:rFonts w:asciiTheme="minorHAnsi" w:hAnsiTheme="minorHAnsi" w:cstheme="minorBidi"/>
                <w:noProof/>
                <w:sz w:val="22"/>
                <w:szCs w:val="22"/>
                <w:lang w:eastAsia="zh-CN" w:bidi="ar-SA"/>
              </w:rPr>
              <w:tab/>
            </w:r>
            <w:r w:rsidRPr="008514F2">
              <w:rPr>
                <w:rStyle w:val="Hyperlink"/>
                <w:noProof/>
              </w:rPr>
              <w:t>Brennan and Karroubi Bayesian Approximation</w:t>
            </w:r>
            <w:r>
              <w:rPr>
                <w:noProof/>
                <w:webHidden/>
              </w:rPr>
              <w:tab/>
            </w:r>
            <w:r>
              <w:rPr>
                <w:noProof/>
                <w:webHidden/>
              </w:rPr>
              <w:fldChar w:fldCharType="begin"/>
            </w:r>
            <w:r>
              <w:rPr>
                <w:noProof/>
                <w:webHidden/>
              </w:rPr>
              <w:instrText xml:space="preserve"> PAGEREF _Toc379467678 \h </w:instrText>
            </w:r>
            <w:r>
              <w:rPr>
                <w:noProof/>
                <w:webHidden/>
              </w:rPr>
            </w:r>
            <w:r>
              <w:rPr>
                <w:noProof/>
                <w:webHidden/>
              </w:rPr>
              <w:fldChar w:fldCharType="separate"/>
            </w:r>
            <w:r w:rsidR="004911B7">
              <w:rPr>
                <w:noProof/>
                <w:webHidden/>
              </w:rPr>
              <w:t>201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79" w:history="1">
            <w:r w:rsidRPr="008514F2">
              <w:rPr>
                <w:rStyle w:val="Hyperlink"/>
                <w:noProof/>
              </w:rPr>
              <w:t>8.5</w:t>
            </w:r>
            <w:r>
              <w:rPr>
                <w:rFonts w:asciiTheme="minorHAnsi" w:hAnsiTheme="minorHAnsi" w:cstheme="minorBidi"/>
                <w:b w:val="0"/>
                <w:bCs w:val="0"/>
                <w:noProof/>
                <w:szCs w:val="22"/>
                <w:lang w:eastAsia="zh-CN" w:bidi="ar-SA"/>
              </w:rPr>
              <w:tab/>
            </w:r>
            <w:r w:rsidRPr="008514F2">
              <w:rPr>
                <w:rStyle w:val="Hyperlink"/>
                <w:noProof/>
              </w:rPr>
              <w:t>Valuation of Clinical Trials In Industry</w:t>
            </w:r>
            <w:r>
              <w:rPr>
                <w:noProof/>
                <w:webHidden/>
              </w:rPr>
              <w:tab/>
            </w:r>
            <w:r>
              <w:rPr>
                <w:noProof/>
                <w:webHidden/>
              </w:rPr>
              <w:fldChar w:fldCharType="begin"/>
            </w:r>
            <w:r>
              <w:rPr>
                <w:noProof/>
                <w:webHidden/>
              </w:rPr>
              <w:instrText xml:space="preserve"> PAGEREF _Toc379467679 \h </w:instrText>
            </w:r>
            <w:r>
              <w:rPr>
                <w:noProof/>
                <w:webHidden/>
              </w:rPr>
            </w:r>
            <w:r>
              <w:rPr>
                <w:noProof/>
                <w:webHidden/>
              </w:rPr>
              <w:fldChar w:fldCharType="separate"/>
            </w:r>
            <w:r w:rsidR="004911B7">
              <w:rPr>
                <w:noProof/>
                <w:webHidden/>
              </w:rPr>
              <w:t>211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0" w:history="1">
            <w:r w:rsidRPr="008514F2">
              <w:rPr>
                <w:rStyle w:val="Hyperlink"/>
                <w:noProof/>
              </w:rPr>
              <w:t>8.5.1</w:t>
            </w:r>
            <w:r>
              <w:rPr>
                <w:rFonts w:asciiTheme="minorHAnsi" w:hAnsiTheme="minorHAnsi" w:cstheme="minorBidi"/>
                <w:noProof/>
                <w:sz w:val="22"/>
                <w:szCs w:val="22"/>
                <w:lang w:eastAsia="zh-CN" w:bidi="ar-SA"/>
              </w:rPr>
              <w:tab/>
            </w:r>
            <w:r w:rsidRPr="008514F2">
              <w:rPr>
                <w:rStyle w:val="Hyperlink"/>
                <w:noProof/>
              </w:rPr>
              <w:t>Assurance Based Valuation of Trials</w:t>
            </w:r>
            <w:r>
              <w:rPr>
                <w:noProof/>
                <w:webHidden/>
              </w:rPr>
              <w:tab/>
            </w:r>
            <w:r>
              <w:rPr>
                <w:noProof/>
                <w:webHidden/>
              </w:rPr>
              <w:fldChar w:fldCharType="begin"/>
            </w:r>
            <w:r>
              <w:rPr>
                <w:noProof/>
                <w:webHidden/>
              </w:rPr>
              <w:instrText xml:space="preserve"> PAGEREF _Toc379467680 \h </w:instrText>
            </w:r>
            <w:r>
              <w:rPr>
                <w:noProof/>
                <w:webHidden/>
              </w:rPr>
            </w:r>
            <w:r>
              <w:rPr>
                <w:noProof/>
                <w:webHidden/>
              </w:rPr>
              <w:fldChar w:fldCharType="separate"/>
            </w:r>
            <w:r w:rsidR="004911B7">
              <w:rPr>
                <w:noProof/>
                <w:webHidden/>
              </w:rPr>
              <w:t>211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1" w:history="1">
            <w:r w:rsidRPr="008514F2">
              <w:rPr>
                <w:rStyle w:val="Hyperlink"/>
                <w:noProof/>
              </w:rPr>
              <w:t>8.5.2</w:t>
            </w:r>
            <w:r>
              <w:rPr>
                <w:rFonts w:asciiTheme="minorHAnsi" w:hAnsiTheme="minorHAnsi" w:cstheme="minorBidi"/>
                <w:noProof/>
                <w:sz w:val="22"/>
                <w:szCs w:val="22"/>
                <w:lang w:eastAsia="zh-CN" w:bidi="ar-SA"/>
              </w:rPr>
              <w:tab/>
            </w:r>
            <w:r w:rsidRPr="008514F2">
              <w:rPr>
                <w:rStyle w:val="Hyperlink"/>
                <w:noProof/>
              </w:rPr>
              <w:t>Value Based Pricing Valuation of Trials</w:t>
            </w:r>
            <w:r>
              <w:rPr>
                <w:noProof/>
                <w:webHidden/>
              </w:rPr>
              <w:tab/>
            </w:r>
            <w:r>
              <w:rPr>
                <w:noProof/>
                <w:webHidden/>
              </w:rPr>
              <w:fldChar w:fldCharType="begin"/>
            </w:r>
            <w:r>
              <w:rPr>
                <w:noProof/>
                <w:webHidden/>
              </w:rPr>
              <w:instrText xml:space="preserve"> PAGEREF _Toc379467681 \h </w:instrText>
            </w:r>
            <w:r>
              <w:rPr>
                <w:noProof/>
                <w:webHidden/>
              </w:rPr>
            </w:r>
            <w:r>
              <w:rPr>
                <w:noProof/>
                <w:webHidden/>
              </w:rPr>
              <w:fldChar w:fldCharType="separate"/>
            </w:r>
            <w:r w:rsidR="004911B7">
              <w:rPr>
                <w:noProof/>
                <w:webHidden/>
              </w:rPr>
              <w:t>212</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2" w:history="1">
            <w:r w:rsidRPr="008514F2">
              <w:rPr>
                <w:rStyle w:val="Hyperlink"/>
                <w:noProof/>
              </w:rPr>
              <w:t>8.5.3</w:t>
            </w:r>
            <w:r>
              <w:rPr>
                <w:rFonts w:asciiTheme="minorHAnsi" w:hAnsiTheme="minorHAnsi" w:cstheme="minorBidi"/>
                <w:noProof/>
                <w:sz w:val="22"/>
                <w:szCs w:val="22"/>
                <w:lang w:eastAsia="zh-CN" w:bidi="ar-SA"/>
              </w:rPr>
              <w:tab/>
            </w:r>
            <w:r w:rsidRPr="008514F2">
              <w:rPr>
                <w:rStyle w:val="Hyperlink"/>
                <w:noProof/>
              </w:rPr>
              <w:t>Expected Commercial Net Benefit of Sampling (ECNBS)</w:t>
            </w:r>
            <w:r>
              <w:rPr>
                <w:noProof/>
                <w:webHidden/>
              </w:rPr>
              <w:tab/>
            </w:r>
            <w:r>
              <w:rPr>
                <w:noProof/>
                <w:webHidden/>
              </w:rPr>
              <w:fldChar w:fldCharType="begin"/>
            </w:r>
            <w:r>
              <w:rPr>
                <w:noProof/>
                <w:webHidden/>
              </w:rPr>
              <w:instrText xml:space="preserve"> PAGEREF _Toc379467682 \h </w:instrText>
            </w:r>
            <w:r>
              <w:rPr>
                <w:noProof/>
                <w:webHidden/>
              </w:rPr>
            </w:r>
            <w:r>
              <w:rPr>
                <w:noProof/>
                <w:webHidden/>
              </w:rPr>
              <w:fldChar w:fldCharType="separate"/>
            </w:r>
            <w:r w:rsidR="004911B7">
              <w:rPr>
                <w:noProof/>
                <w:webHidden/>
              </w:rPr>
              <w:t>213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3" w:history="1">
            <w:r w:rsidRPr="008514F2">
              <w:rPr>
                <w:rStyle w:val="Hyperlink"/>
                <w:noProof/>
              </w:rPr>
              <w:t>8.5.4</w:t>
            </w:r>
            <w:r>
              <w:rPr>
                <w:rFonts w:asciiTheme="minorHAnsi" w:hAnsiTheme="minorHAnsi" w:cstheme="minorBidi"/>
                <w:noProof/>
                <w:sz w:val="22"/>
                <w:szCs w:val="22"/>
                <w:lang w:eastAsia="zh-CN" w:bidi="ar-SA"/>
              </w:rPr>
              <w:tab/>
            </w:r>
            <w:r w:rsidRPr="008514F2">
              <w:rPr>
                <w:rStyle w:val="Hyperlink"/>
                <w:noProof/>
              </w:rPr>
              <w:t>Number of Patients Who Will Benefit From Treatment</w:t>
            </w:r>
            <w:r>
              <w:rPr>
                <w:noProof/>
                <w:webHidden/>
              </w:rPr>
              <w:tab/>
            </w:r>
            <w:r>
              <w:rPr>
                <w:noProof/>
                <w:webHidden/>
              </w:rPr>
              <w:fldChar w:fldCharType="begin"/>
            </w:r>
            <w:r>
              <w:rPr>
                <w:noProof/>
                <w:webHidden/>
              </w:rPr>
              <w:instrText xml:space="preserve"> PAGEREF _Toc379467683 \h </w:instrText>
            </w:r>
            <w:r>
              <w:rPr>
                <w:noProof/>
                <w:webHidden/>
              </w:rPr>
            </w:r>
            <w:r>
              <w:rPr>
                <w:noProof/>
                <w:webHidden/>
              </w:rPr>
              <w:fldChar w:fldCharType="separate"/>
            </w:r>
            <w:r w:rsidR="004911B7">
              <w:rPr>
                <w:noProof/>
                <w:webHidden/>
              </w:rPr>
              <w:t>214</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84" w:history="1">
            <w:r w:rsidRPr="008514F2">
              <w:rPr>
                <w:rStyle w:val="Hyperlink"/>
                <w:noProof/>
              </w:rPr>
              <w:t>8.6</w:t>
            </w:r>
            <w:r>
              <w:rPr>
                <w:rFonts w:asciiTheme="minorHAnsi" w:hAnsiTheme="minorHAnsi" w:cstheme="minorBidi"/>
                <w:b w:val="0"/>
                <w:bCs w:val="0"/>
                <w:noProof/>
                <w:szCs w:val="22"/>
                <w:lang w:eastAsia="zh-CN" w:bidi="ar-SA"/>
              </w:rPr>
              <w:tab/>
            </w:r>
            <w:r w:rsidRPr="008514F2">
              <w:rPr>
                <w:rStyle w:val="Hyperlink"/>
                <w:noProof/>
              </w:rPr>
              <w:t>Results</w:t>
            </w:r>
            <w:r>
              <w:rPr>
                <w:noProof/>
                <w:webHidden/>
              </w:rPr>
              <w:tab/>
            </w:r>
            <w:r>
              <w:rPr>
                <w:noProof/>
                <w:webHidden/>
              </w:rPr>
              <w:fldChar w:fldCharType="begin"/>
            </w:r>
            <w:r>
              <w:rPr>
                <w:noProof/>
                <w:webHidden/>
              </w:rPr>
              <w:instrText xml:space="preserve"> PAGEREF _Toc379467684 \h </w:instrText>
            </w:r>
            <w:r>
              <w:rPr>
                <w:noProof/>
                <w:webHidden/>
              </w:rPr>
            </w:r>
            <w:r>
              <w:rPr>
                <w:noProof/>
                <w:webHidden/>
              </w:rPr>
              <w:fldChar w:fldCharType="separate"/>
            </w:r>
            <w:r w:rsidR="004911B7">
              <w:rPr>
                <w:noProof/>
                <w:webHidden/>
              </w:rPr>
              <w:t>216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5" w:history="1">
            <w:r w:rsidRPr="008514F2">
              <w:rPr>
                <w:rStyle w:val="Hyperlink"/>
                <w:noProof/>
              </w:rPr>
              <w:t>8.6.1</w:t>
            </w:r>
            <w:r>
              <w:rPr>
                <w:rFonts w:asciiTheme="minorHAnsi" w:hAnsiTheme="minorHAnsi" w:cstheme="minorBidi"/>
                <w:noProof/>
                <w:sz w:val="22"/>
                <w:szCs w:val="22"/>
                <w:lang w:eastAsia="zh-CN" w:bidi="ar-SA"/>
              </w:rPr>
              <w:tab/>
            </w:r>
            <w:r w:rsidRPr="008514F2">
              <w:rPr>
                <w:rStyle w:val="Hyperlink"/>
                <w:noProof/>
              </w:rPr>
              <w:t>Assurance</w:t>
            </w:r>
            <w:r>
              <w:rPr>
                <w:noProof/>
                <w:webHidden/>
              </w:rPr>
              <w:tab/>
            </w:r>
            <w:r>
              <w:rPr>
                <w:noProof/>
                <w:webHidden/>
              </w:rPr>
              <w:fldChar w:fldCharType="begin"/>
            </w:r>
            <w:r>
              <w:rPr>
                <w:noProof/>
                <w:webHidden/>
              </w:rPr>
              <w:instrText xml:space="preserve"> PAGEREF _Toc379467685 \h </w:instrText>
            </w:r>
            <w:r>
              <w:rPr>
                <w:noProof/>
                <w:webHidden/>
              </w:rPr>
            </w:r>
            <w:r>
              <w:rPr>
                <w:noProof/>
                <w:webHidden/>
              </w:rPr>
              <w:fldChar w:fldCharType="separate"/>
            </w:r>
            <w:r w:rsidR="004911B7">
              <w:rPr>
                <w:noProof/>
                <w:webHidden/>
              </w:rPr>
              <w:t>216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6" w:history="1">
            <w:r w:rsidRPr="008514F2">
              <w:rPr>
                <w:rStyle w:val="Hyperlink"/>
                <w:noProof/>
              </w:rPr>
              <w:t>8.6.2</w:t>
            </w:r>
            <w:r>
              <w:rPr>
                <w:rFonts w:asciiTheme="minorHAnsi" w:hAnsiTheme="minorHAnsi" w:cstheme="minorBidi"/>
                <w:noProof/>
                <w:sz w:val="22"/>
                <w:szCs w:val="22"/>
                <w:lang w:eastAsia="zh-CN" w:bidi="ar-SA"/>
              </w:rPr>
              <w:tab/>
            </w:r>
            <w:r w:rsidRPr="008514F2">
              <w:rPr>
                <w:rStyle w:val="Hyperlink"/>
                <w:noProof/>
              </w:rPr>
              <w:t>Expected Value-Based Price and Expected Commercial Net Benefit of Sampling Results</w:t>
            </w:r>
            <w:r>
              <w:rPr>
                <w:noProof/>
                <w:webHidden/>
              </w:rPr>
              <w:tab/>
            </w:r>
            <w:r>
              <w:rPr>
                <w:noProof/>
                <w:webHidden/>
              </w:rPr>
              <w:fldChar w:fldCharType="begin"/>
            </w:r>
            <w:r>
              <w:rPr>
                <w:noProof/>
                <w:webHidden/>
              </w:rPr>
              <w:instrText xml:space="preserve"> PAGEREF _Toc379467686 \h </w:instrText>
            </w:r>
            <w:r>
              <w:rPr>
                <w:noProof/>
                <w:webHidden/>
              </w:rPr>
            </w:r>
            <w:r>
              <w:rPr>
                <w:noProof/>
                <w:webHidden/>
              </w:rPr>
              <w:fldChar w:fldCharType="separate"/>
            </w:r>
            <w:r w:rsidR="004911B7">
              <w:rPr>
                <w:noProof/>
                <w:webHidden/>
              </w:rPr>
              <w:t>217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7" w:history="1">
            <w:r w:rsidRPr="008514F2">
              <w:rPr>
                <w:rStyle w:val="Hyperlink"/>
                <w:noProof/>
              </w:rPr>
              <w:t>8.6.3</w:t>
            </w:r>
            <w:r>
              <w:rPr>
                <w:rFonts w:asciiTheme="minorHAnsi" w:hAnsiTheme="minorHAnsi" w:cstheme="minorBidi"/>
                <w:noProof/>
                <w:sz w:val="22"/>
                <w:szCs w:val="22"/>
                <w:lang w:eastAsia="zh-CN" w:bidi="ar-SA"/>
              </w:rPr>
              <w:tab/>
            </w:r>
            <w:r w:rsidRPr="008514F2">
              <w:rPr>
                <w:rStyle w:val="Hyperlink"/>
                <w:noProof/>
              </w:rPr>
              <w:t>VOI Analysis Convergence</w:t>
            </w:r>
            <w:r>
              <w:rPr>
                <w:noProof/>
                <w:webHidden/>
              </w:rPr>
              <w:tab/>
            </w:r>
            <w:r>
              <w:rPr>
                <w:noProof/>
                <w:webHidden/>
              </w:rPr>
              <w:fldChar w:fldCharType="begin"/>
            </w:r>
            <w:r>
              <w:rPr>
                <w:noProof/>
                <w:webHidden/>
              </w:rPr>
              <w:instrText xml:space="preserve"> PAGEREF _Toc379467687 \h </w:instrText>
            </w:r>
            <w:r>
              <w:rPr>
                <w:noProof/>
                <w:webHidden/>
              </w:rPr>
            </w:r>
            <w:r>
              <w:rPr>
                <w:noProof/>
                <w:webHidden/>
              </w:rPr>
              <w:fldChar w:fldCharType="separate"/>
            </w:r>
            <w:r w:rsidR="004911B7">
              <w:rPr>
                <w:noProof/>
                <w:webHidden/>
              </w:rPr>
              <w:t>221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88" w:history="1">
            <w:r w:rsidRPr="008514F2">
              <w:rPr>
                <w:rStyle w:val="Hyperlink"/>
                <w:noProof/>
              </w:rPr>
              <w:t>8.7</w:t>
            </w:r>
            <w:r>
              <w:rPr>
                <w:rFonts w:asciiTheme="minorHAnsi" w:hAnsiTheme="minorHAnsi" w:cstheme="minorBidi"/>
                <w:b w:val="0"/>
                <w:bCs w:val="0"/>
                <w:noProof/>
                <w:szCs w:val="22"/>
                <w:lang w:eastAsia="zh-CN" w:bidi="ar-SA"/>
              </w:rPr>
              <w:tab/>
            </w:r>
            <w:r w:rsidRPr="008514F2">
              <w:rPr>
                <w:rStyle w:val="Hyperlink"/>
                <w:noProof/>
              </w:rPr>
              <w:t>Discussion</w:t>
            </w:r>
            <w:r>
              <w:rPr>
                <w:noProof/>
                <w:webHidden/>
              </w:rPr>
              <w:tab/>
            </w:r>
            <w:r>
              <w:rPr>
                <w:noProof/>
                <w:webHidden/>
              </w:rPr>
              <w:fldChar w:fldCharType="begin"/>
            </w:r>
            <w:r>
              <w:rPr>
                <w:noProof/>
                <w:webHidden/>
              </w:rPr>
              <w:instrText xml:space="preserve"> PAGEREF _Toc379467688 \h </w:instrText>
            </w:r>
            <w:r>
              <w:rPr>
                <w:noProof/>
                <w:webHidden/>
              </w:rPr>
            </w:r>
            <w:r>
              <w:rPr>
                <w:noProof/>
                <w:webHidden/>
              </w:rPr>
              <w:fldChar w:fldCharType="separate"/>
            </w:r>
            <w:r w:rsidR="004911B7">
              <w:rPr>
                <w:noProof/>
                <w:webHidden/>
              </w:rPr>
              <w:t>224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89" w:history="1">
            <w:r w:rsidRPr="008514F2">
              <w:rPr>
                <w:rStyle w:val="Hyperlink"/>
                <w:noProof/>
              </w:rPr>
              <w:t>8.7.1</w:t>
            </w:r>
            <w:r>
              <w:rPr>
                <w:rFonts w:asciiTheme="minorHAnsi" w:hAnsiTheme="minorHAnsi" w:cstheme="minorBidi"/>
                <w:noProof/>
                <w:sz w:val="22"/>
                <w:szCs w:val="22"/>
                <w:lang w:eastAsia="zh-CN" w:bidi="ar-SA"/>
              </w:rPr>
              <w:tab/>
            </w:r>
            <w:r w:rsidRPr="008514F2">
              <w:rPr>
                <w:rStyle w:val="Hyperlink"/>
                <w:noProof/>
              </w:rPr>
              <w:t>Value-Based Pricing and the Threshold</w:t>
            </w:r>
            <w:r>
              <w:rPr>
                <w:noProof/>
                <w:webHidden/>
              </w:rPr>
              <w:tab/>
            </w:r>
            <w:r>
              <w:rPr>
                <w:noProof/>
                <w:webHidden/>
              </w:rPr>
              <w:fldChar w:fldCharType="begin"/>
            </w:r>
            <w:r>
              <w:rPr>
                <w:noProof/>
                <w:webHidden/>
              </w:rPr>
              <w:instrText xml:space="preserve"> PAGEREF _Toc379467689 \h </w:instrText>
            </w:r>
            <w:r>
              <w:rPr>
                <w:noProof/>
                <w:webHidden/>
              </w:rPr>
            </w:r>
            <w:r>
              <w:rPr>
                <w:noProof/>
                <w:webHidden/>
              </w:rPr>
              <w:fldChar w:fldCharType="separate"/>
            </w:r>
            <w:r w:rsidR="004911B7">
              <w:rPr>
                <w:noProof/>
                <w:webHidden/>
              </w:rPr>
              <w:t>224</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0" w:history="1">
            <w:r w:rsidRPr="008514F2">
              <w:rPr>
                <w:rStyle w:val="Hyperlink"/>
                <w:noProof/>
              </w:rPr>
              <w:t>8.7.2</w:t>
            </w:r>
            <w:r>
              <w:rPr>
                <w:rFonts w:asciiTheme="minorHAnsi" w:hAnsiTheme="minorHAnsi" w:cstheme="minorBidi"/>
                <w:noProof/>
                <w:sz w:val="22"/>
                <w:szCs w:val="22"/>
                <w:lang w:eastAsia="zh-CN" w:bidi="ar-SA"/>
              </w:rPr>
              <w:tab/>
            </w:r>
            <w:r w:rsidRPr="008514F2">
              <w:rPr>
                <w:rStyle w:val="Hyperlink"/>
                <w:noProof/>
              </w:rPr>
              <w:t>Computation Burden</w:t>
            </w:r>
            <w:r>
              <w:rPr>
                <w:noProof/>
                <w:webHidden/>
              </w:rPr>
              <w:tab/>
            </w:r>
            <w:r>
              <w:rPr>
                <w:noProof/>
                <w:webHidden/>
              </w:rPr>
              <w:fldChar w:fldCharType="begin"/>
            </w:r>
            <w:r>
              <w:rPr>
                <w:noProof/>
                <w:webHidden/>
              </w:rPr>
              <w:instrText xml:space="preserve"> PAGEREF _Toc379467690 \h </w:instrText>
            </w:r>
            <w:r>
              <w:rPr>
                <w:noProof/>
                <w:webHidden/>
              </w:rPr>
            </w:r>
            <w:r>
              <w:rPr>
                <w:noProof/>
                <w:webHidden/>
              </w:rPr>
              <w:fldChar w:fldCharType="separate"/>
            </w:r>
            <w:r w:rsidR="004911B7">
              <w:rPr>
                <w:noProof/>
                <w:webHidden/>
              </w:rPr>
              <w:t>225</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1" w:history="1">
            <w:r w:rsidRPr="008514F2">
              <w:rPr>
                <w:rStyle w:val="Hyperlink"/>
                <w:noProof/>
              </w:rPr>
              <w:t>8.7.3</w:t>
            </w:r>
            <w:r>
              <w:rPr>
                <w:rFonts w:asciiTheme="minorHAnsi" w:hAnsiTheme="minorHAnsi" w:cstheme="minorBidi"/>
                <w:noProof/>
                <w:sz w:val="22"/>
                <w:szCs w:val="22"/>
                <w:lang w:eastAsia="zh-CN" w:bidi="ar-SA"/>
              </w:rPr>
              <w:tab/>
            </w:r>
            <w:r w:rsidRPr="008514F2">
              <w:rPr>
                <w:rStyle w:val="Hyperlink"/>
                <w:noProof/>
              </w:rPr>
              <w:t>CE model Accuracy versus number of BCTS iterations</w:t>
            </w:r>
            <w:r>
              <w:rPr>
                <w:noProof/>
                <w:webHidden/>
              </w:rPr>
              <w:tab/>
            </w:r>
            <w:r>
              <w:rPr>
                <w:noProof/>
                <w:webHidden/>
              </w:rPr>
              <w:fldChar w:fldCharType="begin"/>
            </w:r>
            <w:r>
              <w:rPr>
                <w:noProof/>
                <w:webHidden/>
              </w:rPr>
              <w:instrText xml:space="preserve"> PAGEREF _Toc379467691 \h </w:instrText>
            </w:r>
            <w:r>
              <w:rPr>
                <w:noProof/>
                <w:webHidden/>
              </w:rPr>
            </w:r>
            <w:r>
              <w:rPr>
                <w:noProof/>
                <w:webHidden/>
              </w:rPr>
              <w:fldChar w:fldCharType="separate"/>
            </w:r>
            <w:r w:rsidR="004911B7">
              <w:rPr>
                <w:noProof/>
                <w:webHidden/>
              </w:rPr>
              <w:t>226</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2" w:history="1">
            <w:r w:rsidRPr="008514F2">
              <w:rPr>
                <w:rStyle w:val="Hyperlink"/>
                <w:noProof/>
              </w:rPr>
              <w:t>8.7.4</w:t>
            </w:r>
            <w:r>
              <w:rPr>
                <w:rFonts w:asciiTheme="minorHAnsi" w:hAnsiTheme="minorHAnsi" w:cstheme="minorBidi"/>
                <w:noProof/>
                <w:sz w:val="22"/>
                <w:szCs w:val="22"/>
                <w:lang w:eastAsia="zh-CN" w:bidi="ar-SA"/>
              </w:rPr>
              <w:tab/>
            </w:r>
            <w:r w:rsidRPr="008514F2">
              <w:rPr>
                <w:rStyle w:val="Hyperlink"/>
                <w:noProof/>
              </w:rPr>
              <w:t>Generalisability of Computation Problems</w:t>
            </w:r>
            <w:r>
              <w:rPr>
                <w:noProof/>
                <w:webHidden/>
              </w:rPr>
              <w:tab/>
            </w:r>
            <w:r>
              <w:rPr>
                <w:noProof/>
                <w:webHidden/>
              </w:rPr>
              <w:fldChar w:fldCharType="begin"/>
            </w:r>
            <w:r>
              <w:rPr>
                <w:noProof/>
                <w:webHidden/>
              </w:rPr>
              <w:instrText xml:space="preserve"> PAGEREF _Toc379467692 \h </w:instrText>
            </w:r>
            <w:r>
              <w:rPr>
                <w:noProof/>
                <w:webHidden/>
              </w:rPr>
            </w:r>
            <w:r>
              <w:rPr>
                <w:noProof/>
                <w:webHidden/>
              </w:rPr>
              <w:fldChar w:fldCharType="separate"/>
            </w:r>
            <w:r w:rsidR="004911B7">
              <w:rPr>
                <w:noProof/>
                <w:webHidden/>
              </w:rPr>
              <w:t>227</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3" w:history="1">
            <w:r w:rsidRPr="008514F2">
              <w:rPr>
                <w:rStyle w:val="Hyperlink"/>
                <w:noProof/>
              </w:rPr>
              <w:t>8.7.5</w:t>
            </w:r>
            <w:r>
              <w:rPr>
                <w:rFonts w:asciiTheme="minorHAnsi" w:hAnsiTheme="minorHAnsi" w:cstheme="minorBidi"/>
                <w:noProof/>
                <w:sz w:val="22"/>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_Toc379467693 \h </w:instrText>
            </w:r>
            <w:r>
              <w:rPr>
                <w:noProof/>
                <w:webHidden/>
              </w:rPr>
            </w:r>
            <w:r>
              <w:rPr>
                <w:noProof/>
                <w:webHidden/>
              </w:rPr>
              <w:fldChar w:fldCharType="separate"/>
            </w:r>
            <w:r w:rsidR="004911B7">
              <w:rPr>
                <w:noProof/>
                <w:webHidden/>
              </w:rPr>
              <w:t>227</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694" w:history="1">
            <w:r w:rsidRPr="008514F2">
              <w:rPr>
                <w:rStyle w:val="Hyperlink"/>
                <w:noProof/>
              </w:rPr>
              <w:t>9</w:t>
            </w:r>
            <w:r>
              <w:rPr>
                <w:rFonts w:asciiTheme="minorHAnsi" w:hAnsiTheme="minorHAnsi" w:cstheme="minorBidi"/>
                <w:b w:val="0"/>
                <w:bCs w:val="0"/>
                <w:caps w:val="0"/>
                <w:noProof/>
                <w:sz w:val="22"/>
                <w:szCs w:val="22"/>
                <w:lang w:eastAsia="zh-CN" w:bidi="ar-SA"/>
              </w:rPr>
              <w:tab/>
            </w:r>
            <w:r w:rsidRPr="008514F2">
              <w:rPr>
                <w:rStyle w:val="Hyperlink"/>
                <w:noProof/>
              </w:rPr>
              <w:t>Chapter 9: Discussion</w:t>
            </w:r>
            <w:r>
              <w:rPr>
                <w:noProof/>
                <w:webHidden/>
              </w:rPr>
              <w:tab/>
            </w:r>
            <w:r>
              <w:rPr>
                <w:noProof/>
                <w:webHidden/>
              </w:rPr>
              <w:fldChar w:fldCharType="begin"/>
            </w:r>
            <w:r>
              <w:rPr>
                <w:noProof/>
                <w:webHidden/>
              </w:rPr>
              <w:instrText xml:space="preserve"> PAGEREF _Toc379467694 \h </w:instrText>
            </w:r>
            <w:r>
              <w:rPr>
                <w:noProof/>
                <w:webHidden/>
              </w:rPr>
            </w:r>
            <w:r>
              <w:rPr>
                <w:noProof/>
                <w:webHidden/>
              </w:rPr>
              <w:fldChar w:fldCharType="separate"/>
            </w:r>
            <w:r w:rsidR="004911B7">
              <w:rPr>
                <w:noProof/>
                <w:webHidden/>
              </w:rPr>
              <w:t>229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95" w:history="1">
            <w:r w:rsidRPr="008514F2">
              <w:rPr>
                <w:rStyle w:val="Hyperlink"/>
                <w:noProof/>
              </w:rPr>
              <w:t>9.1</w:t>
            </w:r>
            <w:r>
              <w:rPr>
                <w:rFonts w:asciiTheme="minorHAnsi" w:hAnsiTheme="minorHAnsi" w:cstheme="minorBidi"/>
                <w:b w:val="0"/>
                <w:bCs w:val="0"/>
                <w:noProof/>
                <w:szCs w:val="22"/>
                <w:lang w:eastAsia="zh-CN" w:bidi="ar-SA"/>
              </w:rPr>
              <w:tab/>
            </w:r>
            <w:r w:rsidRPr="008514F2">
              <w:rPr>
                <w:rStyle w:val="Hyperlink"/>
                <w:noProof/>
              </w:rPr>
              <w:t>The results of the valuation of SLE Phase III trials</w:t>
            </w:r>
            <w:r>
              <w:rPr>
                <w:noProof/>
                <w:webHidden/>
              </w:rPr>
              <w:tab/>
            </w:r>
            <w:r>
              <w:rPr>
                <w:noProof/>
                <w:webHidden/>
              </w:rPr>
              <w:fldChar w:fldCharType="begin"/>
            </w:r>
            <w:r>
              <w:rPr>
                <w:noProof/>
                <w:webHidden/>
              </w:rPr>
              <w:instrText xml:space="preserve"> PAGEREF _Toc379467695 \h </w:instrText>
            </w:r>
            <w:r>
              <w:rPr>
                <w:noProof/>
                <w:webHidden/>
              </w:rPr>
            </w:r>
            <w:r>
              <w:rPr>
                <w:noProof/>
                <w:webHidden/>
              </w:rPr>
              <w:fldChar w:fldCharType="separate"/>
            </w:r>
            <w:r w:rsidR="004911B7">
              <w:rPr>
                <w:noProof/>
                <w:webHidden/>
              </w:rPr>
              <w:t>229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696" w:history="1">
            <w:r w:rsidRPr="008514F2">
              <w:rPr>
                <w:rStyle w:val="Hyperlink"/>
                <w:noProof/>
              </w:rPr>
              <w:t>9.2</w:t>
            </w:r>
            <w:r>
              <w:rPr>
                <w:rFonts w:asciiTheme="minorHAnsi" w:hAnsiTheme="minorHAnsi" w:cstheme="minorBidi"/>
                <w:b w:val="0"/>
                <w:bCs w:val="0"/>
                <w:noProof/>
                <w:szCs w:val="22"/>
                <w:lang w:eastAsia="zh-CN" w:bidi="ar-SA"/>
              </w:rPr>
              <w:tab/>
            </w:r>
            <w:r w:rsidRPr="008514F2">
              <w:rPr>
                <w:rStyle w:val="Hyperlink"/>
                <w:noProof/>
              </w:rPr>
              <w:t>What is new about this research</w:t>
            </w:r>
            <w:r>
              <w:rPr>
                <w:noProof/>
                <w:webHidden/>
              </w:rPr>
              <w:tab/>
            </w:r>
            <w:r>
              <w:rPr>
                <w:noProof/>
                <w:webHidden/>
              </w:rPr>
              <w:fldChar w:fldCharType="begin"/>
            </w:r>
            <w:r>
              <w:rPr>
                <w:noProof/>
                <w:webHidden/>
              </w:rPr>
              <w:instrText xml:space="preserve"> PAGEREF _Toc379467696 \h </w:instrText>
            </w:r>
            <w:r>
              <w:rPr>
                <w:noProof/>
                <w:webHidden/>
              </w:rPr>
            </w:r>
            <w:r>
              <w:rPr>
                <w:noProof/>
                <w:webHidden/>
              </w:rPr>
              <w:fldChar w:fldCharType="separate"/>
            </w:r>
            <w:r w:rsidR="004911B7">
              <w:rPr>
                <w:noProof/>
                <w:webHidden/>
              </w:rPr>
              <w:t>231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7" w:history="1">
            <w:r w:rsidRPr="008514F2">
              <w:rPr>
                <w:rStyle w:val="Hyperlink"/>
                <w:noProof/>
              </w:rPr>
              <w:t>9.2.1</w:t>
            </w:r>
            <w:r>
              <w:rPr>
                <w:rFonts w:asciiTheme="minorHAnsi" w:hAnsiTheme="minorHAnsi" w:cstheme="minorBidi"/>
                <w:noProof/>
                <w:sz w:val="22"/>
                <w:szCs w:val="22"/>
                <w:lang w:eastAsia="zh-CN" w:bidi="ar-SA"/>
              </w:rPr>
              <w:tab/>
            </w:r>
            <w:r w:rsidRPr="008514F2">
              <w:rPr>
                <w:rStyle w:val="Hyperlink"/>
                <w:noProof/>
              </w:rPr>
              <w:t>Systemic Lupus Erythematosus</w:t>
            </w:r>
            <w:r>
              <w:rPr>
                <w:noProof/>
                <w:webHidden/>
              </w:rPr>
              <w:tab/>
            </w:r>
            <w:r>
              <w:rPr>
                <w:noProof/>
                <w:webHidden/>
              </w:rPr>
              <w:fldChar w:fldCharType="begin"/>
            </w:r>
            <w:r>
              <w:rPr>
                <w:noProof/>
                <w:webHidden/>
              </w:rPr>
              <w:instrText xml:space="preserve"> PAGEREF _Toc379467697 \h </w:instrText>
            </w:r>
            <w:r>
              <w:rPr>
                <w:noProof/>
                <w:webHidden/>
              </w:rPr>
            </w:r>
            <w:r>
              <w:rPr>
                <w:noProof/>
                <w:webHidden/>
              </w:rPr>
              <w:fldChar w:fldCharType="separate"/>
            </w:r>
            <w:r w:rsidR="004911B7">
              <w:rPr>
                <w:noProof/>
                <w:webHidden/>
              </w:rPr>
              <w:t>231</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8" w:history="1">
            <w:r w:rsidRPr="008514F2">
              <w:rPr>
                <w:rStyle w:val="Hyperlink"/>
                <w:noProof/>
              </w:rPr>
              <w:t>9.2.2</w:t>
            </w:r>
            <w:r>
              <w:rPr>
                <w:rFonts w:asciiTheme="minorHAnsi" w:hAnsiTheme="minorHAnsi" w:cstheme="minorBidi"/>
                <w:noProof/>
                <w:sz w:val="22"/>
                <w:szCs w:val="22"/>
                <w:lang w:eastAsia="zh-CN" w:bidi="ar-SA"/>
              </w:rPr>
              <w:tab/>
            </w:r>
            <w:r w:rsidRPr="008514F2">
              <w:rPr>
                <w:rStyle w:val="Hyperlink"/>
                <w:noProof/>
              </w:rPr>
              <w:t>Value of Information Analysis</w:t>
            </w:r>
            <w:r>
              <w:rPr>
                <w:noProof/>
                <w:webHidden/>
              </w:rPr>
              <w:tab/>
            </w:r>
            <w:r>
              <w:rPr>
                <w:noProof/>
                <w:webHidden/>
              </w:rPr>
              <w:fldChar w:fldCharType="begin"/>
            </w:r>
            <w:r>
              <w:rPr>
                <w:noProof/>
                <w:webHidden/>
              </w:rPr>
              <w:instrText xml:space="preserve"> PAGEREF _Toc379467698 \h </w:instrText>
            </w:r>
            <w:r>
              <w:rPr>
                <w:noProof/>
                <w:webHidden/>
              </w:rPr>
            </w:r>
            <w:r>
              <w:rPr>
                <w:noProof/>
                <w:webHidden/>
              </w:rPr>
              <w:fldChar w:fldCharType="separate"/>
            </w:r>
            <w:r w:rsidR="004911B7">
              <w:rPr>
                <w:noProof/>
                <w:webHidden/>
              </w:rPr>
              <w:t>233</w:t>
            </w:r>
            <w:r>
              <w:rPr>
                <w:noProof/>
                <w:webHidden/>
              </w:rPr>
              <w:fldChar w:fldCharType="end"/>
            </w:r>
          </w:hyperlink>
        </w:p>
        <w:p w:rsidR="00CD16C3" w:rsidRDefault="00CD16C3">
          <w:pPr>
            <w:pStyle w:val="TOC3"/>
            <w:tabs>
              <w:tab w:val="left" w:pos="1000"/>
              <w:tab w:val="right" w:leader="dot" w:pos="8188"/>
            </w:tabs>
            <w:rPr>
              <w:rFonts w:asciiTheme="minorHAnsi" w:hAnsiTheme="minorHAnsi" w:cstheme="minorBidi"/>
              <w:noProof/>
              <w:sz w:val="22"/>
              <w:szCs w:val="22"/>
              <w:lang w:eastAsia="zh-CN" w:bidi="ar-SA"/>
            </w:rPr>
          </w:pPr>
          <w:hyperlink w:anchor="_Toc379467699" w:history="1">
            <w:r w:rsidRPr="008514F2">
              <w:rPr>
                <w:rStyle w:val="Hyperlink"/>
                <w:noProof/>
              </w:rPr>
              <w:t>9.2.3</w:t>
            </w:r>
            <w:r>
              <w:rPr>
                <w:rFonts w:asciiTheme="minorHAnsi" w:hAnsiTheme="minorHAnsi" w:cstheme="minorBidi"/>
                <w:noProof/>
                <w:sz w:val="22"/>
                <w:szCs w:val="22"/>
                <w:lang w:eastAsia="zh-CN" w:bidi="ar-SA"/>
              </w:rPr>
              <w:tab/>
            </w:r>
            <w:r w:rsidRPr="008514F2">
              <w:rPr>
                <w:rStyle w:val="Hyperlink"/>
                <w:noProof/>
              </w:rPr>
              <w:t>The Pharmaceutical Perspective</w:t>
            </w:r>
            <w:r>
              <w:rPr>
                <w:noProof/>
                <w:webHidden/>
              </w:rPr>
              <w:tab/>
            </w:r>
            <w:r>
              <w:rPr>
                <w:noProof/>
                <w:webHidden/>
              </w:rPr>
              <w:fldChar w:fldCharType="begin"/>
            </w:r>
            <w:r>
              <w:rPr>
                <w:noProof/>
                <w:webHidden/>
              </w:rPr>
              <w:instrText xml:space="preserve"> PAGEREF _Toc379467699 \h </w:instrText>
            </w:r>
            <w:r>
              <w:rPr>
                <w:noProof/>
                <w:webHidden/>
              </w:rPr>
            </w:r>
            <w:r>
              <w:rPr>
                <w:noProof/>
                <w:webHidden/>
              </w:rPr>
              <w:fldChar w:fldCharType="separate"/>
            </w:r>
            <w:r w:rsidR="004911B7">
              <w:rPr>
                <w:noProof/>
                <w:webHidden/>
              </w:rPr>
              <w:t>234</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700" w:history="1">
            <w:r w:rsidRPr="008514F2">
              <w:rPr>
                <w:rStyle w:val="Hyperlink"/>
                <w:noProof/>
              </w:rPr>
              <w:t>9.3</w:t>
            </w:r>
            <w:r>
              <w:rPr>
                <w:rFonts w:asciiTheme="minorHAnsi" w:hAnsiTheme="minorHAnsi" w:cstheme="minorBidi"/>
                <w:b w:val="0"/>
                <w:bCs w:val="0"/>
                <w:noProof/>
                <w:szCs w:val="22"/>
                <w:lang w:eastAsia="zh-CN" w:bidi="ar-SA"/>
              </w:rPr>
              <w:tab/>
            </w:r>
            <w:r w:rsidRPr="008514F2">
              <w:rPr>
                <w:rStyle w:val="Hyperlink"/>
                <w:noProof/>
              </w:rPr>
              <w:t>Limitations</w:t>
            </w:r>
            <w:r>
              <w:rPr>
                <w:noProof/>
                <w:webHidden/>
              </w:rPr>
              <w:tab/>
            </w:r>
            <w:r>
              <w:rPr>
                <w:noProof/>
                <w:webHidden/>
              </w:rPr>
              <w:fldChar w:fldCharType="begin"/>
            </w:r>
            <w:r>
              <w:rPr>
                <w:noProof/>
                <w:webHidden/>
              </w:rPr>
              <w:instrText xml:space="preserve"> PAGEREF _Toc379467700 \h </w:instrText>
            </w:r>
            <w:r>
              <w:rPr>
                <w:noProof/>
                <w:webHidden/>
              </w:rPr>
            </w:r>
            <w:r>
              <w:rPr>
                <w:noProof/>
                <w:webHidden/>
              </w:rPr>
              <w:fldChar w:fldCharType="separate"/>
            </w:r>
            <w:r w:rsidR="004911B7">
              <w:rPr>
                <w:noProof/>
                <w:webHidden/>
              </w:rPr>
              <w:t>237</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701" w:history="1">
            <w:r w:rsidRPr="008514F2">
              <w:rPr>
                <w:rStyle w:val="Hyperlink"/>
                <w:noProof/>
              </w:rPr>
              <w:t>9.4</w:t>
            </w:r>
            <w:r>
              <w:rPr>
                <w:rFonts w:asciiTheme="minorHAnsi" w:hAnsiTheme="minorHAnsi" w:cstheme="minorBidi"/>
                <w:b w:val="0"/>
                <w:bCs w:val="0"/>
                <w:noProof/>
                <w:szCs w:val="22"/>
                <w:lang w:eastAsia="zh-CN" w:bidi="ar-SA"/>
              </w:rPr>
              <w:tab/>
            </w:r>
            <w:r w:rsidRPr="008514F2">
              <w:rPr>
                <w:rStyle w:val="Hyperlink"/>
                <w:noProof/>
              </w:rPr>
              <w:t>Further Research and Development</w:t>
            </w:r>
            <w:r>
              <w:rPr>
                <w:noProof/>
                <w:webHidden/>
              </w:rPr>
              <w:tab/>
            </w:r>
            <w:r>
              <w:rPr>
                <w:noProof/>
                <w:webHidden/>
              </w:rPr>
              <w:fldChar w:fldCharType="begin"/>
            </w:r>
            <w:r>
              <w:rPr>
                <w:noProof/>
                <w:webHidden/>
              </w:rPr>
              <w:instrText xml:space="preserve"> PAGEREF _Toc379467701 \h </w:instrText>
            </w:r>
            <w:r>
              <w:rPr>
                <w:noProof/>
                <w:webHidden/>
              </w:rPr>
            </w:r>
            <w:r>
              <w:rPr>
                <w:noProof/>
                <w:webHidden/>
              </w:rPr>
              <w:fldChar w:fldCharType="separate"/>
            </w:r>
            <w:r w:rsidR="004911B7">
              <w:rPr>
                <w:noProof/>
                <w:webHidden/>
              </w:rPr>
              <w:t>239</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702" w:history="1">
            <w:r w:rsidRPr="008514F2">
              <w:rPr>
                <w:rStyle w:val="Hyperlink"/>
                <w:noProof/>
              </w:rPr>
              <w:t>9.5</w:t>
            </w:r>
            <w:r>
              <w:rPr>
                <w:rFonts w:asciiTheme="minorHAnsi" w:hAnsiTheme="minorHAnsi" w:cstheme="minorBidi"/>
                <w:b w:val="0"/>
                <w:bCs w:val="0"/>
                <w:noProof/>
                <w:szCs w:val="22"/>
                <w:lang w:eastAsia="zh-CN" w:bidi="ar-SA"/>
              </w:rPr>
              <w:tab/>
            </w:r>
            <w:r w:rsidRPr="008514F2">
              <w:rPr>
                <w:rStyle w:val="Hyperlink"/>
                <w:noProof/>
              </w:rPr>
              <w:t>Implications of Research</w:t>
            </w:r>
            <w:r>
              <w:rPr>
                <w:noProof/>
                <w:webHidden/>
              </w:rPr>
              <w:tab/>
            </w:r>
            <w:r>
              <w:rPr>
                <w:noProof/>
                <w:webHidden/>
              </w:rPr>
              <w:fldChar w:fldCharType="begin"/>
            </w:r>
            <w:r>
              <w:rPr>
                <w:noProof/>
                <w:webHidden/>
              </w:rPr>
              <w:instrText xml:space="preserve"> PAGEREF _Toc379467702 \h </w:instrText>
            </w:r>
            <w:r>
              <w:rPr>
                <w:noProof/>
                <w:webHidden/>
              </w:rPr>
            </w:r>
            <w:r>
              <w:rPr>
                <w:noProof/>
                <w:webHidden/>
              </w:rPr>
              <w:fldChar w:fldCharType="separate"/>
            </w:r>
            <w:r w:rsidR="004911B7">
              <w:rPr>
                <w:noProof/>
                <w:webHidden/>
              </w:rPr>
              <w:t>241</w:t>
            </w:r>
            <w:r>
              <w:rPr>
                <w:noProof/>
                <w:webHidden/>
              </w:rPr>
              <w:fldChar w:fldCharType="end"/>
            </w:r>
          </w:hyperlink>
        </w:p>
        <w:p w:rsidR="00CD16C3" w:rsidRDefault="00CD16C3">
          <w:pPr>
            <w:pStyle w:val="TOC2"/>
            <w:tabs>
              <w:tab w:val="left" w:pos="600"/>
              <w:tab w:val="right" w:leader="dot" w:pos="8188"/>
            </w:tabs>
            <w:rPr>
              <w:rFonts w:asciiTheme="minorHAnsi" w:hAnsiTheme="minorHAnsi" w:cstheme="minorBidi"/>
              <w:b w:val="0"/>
              <w:bCs w:val="0"/>
              <w:noProof/>
              <w:szCs w:val="22"/>
              <w:lang w:eastAsia="zh-CN" w:bidi="ar-SA"/>
            </w:rPr>
          </w:pPr>
          <w:hyperlink w:anchor="_Toc379467703" w:history="1">
            <w:r w:rsidRPr="008514F2">
              <w:rPr>
                <w:rStyle w:val="Hyperlink"/>
                <w:noProof/>
              </w:rPr>
              <w:t>9.6</w:t>
            </w:r>
            <w:r>
              <w:rPr>
                <w:rFonts w:asciiTheme="minorHAnsi" w:hAnsiTheme="minorHAnsi" w:cstheme="minorBidi"/>
                <w:b w:val="0"/>
                <w:bCs w:val="0"/>
                <w:noProof/>
                <w:szCs w:val="22"/>
                <w:lang w:eastAsia="zh-CN" w:bidi="ar-SA"/>
              </w:rPr>
              <w:tab/>
            </w:r>
            <w:r w:rsidRPr="008514F2">
              <w:rPr>
                <w:rStyle w:val="Hyperlink"/>
                <w:noProof/>
              </w:rPr>
              <w:t>Conclusions</w:t>
            </w:r>
            <w:r>
              <w:rPr>
                <w:noProof/>
                <w:webHidden/>
              </w:rPr>
              <w:tab/>
            </w:r>
            <w:r>
              <w:rPr>
                <w:noProof/>
                <w:webHidden/>
              </w:rPr>
              <w:fldChar w:fldCharType="begin"/>
            </w:r>
            <w:r>
              <w:rPr>
                <w:noProof/>
                <w:webHidden/>
              </w:rPr>
              <w:instrText xml:space="preserve"> PAGEREF _Toc379467703 \h </w:instrText>
            </w:r>
            <w:r>
              <w:rPr>
                <w:noProof/>
                <w:webHidden/>
              </w:rPr>
            </w:r>
            <w:r>
              <w:rPr>
                <w:noProof/>
                <w:webHidden/>
              </w:rPr>
              <w:fldChar w:fldCharType="separate"/>
            </w:r>
            <w:r w:rsidR="004911B7">
              <w:rPr>
                <w:noProof/>
                <w:webHidden/>
              </w:rPr>
              <w:t>251</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4" w:history="1">
            <w:r w:rsidRPr="008514F2">
              <w:rPr>
                <w:rStyle w:val="Hyperlink"/>
                <w:noProof/>
              </w:rPr>
              <w:t>10</w:t>
            </w:r>
            <w:r>
              <w:rPr>
                <w:rFonts w:asciiTheme="minorHAnsi" w:hAnsiTheme="minorHAnsi" w:cstheme="minorBidi"/>
                <w:b w:val="0"/>
                <w:bCs w:val="0"/>
                <w:caps w:val="0"/>
                <w:noProof/>
                <w:sz w:val="22"/>
                <w:szCs w:val="22"/>
                <w:lang w:eastAsia="zh-CN" w:bidi="ar-SA"/>
              </w:rPr>
              <w:tab/>
            </w:r>
            <w:r w:rsidRPr="008514F2">
              <w:rPr>
                <w:rStyle w:val="Hyperlink"/>
                <w:noProof/>
              </w:rPr>
              <w:t>References</w:t>
            </w:r>
            <w:r>
              <w:rPr>
                <w:noProof/>
                <w:webHidden/>
              </w:rPr>
              <w:tab/>
            </w:r>
            <w:r>
              <w:rPr>
                <w:noProof/>
                <w:webHidden/>
              </w:rPr>
              <w:fldChar w:fldCharType="begin"/>
            </w:r>
            <w:r>
              <w:rPr>
                <w:noProof/>
                <w:webHidden/>
              </w:rPr>
              <w:instrText xml:space="preserve"> PAGEREF _Toc379467704 \h </w:instrText>
            </w:r>
            <w:r>
              <w:rPr>
                <w:noProof/>
                <w:webHidden/>
              </w:rPr>
            </w:r>
            <w:r>
              <w:rPr>
                <w:noProof/>
                <w:webHidden/>
              </w:rPr>
              <w:fldChar w:fldCharType="separate"/>
            </w:r>
            <w:r w:rsidR="004911B7">
              <w:rPr>
                <w:noProof/>
                <w:webHidden/>
              </w:rPr>
              <w:t>252</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5" w:history="1">
            <w:r w:rsidRPr="008514F2">
              <w:rPr>
                <w:rStyle w:val="Hyperlink"/>
                <w:noProof/>
              </w:rPr>
              <w:t xml:space="preserve">AppendIX 1: </w:t>
            </w:r>
            <w:r w:rsidRPr="008514F2">
              <w:rPr>
                <w:rStyle w:val="Hyperlink"/>
                <w:noProof/>
                <w:spacing w:val="5"/>
              </w:rPr>
              <w:t>Systemic Lupus Erythematosus Disease Indices</w:t>
            </w:r>
            <w:r>
              <w:rPr>
                <w:noProof/>
                <w:webHidden/>
              </w:rPr>
              <w:tab/>
            </w:r>
            <w:r>
              <w:rPr>
                <w:noProof/>
                <w:webHidden/>
              </w:rPr>
              <w:fldChar w:fldCharType="begin"/>
            </w:r>
            <w:r>
              <w:rPr>
                <w:noProof/>
                <w:webHidden/>
              </w:rPr>
              <w:instrText xml:space="preserve"> PAGEREF _Toc379467705 \h </w:instrText>
            </w:r>
            <w:r>
              <w:rPr>
                <w:noProof/>
                <w:webHidden/>
              </w:rPr>
            </w:r>
            <w:r>
              <w:rPr>
                <w:noProof/>
                <w:webHidden/>
              </w:rPr>
              <w:fldChar w:fldCharType="separate"/>
            </w:r>
            <w:r w:rsidR="004911B7">
              <w:rPr>
                <w:noProof/>
                <w:webHidden/>
              </w:rPr>
              <w:t>268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6" w:history="1">
            <w:r w:rsidRPr="008514F2">
              <w:rPr>
                <w:rStyle w:val="Hyperlink"/>
                <w:noProof/>
              </w:rPr>
              <w:t xml:space="preserve">Appendix 2: </w:t>
            </w:r>
            <w:r w:rsidRPr="008514F2">
              <w:rPr>
                <w:rStyle w:val="Hyperlink"/>
                <w:noProof/>
                <w:spacing w:val="5"/>
              </w:rPr>
              <w:t>Randomised Controlled Trial Pipeline Search</w:t>
            </w:r>
            <w:r>
              <w:rPr>
                <w:noProof/>
                <w:webHidden/>
              </w:rPr>
              <w:tab/>
            </w:r>
            <w:r>
              <w:rPr>
                <w:noProof/>
                <w:webHidden/>
              </w:rPr>
              <w:fldChar w:fldCharType="begin"/>
            </w:r>
            <w:r>
              <w:rPr>
                <w:noProof/>
                <w:webHidden/>
              </w:rPr>
              <w:instrText xml:space="preserve"> PAGEREF _Toc379467706 \h </w:instrText>
            </w:r>
            <w:r>
              <w:rPr>
                <w:noProof/>
                <w:webHidden/>
              </w:rPr>
            </w:r>
            <w:r>
              <w:rPr>
                <w:noProof/>
                <w:webHidden/>
              </w:rPr>
              <w:fldChar w:fldCharType="separate"/>
            </w:r>
            <w:r w:rsidR="004911B7">
              <w:rPr>
                <w:noProof/>
                <w:webHidden/>
              </w:rPr>
              <w:t>271</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7" w:history="1">
            <w:r w:rsidRPr="008514F2">
              <w:rPr>
                <w:rStyle w:val="Hyperlink"/>
                <w:noProof/>
              </w:rPr>
              <w:t xml:space="preserve">Appendix 3: </w:t>
            </w:r>
            <w:r w:rsidRPr="008514F2">
              <w:rPr>
                <w:rStyle w:val="Hyperlink"/>
                <w:noProof/>
                <w:spacing w:val="5"/>
              </w:rPr>
              <w:t>RCT Search Strategies</w:t>
            </w:r>
            <w:r>
              <w:rPr>
                <w:noProof/>
                <w:webHidden/>
              </w:rPr>
              <w:tab/>
            </w:r>
            <w:r>
              <w:rPr>
                <w:noProof/>
                <w:webHidden/>
              </w:rPr>
              <w:fldChar w:fldCharType="begin"/>
            </w:r>
            <w:r>
              <w:rPr>
                <w:noProof/>
                <w:webHidden/>
              </w:rPr>
              <w:instrText xml:space="preserve"> PAGEREF _Toc379467707 \h </w:instrText>
            </w:r>
            <w:r>
              <w:rPr>
                <w:noProof/>
                <w:webHidden/>
              </w:rPr>
            </w:r>
            <w:r>
              <w:rPr>
                <w:noProof/>
                <w:webHidden/>
              </w:rPr>
              <w:fldChar w:fldCharType="separate"/>
            </w:r>
            <w:r w:rsidR="004911B7">
              <w:rPr>
                <w:noProof/>
                <w:webHidden/>
              </w:rPr>
              <w:t>272</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8" w:history="1">
            <w:r w:rsidRPr="008514F2">
              <w:rPr>
                <w:rStyle w:val="Hyperlink"/>
                <w:noProof/>
              </w:rPr>
              <w:t xml:space="preserve">Appendix 4: </w:t>
            </w:r>
            <w:r w:rsidRPr="008514F2">
              <w:rPr>
                <w:rStyle w:val="Hyperlink"/>
                <w:noProof/>
                <w:spacing w:val="5"/>
              </w:rPr>
              <w:t>Observation Studies Search Strategies</w:t>
            </w:r>
            <w:r>
              <w:rPr>
                <w:noProof/>
                <w:webHidden/>
              </w:rPr>
              <w:tab/>
            </w:r>
            <w:r>
              <w:rPr>
                <w:noProof/>
                <w:webHidden/>
              </w:rPr>
              <w:fldChar w:fldCharType="begin"/>
            </w:r>
            <w:r>
              <w:rPr>
                <w:noProof/>
                <w:webHidden/>
              </w:rPr>
              <w:instrText xml:space="preserve"> PAGEREF _Toc379467708 \h </w:instrText>
            </w:r>
            <w:r>
              <w:rPr>
                <w:noProof/>
                <w:webHidden/>
              </w:rPr>
            </w:r>
            <w:r>
              <w:rPr>
                <w:noProof/>
                <w:webHidden/>
              </w:rPr>
              <w:fldChar w:fldCharType="separate"/>
            </w:r>
            <w:r w:rsidR="004911B7">
              <w:rPr>
                <w:noProof/>
                <w:webHidden/>
              </w:rPr>
              <w:t>273</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09" w:history="1">
            <w:r w:rsidRPr="008514F2">
              <w:rPr>
                <w:rStyle w:val="Hyperlink"/>
                <w:noProof/>
              </w:rPr>
              <w:t xml:space="preserve">Appendix 5: </w:t>
            </w:r>
            <w:r w:rsidRPr="008514F2">
              <w:rPr>
                <w:rStyle w:val="Hyperlink"/>
                <w:noProof/>
                <w:spacing w:val="5"/>
              </w:rPr>
              <w:t>Observation Studies Results</w:t>
            </w:r>
            <w:r>
              <w:rPr>
                <w:noProof/>
                <w:webHidden/>
              </w:rPr>
              <w:tab/>
            </w:r>
            <w:r>
              <w:rPr>
                <w:noProof/>
                <w:webHidden/>
              </w:rPr>
              <w:fldChar w:fldCharType="begin"/>
            </w:r>
            <w:r>
              <w:rPr>
                <w:noProof/>
                <w:webHidden/>
              </w:rPr>
              <w:instrText xml:space="preserve"> PAGEREF _Toc379467709 \h </w:instrText>
            </w:r>
            <w:r>
              <w:rPr>
                <w:noProof/>
                <w:webHidden/>
              </w:rPr>
            </w:r>
            <w:r>
              <w:rPr>
                <w:noProof/>
                <w:webHidden/>
              </w:rPr>
              <w:fldChar w:fldCharType="separate"/>
            </w:r>
            <w:r w:rsidR="004911B7">
              <w:rPr>
                <w:noProof/>
                <w:webHidden/>
              </w:rPr>
              <w:t>274</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0" w:history="1">
            <w:r w:rsidRPr="008514F2">
              <w:rPr>
                <w:rStyle w:val="Hyperlink"/>
                <w:noProof/>
              </w:rPr>
              <w:t xml:space="preserve">Appendix  6: </w:t>
            </w:r>
            <w:r w:rsidRPr="008514F2">
              <w:rPr>
                <w:rStyle w:val="Hyperlink"/>
                <w:noProof/>
                <w:spacing w:val="5"/>
              </w:rPr>
              <w:t>Characteristics of Patients excluded from analysis</w:t>
            </w:r>
            <w:r>
              <w:rPr>
                <w:noProof/>
                <w:webHidden/>
              </w:rPr>
              <w:tab/>
            </w:r>
            <w:r>
              <w:rPr>
                <w:noProof/>
                <w:webHidden/>
              </w:rPr>
              <w:fldChar w:fldCharType="begin"/>
            </w:r>
            <w:r>
              <w:rPr>
                <w:noProof/>
                <w:webHidden/>
              </w:rPr>
              <w:instrText xml:space="preserve"> PAGEREF _Toc379467710 \h </w:instrText>
            </w:r>
            <w:r>
              <w:rPr>
                <w:noProof/>
                <w:webHidden/>
              </w:rPr>
            </w:r>
            <w:r>
              <w:rPr>
                <w:noProof/>
                <w:webHidden/>
              </w:rPr>
              <w:fldChar w:fldCharType="separate"/>
            </w:r>
            <w:r w:rsidR="004911B7">
              <w:rPr>
                <w:noProof/>
                <w:webHidden/>
              </w:rPr>
              <w:t>277</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1" w:history="1">
            <w:r w:rsidRPr="008514F2">
              <w:rPr>
                <w:rStyle w:val="Hyperlink"/>
                <w:noProof/>
              </w:rPr>
              <w:t xml:space="preserve">Appendix 7: </w:t>
            </w:r>
            <w:r w:rsidRPr="008514F2">
              <w:rPr>
                <w:rStyle w:val="Hyperlink"/>
                <w:noProof/>
                <w:spacing w:val="5"/>
              </w:rPr>
              <w:t>Results of Univariate statistical analysis of Organ damage</w:t>
            </w:r>
            <w:r>
              <w:rPr>
                <w:noProof/>
                <w:webHidden/>
              </w:rPr>
              <w:tab/>
            </w:r>
            <w:r>
              <w:rPr>
                <w:noProof/>
                <w:webHidden/>
              </w:rPr>
              <w:fldChar w:fldCharType="begin"/>
            </w:r>
            <w:r>
              <w:rPr>
                <w:noProof/>
                <w:webHidden/>
              </w:rPr>
              <w:instrText xml:space="preserve"> PAGEREF _Toc379467711 \h </w:instrText>
            </w:r>
            <w:r>
              <w:rPr>
                <w:noProof/>
                <w:webHidden/>
              </w:rPr>
            </w:r>
            <w:r>
              <w:rPr>
                <w:noProof/>
                <w:webHidden/>
              </w:rPr>
              <w:fldChar w:fldCharType="separate"/>
            </w:r>
            <w:r w:rsidR="004911B7">
              <w:rPr>
                <w:noProof/>
                <w:webHidden/>
              </w:rPr>
              <w:t>278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2" w:history="1">
            <w:r w:rsidRPr="008514F2">
              <w:rPr>
                <w:rStyle w:val="Hyperlink"/>
                <w:noProof/>
              </w:rPr>
              <w:t xml:space="preserve">Appendix 8: </w:t>
            </w:r>
            <w:r w:rsidRPr="008514F2">
              <w:rPr>
                <w:rStyle w:val="Hyperlink"/>
                <w:noProof/>
                <w:spacing w:val="5"/>
              </w:rPr>
              <w:t>Organ Damage Frailty Survival Analysis</w:t>
            </w:r>
            <w:r>
              <w:rPr>
                <w:noProof/>
                <w:webHidden/>
              </w:rPr>
              <w:tab/>
            </w:r>
            <w:r>
              <w:rPr>
                <w:noProof/>
                <w:webHidden/>
              </w:rPr>
              <w:fldChar w:fldCharType="begin"/>
            </w:r>
            <w:r>
              <w:rPr>
                <w:noProof/>
                <w:webHidden/>
              </w:rPr>
              <w:instrText xml:space="preserve"> PAGEREF _Toc379467712 \h </w:instrText>
            </w:r>
            <w:r>
              <w:rPr>
                <w:noProof/>
                <w:webHidden/>
              </w:rPr>
            </w:r>
            <w:r>
              <w:rPr>
                <w:noProof/>
                <w:webHidden/>
              </w:rPr>
              <w:fldChar w:fldCharType="separate"/>
            </w:r>
            <w:r w:rsidR="004911B7">
              <w:rPr>
                <w:noProof/>
                <w:webHidden/>
              </w:rPr>
              <w:t>279</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3" w:history="1">
            <w:r w:rsidRPr="008514F2">
              <w:rPr>
                <w:rStyle w:val="Hyperlink"/>
                <w:noProof/>
              </w:rPr>
              <w:t xml:space="preserve">Appendix 9: </w:t>
            </w:r>
            <w:r w:rsidRPr="008514F2">
              <w:rPr>
                <w:rStyle w:val="Hyperlink"/>
                <w:noProof/>
                <w:spacing w:val="5"/>
              </w:rPr>
              <w:t>VALIDATION OF AN INDIVIDUAL PATIENT LEVEL SIMULATION OF THE NATURAL HISTORY OF SYSTEMIC LUPUS ERYTHEMATOSUS AGAINST AN ALTERNATIVE LONGITUDINAL COHORT</w:t>
            </w:r>
            <w:r>
              <w:rPr>
                <w:noProof/>
                <w:webHidden/>
              </w:rPr>
              <w:tab/>
            </w:r>
            <w:r>
              <w:rPr>
                <w:noProof/>
                <w:webHidden/>
              </w:rPr>
              <w:fldChar w:fldCharType="begin"/>
            </w:r>
            <w:r>
              <w:rPr>
                <w:noProof/>
                <w:webHidden/>
              </w:rPr>
              <w:instrText xml:space="preserve"> PAGEREF _Toc379467713 \h </w:instrText>
            </w:r>
            <w:r>
              <w:rPr>
                <w:noProof/>
                <w:webHidden/>
              </w:rPr>
            </w:r>
            <w:r>
              <w:rPr>
                <w:noProof/>
                <w:webHidden/>
              </w:rPr>
              <w:fldChar w:fldCharType="separate"/>
            </w:r>
            <w:r w:rsidR="004911B7">
              <w:rPr>
                <w:noProof/>
                <w:webHidden/>
              </w:rPr>
              <w:t>281</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4" w:history="1">
            <w:r w:rsidRPr="008514F2">
              <w:rPr>
                <w:rStyle w:val="Hyperlink"/>
                <w:noProof/>
              </w:rPr>
              <w:t xml:space="preserve">Appendix 10: </w:t>
            </w:r>
            <w:r w:rsidRPr="008514F2">
              <w:rPr>
                <w:rStyle w:val="Hyperlink"/>
                <w:noProof/>
                <w:spacing w:val="5"/>
              </w:rPr>
              <w:t>Age and Disease Duration parameter distributions</w:t>
            </w:r>
            <w:r>
              <w:rPr>
                <w:noProof/>
                <w:webHidden/>
              </w:rPr>
              <w:tab/>
            </w:r>
            <w:r>
              <w:rPr>
                <w:noProof/>
                <w:webHidden/>
              </w:rPr>
              <w:fldChar w:fldCharType="begin"/>
            </w:r>
            <w:r>
              <w:rPr>
                <w:noProof/>
                <w:webHidden/>
              </w:rPr>
              <w:instrText xml:space="preserve"> PAGEREF _Toc379467714 \h </w:instrText>
            </w:r>
            <w:r>
              <w:rPr>
                <w:noProof/>
                <w:webHidden/>
              </w:rPr>
            </w:r>
            <w:r>
              <w:rPr>
                <w:noProof/>
                <w:webHidden/>
              </w:rPr>
              <w:fldChar w:fldCharType="separate"/>
            </w:r>
            <w:r w:rsidR="004911B7">
              <w:rPr>
                <w:noProof/>
                <w:webHidden/>
              </w:rPr>
              <w:t>286</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5" w:history="1">
            <w:r w:rsidRPr="008514F2">
              <w:rPr>
                <w:rStyle w:val="Hyperlink"/>
                <w:noProof/>
              </w:rPr>
              <w:t xml:space="preserve">Appendix 11: </w:t>
            </w:r>
            <w:r w:rsidRPr="008514F2">
              <w:rPr>
                <w:rStyle w:val="Hyperlink"/>
                <w:noProof/>
                <w:spacing w:val="5"/>
              </w:rPr>
              <w:t>Simulation Parameter Distributions</w:t>
            </w:r>
            <w:r>
              <w:rPr>
                <w:noProof/>
                <w:webHidden/>
              </w:rPr>
              <w:tab/>
            </w:r>
            <w:r>
              <w:rPr>
                <w:noProof/>
                <w:webHidden/>
              </w:rPr>
              <w:fldChar w:fldCharType="begin"/>
            </w:r>
            <w:r>
              <w:rPr>
                <w:noProof/>
                <w:webHidden/>
              </w:rPr>
              <w:instrText xml:space="preserve"> PAGEREF _Toc379467715 \h </w:instrText>
            </w:r>
            <w:r>
              <w:rPr>
                <w:noProof/>
                <w:webHidden/>
              </w:rPr>
            </w:r>
            <w:r>
              <w:rPr>
                <w:noProof/>
                <w:webHidden/>
              </w:rPr>
              <w:fldChar w:fldCharType="separate"/>
            </w:r>
            <w:r w:rsidR="004911B7">
              <w:rPr>
                <w:noProof/>
                <w:webHidden/>
              </w:rPr>
              <w:t>287</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6" w:history="1">
            <w:r w:rsidRPr="008514F2">
              <w:rPr>
                <w:rStyle w:val="Hyperlink"/>
                <w:noProof/>
                <w:lang w:val="fr-CA"/>
              </w:rPr>
              <w:t xml:space="preserve">Appendix 12 : </w:t>
            </w:r>
            <w:r w:rsidRPr="008514F2">
              <w:rPr>
                <w:rStyle w:val="Hyperlink"/>
                <w:noProof/>
                <w:spacing w:val="5"/>
                <w:lang w:val="fr-CA"/>
              </w:rPr>
              <w:t>SLEDAI Random Effects Correlation Matrix</w:t>
            </w:r>
            <w:r>
              <w:rPr>
                <w:noProof/>
                <w:webHidden/>
              </w:rPr>
              <w:tab/>
            </w:r>
            <w:r>
              <w:rPr>
                <w:noProof/>
                <w:webHidden/>
              </w:rPr>
              <w:fldChar w:fldCharType="begin"/>
            </w:r>
            <w:r>
              <w:rPr>
                <w:noProof/>
                <w:webHidden/>
              </w:rPr>
              <w:instrText xml:space="preserve"> PAGEREF _Toc379467716 \h </w:instrText>
            </w:r>
            <w:r>
              <w:rPr>
                <w:noProof/>
                <w:webHidden/>
              </w:rPr>
            </w:r>
            <w:r>
              <w:rPr>
                <w:noProof/>
                <w:webHidden/>
              </w:rPr>
              <w:fldChar w:fldCharType="separate"/>
            </w:r>
            <w:r w:rsidR="004911B7">
              <w:rPr>
                <w:noProof/>
                <w:webHidden/>
              </w:rPr>
              <w:t>303</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7" w:history="1">
            <w:r w:rsidRPr="008514F2">
              <w:rPr>
                <w:rStyle w:val="Hyperlink"/>
                <w:noProof/>
              </w:rPr>
              <w:t xml:space="preserve">Appendix 13: </w:t>
            </w:r>
            <w:r w:rsidRPr="008514F2">
              <w:rPr>
                <w:rStyle w:val="Hyperlink"/>
                <w:noProof/>
                <w:spacing w:val="5"/>
              </w:rPr>
              <w:t>Elicitation Literature Search</w:t>
            </w:r>
            <w:r>
              <w:rPr>
                <w:noProof/>
                <w:webHidden/>
              </w:rPr>
              <w:tab/>
            </w:r>
            <w:r>
              <w:rPr>
                <w:noProof/>
                <w:webHidden/>
              </w:rPr>
              <w:fldChar w:fldCharType="begin"/>
            </w:r>
            <w:r>
              <w:rPr>
                <w:noProof/>
                <w:webHidden/>
              </w:rPr>
              <w:instrText xml:space="preserve"> PAGEREF _Toc379467717 \h </w:instrText>
            </w:r>
            <w:r>
              <w:rPr>
                <w:noProof/>
                <w:webHidden/>
              </w:rPr>
            </w:r>
            <w:r>
              <w:rPr>
                <w:noProof/>
                <w:webHidden/>
              </w:rPr>
              <w:fldChar w:fldCharType="separate"/>
            </w:r>
            <w:r w:rsidR="004911B7">
              <w:rPr>
                <w:noProof/>
                <w:webHidden/>
              </w:rPr>
              <w:t>304</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8" w:history="1">
            <w:r w:rsidRPr="008514F2">
              <w:rPr>
                <w:rStyle w:val="Hyperlink"/>
                <w:noProof/>
              </w:rPr>
              <w:t xml:space="preserve">ApPendix 14: </w:t>
            </w:r>
            <w:r w:rsidRPr="008514F2">
              <w:rPr>
                <w:rStyle w:val="Hyperlink"/>
                <w:noProof/>
                <w:spacing w:val="5"/>
              </w:rPr>
              <w:t>Elicitation Pre-Reading</w:t>
            </w:r>
            <w:r>
              <w:rPr>
                <w:noProof/>
                <w:webHidden/>
              </w:rPr>
              <w:tab/>
            </w:r>
            <w:r>
              <w:rPr>
                <w:noProof/>
                <w:webHidden/>
              </w:rPr>
              <w:fldChar w:fldCharType="begin"/>
            </w:r>
            <w:r>
              <w:rPr>
                <w:noProof/>
                <w:webHidden/>
              </w:rPr>
              <w:instrText xml:space="preserve"> PAGEREF _Toc379467718 \h </w:instrText>
            </w:r>
            <w:r>
              <w:rPr>
                <w:noProof/>
                <w:webHidden/>
              </w:rPr>
            </w:r>
            <w:r>
              <w:rPr>
                <w:noProof/>
                <w:webHidden/>
              </w:rPr>
              <w:fldChar w:fldCharType="separate"/>
            </w:r>
            <w:r w:rsidR="004911B7">
              <w:rPr>
                <w:noProof/>
                <w:webHidden/>
              </w:rPr>
              <w:t>306</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19" w:history="1">
            <w:r w:rsidRPr="008514F2">
              <w:rPr>
                <w:rStyle w:val="Hyperlink"/>
                <w:noProof/>
              </w:rPr>
              <w:t xml:space="preserve">Appendix 15: </w:t>
            </w:r>
            <w:r w:rsidRPr="008514F2">
              <w:rPr>
                <w:rStyle w:val="Hyperlink"/>
                <w:noProof/>
                <w:spacing w:val="5"/>
              </w:rPr>
              <w:t>Clinical Trial Validation</w:t>
            </w:r>
            <w:r>
              <w:rPr>
                <w:noProof/>
                <w:webHidden/>
              </w:rPr>
              <w:tab/>
            </w:r>
            <w:r>
              <w:rPr>
                <w:noProof/>
                <w:webHidden/>
              </w:rPr>
              <w:fldChar w:fldCharType="begin"/>
            </w:r>
            <w:r>
              <w:rPr>
                <w:noProof/>
                <w:webHidden/>
              </w:rPr>
              <w:instrText xml:space="preserve"> PAGEREF _Toc379467719 \h </w:instrText>
            </w:r>
            <w:r>
              <w:rPr>
                <w:noProof/>
                <w:webHidden/>
              </w:rPr>
            </w:r>
            <w:r>
              <w:rPr>
                <w:noProof/>
                <w:webHidden/>
              </w:rPr>
              <w:fldChar w:fldCharType="separate"/>
            </w:r>
            <w:r w:rsidR="004911B7">
              <w:rPr>
                <w:noProof/>
                <w:webHidden/>
              </w:rPr>
              <w:t>310</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20" w:history="1">
            <w:r w:rsidRPr="008514F2">
              <w:rPr>
                <w:rStyle w:val="Hyperlink"/>
                <w:noProof/>
              </w:rPr>
              <w:t xml:space="preserve">Appendix 16: </w:t>
            </w:r>
            <w:r w:rsidRPr="008514F2">
              <w:rPr>
                <w:rStyle w:val="Hyperlink"/>
                <w:noProof/>
                <w:spacing w:val="5"/>
              </w:rPr>
              <w:t>CE model Parameter distributions</w:t>
            </w:r>
            <w:r>
              <w:rPr>
                <w:noProof/>
                <w:webHidden/>
              </w:rPr>
              <w:tab/>
            </w:r>
            <w:r>
              <w:rPr>
                <w:noProof/>
                <w:webHidden/>
              </w:rPr>
              <w:fldChar w:fldCharType="begin"/>
            </w:r>
            <w:r>
              <w:rPr>
                <w:noProof/>
                <w:webHidden/>
              </w:rPr>
              <w:instrText xml:space="preserve"> PAGEREF _Toc379467720 \h </w:instrText>
            </w:r>
            <w:r>
              <w:rPr>
                <w:noProof/>
                <w:webHidden/>
              </w:rPr>
            </w:r>
            <w:r>
              <w:rPr>
                <w:noProof/>
                <w:webHidden/>
              </w:rPr>
              <w:fldChar w:fldCharType="separate"/>
            </w:r>
            <w:r w:rsidR="004911B7">
              <w:rPr>
                <w:noProof/>
                <w:webHidden/>
              </w:rPr>
              <w:t>318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21" w:history="1">
            <w:r w:rsidRPr="008514F2">
              <w:rPr>
                <w:rStyle w:val="Hyperlink"/>
                <w:noProof/>
              </w:rPr>
              <w:t xml:space="preserve">Appendix 17: </w:t>
            </w:r>
            <w:r w:rsidRPr="008514F2">
              <w:rPr>
                <w:rStyle w:val="Hyperlink"/>
                <w:noProof/>
                <w:spacing w:val="5"/>
              </w:rPr>
              <w:t>HEALTH STATE UTILITY SEARCH</w:t>
            </w:r>
            <w:r>
              <w:rPr>
                <w:noProof/>
                <w:webHidden/>
              </w:rPr>
              <w:tab/>
            </w:r>
            <w:r>
              <w:rPr>
                <w:noProof/>
                <w:webHidden/>
              </w:rPr>
              <w:fldChar w:fldCharType="begin"/>
            </w:r>
            <w:r>
              <w:rPr>
                <w:noProof/>
                <w:webHidden/>
              </w:rPr>
              <w:instrText xml:space="preserve"> PAGEREF _Toc379467721 \h </w:instrText>
            </w:r>
            <w:r>
              <w:rPr>
                <w:noProof/>
                <w:webHidden/>
              </w:rPr>
            </w:r>
            <w:r>
              <w:rPr>
                <w:noProof/>
                <w:webHidden/>
              </w:rPr>
              <w:fldChar w:fldCharType="separate"/>
            </w:r>
            <w:r w:rsidR="004911B7">
              <w:rPr>
                <w:noProof/>
                <w:webHidden/>
              </w:rPr>
              <w:t>325</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22" w:history="1">
            <w:r w:rsidRPr="008514F2">
              <w:rPr>
                <w:rStyle w:val="Hyperlink"/>
                <w:noProof/>
              </w:rPr>
              <w:t xml:space="preserve">Appendix 18: </w:t>
            </w:r>
            <w:r w:rsidRPr="008514F2">
              <w:rPr>
                <w:rStyle w:val="Hyperlink"/>
                <w:noProof/>
                <w:spacing w:val="5"/>
              </w:rPr>
              <w:t>LOG-LIKELIHOOD FUNCTIONS FOR TRIAL DATA</w:t>
            </w:r>
            <w:r>
              <w:rPr>
                <w:noProof/>
                <w:webHidden/>
              </w:rPr>
              <w:tab/>
            </w:r>
            <w:r>
              <w:rPr>
                <w:noProof/>
                <w:webHidden/>
              </w:rPr>
              <w:fldChar w:fldCharType="begin"/>
            </w:r>
            <w:r>
              <w:rPr>
                <w:noProof/>
                <w:webHidden/>
              </w:rPr>
              <w:instrText xml:space="preserve"> PAGEREF _Toc379467722 \h </w:instrText>
            </w:r>
            <w:r>
              <w:rPr>
                <w:noProof/>
                <w:webHidden/>
              </w:rPr>
            </w:r>
            <w:r>
              <w:rPr>
                <w:noProof/>
                <w:webHidden/>
              </w:rPr>
              <w:fldChar w:fldCharType="separate"/>
            </w:r>
            <w:r w:rsidR="004911B7">
              <w:rPr>
                <w:noProof/>
                <w:webHidden/>
              </w:rPr>
              <w:t>328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23" w:history="1">
            <w:r w:rsidRPr="008514F2">
              <w:rPr>
                <w:rStyle w:val="Hyperlink"/>
                <w:noProof/>
              </w:rPr>
              <w:t xml:space="preserve">Appendix 19: </w:t>
            </w:r>
            <w:r w:rsidRPr="008514F2">
              <w:rPr>
                <w:rStyle w:val="Hyperlink"/>
                <w:noProof/>
                <w:spacing w:val="5"/>
              </w:rPr>
              <w:t>WINBUGS SPECIFICATIONS</w:t>
            </w:r>
            <w:r>
              <w:rPr>
                <w:noProof/>
                <w:webHidden/>
              </w:rPr>
              <w:tab/>
            </w:r>
            <w:r>
              <w:rPr>
                <w:noProof/>
                <w:webHidden/>
              </w:rPr>
              <w:fldChar w:fldCharType="begin"/>
            </w:r>
            <w:r>
              <w:rPr>
                <w:noProof/>
                <w:webHidden/>
              </w:rPr>
              <w:instrText xml:space="preserve"> PAGEREF _Toc379467723 \h </w:instrText>
            </w:r>
            <w:r>
              <w:rPr>
                <w:noProof/>
                <w:webHidden/>
              </w:rPr>
            </w:r>
            <w:r>
              <w:rPr>
                <w:noProof/>
                <w:webHidden/>
              </w:rPr>
              <w:fldChar w:fldCharType="separate"/>
            </w:r>
            <w:r w:rsidR="004911B7">
              <w:rPr>
                <w:noProof/>
                <w:webHidden/>
              </w:rPr>
              <w:t>328</w:t>
            </w:r>
            <w:r>
              <w:rPr>
                <w:noProof/>
                <w:webHidden/>
              </w:rPr>
              <w:fldChar w:fldCharType="end"/>
            </w:r>
          </w:hyperlink>
        </w:p>
        <w:p w:rsidR="00CD16C3" w:rsidRDefault="00CD16C3">
          <w:pPr>
            <w:pStyle w:val="TOC1"/>
            <w:rPr>
              <w:rFonts w:asciiTheme="minorHAnsi" w:hAnsiTheme="minorHAnsi" w:cstheme="minorBidi"/>
              <w:b w:val="0"/>
              <w:bCs w:val="0"/>
              <w:caps w:val="0"/>
              <w:noProof/>
              <w:sz w:val="22"/>
              <w:szCs w:val="22"/>
              <w:lang w:eastAsia="zh-CN" w:bidi="ar-SA"/>
            </w:rPr>
          </w:pPr>
          <w:hyperlink w:anchor="_Toc379467724" w:history="1">
            <w:r w:rsidRPr="008514F2">
              <w:rPr>
                <w:rStyle w:val="Hyperlink"/>
                <w:noProof/>
              </w:rPr>
              <w:t xml:space="preserve">Appendix 20: </w:t>
            </w:r>
            <w:r w:rsidRPr="008514F2">
              <w:rPr>
                <w:rStyle w:val="Hyperlink"/>
                <w:noProof/>
                <w:spacing w:val="5"/>
              </w:rPr>
              <w:t>TESTING MAXIMUM LIKELIHOOD WITH INDEPENDENT REGRESSION MODELS</w:t>
            </w:r>
            <w:r>
              <w:rPr>
                <w:noProof/>
                <w:webHidden/>
              </w:rPr>
              <w:tab/>
            </w:r>
            <w:r>
              <w:rPr>
                <w:noProof/>
                <w:webHidden/>
              </w:rPr>
              <w:fldChar w:fldCharType="begin"/>
            </w:r>
            <w:r>
              <w:rPr>
                <w:noProof/>
                <w:webHidden/>
              </w:rPr>
              <w:instrText xml:space="preserve"> PAGEREF _Toc379467724 \h </w:instrText>
            </w:r>
            <w:r>
              <w:rPr>
                <w:noProof/>
                <w:webHidden/>
              </w:rPr>
            </w:r>
            <w:r>
              <w:rPr>
                <w:noProof/>
                <w:webHidden/>
              </w:rPr>
              <w:fldChar w:fldCharType="separate"/>
            </w:r>
            <w:r w:rsidR="004911B7">
              <w:rPr>
                <w:noProof/>
                <w:webHidden/>
              </w:rPr>
              <w:t>328</w:t>
            </w:r>
            <w:r>
              <w:rPr>
                <w:noProof/>
                <w:webHidden/>
              </w:rPr>
              <w:fldChar w:fldCharType="end"/>
            </w:r>
          </w:hyperlink>
        </w:p>
        <w:p w:rsidR="006074C8" w:rsidRDefault="00E729BA" w:rsidP="00BE457B">
          <w:pPr>
            <w:spacing w:after="0" w:afterAutospacing="0"/>
          </w:pPr>
          <w:r>
            <w:fldChar w:fldCharType="end"/>
          </w:r>
        </w:p>
      </w:sdtContent>
    </w:sdt>
    <w:p w:rsidR="002A303F" w:rsidRDefault="002A303F" w:rsidP="00BE457B">
      <w:pPr>
        <w:pStyle w:val="Heading1"/>
        <w:numPr>
          <w:ilvl w:val="0"/>
          <w:numId w:val="0"/>
        </w:numPr>
        <w:ind w:left="573" w:hanging="431"/>
      </w:pPr>
      <w:bookmarkStart w:id="3" w:name="_Toc379467532"/>
      <w:r>
        <w:t>LIST OF ABBREVIATIONS</w:t>
      </w:r>
      <w:bookmarkEnd w:id="3"/>
    </w:p>
    <w:p w:rsidR="002A303F" w:rsidRDefault="002A303F">
      <w:pPr>
        <w:spacing w:after="0" w:afterAutospacing="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1314"/>
        <w:gridCol w:w="6940"/>
      </w:tblGrid>
      <w:tr w:rsidR="00B03AE0" w:rsidTr="00DB30DD">
        <w:tc>
          <w:tcPr>
            <w:tcW w:w="1332" w:type="dxa"/>
          </w:tcPr>
          <w:p w:rsidR="00B03AE0" w:rsidRDefault="00B03AE0">
            <w:pPr>
              <w:spacing w:after="0" w:afterAutospacing="0" w:line="240" w:lineRule="auto"/>
            </w:pPr>
            <w:r>
              <w:t>ACR</w:t>
            </w:r>
          </w:p>
        </w:tc>
        <w:tc>
          <w:tcPr>
            <w:tcW w:w="7750" w:type="dxa"/>
          </w:tcPr>
          <w:p w:rsidR="00B03AE0" w:rsidRDefault="00B03AE0" w:rsidP="00B03AE0">
            <w:pPr>
              <w:spacing w:after="0" w:afterAutospacing="0" w:line="240" w:lineRule="auto"/>
            </w:pPr>
            <w:r>
              <w:t>American College of Rheumatology</w:t>
            </w:r>
          </w:p>
        </w:tc>
      </w:tr>
      <w:tr w:rsidR="00B03AE0" w:rsidTr="00DB30DD">
        <w:tc>
          <w:tcPr>
            <w:tcW w:w="1332" w:type="dxa"/>
          </w:tcPr>
          <w:p w:rsidR="00B03AE0" w:rsidRDefault="00B03AE0">
            <w:pPr>
              <w:spacing w:after="0" w:afterAutospacing="0" w:line="240" w:lineRule="auto"/>
            </w:pPr>
            <w:r>
              <w:t>ANA</w:t>
            </w:r>
          </w:p>
        </w:tc>
        <w:tc>
          <w:tcPr>
            <w:tcW w:w="7750" w:type="dxa"/>
          </w:tcPr>
          <w:p w:rsidR="00B03AE0" w:rsidRDefault="00B03AE0" w:rsidP="00B03AE0">
            <w:pPr>
              <w:spacing w:after="0" w:afterAutospacing="0" w:line="240" w:lineRule="auto"/>
            </w:pPr>
            <w:r>
              <w:t>Anti-nucleus antibodies</w:t>
            </w:r>
          </w:p>
        </w:tc>
      </w:tr>
      <w:tr w:rsidR="00B03AE0" w:rsidTr="00DB30DD">
        <w:tc>
          <w:tcPr>
            <w:tcW w:w="1332" w:type="dxa"/>
          </w:tcPr>
          <w:p w:rsidR="00B03AE0" w:rsidRDefault="00B03AE0">
            <w:pPr>
              <w:spacing w:after="0" w:afterAutospacing="0" w:line="240" w:lineRule="auto"/>
            </w:pPr>
            <w:r>
              <w:t>AUC</w:t>
            </w:r>
          </w:p>
        </w:tc>
        <w:tc>
          <w:tcPr>
            <w:tcW w:w="7750" w:type="dxa"/>
          </w:tcPr>
          <w:p w:rsidR="00B03AE0" w:rsidRDefault="00B03AE0">
            <w:pPr>
              <w:spacing w:after="0" w:afterAutospacing="0" w:line="240" w:lineRule="auto"/>
            </w:pPr>
            <w:r>
              <w:t>Area under the curve</w:t>
            </w:r>
          </w:p>
        </w:tc>
      </w:tr>
      <w:tr w:rsidR="00B03AE0" w:rsidTr="00DB30DD">
        <w:tc>
          <w:tcPr>
            <w:tcW w:w="1332" w:type="dxa"/>
          </w:tcPr>
          <w:p w:rsidR="00B03AE0" w:rsidRDefault="00B03AE0">
            <w:pPr>
              <w:spacing w:after="0" w:afterAutospacing="0" w:line="240" w:lineRule="auto"/>
            </w:pPr>
            <w:r>
              <w:t>BCTS</w:t>
            </w:r>
          </w:p>
        </w:tc>
        <w:tc>
          <w:tcPr>
            <w:tcW w:w="7750" w:type="dxa"/>
          </w:tcPr>
          <w:p w:rsidR="00B03AE0" w:rsidRDefault="00B03AE0">
            <w:pPr>
              <w:spacing w:after="0" w:afterAutospacing="0" w:line="240" w:lineRule="auto"/>
            </w:pPr>
            <w:r>
              <w:t>Bayesian Clinical Trial Simulation</w:t>
            </w:r>
          </w:p>
        </w:tc>
      </w:tr>
      <w:tr w:rsidR="00B03AE0" w:rsidTr="00DB30DD">
        <w:tc>
          <w:tcPr>
            <w:tcW w:w="1332" w:type="dxa"/>
          </w:tcPr>
          <w:p w:rsidR="00B03AE0" w:rsidRDefault="00B03AE0">
            <w:pPr>
              <w:spacing w:after="0" w:afterAutospacing="0" w:line="240" w:lineRule="auto"/>
            </w:pPr>
            <w:r>
              <w:t>BeBay</w:t>
            </w:r>
          </w:p>
        </w:tc>
        <w:tc>
          <w:tcPr>
            <w:tcW w:w="7750" w:type="dxa"/>
          </w:tcPr>
          <w:p w:rsidR="00B03AE0" w:rsidRDefault="00B03AE0">
            <w:pPr>
              <w:spacing w:after="0" w:afterAutospacing="0" w:line="240" w:lineRule="auto"/>
            </w:pPr>
            <w:r>
              <w:t>Behavioural Bayes.</w:t>
            </w:r>
          </w:p>
        </w:tc>
      </w:tr>
      <w:tr w:rsidR="00B03AE0" w:rsidTr="00DB30DD">
        <w:tc>
          <w:tcPr>
            <w:tcW w:w="1332" w:type="dxa"/>
          </w:tcPr>
          <w:p w:rsidR="00B03AE0" w:rsidRDefault="00B03AE0">
            <w:pPr>
              <w:spacing w:after="0" w:afterAutospacing="0" w:line="240" w:lineRule="auto"/>
            </w:pPr>
            <w:r>
              <w:t>B&amp;K</w:t>
            </w:r>
          </w:p>
        </w:tc>
        <w:tc>
          <w:tcPr>
            <w:tcW w:w="7750" w:type="dxa"/>
          </w:tcPr>
          <w:p w:rsidR="00B03AE0" w:rsidRDefault="00B03AE0">
            <w:pPr>
              <w:spacing w:after="0" w:afterAutospacing="0" w:line="240" w:lineRule="auto"/>
            </w:pPr>
            <w:r>
              <w:t>Brennan and K</w:t>
            </w:r>
            <w:r w:rsidR="00BD0277">
              <w:t>h</w:t>
            </w:r>
            <w:r>
              <w:t xml:space="preserve">arroubi </w:t>
            </w:r>
          </w:p>
        </w:tc>
      </w:tr>
      <w:tr w:rsidR="002A303F" w:rsidTr="00DB30DD">
        <w:tc>
          <w:tcPr>
            <w:tcW w:w="1332" w:type="dxa"/>
          </w:tcPr>
          <w:p w:rsidR="002A303F" w:rsidRDefault="002A303F">
            <w:pPr>
              <w:spacing w:after="0" w:afterAutospacing="0" w:line="240" w:lineRule="auto"/>
            </w:pPr>
            <w:r>
              <w:t>CE</w:t>
            </w:r>
          </w:p>
        </w:tc>
        <w:tc>
          <w:tcPr>
            <w:tcW w:w="7750" w:type="dxa"/>
          </w:tcPr>
          <w:p w:rsidR="002A303F" w:rsidRDefault="00B03AE0">
            <w:pPr>
              <w:spacing w:after="0" w:afterAutospacing="0" w:line="240" w:lineRule="auto"/>
            </w:pPr>
            <w:r>
              <w:t>Cost-Effectiveness</w:t>
            </w:r>
          </w:p>
        </w:tc>
      </w:tr>
      <w:tr w:rsidR="00DB30DD" w:rsidTr="00DB30DD">
        <w:tc>
          <w:tcPr>
            <w:tcW w:w="1332" w:type="dxa"/>
          </w:tcPr>
          <w:p w:rsidR="00DB30DD" w:rsidRDefault="00DB30DD" w:rsidP="00DB30DD">
            <w:pPr>
              <w:spacing w:after="0" w:afterAutospacing="0" w:line="240" w:lineRule="auto"/>
            </w:pPr>
            <w:r>
              <w:t>ENBS</w:t>
            </w:r>
          </w:p>
        </w:tc>
        <w:tc>
          <w:tcPr>
            <w:tcW w:w="7750" w:type="dxa"/>
          </w:tcPr>
          <w:p w:rsidR="00DB30DD" w:rsidRDefault="00DB30DD" w:rsidP="00DB30DD">
            <w:pPr>
              <w:spacing w:after="0" w:afterAutospacing="0" w:line="240" w:lineRule="auto"/>
            </w:pPr>
            <w:r>
              <w:t>Expected Net Benefit of Sampling</w:t>
            </w:r>
          </w:p>
        </w:tc>
      </w:tr>
      <w:tr w:rsidR="00DB30DD" w:rsidTr="00DB30DD">
        <w:tc>
          <w:tcPr>
            <w:tcW w:w="1332" w:type="dxa"/>
          </w:tcPr>
          <w:p w:rsidR="00DB30DD" w:rsidRDefault="00DB30DD">
            <w:pPr>
              <w:spacing w:after="0" w:afterAutospacing="0" w:line="240" w:lineRule="auto"/>
            </w:pPr>
            <w:r>
              <w:t>EMEA</w:t>
            </w:r>
          </w:p>
        </w:tc>
        <w:tc>
          <w:tcPr>
            <w:tcW w:w="7750" w:type="dxa"/>
          </w:tcPr>
          <w:p w:rsidR="00DB30DD" w:rsidRDefault="00DB30DD" w:rsidP="00B03AE0">
            <w:pPr>
              <w:spacing w:after="0" w:afterAutospacing="0" w:line="240" w:lineRule="auto"/>
            </w:pPr>
            <w:r>
              <w:t>European Medicines Agency</w:t>
            </w:r>
          </w:p>
        </w:tc>
      </w:tr>
      <w:tr w:rsidR="00DB30DD" w:rsidTr="00DB30DD">
        <w:tc>
          <w:tcPr>
            <w:tcW w:w="1332" w:type="dxa"/>
          </w:tcPr>
          <w:p w:rsidR="00DB30DD" w:rsidRDefault="00DB30DD" w:rsidP="00DB30DD">
            <w:pPr>
              <w:spacing w:after="0" w:afterAutospacing="0" w:line="240" w:lineRule="auto"/>
            </w:pPr>
            <w:r>
              <w:t>EULAR</w:t>
            </w:r>
          </w:p>
        </w:tc>
        <w:tc>
          <w:tcPr>
            <w:tcW w:w="7750" w:type="dxa"/>
          </w:tcPr>
          <w:p w:rsidR="00DB30DD" w:rsidRDefault="00DB30DD" w:rsidP="00DB30DD">
            <w:pPr>
              <w:spacing w:after="0" w:afterAutospacing="0" w:line="240" w:lineRule="auto"/>
            </w:pPr>
            <w:r>
              <w:t>European League Against Rheumatology</w:t>
            </w:r>
          </w:p>
        </w:tc>
      </w:tr>
      <w:tr w:rsidR="00DB30DD" w:rsidTr="00DB30DD">
        <w:tc>
          <w:tcPr>
            <w:tcW w:w="1332" w:type="dxa"/>
          </w:tcPr>
          <w:p w:rsidR="00DB30DD" w:rsidRDefault="00DB30DD">
            <w:pPr>
              <w:spacing w:after="0" w:afterAutospacing="0" w:line="240" w:lineRule="auto"/>
            </w:pPr>
            <w:r>
              <w:t>EVPI</w:t>
            </w:r>
          </w:p>
        </w:tc>
        <w:tc>
          <w:tcPr>
            <w:tcW w:w="7750" w:type="dxa"/>
          </w:tcPr>
          <w:p w:rsidR="00DB30DD" w:rsidRDefault="00DB30DD" w:rsidP="00B03AE0">
            <w:pPr>
              <w:spacing w:after="0" w:afterAutospacing="0" w:line="240" w:lineRule="auto"/>
            </w:pPr>
            <w:r>
              <w:t>Expected Value of Perfect Information</w:t>
            </w:r>
          </w:p>
        </w:tc>
      </w:tr>
      <w:tr w:rsidR="00DB30DD" w:rsidTr="00DB30DD">
        <w:tc>
          <w:tcPr>
            <w:tcW w:w="1332" w:type="dxa"/>
          </w:tcPr>
          <w:p w:rsidR="00DB30DD" w:rsidRDefault="00DB30DD">
            <w:pPr>
              <w:spacing w:after="0" w:afterAutospacing="0" w:line="240" w:lineRule="auto"/>
            </w:pPr>
            <w:r>
              <w:t>EVPPI</w:t>
            </w:r>
          </w:p>
        </w:tc>
        <w:tc>
          <w:tcPr>
            <w:tcW w:w="7750" w:type="dxa"/>
          </w:tcPr>
          <w:p w:rsidR="00DB30DD" w:rsidRDefault="00DB30DD" w:rsidP="00B03AE0">
            <w:pPr>
              <w:spacing w:after="0" w:afterAutospacing="0" w:line="240" w:lineRule="auto"/>
            </w:pPr>
            <w:r>
              <w:t>Expected Value of Parameter Perfect Information</w:t>
            </w:r>
          </w:p>
        </w:tc>
      </w:tr>
      <w:tr w:rsidR="00DB30DD" w:rsidTr="00DB30DD">
        <w:tc>
          <w:tcPr>
            <w:tcW w:w="1332" w:type="dxa"/>
          </w:tcPr>
          <w:p w:rsidR="00DB30DD" w:rsidRDefault="00DB30DD">
            <w:pPr>
              <w:spacing w:after="0" w:afterAutospacing="0" w:line="240" w:lineRule="auto"/>
            </w:pPr>
            <w:r>
              <w:t>EVSI</w:t>
            </w:r>
          </w:p>
        </w:tc>
        <w:tc>
          <w:tcPr>
            <w:tcW w:w="7750" w:type="dxa"/>
          </w:tcPr>
          <w:p w:rsidR="00DB30DD" w:rsidRDefault="00DB30DD" w:rsidP="00B03AE0">
            <w:pPr>
              <w:spacing w:after="0" w:afterAutospacing="0" w:line="240" w:lineRule="auto"/>
            </w:pPr>
            <w:r>
              <w:t>Expected Value of Sample Information</w:t>
            </w:r>
          </w:p>
        </w:tc>
      </w:tr>
      <w:tr w:rsidR="00DB30DD" w:rsidTr="00DB30DD">
        <w:tc>
          <w:tcPr>
            <w:tcW w:w="1332" w:type="dxa"/>
          </w:tcPr>
          <w:p w:rsidR="00DB30DD" w:rsidRDefault="00DB30DD">
            <w:pPr>
              <w:spacing w:after="0" w:afterAutospacing="0" w:line="240" w:lineRule="auto"/>
            </w:pPr>
            <w:r>
              <w:t>FDA</w:t>
            </w:r>
          </w:p>
        </w:tc>
        <w:tc>
          <w:tcPr>
            <w:tcW w:w="7750" w:type="dxa"/>
          </w:tcPr>
          <w:p w:rsidR="00DB30DD" w:rsidRDefault="00DB30DD" w:rsidP="00B03AE0">
            <w:pPr>
              <w:spacing w:after="0" w:afterAutospacing="0" w:line="240" w:lineRule="auto"/>
            </w:pPr>
            <w:r>
              <w:t>Food and Drugs Administration</w:t>
            </w:r>
          </w:p>
        </w:tc>
      </w:tr>
      <w:tr w:rsidR="00DB30DD" w:rsidTr="00DB30DD">
        <w:tc>
          <w:tcPr>
            <w:tcW w:w="1332" w:type="dxa"/>
          </w:tcPr>
          <w:p w:rsidR="00DB30DD" w:rsidRDefault="00DB30DD">
            <w:pPr>
              <w:spacing w:after="0" w:afterAutospacing="0" w:line="240" w:lineRule="auto"/>
            </w:pPr>
            <w:r>
              <w:t>GSK</w:t>
            </w:r>
          </w:p>
        </w:tc>
        <w:tc>
          <w:tcPr>
            <w:tcW w:w="7750" w:type="dxa"/>
          </w:tcPr>
          <w:p w:rsidR="00DB30DD" w:rsidRDefault="00DB30DD" w:rsidP="00B03AE0">
            <w:pPr>
              <w:spacing w:after="0" w:afterAutospacing="0" w:line="240" w:lineRule="auto"/>
            </w:pPr>
            <w:r>
              <w:t>GlaxoSmithKline</w:t>
            </w:r>
          </w:p>
        </w:tc>
      </w:tr>
      <w:tr w:rsidR="00DB30DD" w:rsidTr="00DB30DD">
        <w:tc>
          <w:tcPr>
            <w:tcW w:w="1332" w:type="dxa"/>
          </w:tcPr>
          <w:p w:rsidR="00DB30DD" w:rsidRDefault="00DB30DD">
            <w:pPr>
              <w:spacing w:after="0" w:afterAutospacing="0" w:line="240" w:lineRule="auto"/>
            </w:pPr>
            <w:r>
              <w:t>HR</w:t>
            </w:r>
          </w:p>
        </w:tc>
        <w:tc>
          <w:tcPr>
            <w:tcW w:w="7750" w:type="dxa"/>
          </w:tcPr>
          <w:p w:rsidR="00DB30DD" w:rsidRDefault="00DB30DD" w:rsidP="00B03AE0">
            <w:pPr>
              <w:spacing w:after="0" w:afterAutospacing="0" w:line="240" w:lineRule="auto"/>
            </w:pPr>
            <w:r>
              <w:t>Hazard ratio</w:t>
            </w:r>
          </w:p>
        </w:tc>
      </w:tr>
      <w:tr w:rsidR="00DB30DD" w:rsidTr="00DB30DD">
        <w:tc>
          <w:tcPr>
            <w:tcW w:w="1332" w:type="dxa"/>
          </w:tcPr>
          <w:p w:rsidR="00DB30DD" w:rsidRDefault="00DB30DD">
            <w:pPr>
              <w:spacing w:after="0" w:afterAutospacing="0" w:line="240" w:lineRule="auto"/>
            </w:pPr>
            <w:r>
              <w:t>HRQOL</w:t>
            </w:r>
          </w:p>
        </w:tc>
        <w:tc>
          <w:tcPr>
            <w:tcW w:w="7750" w:type="dxa"/>
          </w:tcPr>
          <w:p w:rsidR="00DB30DD" w:rsidRDefault="00DB30DD" w:rsidP="00B03AE0">
            <w:pPr>
              <w:spacing w:after="0" w:afterAutospacing="0" w:line="240" w:lineRule="auto"/>
            </w:pPr>
            <w:r>
              <w:t>Health Related Quality of Life</w:t>
            </w:r>
          </w:p>
        </w:tc>
      </w:tr>
      <w:tr w:rsidR="00DB30DD" w:rsidTr="00DB30DD">
        <w:tc>
          <w:tcPr>
            <w:tcW w:w="1332" w:type="dxa"/>
          </w:tcPr>
          <w:p w:rsidR="00DB30DD" w:rsidRDefault="00DB30DD">
            <w:pPr>
              <w:spacing w:after="0" w:afterAutospacing="0" w:line="240" w:lineRule="auto"/>
            </w:pPr>
            <w:r>
              <w:t>HTA</w:t>
            </w:r>
          </w:p>
        </w:tc>
        <w:tc>
          <w:tcPr>
            <w:tcW w:w="7750" w:type="dxa"/>
          </w:tcPr>
          <w:p w:rsidR="00DB30DD" w:rsidRDefault="00DB30DD" w:rsidP="00B03AE0">
            <w:pPr>
              <w:spacing w:after="0" w:afterAutospacing="0" w:line="240" w:lineRule="auto"/>
            </w:pPr>
            <w:r>
              <w:t>Health Technology Assessment</w:t>
            </w:r>
          </w:p>
        </w:tc>
      </w:tr>
      <w:tr w:rsidR="00DB30DD" w:rsidTr="00DB30DD">
        <w:tc>
          <w:tcPr>
            <w:tcW w:w="1332" w:type="dxa"/>
          </w:tcPr>
          <w:p w:rsidR="00DB30DD" w:rsidRDefault="00DB30DD">
            <w:pPr>
              <w:spacing w:after="0" w:afterAutospacing="0" w:line="240" w:lineRule="auto"/>
            </w:pPr>
            <w:r>
              <w:t>INB</w:t>
            </w:r>
          </w:p>
        </w:tc>
        <w:tc>
          <w:tcPr>
            <w:tcW w:w="7750" w:type="dxa"/>
          </w:tcPr>
          <w:p w:rsidR="00DB30DD" w:rsidRDefault="00DB30DD" w:rsidP="00B03AE0">
            <w:pPr>
              <w:spacing w:after="0" w:afterAutospacing="0" w:line="240" w:lineRule="auto"/>
            </w:pPr>
            <w:r>
              <w:t>Incremental Net Benefit</w:t>
            </w:r>
          </w:p>
        </w:tc>
      </w:tr>
      <w:tr w:rsidR="00DB30DD" w:rsidTr="00DB30DD">
        <w:tc>
          <w:tcPr>
            <w:tcW w:w="1332" w:type="dxa"/>
          </w:tcPr>
          <w:p w:rsidR="00DB30DD" w:rsidRDefault="00DB30DD">
            <w:pPr>
              <w:spacing w:after="0" w:afterAutospacing="0" w:line="240" w:lineRule="auto"/>
            </w:pPr>
            <w:r>
              <w:t>MCMC</w:t>
            </w:r>
          </w:p>
        </w:tc>
        <w:tc>
          <w:tcPr>
            <w:tcW w:w="7750" w:type="dxa"/>
          </w:tcPr>
          <w:p w:rsidR="00DB30DD" w:rsidRDefault="00DB30DD" w:rsidP="00B03AE0">
            <w:pPr>
              <w:spacing w:after="0" w:afterAutospacing="0" w:line="240" w:lineRule="auto"/>
            </w:pPr>
            <w:r>
              <w:t>Markov Chain Monte Carlo</w:t>
            </w:r>
          </w:p>
        </w:tc>
      </w:tr>
      <w:tr w:rsidR="00DB30DD" w:rsidTr="00DB30DD">
        <w:tc>
          <w:tcPr>
            <w:tcW w:w="1332" w:type="dxa"/>
          </w:tcPr>
          <w:p w:rsidR="00DB30DD" w:rsidRDefault="00DB30DD">
            <w:pPr>
              <w:spacing w:after="0" w:afterAutospacing="0" w:line="240" w:lineRule="auto"/>
            </w:pPr>
            <w:r>
              <w:t>NICE</w:t>
            </w:r>
          </w:p>
        </w:tc>
        <w:tc>
          <w:tcPr>
            <w:tcW w:w="7750" w:type="dxa"/>
          </w:tcPr>
          <w:p w:rsidR="00DB30DD" w:rsidRDefault="00DB30DD" w:rsidP="00FA4062">
            <w:pPr>
              <w:spacing w:after="0" w:afterAutospacing="0" w:line="240" w:lineRule="auto"/>
            </w:pPr>
            <w:r>
              <w:t xml:space="preserve">National Institute for Health and </w:t>
            </w:r>
            <w:r w:rsidR="00FA4062">
              <w:t xml:space="preserve">Care </w:t>
            </w:r>
            <w:r>
              <w:t>Excellen</w:t>
            </w:r>
            <w:r w:rsidR="00FA4062">
              <w:t>ce</w:t>
            </w:r>
          </w:p>
        </w:tc>
      </w:tr>
      <w:tr w:rsidR="00DB30DD" w:rsidTr="00DB30DD">
        <w:tc>
          <w:tcPr>
            <w:tcW w:w="1332" w:type="dxa"/>
          </w:tcPr>
          <w:p w:rsidR="00DB30DD" w:rsidRDefault="00DB30DD">
            <w:pPr>
              <w:spacing w:after="0" w:afterAutospacing="0" w:line="240" w:lineRule="auto"/>
            </w:pPr>
            <w:r>
              <w:t>OR</w:t>
            </w:r>
          </w:p>
        </w:tc>
        <w:tc>
          <w:tcPr>
            <w:tcW w:w="7750" w:type="dxa"/>
          </w:tcPr>
          <w:p w:rsidR="00DB30DD" w:rsidRDefault="00DB30DD">
            <w:pPr>
              <w:spacing w:after="0" w:afterAutospacing="0" w:line="240" w:lineRule="auto"/>
            </w:pPr>
            <w:r>
              <w:t>Odds Ratio</w:t>
            </w:r>
          </w:p>
        </w:tc>
      </w:tr>
      <w:tr w:rsidR="00DB30DD" w:rsidTr="00DB30DD">
        <w:tc>
          <w:tcPr>
            <w:tcW w:w="1332" w:type="dxa"/>
          </w:tcPr>
          <w:p w:rsidR="00DB30DD" w:rsidRDefault="00DB30DD">
            <w:pPr>
              <w:spacing w:after="0" w:afterAutospacing="0" w:line="240" w:lineRule="auto"/>
            </w:pPr>
            <w:r>
              <w:t>OMERACT</w:t>
            </w:r>
          </w:p>
        </w:tc>
        <w:tc>
          <w:tcPr>
            <w:tcW w:w="7750" w:type="dxa"/>
          </w:tcPr>
          <w:p w:rsidR="00DB30DD" w:rsidRDefault="00DB30DD">
            <w:pPr>
              <w:spacing w:after="0" w:afterAutospacing="0" w:line="240" w:lineRule="auto"/>
            </w:pPr>
            <w:r w:rsidRPr="00B03AE0">
              <w:t>Outcomes Measure in Rheumatoid Arthritis Clinical Trials</w:t>
            </w:r>
          </w:p>
        </w:tc>
      </w:tr>
      <w:tr w:rsidR="00DB30DD" w:rsidTr="00DB30DD">
        <w:tc>
          <w:tcPr>
            <w:tcW w:w="1332" w:type="dxa"/>
          </w:tcPr>
          <w:p w:rsidR="00DB30DD" w:rsidRDefault="00DB30DD" w:rsidP="00B03AE0">
            <w:pPr>
              <w:spacing w:after="0" w:afterAutospacing="0" w:line="240" w:lineRule="auto"/>
            </w:pPr>
            <w:r>
              <w:t>PAD</w:t>
            </w:r>
          </w:p>
        </w:tc>
        <w:tc>
          <w:tcPr>
            <w:tcW w:w="7750" w:type="dxa"/>
          </w:tcPr>
          <w:p w:rsidR="00DB30DD" w:rsidRDefault="00DB30DD">
            <w:pPr>
              <w:spacing w:after="0" w:afterAutospacing="0" w:line="240" w:lineRule="auto"/>
            </w:pPr>
            <w:r>
              <w:t>Persistently Active Disease</w:t>
            </w:r>
          </w:p>
        </w:tc>
      </w:tr>
      <w:tr w:rsidR="00DB30DD" w:rsidTr="00DB30DD">
        <w:tc>
          <w:tcPr>
            <w:tcW w:w="1332" w:type="dxa"/>
          </w:tcPr>
          <w:p w:rsidR="00DB30DD" w:rsidRDefault="00DB30DD">
            <w:pPr>
              <w:spacing w:after="0" w:afterAutospacing="0" w:line="240" w:lineRule="auto"/>
            </w:pPr>
            <w:r>
              <w:t>PGA</w:t>
            </w:r>
          </w:p>
        </w:tc>
        <w:tc>
          <w:tcPr>
            <w:tcW w:w="7750" w:type="dxa"/>
          </w:tcPr>
          <w:p w:rsidR="00DB30DD" w:rsidRDefault="00DB30DD">
            <w:pPr>
              <w:spacing w:after="0" w:afterAutospacing="0" w:line="240" w:lineRule="auto"/>
            </w:pPr>
            <w:r>
              <w:t>Physician</w:t>
            </w:r>
            <w:r w:rsidR="00FA4062">
              <w:t>’</w:t>
            </w:r>
            <w:r>
              <w:t>s Global Assessment</w:t>
            </w:r>
          </w:p>
        </w:tc>
      </w:tr>
      <w:tr w:rsidR="00DB30DD" w:rsidTr="00DB30DD">
        <w:tc>
          <w:tcPr>
            <w:tcW w:w="1332" w:type="dxa"/>
          </w:tcPr>
          <w:p w:rsidR="00DB30DD" w:rsidRDefault="00DB30DD">
            <w:pPr>
              <w:spacing w:after="0" w:afterAutospacing="0" w:line="240" w:lineRule="auto"/>
            </w:pPr>
            <w:r>
              <w:t>PSA</w:t>
            </w:r>
          </w:p>
        </w:tc>
        <w:tc>
          <w:tcPr>
            <w:tcW w:w="7750" w:type="dxa"/>
          </w:tcPr>
          <w:p w:rsidR="00DB30DD" w:rsidRDefault="00DB30DD">
            <w:pPr>
              <w:spacing w:after="0" w:afterAutospacing="0" w:line="240" w:lineRule="auto"/>
            </w:pPr>
            <w:r>
              <w:t>Probabilistic Sensitivity Analysis</w:t>
            </w:r>
          </w:p>
        </w:tc>
      </w:tr>
      <w:tr w:rsidR="00DB30DD" w:rsidTr="00DB30DD">
        <w:tc>
          <w:tcPr>
            <w:tcW w:w="1332" w:type="dxa"/>
          </w:tcPr>
          <w:p w:rsidR="00DB30DD" w:rsidRDefault="00DB30DD" w:rsidP="004733BA">
            <w:pPr>
              <w:spacing w:after="0" w:afterAutospacing="0" w:line="240" w:lineRule="auto"/>
            </w:pPr>
            <w:r>
              <w:t>QALY</w:t>
            </w:r>
          </w:p>
        </w:tc>
        <w:tc>
          <w:tcPr>
            <w:tcW w:w="7750" w:type="dxa"/>
          </w:tcPr>
          <w:p w:rsidR="00DB30DD" w:rsidRDefault="00DB30DD" w:rsidP="004733BA">
            <w:pPr>
              <w:spacing w:after="0" w:afterAutospacing="0" w:line="240" w:lineRule="auto"/>
            </w:pPr>
            <w:r>
              <w:t>Quality Adjusted Life Year</w:t>
            </w:r>
          </w:p>
        </w:tc>
      </w:tr>
      <w:tr w:rsidR="00DB30DD" w:rsidTr="00DB30DD">
        <w:tc>
          <w:tcPr>
            <w:tcW w:w="1332" w:type="dxa"/>
          </w:tcPr>
          <w:p w:rsidR="00DB30DD" w:rsidRDefault="00DB30DD">
            <w:pPr>
              <w:spacing w:after="0" w:afterAutospacing="0" w:line="240" w:lineRule="auto"/>
            </w:pPr>
            <w:r>
              <w:t>RCT</w:t>
            </w:r>
          </w:p>
        </w:tc>
        <w:tc>
          <w:tcPr>
            <w:tcW w:w="7750" w:type="dxa"/>
          </w:tcPr>
          <w:p w:rsidR="00DB30DD" w:rsidRDefault="00DB30DD">
            <w:pPr>
              <w:spacing w:after="0" w:afterAutospacing="0" w:line="240" w:lineRule="auto"/>
            </w:pPr>
            <w:r>
              <w:t>Randomised Controlled Trial</w:t>
            </w:r>
          </w:p>
        </w:tc>
      </w:tr>
      <w:tr w:rsidR="00DB30DD" w:rsidTr="00DB30DD">
        <w:tc>
          <w:tcPr>
            <w:tcW w:w="1332" w:type="dxa"/>
          </w:tcPr>
          <w:p w:rsidR="00DB30DD" w:rsidRDefault="00DB30DD">
            <w:pPr>
              <w:spacing w:after="0" w:afterAutospacing="0" w:line="240" w:lineRule="auto"/>
            </w:pPr>
            <w:r>
              <w:t>SELENA</w:t>
            </w:r>
          </w:p>
        </w:tc>
        <w:tc>
          <w:tcPr>
            <w:tcW w:w="7750" w:type="dxa"/>
          </w:tcPr>
          <w:p w:rsidR="00DB30DD" w:rsidRDefault="00DB30DD">
            <w:pPr>
              <w:spacing w:after="0" w:afterAutospacing="0" w:line="240" w:lineRule="auto"/>
            </w:pPr>
            <w:r w:rsidRPr="005E355D">
              <w:rPr>
                <w:rFonts w:eastAsiaTheme="minorHAnsi"/>
              </w:rPr>
              <w:t>Safety of</w:t>
            </w:r>
            <w:r w:rsidRPr="0087118A">
              <w:rPr>
                <w:lang w:eastAsia="nl-NL"/>
              </w:rPr>
              <w:t xml:space="preserve"> Estrogen in Lupus</w:t>
            </w:r>
            <w:r>
              <w:rPr>
                <w:lang w:eastAsia="nl-NL"/>
              </w:rPr>
              <w:t xml:space="preserve"> </w:t>
            </w:r>
            <w:r w:rsidRPr="0087118A">
              <w:rPr>
                <w:lang w:eastAsia="nl-NL"/>
              </w:rPr>
              <w:t>Erythematosus National Assessment</w:t>
            </w:r>
          </w:p>
        </w:tc>
      </w:tr>
      <w:tr w:rsidR="00DB30DD" w:rsidTr="00DB30DD">
        <w:tc>
          <w:tcPr>
            <w:tcW w:w="1332" w:type="dxa"/>
          </w:tcPr>
          <w:p w:rsidR="00DB30DD" w:rsidRDefault="00DB30DD">
            <w:pPr>
              <w:spacing w:after="0" w:afterAutospacing="0" w:line="240" w:lineRule="auto"/>
            </w:pPr>
            <w:r>
              <w:t>SLE</w:t>
            </w:r>
          </w:p>
        </w:tc>
        <w:tc>
          <w:tcPr>
            <w:tcW w:w="7750" w:type="dxa"/>
          </w:tcPr>
          <w:p w:rsidR="00DB30DD" w:rsidRDefault="00DB30DD">
            <w:pPr>
              <w:spacing w:after="0" w:afterAutospacing="0" w:line="240" w:lineRule="auto"/>
            </w:pPr>
            <w:r>
              <w:t>Systemic Lupus Erythematosus</w:t>
            </w:r>
          </w:p>
        </w:tc>
      </w:tr>
      <w:tr w:rsidR="00DB30DD" w:rsidTr="00DB30DD">
        <w:tc>
          <w:tcPr>
            <w:tcW w:w="1332" w:type="dxa"/>
          </w:tcPr>
          <w:p w:rsidR="00DB30DD" w:rsidRDefault="00DB30DD">
            <w:pPr>
              <w:spacing w:after="0" w:afterAutospacing="0" w:line="240" w:lineRule="auto"/>
            </w:pPr>
            <w:r>
              <w:t>SLEDAI</w:t>
            </w:r>
          </w:p>
        </w:tc>
        <w:tc>
          <w:tcPr>
            <w:tcW w:w="7750" w:type="dxa"/>
          </w:tcPr>
          <w:p w:rsidR="00DB30DD" w:rsidRDefault="00DB30DD">
            <w:pPr>
              <w:spacing w:after="0" w:afterAutospacing="0" w:line="240" w:lineRule="auto"/>
            </w:pPr>
            <w:r>
              <w:t>Systemic Lupus Erythematosus Disease Activity Index</w:t>
            </w:r>
          </w:p>
        </w:tc>
      </w:tr>
      <w:tr w:rsidR="00DB30DD" w:rsidTr="00DB30DD">
        <w:tc>
          <w:tcPr>
            <w:tcW w:w="1332" w:type="dxa"/>
          </w:tcPr>
          <w:p w:rsidR="00DB30DD" w:rsidRDefault="00DB30DD">
            <w:pPr>
              <w:spacing w:after="0" w:afterAutospacing="0" w:line="240" w:lineRule="auto"/>
            </w:pPr>
            <w:r>
              <w:t>SLICC/ACR</w:t>
            </w:r>
          </w:p>
        </w:tc>
        <w:tc>
          <w:tcPr>
            <w:tcW w:w="7750" w:type="dxa"/>
          </w:tcPr>
          <w:p w:rsidR="00DB30DD" w:rsidRDefault="00DB30DD">
            <w:pPr>
              <w:spacing w:after="0" w:afterAutospacing="0" w:line="240" w:lineRule="auto"/>
            </w:pPr>
            <w:r>
              <w:t>Systemic Lupus International Collaborating Centres/American College of Rheumatology</w:t>
            </w:r>
          </w:p>
        </w:tc>
      </w:tr>
      <w:tr w:rsidR="00DB30DD" w:rsidTr="00DB30DD">
        <w:tc>
          <w:tcPr>
            <w:tcW w:w="1332" w:type="dxa"/>
          </w:tcPr>
          <w:p w:rsidR="00DB30DD" w:rsidRDefault="00DB30DD" w:rsidP="004733BA">
            <w:pPr>
              <w:spacing w:after="0" w:afterAutospacing="0" w:line="240" w:lineRule="auto"/>
            </w:pPr>
            <w:r>
              <w:t>UK</w:t>
            </w:r>
          </w:p>
        </w:tc>
        <w:tc>
          <w:tcPr>
            <w:tcW w:w="7750" w:type="dxa"/>
          </w:tcPr>
          <w:p w:rsidR="00DB30DD" w:rsidRDefault="00DB30DD" w:rsidP="004733BA">
            <w:pPr>
              <w:spacing w:after="0" w:afterAutospacing="0" w:line="240" w:lineRule="auto"/>
            </w:pPr>
            <w:r>
              <w:t>United Kingdom</w:t>
            </w:r>
          </w:p>
        </w:tc>
      </w:tr>
      <w:tr w:rsidR="00DB30DD" w:rsidTr="00DB30DD">
        <w:tc>
          <w:tcPr>
            <w:tcW w:w="1332" w:type="dxa"/>
          </w:tcPr>
          <w:p w:rsidR="00DB30DD" w:rsidRDefault="00DB30DD" w:rsidP="004733BA">
            <w:pPr>
              <w:spacing w:after="0" w:afterAutospacing="0" w:line="240" w:lineRule="auto"/>
            </w:pPr>
            <w:r>
              <w:t>VOI</w:t>
            </w:r>
          </w:p>
        </w:tc>
        <w:tc>
          <w:tcPr>
            <w:tcW w:w="7750" w:type="dxa"/>
          </w:tcPr>
          <w:p w:rsidR="00DB30DD" w:rsidRDefault="00DB30DD" w:rsidP="004733BA">
            <w:pPr>
              <w:spacing w:after="0" w:afterAutospacing="0" w:line="240" w:lineRule="auto"/>
            </w:pPr>
            <w:r>
              <w:t>Value of Information</w:t>
            </w:r>
          </w:p>
        </w:tc>
      </w:tr>
    </w:tbl>
    <w:p w:rsidR="002A303F" w:rsidRDefault="002A303F">
      <w:pPr>
        <w:spacing w:after="0" w:afterAutospacing="0" w:line="240" w:lineRule="auto"/>
      </w:pPr>
    </w:p>
    <w:p w:rsidR="00B97965" w:rsidRDefault="00B97965">
      <w:pPr>
        <w:spacing w:after="0" w:afterAutospacing="0" w:line="240" w:lineRule="auto"/>
        <w:sectPr w:rsidR="00B97965" w:rsidSect="00B97965">
          <w:pgSz w:w="11906" w:h="16838"/>
          <w:pgMar w:top="1440" w:right="1440" w:bottom="1440" w:left="2268" w:header="708" w:footer="708" w:gutter="0"/>
          <w:pgNumType w:fmt="lowerRoman"/>
          <w:cols w:space="708"/>
          <w:docGrid w:linePitch="360"/>
        </w:sectPr>
      </w:pPr>
    </w:p>
    <w:p w:rsidR="00E368B4" w:rsidRDefault="00E368B4" w:rsidP="00E368B4">
      <w:pPr>
        <w:pStyle w:val="Heading1"/>
        <w:ind w:left="431"/>
      </w:pPr>
      <w:bookmarkStart w:id="4" w:name="_Toc379467533"/>
      <w:r>
        <w:t>Chapter 1: Introduction</w:t>
      </w:r>
      <w:bookmarkEnd w:id="4"/>
    </w:p>
    <w:p w:rsidR="00B9721E" w:rsidRPr="00B9721E" w:rsidRDefault="00B9721E" w:rsidP="00597CF5">
      <w:pPr>
        <w:pStyle w:val="ListParagraph"/>
        <w:numPr>
          <w:ilvl w:val="0"/>
          <w:numId w:val="29"/>
        </w:numPr>
        <w:rPr>
          <w:sz w:val="16"/>
          <w:szCs w:val="16"/>
        </w:rPr>
      </w:pPr>
    </w:p>
    <w:p w:rsidR="00E368B4" w:rsidRDefault="00E368B4" w:rsidP="008E04BA">
      <w:r>
        <w:t xml:space="preserve">The </w:t>
      </w:r>
      <w:r w:rsidRPr="00675A32">
        <w:t>objective of</w:t>
      </w:r>
      <w:r>
        <w:t xml:space="preserve"> thi</w:t>
      </w:r>
      <w:r w:rsidR="007F49FE">
        <w:t>s thesis is to investigate how</w:t>
      </w:r>
      <w:r>
        <w:t xml:space="preserve"> </w:t>
      </w:r>
      <w:r w:rsidR="00033F8F">
        <w:t>health economic evaluation</w:t>
      </w:r>
      <w:r>
        <w:t xml:space="preserve"> methods </w:t>
      </w:r>
      <w:r w:rsidR="00EB5F70">
        <w:t xml:space="preserve">could be applied </w:t>
      </w:r>
      <w:r>
        <w:t xml:space="preserve">during the development of new drugs </w:t>
      </w:r>
      <w:r w:rsidR="00F44407">
        <w:t>in the pharmaceutical industry</w:t>
      </w:r>
      <w:r w:rsidR="00AC6781">
        <w:t xml:space="preserve"> to optimise trial design</w:t>
      </w:r>
      <w:r>
        <w:t xml:space="preserve">. The study </w:t>
      </w:r>
      <w:r w:rsidR="008E04BA">
        <w:t>has a particular focus</w:t>
      </w:r>
      <w:r>
        <w:t xml:space="preserve"> on </w:t>
      </w:r>
      <w:r w:rsidR="00EB5F70">
        <w:t>Systemic</w:t>
      </w:r>
      <w:r>
        <w:t xml:space="preserve"> Lupus Erythematosus (SLE) because it is a disease area with a history of fail</w:t>
      </w:r>
      <w:r w:rsidR="00F44407">
        <w:t>ed clinical trials, attributed</w:t>
      </w:r>
      <w:r>
        <w:t xml:space="preserve"> to poor trial design. SLE is a disease with nume</w:t>
      </w:r>
      <w:r w:rsidR="00F44407">
        <w:t>rous manifestations and presented</w:t>
      </w:r>
      <w:r>
        <w:t xml:space="preserve"> an interesting set of methodological challenges, particularly because almost no</w:t>
      </w:r>
      <w:r w:rsidR="00F44407">
        <w:t xml:space="preserve"> health economic modelling studies had</w:t>
      </w:r>
      <w:r>
        <w:t xml:space="preserve"> been published in this area. </w:t>
      </w:r>
    </w:p>
    <w:p w:rsidR="00BD0277" w:rsidRDefault="00BD0277" w:rsidP="0061512D">
      <w:r>
        <w:t xml:space="preserve">In this introduction I cover the background of how drug development processes work globally, how </w:t>
      </w:r>
      <w:r w:rsidR="00662583">
        <w:t>decision analytic</w:t>
      </w:r>
      <w:r w:rsidR="0061512D">
        <w:t xml:space="preserve"> methods are used in health care resource allocation</w:t>
      </w:r>
      <w:r>
        <w:t>, and describe SLE.</w:t>
      </w:r>
      <w:r w:rsidR="00EE17E9">
        <w:t xml:space="preserve"> In the final section I present the research hypothesis and a summary of the work presented in the thesis.</w:t>
      </w:r>
    </w:p>
    <w:p w:rsidR="006E1546" w:rsidRDefault="006E1546" w:rsidP="00033F8F">
      <w:pPr>
        <w:pStyle w:val="Heading2"/>
      </w:pPr>
      <w:bookmarkStart w:id="5" w:name="_Ref355006909"/>
      <w:bookmarkStart w:id="6" w:name="_Ref355023608"/>
      <w:bookmarkStart w:id="7" w:name="_Ref349233417"/>
      <w:bookmarkStart w:id="8" w:name="_Toc278533895"/>
      <w:bookmarkStart w:id="9" w:name="_Toc278533955"/>
      <w:bookmarkStart w:id="10" w:name="_Toc279009222"/>
      <w:bookmarkStart w:id="11" w:name="_Toc379467534"/>
      <w:r>
        <w:t>Drug Development Processes</w:t>
      </w:r>
      <w:bookmarkEnd w:id="5"/>
      <w:bookmarkEnd w:id="6"/>
      <w:bookmarkEnd w:id="11"/>
    </w:p>
    <w:p w:rsidR="00D10AD1" w:rsidRDefault="00D10AD1" w:rsidP="00FA4062">
      <w:r>
        <w:t xml:space="preserve">Before new drugs can be prescribed to </w:t>
      </w:r>
      <w:r w:rsidR="00FA4062">
        <w:t xml:space="preserve">a </w:t>
      </w:r>
      <w:r>
        <w:t>patient it is necessary</w:t>
      </w:r>
      <w:r w:rsidR="002B147C">
        <w:t xml:space="preserve"> to obtain a license from government agencies such as the FDA</w:t>
      </w:r>
      <w:r w:rsidR="00802252">
        <w:t xml:space="preserve"> </w:t>
      </w:r>
      <w:r w:rsidR="00E729BA">
        <w:fldChar w:fldCharType="begin"/>
      </w:r>
      <w:r w:rsidR="00FC61FD">
        <w:instrText xml:space="preserve"> ADDIN REFMGR.CITE &lt;Refman&gt;&lt;Cite&gt;&lt;Year&gt;2013&lt;/Year&gt;&lt;RecNum&gt;1654&lt;/RecNum&gt;&lt;MDL Ref_Type="Electronic Citation"&gt;&lt;Ref_Type&gt;Electronic Citation&lt;/Ref_Type&gt;&lt;Ref_ID&gt;1654&lt;/Ref_ID&gt;&lt;Date_Primary&gt;2013&lt;/Date_Primary&gt;&lt;Reprint&gt;In File&lt;/Reprint&gt;&lt;Periodical&gt;U.S.Food and Drug Administration&lt;/Periodical&gt;&lt;Web_URL&gt;&lt;u&gt;http://www.fda.gov/&lt;/u&gt;&lt;/Web_URL&gt;&lt;ZZ_JournalStdAbbrev&gt;&lt;f name="System"&gt;U.S.Food and Drug Administration&lt;/f&gt;&lt;/ZZ_JournalStdAbbrev&gt;&lt;ZZ_WorkformID&gt;34&lt;/ZZ_WorkformID&gt;&lt;/MDL&gt;&lt;/Cite&gt;&lt;/Refman&gt;</w:instrText>
      </w:r>
      <w:r w:rsidR="00E729BA">
        <w:fldChar w:fldCharType="separate"/>
      </w:r>
      <w:r w:rsidR="00BD35CE">
        <w:t>(1)</w:t>
      </w:r>
      <w:r w:rsidR="00E729BA">
        <w:fldChar w:fldCharType="end"/>
      </w:r>
      <w:r w:rsidR="002B147C">
        <w:t xml:space="preserve">, or the EMA </w:t>
      </w:r>
      <w:r w:rsidR="00E729BA">
        <w:fldChar w:fldCharType="begin"/>
      </w:r>
      <w:r w:rsidR="00FC61FD">
        <w:instrText xml:space="preserve"> ADDIN REFMGR.CITE &lt;Refman&gt;&lt;Cite&gt;&lt;Author&gt;European Medicines Agency&lt;/Author&gt;&lt;Year&gt;2013&lt;/Year&gt;&lt;RecNum&gt;1653&lt;/RecNum&gt;&lt;IDText&gt;What we do&lt;/IDText&gt;&lt;MDL Ref_Type="Electronic Citation"&gt;&lt;Ref_Type&gt;Electronic Citation&lt;/Ref_Type&gt;&lt;Ref_ID&gt;1653&lt;/Ref_ID&gt;&lt;Title_Primary&gt;What we do&lt;/Title_Primary&gt;&lt;Date_Primary&gt;2013&lt;/Date_Primary&gt;&lt;Reprint&gt;In File&lt;/Reprint&gt;&lt;Periodical&gt;European Medicines Agency&lt;/Periodical&gt;&lt;Web_URL&gt;&lt;u&gt;http://www.ema.europa.eu/ema/index.jsp?curl=pages/about_us/general/general_content_000091.jsp&amp;amp;mid=WC0b01ac0580028a42&lt;/u&gt;&lt;/Web_URL&gt;&lt;ZZ_JournalFull&gt;&lt;f name="System"&gt;European Medicines Agency&lt;/f&gt;&lt;/ZZ_JournalFull&gt;&lt;ZZ_WorkformID&gt;34&lt;/ZZ_WorkformID&gt;&lt;/MDL&gt;&lt;/Cite&gt;&lt;/Refman&gt;</w:instrText>
      </w:r>
      <w:r w:rsidR="00E729BA">
        <w:fldChar w:fldCharType="separate"/>
      </w:r>
      <w:r w:rsidR="00802252">
        <w:t>(2)</w:t>
      </w:r>
      <w:r w:rsidR="00E729BA">
        <w:fldChar w:fldCharType="end"/>
      </w:r>
      <w:r w:rsidR="002B147C">
        <w:t xml:space="preserve">. </w:t>
      </w:r>
      <w:r w:rsidR="00802252">
        <w:t xml:space="preserve">Both regulators produce clear guidance for industry on what evidence is required to obtain market approval </w:t>
      </w:r>
      <w:r w:rsidR="00E729BA">
        <w:fldChar w:fldCharType="begin"/>
      </w:r>
      <w:r w:rsidR="00FC61FD">
        <w:instrText xml:space="preserve"> ADDIN REFMGR.CITE &lt;Refman&gt;&lt;Cite&gt;&lt;Author&gt;US Food and Drug Administration&lt;/Author&gt;&lt;Year&gt;2004&lt;/Year&gt;&lt;RecNum&gt;1655&lt;/RecNum&gt;&lt;IDText&gt;Guidance for Industry Q8(R2) Pharmaceutical Development&lt;/IDText&gt;&lt;MDL Ref_Type="Report"&gt;&lt;Ref_Type&gt;Report&lt;/Ref_Type&gt;&lt;Ref_ID&gt;1655&lt;/Ref_ID&gt;&lt;Title_Primary&gt;Guidance for Industry Q8(R2) Pharmaceutical Development&lt;/Title_Primary&gt;&lt;Authors_Primary&gt;US Food and Drug Administration&lt;/Authors_Primary&gt;&lt;Date_Primary&gt;2004&lt;/Date_Primary&gt;&lt;Reprint&gt;In File&lt;/Reprint&gt;&lt;Web_URL&gt;&lt;u&gt;http://www.fda.gov/downloads/Drugs/GuidanceComplianceRegulatoryInformation/Guidances/UCM073507.pdf&lt;/u&gt;&lt;/Web_URL&gt;&lt;ZZ_WorkformID&gt;24&lt;/ZZ_WorkformID&gt;&lt;/MDL&gt;&lt;/Cite&gt;&lt;Cite&gt;&lt;Author&gt;European Commission&lt;/Author&gt;&lt;Year&gt;2013&lt;/Year&gt;&lt;RecNum&gt;1656&lt;/RecNum&gt;&lt;IDText&gt;European Commission Directive 2001/20/EC. Clinical trial directive.&lt;/IDText&gt;&lt;MDL Ref_Type="Report"&gt;&lt;Ref_Type&gt;Report&lt;/Ref_Type&gt;&lt;Ref_ID&gt;1656&lt;/Ref_ID&gt;&lt;Title_Primary&gt;European Commission Directive 2001/20/EC. Clinical trial directive.&lt;/Title_Primary&gt;&lt;Authors_Primary&gt;European Commission&lt;/Authors_Primary&gt;&lt;Date_Primary&gt;2013&lt;/Date_Primary&gt;&lt;Keywords&gt;clinical trial&lt;/Keywords&gt;&lt;Reprint&gt;In File&lt;/Reprint&gt;&lt;Pub_Place&gt;Brussels, Belgium&lt;/Pub_Place&gt;&lt;Web_URL&gt;&lt;u&gt;www.ec.europa.eu/enterprise/pharmaceuticals/pharmacos/dir200120ec.htm&lt;/u&gt;&lt;/Web_URL&gt;&lt;ZZ_WorkformID&gt;24&lt;/ZZ_WorkformID&gt;&lt;/MDL&gt;&lt;/Cite&gt;&lt;/Refman&gt;</w:instrText>
      </w:r>
      <w:r w:rsidR="00E729BA">
        <w:fldChar w:fldCharType="separate"/>
      </w:r>
      <w:r w:rsidR="00802252">
        <w:t>(3;4)</w:t>
      </w:r>
      <w:r w:rsidR="00E729BA">
        <w:fldChar w:fldCharType="end"/>
      </w:r>
      <w:r w:rsidR="00802252">
        <w:t xml:space="preserve">.  </w:t>
      </w:r>
      <w:r w:rsidR="002B147C" w:rsidRPr="002B147C">
        <w:t>Under both the EMA and the FDA, the drug development process includes preclinical testing; clinical trials with phase 1, 2, and 3 testing; and a final approval procedure.</w:t>
      </w:r>
      <w:r w:rsidR="00802252">
        <w:t xml:space="preserve"> </w:t>
      </w:r>
    </w:p>
    <w:p w:rsidR="00FB4603" w:rsidRPr="00D10AD1" w:rsidRDefault="00802252" w:rsidP="00FA4062">
      <w:r>
        <w:t>Market approval from either the FDA or EMA does not guarantee the reimbursement of new treatments in the U</w:t>
      </w:r>
      <w:r w:rsidR="00FB4603">
        <w:t>nited States (U</w:t>
      </w:r>
      <w:r>
        <w:t>S</w:t>
      </w:r>
      <w:r w:rsidR="00FB4603">
        <w:t>)</w:t>
      </w:r>
      <w:r>
        <w:t xml:space="preserve"> or Europe. </w:t>
      </w:r>
      <w:r w:rsidR="00FB4603">
        <w:t>S</w:t>
      </w:r>
      <w:r>
        <w:t>ystems of reimbursement are highly variable between national settings</w:t>
      </w:r>
      <w:r w:rsidR="00FB4603">
        <w:t xml:space="preserve"> </w:t>
      </w:r>
      <w:r w:rsidR="00E729BA">
        <w:fldChar w:fldCharType="begin"/>
      </w:r>
      <w:r w:rsidR="00FC61FD">
        <w:instrText xml:space="preserve"> ADDIN REFMGR.CITE &lt;Refman&gt;&lt;Cite&gt;&lt;Author&gt;Gress&lt;/Author&gt;&lt;Year&gt;2007&lt;/Year&gt;&lt;RecNum&gt;1657&lt;/RecNum&gt;&lt;IDText&gt;Reform of prescription drug reimbursement and pricing in the German social health insurance market: a comparison of three scenarios&lt;/IDText&gt;&lt;MDL Ref_Type="Journal"&gt;&lt;Ref_Type&gt;Journal&lt;/Ref_Type&gt;&lt;Ref_ID&gt;1657&lt;/Ref_ID&gt;&lt;Title_Primary&gt;Reform of prescription drug reimbursement and pricing in the German social health insurance market: a comparison of three scenarios&lt;/Title_Primary&gt;&lt;Authors_Primary&gt;Gress,S.&lt;/Authors_Primary&gt;&lt;Authors_Primary&gt;Niebuhr,D.&lt;/Authors_Primary&gt;&lt;Authors_Primary&gt;May,U.&lt;/Authors_Primary&gt;&lt;Authors_Primary&gt;Wasem,J.&lt;/Authors_Primary&gt;&lt;Date_Primary&gt;2007&lt;/Date_Primary&gt;&lt;Keywords&gt;Drug Costs&lt;/Keywords&gt;&lt;Keywords&gt;Drug Prescriptions&lt;/Keywords&gt;&lt;Keywords&gt;economics&lt;/Keywords&gt;&lt;Keywords&gt;England&lt;/Keywords&gt;&lt;Keywords&gt;European Union&lt;/Keywords&gt;&lt;Keywords&gt;France&lt;/Keywords&gt;&lt;Keywords&gt;Germany&lt;/Keywords&gt;&lt;Keywords&gt;Health&lt;/Keywords&gt;&lt;Keywords&gt;Humans&lt;/Keywords&gt;&lt;Keywords&gt;Israel&lt;/Keywords&gt;&lt;Keywords&gt;Legislation,Drug&lt;/Keywords&gt;&lt;Keywords&gt;National Health Programs&lt;/Keywords&gt;&lt;Keywords&gt;Netherlands&lt;/Keywords&gt;&lt;Keywords&gt;Physicians&lt;/Keywords&gt;&lt;Keywords&gt;Reimbursement Mechanisms&lt;/Keywords&gt;&lt;Keywords&gt;Switzerland&lt;/Keywords&gt;&lt;Reprint&gt;Not in File&lt;/Reprint&gt;&lt;Start_Page&gt;443&lt;/Start_Page&gt;&lt;End_Page&gt;454&lt;/End_Page&gt;&lt;Periodical&gt;Pharmacoeconomics.&lt;/Periodical&gt;&lt;Volume&gt;25&lt;/Volume&gt;&lt;Issue&gt;6&lt;/Issue&gt;&lt;ZZ_JournalStdAbbrev&gt;&lt;f name="System"&gt;Pharmacoeconomics.&lt;/f&gt;&lt;/ZZ_JournalStdAbbrev&gt;&lt;ZZ_WorkformID&gt;1&lt;/ZZ_WorkformID&gt;&lt;/MDL&gt;&lt;/Cite&gt;&lt;/Refman&gt;</w:instrText>
      </w:r>
      <w:r w:rsidR="00E729BA">
        <w:fldChar w:fldCharType="separate"/>
      </w:r>
      <w:r w:rsidR="00FB4603">
        <w:t>(5)</w:t>
      </w:r>
      <w:r w:rsidR="00E729BA">
        <w:fldChar w:fldCharType="end"/>
      </w:r>
      <w:r>
        <w:t xml:space="preserve">.  </w:t>
      </w:r>
      <w:r w:rsidR="00FB4603">
        <w:t xml:space="preserve">In the United Kingdom (UK), the National Institute for Health and </w:t>
      </w:r>
      <w:r w:rsidR="00F2762B">
        <w:t xml:space="preserve">Care </w:t>
      </w:r>
      <w:r w:rsidR="00FB4603">
        <w:t>Excellence (NICE</w:t>
      </w:r>
      <w:r w:rsidR="00BD79E5">
        <w:t>)</w:t>
      </w:r>
      <w:r w:rsidR="00FA4062">
        <w:t xml:space="preserve"> can mandate reimbursement of new treatments</w:t>
      </w:r>
      <w:r w:rsidR="00697753">
        <w:t xml:space="preserve"> </w:t>
      </w:r>
      <w:r w:rsidR="00E729BA">
        <w:fldChar w:fldCharType="begin"/>
      </w:r>
      <w:r w:rsidR="00FC61FD">
        <w:instrText xml:space="preserve"> ADDIN REFMGR.CITE &lt;Refman&gt;&lt;Cite&gt;&lt;Author&gt;National Institute for Health and Clinical Excellence&lt;/Author&gt;&lt;Year&gt;2013&lt;/Year&gt;&lt;RecNum&gt;1661&lt;/RecNum&gt;&lt;MDL Ref_Type="Electronic Citation"&gt;&lt;Ref_Type&gt;Electronic Citation&lt;/Ref_Type&gt;&lt;Ref_ID&gt;1661&lt;/Ref_ID&gt;&lt;Date_Primary&gt;2013&lt;/Date_Primary&gt;&lt;Reprint&gt;In File&lt;/Reprint&gt;&lt;Periodical&gt;National Institute for Health and Clinical Excellenc&lt;/Periodical&gt;&lt;Web_URL&gt;&lt;u&gt;http://www.nice.org.uk/&lt;/u&gt;&lt;/Web_URL&gt;&lt;ZZ_JournalFull&gt;&lt;f name="System"&gt;National Institute for Health and Clinical Excellenc&lt;/f&gt;&lt;/ZZ_JournalFull&gt;&lt;ZZ_WorkformID&gt;34&lt;/ZZ_WorkformID&gt;&lt;/MDL&gt;&lt;/Cite&gt;&lt;/Refman&gt;</w:instrText>
      </w:r>
      <w:r w:rsidR="00E729BA">
        <w:fldChar w:fldCharType="separate"/>
      </w:r>
      <w:r w:rsidR="00697753">
        <w:t>(6)</w:t>
      </w:r>
      <w:r w:rsidR="00E729BA">
        <w:fldChar w:fldCharType="end"/>
      </w:r>
      <w:r w:rsidR="00FB4603">
        <w:t>. NICE does not list all prescription drugs that are eligible for reimbursement</w:t>
      </w:r>
      <w:r w:rsidR="00662583">
        <w:t>,</w:t>
      </w:r>
      <w:r w:rsidR="00FB4603">
        <w:t xml:space="preserve"> and </w:t>
      </w:r>
      <w:r w:rsidR="00BD79E5">
        <w:t xml:space="preserve">technology appraisals are selected according to prioritisation criteria </w:t>
      </w:r>
      <w:r w:rsidR="00E729BA">
        <w:fldChar w:fldCharType="begin"/>
      </w:r>
      <w:r w:rsidR="00FC61FD">
        <w:instrText xml:space="preserve"> ADDIN REFMGR.CITE &lt;Refman&gt;&lt;Cite&gt;&lt;Author&gt;National Institute for Health and Clinical Excellence&lt;/Author&gt;&lt;Year&gt;2010&lt;/Year&gt;&lt;RecNum&gt;1659&lt;/RecNum&gt;&lt;IDText&gt;Updated prioritisation criteria for referral of Technology Appraisal topics to NICE &lt;/IDText&gt;&lt;MDL Ref_Type="Report"&gt;&lt;Ref_Type&gt;Report&lt;/Ref_Type&gt;&lt;Ref_ID&gt;1659&lt;/Ref_ID&gt;&lt;Title_Primary&gt;&lt;b&gt;Updated prioritisation criteria for referral of Technology Appraisal topics to NICE &lt;/b&gt;&lt;/Title_Primary&gt;&lt;Authors_Primary&gt;National Institute for Health and Clinical Excellence&lt;/Authors_Primary&gt;&lt;Date_Primary&gt;2010&lt;/Date_Primary&gt;&lt;Reprint&gt;In File&lt;/Reprint&gt;&lt;Publisher&gt;&lt;b&gt;Centre for Health Technology Evaluation &lt;/b&gt;&lt;/Publisher&gt;&lt;Web_URL&gt;&lt;u&gt;http://www.nice.org.uk/media/088/B2/NewTAPrioritisationCriteriaAgreedByMinister.pdf&lt;/u&gt;&lt;/Web_URL&gt;&lt;ZZ_WorkformID&gt;24&lt;/ZZ_WorkformID&gt;&lt;/MDL&gt;&lt;/Cite&gt;&lt;/Refman&gt;</w:instrText>
      </w:r>
      <w:r w:rsidR="00E729BA">
        <w:fldChar w:fldCharType="separate"/>
      </w:r>
      <w:r w:rsidR="00697753">
        <w:t>(7)</w:t>
      </w:r>
      <w:r w:rsidR="00E729BA">
        <w:fldChar w:fldCharType="end"/>
      </w:r>
      <w:r w:rsidR="00BD79E5">
        <w:t>. Reimbursement decisions not covered by NICE, or rejected by NICE</w:t>
      </w:r>
      <w:r w:rsidR="00662583">
        <w:t>,</w:t>
      </w:r>
      <w:r w:rsidR="00BD79E5">
        <w:t xml:space="preserve"> are made by local commissioners. However, local commissioners are required to</w:t>
      </w:r>
      <w:r w:rsidR="00FA4062">
        <w:t xml:space="preserve"> reimburse</w:t>
      </w:r>
      <w:r w:rsidR="00BD79E5">
        <w:t xml:space="preserve"> NICE approved technologies</w:t>
      </w:r>
      <w:r w:rsidR="00FB4603">
        <w:t>. In the US</w:t>
      </w:r>
      <w:r w:rsidR="00662583">
        <w:t>,</w:t>
      </w:r>
      <w:r w:rsidR="00FB4603">
        <w:t xml:space="preserve"> private health insurance system reimbursement is not centrally regulated. Health insurers are free to determine the insurance formulary </w:t>
      </w:r>
      <w:r w:rsidR="00E729BA">
        <w:fldChar w:fldCharType="begin"/>
      </w:r>
      <w:r w:rsidR="00FC61FD">
        <w:instrText xml:space="preserve"> ADDIN REFMGR.CITE &lt;Refman&gt;&lt;Cite&gt;&lt;Author&gt;Peters&lt;/Author&gt;&lt;Year&gt;2004&lt;/Year&gt;&lt;RecNum&gt;1658&lt;/RecNum&gt;&lt;IDText&gt;Fundamentals of the prescription drug market.&lt;/IDText&gt;&lt;MDL Ref_Type="Report"&gt;&lt;Ref_Type&gt;Report&lt;/Ref_Type&gt;&lt;Ref_ID&gt;1658&lt;/Ref_ID&gt;&lt;Title_Primary&gt;&lt;f name="Times-Roman"&gt;Fundamentals of the prescription drug market.&lt;/f&gt;&lt;/Title_Primary&gt;&lt;Authors_Primary&gt;Peters,C.P.&lt;/Authors_Primary&gt;&lt;Date_Primary&gt;2004&lt;/Date_Primary&gt;&lt;Reprint&gt;In File&lt;/Reprint&gt;&lt;Pub_Place&gt;Washington DC.&lt;/Pub_Place&gt;&lt;Publisher&gt;&lt;f name="Times-Roman"&gt;National Health Policy Forum&lt;/f&gt;&lt;/Publisher&gt;&lt;ZZ_WorkformID&gt;24&lt;/ZZ_WorkformID&gt;&lt;/MDL&gt;&lt;/Cite&gt;&lt;/Refman&gt;</w:instrText>
      </w:r>
      <w:r w:rsidR="00E729BA">
        <w:fldChar w:fldCharType="separate"/>
      </w:r>
      <w:r w:rsidR="00697753">
        <w:t>(8)</w:t>
      </w:r>
      <w:r w:rsidR="00E729BA">
        <w:fldChar w:fldCharType="end"/>
      </w:r>
      <w:r w:rsidR="00BD79E5">
        <w:t xml:space="preserve">. Most insurers offer open formularies or allow co-payments for off-formulary prescriptions. However, Medicare drug coverage allows a closed formulary of generics and therapeutic substitutes. </w:t>
      </w:r>
    </w:p>
    <w:p w:rsidR="006E1546" w:rsidRDefault="006E1546" w:rsidP="00EE2E22">
      <w:r>
        <w:t xml:space="preserve">To aid the narrative of this PhD I propose to define a simple structure for a drug development programme. </w:t>
      </w:r>
      <w:r w:rsidR="005D74B7">
        <w:t>The rationale behind the regulator's intervention is dual: to guarantee and improve patient health and safety and to limit expenditures on drugs. The system of d</w:t>
      </w:r>
      <w:r w:rsidR="001C26F1">
        <w:t>rug</w:t>
      </w:r>
      <w:r>
        <w:t xml:space="preserve"> regulation and reimbursement</w:t>
      </w:r>
      <w:r w:rsidR="001C26F1">
        <w:t xml:space="preserve"> </w:t>
      </w:r>
      <w:r w:rsidR="005D74B7">
        <w:t>was</w:t>
      </w:r>
      <w:r>
        <w:t xml:space="preserve"> loosely based on the United </w:t>
      </w:r>
      <w:r w:rsidR="00D0049C">
        <w:t>Kingdom;</w:t>
      </w:r>
      <w:r>
        <w:t xml:space="preserve"> however it does not include many of the details and intricacies of pharmaceutical market access.  From the pharmaceutical perspective a drug development progr</w:t>
      </w:r>
      <w:r w:rsidR="00BD0277">
        <w:t>amme comprises three phases</w:t>
      </w:r>
      <w:r w:rsidR="00DB30DD">
        <w:t xml:space="preserve"> prior to market approval</w:t>
      </w:r>
      <w:r w:rsidR="00F86BE9">
        <w:t xml:space="preserve"> </w:t>
      </w:r>
      <w:r w:rsidR="00E729BA">
        <w:fldChar w:fldCharType="begin"/>
      </w:r>
      <w:r w:rsidR="00FC61FD">
        <w:instrText xml:space="preserve"> ADDIN REFMGR.CITE &lt;Refman&gt;&lt;Cite&gt;&lt;Year&gt;2012&lt;/Year&gt;&lt;RecNum&gt;1660&lt;/RecNum&gt;&lt;IDText&gt;The FDA&amp;apos;s Drug Review Process: Ensuring Drugs Are Safe and Effective: Stages of Drug Development and Review&lt;/IDText&gt;&lt;MDL Ref_Type="Electronic Citation"&gt;&lt;Ref_Type&gt;Electronic Citation&lt;/Ref_Type&gt;&lt;Ref_ID&gt;1660&lt;/Ref_ID&gt;&lt;Title_Primary&gt;The FDA&amp;apos;s Drug Review Process: Ensuring Drugs Are Safe and Effective: Stages of Drug Development and Review&lt;/Title_Primary&gt;&lt;Date_Primary&gt;2012&lt;/Date_Primary&gt;&lt;Reprint&gt;In File&lt;/Reprint&gt;&lt;Periodical&gt;US Food and Drug Administration&lt;/Periodical&gt;&lt;Web_URL&gt;&lt;u&gt;http://www.fda.gov/drugs/resourcesforyou/consumers/ucm143534.htm)&lt;/u&gt;&lt;/Web_URL&gt;&lt;ZZ_JournalFull&gt;&lt;f name="System"&gt;US Food and Drug Administration&lt;/f&gt;&lt;/ZZ_JournalFull&gt;&lt;ZZ_WorkformID&gt;34&lt;/ZZ_WorkformID&gt;&lt;/MDL&gt;&lt;/Cite&gt;&lt;/Refman&gt;</w:instrText>
      </w:r>
      <w:r w:rsidR="00E729BA">
        <w:fldChar w:fldCharType="separate"/>
      </w:r>
      <w:r w:rsidR="00BD35CE">
        <w:t>(9)</w:t>
      </w:r>
      <w:r w:rsidR="00E729BA">
        <w:fldChar w:fldCharType="end"/>
      </w:r>
      <w:r w:rsidR="00BD0277">
        <w:t xml:space="preserve">. </w:t>
      </w:r>
      <w:r>
        <w:t xml:space="preserve">Phase I trials aim to test the safety of the treatment in a small sample of humans. Phase II trials establish if the drug is effective. Phase III trials confirm the effectiveness and safety of the treatment in </w:t>
      </w:r>
      <w:r w:rsidR="00BD0277">
        <w:t xml:space="preserve">a </w:t>
      </w:r>
      <w:r>
        <w:t>large sample of patient</w:t>
      </w:r>
      <w:r w:rsidR="00BD0277">
        <w:t>s</w:t>
      </w:r>
      <w:r>
        <w:t xml:space="preserve"> sufficient to demonstrate statistically significant benefits compared with alternative treatment options.</w:t>
      </w:r>
      <w:r w:rsidR="00DB30DD">
        <w:t xml:space="preserve"> After market approval p</w:t>
      </w:r>
      <w:r>
        <w:t>hase IV trials are conducted to determine the real-life value of the treatment</w:t>
      </w:r>
      <w:r w:rsidR="00BD0277">
        <w:t xml:space="preserve"> and collect dat</w:t>
      </w:r>
      <w:r w:rsidR="00D10AD1">
        <w:t>a on long-term saf</w:t>
      </w:r>
      <w:r w:rsidR="00BD0277">
        <w:t>e</w:t>
      </w:r>
      <w:r w:rsidR="00D10AD1">
        <w:t>t</w:t>
      </w:r>
      <w:r w:rsidR="00BD0277">
        <w:t>y</w:t>
      </w:r>
      <w:r>
        <w:t xml:space="preserve">. </w:t>
      </w:r>
      <w:r w:rsidR="00FA4062">
        <w:t>For simplicity it is assumed that all p</w:t>
      </w:r>
      <w:r w:rsidR="00F204E0">
        <w:t>hases of</w:t>
      </w:r>
      <w:r w:rsidR="00EE2E22">
        <w:t xml:space="preserve"> research</w:t>
      </w:r>
      <w:r w:rsidR="00F204E0">
        <w:t xml:space="preserve"> are funded by a single </w:t>
      </w:r>
      <w:r w:rsidR="00CC17B0">
        <w:t>p</w:t>
      </w:r>
      <w:r w:rsidR="00F204E0">
        <w:t xml:space="preserve">harmaceutical </w:t>
      </w:r>
      <w:r w:rsidR="00CC17B0">
        <w:t>c</w:t>
      </w:r>
      <w:r w:rsidR="00F204E0">
        <w:t xml:space="preserve">ompany who is responsible for the drug development. </w:t>
      </w:r>
      <w:r>
        <w:t>Market restrictions comprise two stages. Firstly, the new treatment must apply for a license for use</w:t>
      </w:r>
      <w:r w:rsidR="007E40CA">
        <w:t xml:space="preserve"> of the drug for a particular indication. </w:t>
      </w:r>
      <w:r w:rsidR="00A516BA">
        <w:t xml:space="preserve">For the purposes of this thesis this body will be referred to as the license regulator. </w:t>
      </w:r>
      <w:r w:rsidR="003F7FF1">
        <w:t xml:space="preserve">A license is granted based on evidence from all trials up to Phase III and </w:t>
      </w:r>
      <w:r w:rsidR="00647CD1">
        <w:t xml:space="preserve">is extremely unlikely to </w:t>
      </w:r>
      <w:r w:rsidR="003F7FF1">
        <w:t xml:space="preserve">be approved without data from a Phase III trial. </w:t>
      </w:r>
      <w:r w:rsidR="007E40CA">
        <w:t xml:space="preserve">Secondly, a </w:t>
      </w:r>
      <w:r w:rsidR="00A516BA">
        <w:t>separate institution</w:t>
      </w:r>
      <w:r w:rsidR="007E40CA">
        <w:t xml:space="preserve"> evaluate</w:t>
      </w:r>
      <w:r w:rsidR="00A516BA">
        <w:t>s</w:t>
      </w:r>
      <w:r w:rsidR="007E40CA">
        <w:t xml:space="preserve"> whether the treatment will be funded by the healthcare provider. </w:t>
      </w:r>
      <w:r w:rsidR="00A516BA">
        <w:t>For the purposes of this thesis this body will be referred to as the reimbursement authority.</w:t>
      </w:r>
      <w:r w:rsidR="003F7FF1">
        <w:t xml:space="preserve"> The drug is assumed to be reimbursed if the treatment is licensed and can demonstrate cost-effectiveness from a Phase IV trial or evidence for long term costs and benefits</w:t>
      </w:r>
      <w:r w:rsidR="00BD0277">
        <w:t xml:space="preserve"> from modelling studies</w:t>
      </w:r>
      <w:r w:rsidR="003F7FF1">
        <w:t xml:space="preserve">. </w:t>
      </w:r>
    </w:p>
    <w:p w:rsidR="00C06FD3" w:rsidRDefault="00C06FD3" w:rsidP="00647CD1">
      <w:r>
        <w:t xml:space="preserve">From the perspective of the </w:t>
      </w:r>
      <w:r w:rsidR="00CC17B0">
        <w:t>p</w:t>
      </w:r>
      <w:r>
        <w:t xml:space="preserve">harmaceutical </w:t>
      </w:r>
      <w:r w:rsidR="00CC17B0">
        <w:t>c</w:t>
      </w:r>
      <w:r>
        <w:t>ompany there are two outcomes from</w:t>
      </w:r>
      <w:r w:rsidR="00211DD2">
        <w:t xml:space="preserve"> a drug development programme: s</w:t>
      </w:r>
      <w:r>
        <w:t xml:space="preserve">uccess </w:t>
      </w:r>
      <w:r w:rsidR="00BD0277">
        <w:t>or</w:t>
      </w:r>
      <w:r>
        <w:t xml:space="preserve"> failure. The drug is a success if it reaches the market due to a successful application for license and reimbursement. The drug is a failure if it is not granted a license or does not achieve reimbursement. </w:t>
      </w:r>
    </w:p>
    <w:p w:rsidR="007E40CA" w:rsidRPr="006E1546" w:rsidRDefault="007E40CA" w:rsidP="00301852">
      <w:r>
        <w:t>Within the public sector</w:t>
      </w:r>
      <w:r w:rsidR="00FA4062">
        <w:t>,</w:t>
      </w:r>
      <w:r>
        <w:t xml:space="preserve"> the regulation of pharmaceutical markets involves many different organisations at the local</w:t>
      </w:r>
      <w:r w:rsidR="00301852">
        <w:t xml:space="preserve"> (GP consortia)</w:t>
      </w:r>
      <w:r>
        <w:t>, national</w:t>
      </w:r>
      <w:r w:rsidR="00697753">
        <w:t xml:space="preserve"> </w:t>
      </w:r>
      <w:r w:rsidR="00E729BA">
        <w:fldChar w:fldCharType="begin"/>
      </w:r>
      <w:r w:rsidR="00FC61FD">
        <w:instrText xml:space="preserve"> ADDIN REFMGR.CITE &lt;Refman&gt;&lt;Cite&gt;&lt;Author&gt;National Institute for Health and Clinical Excellence&lt;/Author&gt;&lt;Year&gt;2013&lt;/Year&gt;&lt;RecNum&gt;1661&lt;/RecNum&gt;&lt;MDL Ref_Type="Electronic Citation"&gt;&lt;Ref_Type&gt;Electronic Citation&lt;/Ref_Type&gt;&lt;Ref_ID&gt;1661&lt;/Ref_ID&gt;&lt;Date_Primary&gt;2013&lt;/Date_Primary&gt;&lt;Reprint&gt;In File&lt;/Reprint&gt;&lt;Periodical&gt;National Institute for Health and Clinical Excellenc&lt;/Periodical&gt;&lt;Web_URL&gt;&lt;u&gt;http://www.nice.org.uk/&lt;/u&gt;&lt;/Web_URL&gt;&lt;ZZ_JournalFull&gt;&lt;f name="System"&gt;National Institute for Health and Clinical Excellenc&lt;/f&gt;&lt;/ZZ_JournalFull&gt;&lt;ZZ_WorkformID&gt;34&lt;/ZZ_WorkformID&gt;&lt;/MDL&gt;&lt;/Cite&gt;&lt;/Refman&gt;</w:instrText>
      </w:r>
      <w:r w:rsidR="00E729BA">
        <w:fldChar w:fldCharType="separate"/>
      </w:r>
      <w:r w:rsidR="00697753">
        <w:t>(6)</w:t>
      </w:r>
      <w:r w:rsidR="00E729BA">
        <w:fldChar w:fldCharType="end"/>
      </w:r>
      <w:r>
        <w:t>, and supra-national level</w:t>
      </w:r>
      <w:r w:rsidR="00697753">
        <w:t xml:space="preserve"> </w:t>
      </w:r>
      <w:r w:rsidR="00E729BA">
        <w:fldChar w:fldCharType="begin"/>
      </w:r>
      <w:r w:rsidR="00FC61FD">
        <w:instrText xml:space="preserve"> ADDIN REFMGR.CITE &lt;Refman&gt;&lt;Cite&gt;&lt;Author&gt;European Medicines Agency&lt;/Author&gt;&lt;Year&gt;2013&lt;/Year&gt;&lt;RecNum&gt;1653&lt;/RecNum&gt;&lt;IDText&gt;What we do&lt;/IDText&gt;&lt;MDL Ref_Type="Electronic Citation"&gt;&lt;Ref_Type&gt;Electronic Citation&lt;/Ref_Type&gt;&lt;Ref_ID&gt;1653&lt;/Ref_ID&gt;&lt;Title_Primary&gt;What we do&lt;/Title_Primary&gt;&lt;Date_Primary&gt;2013&lt;/Date_Primary&gt;&lt;Reprint&gt;In File&lt;/Reprint&gt;&lt;Periodical&gt;European Medicines Agency&lt;/Periodical&gt;&lt;Web_URL&gt;&lt;u&gt;http://www.ema.europa.eu/ema/index.jsp?curl=pages/about_us/general/general_content_000091.jsp&amp;amp;mid=WC0b01ac0580028a42&lt;/u&gt;&lt;/Web_URL&gt;&lt;ZZ_JournalFull&gt;&lt;f name="System"&gt;European Medicines Agency&lt;/f&gt;&lt;/ZZ_JournalFull&gt;&lt;ZZ_WorkformID&gt;34&lt;/ZZ_WorkformID&gt;&lt;/MDL&gt;&lt;/Cite&gt;&lt;/Refman&gt;</w:instrText>
      </w:r>
      <w:r w:rsidR="00E729BA">
        <w:fldChar w:fldCharType="separate"/>
      </w:r>
      <w:r w:rsidR="00697753">
        <w:t>(2)</w:t>
      </w:r>
      <w:r w:rsidR="00E729BA">
        <w:fldChar w:fldCharType="end"/>
      </w:r>
      <w:r w:rsidR="00697753">
        <w:t>.</w:t>
      </w:r>
      <w:r>
        <w:t xml:space="preserve"> </w:t>
      </w:r>
      <w:r w:rsidR="00A364FA">
        <w:t>I</w:t>
      </w:r>
      <w:r>
        <w:t xml:space="preserve">t is difficult to define a typical </w:t>
      </w:r>
      <w:r w:rsidR="00211DD2">
        <w:t xml:space="preserve">process </w:t>
      </w:r>
      <w:r>
        <w:t>or generalise the processes of drug development</w:t>
      </w:r>
      <w:r w:rsidR="00EE2E22">
        <w:t>. However, it is useful to do so</w:t>
      </w:r>
      <w:r>
        <w:t xml:space="preserve"> to help contextualise the problems addressed in this PhD</w:t>
      </w:r>
      <w:r w:rsidR="00FA4062">
        <w:t xml:space="preserve"> and standardise terminology</w:t>
      </w:r>
      <w:r>
        <w:t xml:space="preserve">. </w:t>
      </w:r>
      <w:r w:rsidR="00D10AD1">
        <w:t xml:space="preserve">Whilst </w:t>
      </w:r>
      <w:r>
        <w:t>I acknowledge that there are limitations to the structure</w:t>
      </w:r>
      <w:r w:rsidR="00D10AD1">
        <w:t xml:space="preserve"> I believe that it</w:t>
      </w:r>
      <w:r>
        <w:t xml:space="preserve"> capture</w:t>
      </w:r>
      <w:r w:rsidR="00912F6C">
        <w:t>s</w:t>
      </w:r>
      <w:r>
        <w:t xml:space="preserve"> the main hurdles involved in drug development.</w:t>
      </w:r>
      <w:r w:rsidR="00D10AD1">
        <w:t xml:space="preserve"> This structure is useful because it simplifies regulatory and reimbursement decision criteria, wh</w:t>
      </w:r>
      <w:r w:rsidR="00DB30DD">
        <w:t>ich helps to define the outcome</w:t>
      </w:r>
      <w:r w:rsidR="00D10AD1">
        <w:t xml:space="preserve"> of a drug development programme in terms of success and failure. </w:t>
      </w:r>
    </w:p>
    <w:p w:rsidR="00E368B4" w:rsidRDefault="00E368B4" w:rsidP="00C75B81">
      <w:pPr>
        <w:pStyle w:val="Heading2"/>
      </w:pPr>
      <w:bookmarkStart w:id="12" w:name="_Toc379467535"/>
      <w:r>
        <w:t>What are</w:t>
      </w:r>
      <w:r w:rsidR="00033F8F">
        <w:t xml:space="preserve"> </w:t>
      </w:r>
      <w:r w:rsidR="00C75B81">
        <w:t>Decision Theoretic</w:t>
      </w:r>
      <w:r w:rsidR="00C62F3A">
        <w:t xml:space="preserve"> </w:t>
      </w:r>
      <w:r>
        <w:t>Methods?</w:t>
      </w:r>
      <w:bookmarkEnd w:id="7"/>
      <w:bookmarkEnd w:id="12"/>
    </w:p>
    <w:p w:rsidR="00C75B81" w:rsidRDefault="00C75B81" w:rsidP="00C75B81">
      <w:pPr>
        <w:pStyle w:val="Heading3"/>
      </w:pPr>
      <w:bookmarkStart w:id="13" w:name="_Toc278533901"/>
      <w:bookmarkStart w:id="14" w:name="_Toc278533961"/>
      <w:bookmarkStart w:id="15" w:name="_Toc279009228"/>
      <w:bookmarkStart w:id="16" w:name="_Toc379467536"/>
      <w:r>
        <w:t>Bayesian Statistics</w:t>
      </w:r>
      <w:bookmarkEnd w:id="16"/>
    </w:p>
    <w:bookmarkEnd w:id="13"/>
    <w:bookmarkEnd w:id="14"/>
    <w:bookmarkEnd w:id="15"/>
    <w:p w:rsidR="00C75B81" w:rsidRDefault="00C75B81" w:rsidP="004D7951">
      <w:r>
        <w:t xml:space="preserve">The use of Bayesian statistics in decision-making is </w:t>
      </w:r>
      <w:r w:rsidR="007171F5">
        <w:t xml:space="preserve">a </w:t>
      </w:r>
      <w:r w:rsidR="00DB30DD">
        <w:t>significant area of active</w:t>
      </w:r>
      <w:r w:rsidR="00462B3B">
        <w:t xml:space="preserve"> research and have been applied to great effect in </w:t>
      </w:r>
      <w:r w:rsidR="00FA4062">
        <w:t>h</w:t>
      </w:r>
      <w:r w:rsidR="00462B3B">
        <w:t>ealth</w:t>
      </w:r>
      <w:r w:rsidR="00FA4062">
        <w:t>c</w:t>
      </w:r>
      <w:r w:rsidR="00462B3B">
        <w:t xml:space="preserve">are decision-making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462B3B">
        <w:t>(10)</w:t>
      </w:r>
      <w:r w:rsidR="00E729BA">
        <w:fldChar w:fldCharType="end"/>
      </w:r>
      <w:r w:rsidR="00462B3B">
        <w:t>.</w:t>
      </w:r>
      <w:r>
        <w:t xml:space="preserve"> Bayesian statistics formalise</w:t>
      </w:r>
      <w:r w:rsidR="00EE2E22">
        <w:t>s</w:t>
      </w:r>
      <w:r>
        <w:t xml:space="preserve"> the process in which we learn from research</w:t>
      </w:r>
      <w:r w:rsidR="00FA4062">
        <w:t xml:space="preserve"> that</w:t>
      </w:r>
      <w:r>
        <w:t xml:space="preserve"> has been conducted previously and update our knowledge with new data. In Bayesian statistics, inference of unknown parameters can be conducted using subjective probabilities combined with new data</w:t>
      </w:r>
      <w:r w:rsidR="004D7951">
        <w:t xml:space="preserve"> </w:t>
      </w:r>
      <w:r w:rsidR="00E729BA">
        <w:fldChar w:fldCharType="begin"/>
      </w:r>
      <w:r w:rsidR="00FC61FD">
        <w:instrText xml:space="preserve"> ADDIN REFMGR.CITE &lt;Refman&gt;&lt;Cite&gt;&lt;Author&gt;Luce&lt;/Author&gt;&lt;Year&gt;2001&lt;/Year&gt;&lt;RecNum&gt;1683&lt;/RecNum&gt;&lt;IDText&gt;Introduction. Bayesian approaches to technology assessment and decision making&lt;/IDText&gt;&lt;MDL Ref_Type="Journal"&gt;&lt;Ref_Type&gt;Journal&lt;/Ref_Type&gt;&lt;Ref_ID&gt;1683&lt;/Ref_ID&gt;&lt;Title_Primary&gt;Introduction. Bayesian approaches to technology assessment and decision making&lt;/Title_Primary&gt;&lt;Authors_Primary&gt;Luce,B.R.&lt;/Authors_Primary&gt;&lt;Authors_Primary&gt;Shih,Y.C.&lt;/Authors_Primary&gt;&lt;Authors_Primary&gt;Claxton,K.&lt;/Authors_Primary&gt;&lt;Date_Primary&gt;2001&lt;/Date_Primary&gt;&lt;Keywords&gt;Bayes Theorem&lt;/Keywords&gt;&lt;Keywords&gt;Decision Making&lt;/Keywords&gt;&lt;Keywords&gt;Great Britain&lt;/Keywords&gt;&lt;Keywords&gt;Humans&lt;/Keywords&gt;&lt;Keywords&gt;methods&lt;/Keywords&gt;&lt;Keywords&gt;Technology Assessment,Biomedical&lt;/Keywords&gt;&lt;Reprint&gt;Not in File&lt;/Reprint&gt;&lt;Start_Page&gt;1&lt;/Start_Page&gt;&lt;End_Page&gt;5&lt;/End_Page&gt;&lt;Periodical&gt;Int.J.Technol.Assess.Health Care.&lt;/Periodical&gt;&lt;Volume&gt;17&lt;/Volume&gt;&lt;Issue&gt;1&lt;/Issue&gt;&lt;ZZ_JournalStdAbbrev&gt;&lt;f name="System"&gt;Int.J.Technol.Assess.Health Care.&lt;/f&gt;&lt;/ZZ_JournalStdAbbrev&gt;&lt;ZZ_WorkformID&gt;1&lt;/ZZ_WorkformID&gt;&lt;/MDL&gt;&lt;/Cite&gt;&lt;/Refman&gt;</w:instrText>
      </w:r>
      <w:r w:rsidR="00E729BA">
        <w:fldChar w:fldCharType="separate"/>
      </w:r>
      <w:r w:rsidR="004D7951">
        <w:t>(11)</w:t>
      </w:r>
      <w:r w:rsidR="00E729BA">
        <w:fldChar w:fldCharType="end"/>
      </w:r>
      <w:r>
        <w:t>. Subjective probabilities express probability statements for an event even if the event is non-repeatable. By incorporating subjective probabilities Bayesian analysis enables probability statements to be made about parameters, whereas frequentist theory does not allow this</w:t>
      </w:r>
      <w:r w:rsidR="00647CD1">
        <w:t xml:space="preserve"> </w:t>
      </w:r>
      <w:r w:rsidR="00E729BA">
        <w:fldChar w:fldCharType="begin"/>
      </w:r>
      <w:r w:rsidR="00FC61FD">
        <w:instrText xml:space="preserve"> ADDIN REFMGR.CITE &lt;Refman&gt;&lt;Cite&gt;&lt;Author&gt;O&amp;apos;Hagan&lt;/Author&gt;&lt;Year&gt;2003&lt;/Year&gt;&lt;RecNum&gt;1685&lt;/RecNum&gt;&lt;IDText&gt;A Primer on Bayesian Statistics in Health Economics&lt;/IDText&gt;&lt;MDL Ref_Type="Report"&gt;&lt;Ref_Type&gt;Report&lt;/Ref_Type&gt;&lt;Ref_ID&gt;1685&lt;/Ref_ID&gt;&lt;Title_Primary&gt;A Primer on Bayesian Statistics in Health Economics&lt;/Title_Primary&gt;&lt;Authors_Primary&gt;O&amp;apos;Hagan,A.&lt;/Authors_Primary&gt;&lt;Authors_Primary&gt;Luce,B.R.&lt;/Authors_Primary&gt;&lt;Date_Primary&gt;2003&lt;/Date_Primary&gt;&lt;Keywords&gt;statistics&lt;/Keywords&gt;&lt;Keywords&gt;Health&lt;/Keywords&gt;&lt;Keywords&gt;economics&lt;/Keywords&gt;&lt;Reprint&gt;In File&lt;/Reprint&gt;&lt;Pub_Place&gt;Sheffield&lt;/Pub_Place&gt;&lt;Publisher&gt;Centre for Bayesian Statistics in Health Economics&lt;/Publisher&gt;&lt;ZZ_WorkformID&gt;24&lt;/ZZ_WorkformID&gt;&lt;/MDL&gt;&lt;/Cite&gt;&lt;/Refman&gt;</w:instrText>
      </w:r>
      <w:r w:rsidR="00E729BA">
        <w:fldChar w:fldCharType="separate"/>
      </w:r>
      <w:r w:rsidR="004D7951">
        <w:t>(12)</w:t>
      </w:r>
      <w:r w:rsidR="00E729BA">
        <w:fldChar w:fldCharType="end"/>
      </w:r>
      <w:r>
        <w:t>. With Bayesian statistics it is possible</w:t>
      </w:r>
      <w:r w:rsidR="00DB30DD">
        <w:t xml:space="preserve"> to</w:t>
      </w:r>
      <w:r>
        <w:t xml:space="preserve"> express a probability distribution for the outcomes</w:t>
      </w:r>
      <w:r w:rsidRPr="000E7F9A">
        <w:t xml:space="preserve"> </w:t>
      </w:r>
      <w:r>
        <w:t xml:space="preserve">of </w:t>
      </w:r>
      <w:r w:rsidR="00FA4062">
        <w:t xml:space="preserve">a decision problem </w:t>
      </w:r>
      <w:r>
        <w:t>based on all available evidence. This enables the health economics analyst to express the probability that one treatment is more cost-effective than another at the willingness to pay threshold</w:t>
      </w:r>
      <m:oMath>
        <m:r>
          <w:rPr>
            <w:rFonts w:ascii="Cambria Math" w:hAnsi="Cambria Math"/>
          </w:rPr>
          <m:t>, λ</m:t>
        </m:r>
      </m:oMath>
      <w:r>
        <w:t xml:space="preserve">. This method is particularly useful for decision analysis </w:t>
      </w:r>
      <w:r w:rsidR="004D7951">
        <w:t xml:space="preserve">in healthcare because it has been argued that decisions should be based on the expected value of the decision and it’s uncertainty </w:t>
      </w:r>
      <w:r w:rsidR="00E729BA">
        <w:fldChar w:fldCharType="begin"/>
      </w:r>
      <w:r w:rsidR="00FC61FD">
        <w:instrText xml:space="preserve"> ADDIN REFMGR.CITE &lt;Refman&gt;&lt;Cite&gt;&lt;Author&gt;Claxton&lt;/Author&gt;&lt;Year&gt;2005&lt;/Year&gt;&lt;RecNum&gt;1491&lt;/RecNum&gt;&lt;IDText&gt;Probabilistic sensitivity analysis for NICE technology assessment: not an optional extra&lt;/IDText&gt;&lt;MDL Ref_Type="Journal"&gt;&lt;Ref_Type&gt;Journal&lt;/Ref_Type&gt;&lt;Ref_ID&gt;1491&lt;/Ref_ID&gt;&lt;Title_Primary&gt;Probabilistic sensitivity analysis for NICE technology assessment: not an optional extra&lt;/Title_Primary&gt;&lt;Authors_Primary&gt;Claxton,K.&lt;/Authors_Primary&gt;&lt;Authors_Primary&gt;Sculpher,M.&lt;/Authors_Primary&gt;&lt;Authors_Primary&gt;McCabe,C.&lt;/Authors_Primary&gt;&lt;Authors_Primary&gt;Briggs,A.&lt;/Authors_Primary&gt;&lt;Authors_Primary&gt;Akehurst,R.&lt;/Authors_Primary&gt;&lt;Authors_Primary&gt;Buxton,M.&lt;/Authors_Primary&gt;&lt;Authors_Primary&gt;Brazier,J.&lt;/Authors_Primary&gt;&lt;Authors_Primary&gt;O&amp;apos;Hagan,T.&lt;/Authors_Primary&gt;&lt;Date_Primary&gt;2005/4&lt;/Date_Primary&gt;&lt;Keywords&gt;analysis&lt;/Keywords&gt;&lt;Keywords&gt;Cost-Benefit Analysis&lt;/Keywords&gt;&lt;Keywords&gt;Decision Support Techniques&lt;/Keywords&gt;&lt;Keywords&gt;economics&lt;/Keywords&gt;&lt;Keywords&gt;Guidelines as Topic&lt;/Keywords&gt;&lt;Keywords&gt;Health&lt;/Keywords&gt;&lt;Keywords&gt;methods&lt;/Keywords&gt;&lt;Keywords&gt;Models,Statistical&lt;/Keywords&gt;&lt;Keywords&gt;Research&lt;/Keywords&gt;&lt;Keywords&gt;standards&lt;/Keywords&gt;&lt;Keywords&gt;statistics &amp;amp; numerical data&lt;/Keywords&gt;&lt;Keywords&gt;Technology Assessment,Biomedical&lt;/Keywords&gt;&lt;Reprint&gt;Not in File&lt;/Reprint&gt;&lt;Start_Page&gt;339&lt;/Start_Page&gt;&lt;End_Page&gt;347&lt;/End_Page&gt;&lt;Periodical&gt;Health Econ.&lt;/Periodical&gt;&lt;Volume&gt;14&lt;/Volume&gt;&lt;Issue&gt;4&lt;/Issue&gt;&lt;User_Def_1&gt;Economic evaluation&lt;/User_Def_1&gt;&lt;User_Def_3&gt;Probabilistic sensitivity analysis&lt;/User_Def_3&gt;&lt;ZZ_JournalStdAbbrev&gt;&lt;f name="System"&gt;Health Econ.&lt;/f&gt;&lt;/ZZ_JournalStdAbbrev&gt;&lt;ZZ_WorkformID&gt;1&lt;/ZZ_WorkformID&gt;&lt;/MDL&gt;&lt;/Cite&gt;&lt;/Refman&gt;</w:instrText>
      </w:r>
      <w:r w:rsidR="00E729BA">
        <w:fldChar w:fldCharType="separate"/>
      </w:r>
      <w:r w:rsidR="004D7951">
        <w:t>(13)</w:t>
      </w:r>
      <w:r w:rsidR="00E729BA">
        <w:fldChar w:fldCharType="end"/>
      </w:r>
      <w:r>
        <w:t>.</w:t>
      </w:r>
      <w:r w:rsidR="00FA4062">
        <w:t xml:space="preserve"> </w:t>
      </w:r>
    </w:p>
    <w:p w:rsidR="00C75B81" w:rsidRDefault="00C75B81" w:rsidP="00F01AA4">
      <w:r>
        <w:t xml:space="preserve">In Bayesian statistics it is necessary to express the </w:t>
      </w:r>
      <w:r w:rsidR="00F01AA4">
        <w:t>current</w:t>
      </w:r>
      <w:r>
        <w:t xml:space="preserve"> knowledge of unknown parameters</w:t>
      </w:r>
      <w:r w:rsidR="00F01AA4">
        <w:t xml:space="preserve"> as a prior probability distribution</w:t>
      </w:r>
      <w:r>
        <w:t xml:space="preserve"> before observing the new data </w:t>
      </w:r>
      <w:r w:rsidRPr="00A558EA">
        <w:rPr>
          <w:i/>
          <w:iCs/>
        </w:rPr>
        <w:t>x</w:t>
      </w:r>
      <w:r>
        <w:rPr>
          <w:i/>
          <w:iCs/>
        </w:rPr>
        <w:t>.</w:t>
      </w:r>
      <w:r>
        <w:t xml:space="preserve"> The prior </w:t>
      </w:r>
      <w:r w:rsidR="00F01AA4">
        <w:t>distribution</w:t>
      </w:r>
      <w:r>
        <w:t xml:space="preserve"> should be expressed in the form of a probability distribution of the parameters</w:t>
      </w:r>
      <m:oMath>
        <m:r>
          <w:rPr>
            <w:rFonts w:ascii="Cambria Math" w:hAnsi="Cambria Math"/>
          </w:rPr>
          <m:t xml:space="preserve"> θ</m:t>
        </m:r>
      </m:oMath>
      <w:r>
        <w:t xml:space="preserve">. The information from the new data </w:t>
      </w:r>
      <w:r w:rsidRPr="00A558EA">
        <w:rPr>
          <w:i/>
          <w:iCs/>
        </w:rPr>
        <w:t>x</w:t>
      </w:r>
      <w:r>
        <w:t xml:space="preserve"> is synthesised with the prior distribution to estimate the posterior distribution of parameters</w:t>
      </w:r>
      <m:oMath>
        <m:r>
          <w:rPr>
            <w:rFonts w:ascii="Cambria Math" w:hAnsi="Cambria Math"/>
          </w:rPr>
          <m:t xml:space="preserve"> θ</m:t>
        </m:r>
      </m:oMath>
      <w:r>
        <w:t xml:space="preserve">, which describes our updated knowledge of new and existing information. Bayes theorem describes how to derive the posterior density function for the unknown parameters after data </w:t>
      </w:r>
      <w:r w:rsidRPr="00A558EA">
        <w:rPr>
          <w:i/>
          <w:iCs/>
        </w:rPr>
        <w:t>x</w:t>
      </w:r>
      <w:r>
        <w:rPr>
          <w:i/>
          <w:iCs/>
        </w:rPr>
        <w:t xml:space="preserve"> </w:t>
      </w:r>
      <w:r>
        <w:t xml:space="preserve">have been collected.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1"/>
        <w:gridCol w:w="6579"/>
        <w:gridCol w:w="834"/>
      </w:tblGrid>
      <w:tr w:rsidR="00C75B81" w:rsidTr="00462B3B">
        <w:trPr>
          <w:trHeight w:val="435"/>
        </w:trPr>
        <w:tc>
          <w:tcPr>
            <w:tcW w:w="1101" w:type="dxa"/>
          </w:tcPr>
          <w:p w:rsidR="00C75B81" w:rsidRDefault="00C75B81" w:rsidP="00462B3B"/>
        </w:tc>
        <w:tc>
          <w:tcPr>
            <w:tcW w:w="7229" w:type="dxa"/>
          </w:tcPr>
          <w:p w:rsidR="00C75B81" w:rsidRDefault="00C75B81" w:rsidP="00462B3B">
            <m:oMathPara>
              <m:oMath>
                <m:r>
                  <w:rPr>
                    <w:rFonts w:ascii="Cambria Math" w:hAnsi="Cambria Math"/>
                  </w:rPr>
                  <m:t>f</m:t>
                </m:r>
                <m:d>
                  <m:dPr>
                    <m:ctrlPr>
                      <w:rPr>
                        <w:rFonts w:ascii="Cambria Math" w:hAnsi="Cambria Math"/>
                        <w:i/>
                      </w:rPr>
                    </m:ctrlPr>
                  </m:dPr>
                  <m:e>
                    <m:r>
                      <w:rPr>
                        <w:rFonts w:ascii="Cambria Math" w:hAnsi="Cambria Math"/>
                      </w:rPr>
                      <m:t>θ</m:t>
                    </m:r>
                  </m:e>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θ</m:t>
                        </m:r>
                      </m:e>
                    </m:d>
                    <m:r>
                      <w:rPr>
                        <w:rFonts w:ascii="Cambria Math" w:hAnsi="Cambria Math"/>
                      </w:rPr>
                      <m:t>f(x|θ)</m:t>
                    </m:r>
                  </m:num>
                  <m:den>
                    <m:r>
                      <w:rPr>
                        <w:rFonts w:ascii="Cambria Math" w:hAnsi="Cambria Math"/>
                      </w:rPr>
                      <m:t>f(x)</m:t>
                    </m:r>
                  </m:den>
                </m:f>
              </m:oMath>
            </m:oMathPara>
          </w:p>
        </w:tc>
        <w:tc>
          <w:tcPr>
            <w:tcW w:w="912" w:type="dxa"/>
          </w:tcPr>
          <w:p w:rsidR="00C75B81" w:rsidRDefault="00C75B81" w:rsidP="00462B3B">
            <w:pPr>
              <w:pStyle w:val="ListParagraph"/>
              <w:numPr>
                <w:ilvl w:val="1"/>
                <w:numId w:val="30"/>
              </w:numPr>
              <w:bidi/>
              <w:ind w:right="220"/>
              <w:jc w:val="right"/>
            </w:pPr>
          </w:p>
        </w:tc>
      </w:tr>
    </w:tbl>
    <w:p w:rsidR="00C75B81" w:rsidRDefault="00C75B81" w:rsidP="00C75B81">
      <w:r>
        <w:t>The prior distribution is described by</w:t>
      </w:r>
      <m:oMath>
        <m:r>
          <w:rPr>
            <w:rFonts w:ascii="Cambria Math" w:hAnsi="Cambria Math"/>
          </w:rPr>
          <m:t xml:space="preserve"> f</m:t>
        </m:r>
        <m:d>
          <m:dPr>
            <m:ctrlPr>
              <w:rPr>
                <w:rFonts w:ascii="Cambria Math" w:hAnsi="Cambria Math"/>
                <w:i/>
              </w:rPr>
            </m:ctrlPr>
          </m:dPr>
          <m:e>
            <m:r>
              <w:rPr>
                <w:rFonts w:ascii="Cambria Math" w:hAnsi="Cambria Math"/>
              </w:rPr>
              <m:t>θ</m:t>
            </m:r>
          </m:e>
        </m:d>
      </m:oMath>
      <w:r>
        <w:t>, the model for the data conditional on the parameters is expressed by</w:t>
      </w:r>
      <m:oMath>
        <m:r>
          <w:rPr>
            <w:rFonts w:ascii="Cambria Math" w:hAnsi="Cambria Math"/>
          </w:rPr>
          <m:t xml:space="preserve"> f(x|θ)</m:t>
        </m:r>
      </m:oMath>
      <w:r>
        <w:t>, which is known as the likelihood function. The denominator,</w:t>
      </w:r>
      <m:oMath>
        <m:r>
          <w:rPr>
            <w:rFonts w:ascii="Cambria Math" w:hAnsi="Cambria Math"/>
          </w:rPr>
          <m:t xml:space="preserve"> f(x)</m:t>
        </m:r>
      </m:oMath>
      <w:r>
        <w:t xml:space="preserve">, is a normalising constant to ensure that the posterior distribution integrates to 1. </w:t>
      </w:r>
    </w:p>
    <w:p w:rsidR="0037358A" w:rsidRDefault="00647CD1" w:rsidP="00647CD1">
      <w:r>
        <w:t xml:space="preserve">The posterior distribution is used in Bayesian statistics to draw inference </w:t>
      </w:r>
      <w:r w:rsidR="00E729BA">
        <w:fldChar w:fldCharType="begin"/>
      </w:r>
      <w:r w:rsidR="00FC61FD">
        <w:instrText xml:space="preserve"> ADDIN REFMGR.CITE &lt;Refman&gt;&lt;Cite&gt;&lt;Author&gt;O&amp;apos;Hagan&lt;/Author&gt;&lt;Year&gt;2003&lt;/Year&gt;&lt;RecNum&gt;1685&lt;/RecNum&gt;&lt;IDText&gt;A Primer on Bayesian Statistics in Health Economics&lt;/IDText&gt;&lt;MDL Ref_Type="Report"&gt;&lt;Ref_Type&gt;Report&lt;/Ref_Type&gt;&lt;Ref_ID&gt;1685&lt;/Ref_ID&gt;&lt;Title_Primary&gt;A Primer on Bayesian Statistics in Health Economics&lt;/Title_Primary&gt;&lt;Authors_Primary&gt;O&amp;apos;Hagan,A.&lt;/Authors_Primary&gt;&lt;Authors_Primary&gt;Luce,B.R.&lt;/Authors_Primary&gt;&lt;Date_Primary&gt;2003&lt;/Date_Primary&gt;&lt;Keywords&gt;statistics&lt;/Keywords&gt;&lt;Keywords&gt;Health&lt;/Keywords&gt;&lt;Keywords&gt;economics&lt;/Keywords&gt;&lt;Reprint&gt;In File&lt;/Reprint&gt;&lt;Pub_Place&gt;Sheffield&lt;/Pub_Place&gt;&lt;Publisher&gt;Centre for Bayesian Statistics in Health Economics&lt;/Publisher&gt;&lt;ZZ_WorkformID&gt;24&lt;/ZZ_WorkformID&gt;&lt;/MDL&gt;&lt;/Cite&gt;&lt;/Refman&gt;</w:instrText>
      </w:r>
      <w:r w:rsidR="00E729BA">
        <w:fldChar w:fldCharType="separate"/>
      </w:r>
      <w:r w:rsidR="004D7951">
        <w:t>(12)</w:t>
      </w:r>
      <w:r w:rsidR="00E729BA">
        <w:fldChar w:fldCharType="end"/>
      </w:r>
      <w:r>
        <w:t xml:space="preserve">. Therefore, the probability interval is influenced by the prior and data. </w:t>
      </w:r>
      <w:r w:rsidR="00C75B81">
        <w:t xml:space="preserve">The posterior distribution can be estimated </w:t>
      </w:r>
      <w:r w:rsidR="007171F5">
        <w:t xml:space="preserve">in </w:t>
      </w:r>
      <w:r w:rsidR="00C75B81">
        <w:t>a number of ways. Firstly, if the prior</w:t>
      </w:r>
      <w:r w:rsidR="00DB30DD">
        <w:t xml:space="preserve"> probability distribution</w:t>
      </w:r>
      <w:r w:rsidR="00C75B81">
        <w:t xml:space="preserve"> and data</w:t>
      </w:r>
      <w:r w:rsidR="00F01AA4">
        <w:t xml:space="preserve">, </w:t>
      </w:r>
      <w:r w:rsidR="00F01AA4" w:rsidRPr="00A558EA">
        <w:rPr>
          <w:i/>
          <w:iCs/>
        </w:rPr>
        <w:t>x</w:t>
      </w:r>
      <w:r w:rsidR="00F01AA4">
        <w:rPr>
          <w:i/>
          <w:iCs/>
        </w:rPr>
        <w:t>,</w:t>
      </w:r>
      <w:r w:rsidR="00C75B81">
        <w:t xml:space="preserve"> follow a compatible pair of distributions the posterior distribution can be computed explicitly through conjugate analysis. Conjugate </w:t>
      </w:r>
      <w:r w:rsidR="00797C37">
        <w:t>distributions exist</w:t>
      </w:r>
      <w:r w:rsidR="00C75B81">
        <w:t xml:space="preserve"> when the posterior distribution is from the same family of distributions as the prior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462B3B">
        <w:t>(10)</w:t>
      </w:r>
      <w:r w:rsidR="00E729BA">
        <w:fldChar w:fldCharType="end"/>
      </w:r>
      <w:r w:rsidR="00C75B81">
        <w:t xml:space="preserve">. If the distributions are not conjugate the estimation of the prior is more computationally expensive and is most often estimated using Markov Chain Monte Carlo (MCMC) methods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462B3B">
        <w:t>(10)</w:t>
      </w:r>
      <w:r w:rsidR="00E729BA">
        <w:fldChar w:fldCharType="end"/>
      </w:r>
      <w:r w:rsidR="00C75B81">
        <w:t>. MCMC enables sampling from the posterior distribution even if the posterior does not have</w:t>
      </w:r>
      <w:r w:rsidR="004D7951">
        <w:t xml:space="preserve"> a</w:t>
      </w:r>
      <w:r w:rsidR="00C75B81">
        <w:t xml:space="preserve"> known algebraic form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462B3B">
        <w:t>(10)</w:t>
      </w:r>
      <w:r w:rsidR="00E729BA">
        <w:fldChar w:fldCharType="end"/>
      </w:r>
      <w:r w:rsidR="00C75B81">
        <w:t>.</w:t>
      </w:r>
      <w:r>
        <w:t xml:space="preserve"> MCMC enables the adoption of Bayesian techniques in more complex models than would be possible with algebraic solutions </w:t>
      </w:r>
      <w:r w:rsidR="00E729BA">
        <w:fldChar w:fldCharType="begin"/>
      </w:r>
      <w:r w:rsidR="00FC61FD">
        <w:instrText xml:space="preserve"> ADDIN REFMGR.CITE &lt;Refman&gt;&lt;Cite&gt;&lt;Author&gt;O&amp;apos;Hagan&lt;/Author&gt;&lt;Year&gt;2003&lt;/Year&gt;&lt;RecNum&gt;1685&lt;/RecNum&gt;&lt;IDText&gt;A Primer on Bayesian Statistics in Health Economics&lt;/IDText&gt;&lt;MDL Ref_Type="Report"&gt;&lt;Ref_Type&gt;Report&lt;/Ref_Type&gt;&lt;Ref_ID&gt;1685&lt;/Ref_ID&gt;&lt;Title_Primary&gt;A Primer on Bayesian Statistics in Health Economics&lt;/Title_Primary&gt;&lt;Authors_Primary&gt;O&amp;apos;Hagan,A.&lt;/Authors_Primary&gt;&lt;Authors_Primary&gt;Luce,B.R.&lt;/Authors_Primary&gt;&lt;Date_Primary&gt;2003&lt;/Date_Primary&gt;&lt;Keywords&gt;statistics&lt;/Keywords&gt;&lt;Keywords&gt;Health&lt;/Keywords&gt;&lt;Keywords&gt;economics&lt;/Keywords&gt;&lt;Reprint&gt;In File&lt;/Reprint&gt;&lt;Pub_Place&gt;Sheffield&lt;/Pub_Place&gt;&lt;Publisher&gt;Centre for Bayesian Statistics in Health Economics&lt;/Publisher&gt;&lt;ZZ_WorkformID&gt;24&lt;/ZZ_WorkformID&gt;&lt;/MDL&gt;&lt;/Cite&gt;&lt;/Refman&gt;</w:instrText>
      </w:r>
      <w:r w:rsidR="00E729BA">
        <w:fldChar w:fldCharType="separate"/>
      </w:r>
      <w:r w:rsidR="004D7951">
        <w:t>(12)</w:t>
      </w:r>
      <w:r w:rsidR="00E729BA">
        <w:fldChar w:fldCharType="end"/>
      </w:r>
      <w:r>
        <w:t xml:space="preserve">. Complex MCMC problems require specialist software, such as WinBUGS, to sample from the posterior distributions </w:t>
      </w:r>
      <w:r w:rsidR="00E729BA">
        <w:fldChar w:fldCharType="begin"/>
      </w:r>
      <w:r w:rsidR="00FC61FD">
        <w:instrText xml:space="preserve"> ADDIN REFMGR.CITE &lt;Refman&gt;&lt;Cite&gt;&lt;Author&gt;Spiegelhalter&lt;/Author&gt;&lt;Year&gt;2001&lt;/Year&gt;&lt;RecNum&gt;1616&lt;/RecNum&gt;&lt;IDText&gt;WInBUGS User Manual: Version1.4. Cambridge, UK: MRC Biostatistics Unit&lt;/IDText&gt;&lt;MDL Ref_Type="Computer Program"&gt;&lt;Ref_Type&gt;Computer Program&lt;/Ref_Type&gt;&lt;Ref_ID&gt;1616&lt;/Ref_ID&gt;&lt;Title_Primary&gt;WInBUGS User Manual: Version1.4. Cambridge, UK: MRC Biostatistics Unit&lt;/Title_Primary&gt;&lt;Authors_Primary&gt;Spiegelhalter,DJ&lt;/Authors_Primary&gt;&lt;Authors_Primary&gt;Thomas,A.&lt;/Authors_Primary&gt;&lt;Authors_Primary&gt;Best,N.&lt;/Authors_Primary&gt;&lt;Authors_Primary&gt;Lunn,D&lt;/Authors_Primary&gt;&lt;Date_Primary&gt;2001&lt;/Date_Primary&gt;&lt;Reprint&gt;In File&lt;/Reprint&gt;&lt;ZZ_WorkformID&gt;11&lt;/ZZ_WorkformID&gt;&lt;/MDL&gt;&lt;/Cite&gt;&lt;/Refman&gt;</w:instrText>
      </w:r>
      <w:r w:rsidR="00E729BA">
        <w:fldChar w:fldCharType="separate"/>
      </w:r>
      <w:r w:rsidR="004D7951">
        <w:t>(14)</w:t>
      </w:r>
      <w:r w:rsidR="00E729BA">
        <w:fldChar w:fldCharType="end"/>
      </w:r>
      <w:r>
        <w:t xml:space="preserve">. </w:t>
      </w:r>
    </w:p>
    <w:p w:rsidR="00C75B81" w:rsidRDefault="00C75B81" w:rsidP="0016789D">
      <w:pPr>
        <w:pStyle w:val="Heading3"/>
      </w:pPr>
      <w:bookmarkStart w:id="17" w:name="_Toc379467537"/>
      <w:r>
        <w:t>Decision-M</w:t>
      </w:r>
      <w:r w:rsidR="0016789D">
        <w:t>a</w:t>
      </w:r>
      <w:r>
        <w:t>king</w:t>
      </w:r>
      <w:bookmarkEnd w:id="17"/>
    </w:p>
    <w:p w:rsidR="007643C5" w:rsidRDefault="007643C5" w:rsidP="007643C5">
      <w:r>
        <w:t xml:space="preserve">The use of Bayesian analyses in decision-making is a growing field of research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t>(10)</w:t>
      </w:r>
      <w:r w:rsidR="00E729BA">
        <w:fldChar w:fldCharType="end"/>
      </w:r>
      <w:r>
        <w:t xml:space="preserve">. </w:t>
      </w:r>
      <w:r w:rsidR="00462B3B">
        <w:t>Decision</w:t>
      </w:r>
      <w:r w:rsidR="004D7951">
        <w:t xml:space="preserve"> </w:t>
      </w:r>
      <w:r w:rsidR="00462B3B">
        <w:t xml:space="preserve">theory </w:t>
      </w:r>
      <w:r w:rsidR="00EF2AC6">
        <w:t xml:space="preserve">is concerned with identifying the value </w:t>
      </w:r>
      <w:r w:rsidR="00462B3B">
        <w:t>of two or more</w:t>
      </w:r>
      <w:r w:rsidR="004D7951">
        <w:t xml:space="preserve"> competing</w:t>
      </w:r>
      <w:r w:rsidR="00462B3B">
        <w:t xml:space="preserve"> decision options</w:t>
      </w:r>
      <w:r w:rsidR="009F7B2C">
        <w:t xml:space="preserve"> </w:t>
      </w:r>
      <w:r w:rsidR="00EF2AC6">
        <w:t>and identifying the optimal decision</w:t>
      </w:r>
      <w:r w:rsidR="00462B3B">
        <w:t xml:space="preserve">. Each option is associated with some value or utility from the consequences of the decision. If the decision-maker had perfect information </w:t>
      </w:r>
      <w:r w:rsidR="00996558">
        <w:t xml:space="preserve">decision-theory recommends that the </w:t>
      </w:r>
      <w:r w:rsidR="00462B3B">
        <w:t>optimal decision would be that which maximised utility. Howeve</w:t>
      </w:r>
      <w:r w:rsidR="00996558">
        <w:t xml:space="preserve">r, in most practical applications the value of the decision is uncertain, and there is a risk that a sub-optimal decision will be made. In this situation the consequences of the decision must be assigned probability distributions to reflect uncertainty in future outcomes. The optimal decision is that which maximises the </w:t>
      </w:r>
      <w:r w:rsidR="00996558" w:rsidRPr="00211DD2">
        <w:t xml:space="preserve">expected </w:t>
      </w:r>
      <w:r w:rsidR="00996558">
        <w:t>utility</w:t>
      </w:r>
      <w:r w:rsidR="000A5548">
        <w:t xml:space="preserve"> </w:t>
      </w:r>
      <w:r w:rsidR="00E729BA">
        <w:fldChar w:fldCharType="begin"/>
      </w:r>
      <w:r w:rsidR="00FC61FD">
        <w:instrText xml:space="preserve"> ADDIN REFMGR.CITE &lt;Refman&gt;&lt;Cite&gt;&lt;Author&gt;Parmigiani&lt;/Author&gt;&lt;Year&gt;2002&lt;/Year&gt;&lt;RecNum&gt;1688&lt;/RecNum&gt;&lt;IDText&gt;Modeling in Medical Decision Making: a Bayesian Approach&lt;/IDText&gt;&lt;MDL Ref_Type="Book, Whole"&gt;&lt;Ref_Type&gt;Book, Whole&lt;/Ref_Type&gt;&lt;Ref_ID&gt;1688&lt;/Ref_ID&gt;&lt;Title_Primary&gt;Modeling in Medical Decision Making: a Bayesian Approach&lt;/Title_Primary&gt;&lt;Authors_Primary&gt;Parmigiani,G.&lt;/Authors_Primary&gt;&lt;Date_Primary&gt;2002&lt;/Date_Primary&gt;&lt;Keywords&gt;Decision Making&lt;/Keywords&gt;&lt;Reprint&gt;In File&lt;/Reprint&gt;&lt;Authors_Secondary&gt;John Wiley and Sons&lt;/Authors_Secondary&gt;&lt;Pub_Place&gt;Chichester&lt;/Pub_Place&gt;&lt;ZZ_WorkformID&gt;2&lt;/ZZ_WorkformID&gt;&lt;/MDL&gt;&lt;/Cite&gt;&lt;/Refman&gt;</w:instrText>
      </w:r>
      <w:r w:rsidR="00E729BA">
        <w:fldChar w:fldCharType="separate"/>
      </w:r>
      <w:r w:rsidR="004D7951">
        <w:t>(15)</w:t>
      </w:r>
      <w:r w:rsidR="00E729BA">
        <w:fldChar w:fldCharType="end"/>
      </w:r>
      <w:r w:rsidR="00996558">
        <w:t>.</w:t>
      </w:r>
      <w:r>
        <w:t xml:space="preserve"> </w:t>
      </w:r>
    </w:p>
    <w:p w:rsidR="00462B3B" w:rsidRPr="00462B3B" w:rsidRDefault="00A27713" w:rsidP="007643C5">
      <w:r>
        <w:t>Decision-maker using a health economics framework</w:t>
      </w:r>
      <w:r w:rsidR="007643C5">
        <w:t xml:space="preserve"> have adopted Bayesian statistics and Bayesian decision theory as an important component of health technology appraisal </w:t>
      </w:r>
      <w:r w:rsidR="00E729BA">
        <w:fldChar w:fldCharType="begin"/>
      </w:r>
      <w:r w:rsidR="00FC61FD">
        <w:instrText xml:space="preserve"> ADDIN REFMGR.CITE &lt;Refman&gt;&lt;Cite&gt;&lt;Author&gt;Luce&lt;/Author&gt;&lt;Year&gt;2001&lt;/Year&gt;&lt;RecNum&gt;1683&lt;/RecNum&gt;&lt;IDText&gt;Introduction. Bayesian approaches to technology assessment and decision making&lt;/IDText&gt;&lt;MDL Ref_Type="Journal"&gt;&lt;Ref_Type&gt;Journal&lt;/Ref_Type&gt;&lt;Ref_ID&gt;1683&lt;/Ref_ID&gt;&lt;Title_Primary&gt;Introduction. Bayesian approaches to technology assessment and decision making&lt;/Title_Primary&gt;&lt;Authors_Primary&gt;Luce,B.R.&lt;/Authors_Primary&gt;&lt;Authors_Primary&gt;Shih,Y.C.&lt;/Authors_Primary&gt;&lt;Authors_Primary&gt;Claxton,K.&lt;/Authors_Primary&gt;&lt;Date_Primary&gt;2001&lt;/Date_Primary&gt;&lt;Keywords&gt;Bayes Theorem&lt;/Keywords&gt;&lt;Keywords&gt;Decision Making&lt;/Keywords&gt;&lt;Keywords&gt;Great Britain&lt;/Keywords&gt;&lt;Keywords&gt;Humans&lt;/Keywords&gt;&lt;Keywords&gt;methods&lt;/Keywords&gt;&lt;Keywords&gt;Technology Assessment,Biomedical&lt;/Keywords&gt;&lt;Reprint&gt;Not in File&lt;/Reprint&gt;&lt;Start_Page&gt;1&lt;/Start_Page&gt;&lt;End_Page&gt;5&lt;/End_Page&gt;&lt;Periodical&gt;Int.J.Technol.Assess.Health Care.&lt;/Periodical&gt;&lt;Volume&gt;17&lt;/Volume&gt;&lt;Issue&gt;1&lt;/Issue&gt;&lt;ZZ_JournalStdAbbrev&gt;&lt;f name="System"&gt;Int.J.Technol.Assess.Health Care.&lt;/f&gt;&lt;/ZZ_JournalStdAbbrev&gt;&lt;ZZ_WorkformID&gt;1&lt;/ZZ_WorkformID&gt;&lt;/MDL&gt;&lt;/Cite&gt;&lt;/Refman&gt;</w:instrText>
      </w:r>
      <w:r w:rsidR="00E729BA">
        <w:fldChar w:fldCharType="separate"/>
      </w:r>
      <w:r w:rsidR="004D7951">
        <w:t>(11)</w:t>
      </w:r>
      <w:r w:rsidR="00E729BA">
        <w:fldChar w:fldCharType="end"/>
      </w:r>
      <w:r w:rsidR="007643C5">
        <w:t xml:space="preserve">. Methods for handling of uncertainty in health technology assessment have promoted a Bayesian approach to describing uncertainty in prior parameter inputs </w:t>
      </w:r>
      <w:r w:rsidR="00E729BA">
        <w:fldChar w:fldCharType="begin"/>
      </w:r>
      <w:r w:rsidR="00FC61FD">
        <w:instrText xml:space="preserve"> ADDIN REFMGR.CITE &lt;Refman&gt;&lt;Cite&gt;&lt;Author&gt;Briggs&lt;/Author&gt;&lt;Year&gt;2000&lt;/Year&gt;&lt;RecNum&gt;1682&lt;/RecNum&gt;&lt;IDText&gt;Handling uncertainty in cost-effectiveness models&lt;/IDText&gt;&lt;MDL Ref_Type="Journal"&gt;&lt;Ref_Type&gt;Journal&lt;/Ref_Type&gt;&lt;Ref_ID&gt;1682&lt;/Ref_ID&gt;&lt;Title_Primary&gt;Handling uncertainty in cost-effectiveness models&lt;/Title_Primary&gt;&lt;Authors_Primary&gt;Briggs,A.H.&lt;/Authors_Primary&gt;&lt;Date_Primary&gt;2000/5&lt;/Date_Primary&gt;&lt;Keywords&gt;article&lt;/Keywords&gt;&lt;Keywords&gt;clinical trial&lt;/Keywords&gt;&lt;Keywords&gt;Cost-Benefit Analysis&lt;/Keywords&gt;&lt;Keywords&gt;Decision Support Techniques&lt;/Keywords&gt;&lt;Keywords&gt;economics&lt;/Keywords&gt;&lt;Keywords&gt;England&lt;/Keywords&gt;&lt;Keywords&gt;evaluation&lt;/Keywords&gt;&lt;Keywords&gt;Health&lt;/Keywords&gt;&lt;Keywords&gt;Humans&lt;/Keywords&gt;&lt;Keywords&gt;methods&lt;/Keywords&gt;&lt;Keywords&gt;Models,Economic&lt;/Keywords&gt;&lt;Keywords&gt;patient&lt;/Keywords&gt;&lt;Keywords&gt;Patients&lt;/Keywords&gt;&lt;Keywords&gt;Probability&lt;/Keywords&gt;&lt;Keywords&gt;Research&lt;/Keywords&gt;&lt;Keywords&gt;sample&lt;/Keywords&gt;&lt;Keywords&gt;statistics&lt;/Keywords&gt;&lt;Keywords&gt;Uncertainty&lt;/Keywords&gt;&lt;Reprint&gt;Not in File&lt;/Reprint&gt;&lt;Start_Page&gt;479&lt;/Start_Page&gt;&lt;End_Page&gt;500&lt;/End_Page&gt;&lt;Periodical&gt;Pharmacoeconomics.&lt;/Periodical&gt;&lt;Volume&gt;17&lt;/Volume&gt;&lt;Issue&gt;5&lt;/Issue&gt;&lt;ZZ_JournalStdAbbrev&gt;&lt;f name="System"&gt;Pharmacoeconomics.&lt;/f&gt;&lt;/ZZ_JournalStdAbbrev&gt;&lt;ZZ_WorkformID&gt;1&lt;/ZZ_WorkformID&gt;&lt;/MDL&gt;&lt;/Cite&gt;&lt;/Refman&gt;</w:instrText>
      </w:r>
      <w:r w:rsidR="00E729BA">
        <w:fldChar w:fldCharType="separate"/>
      </w:r>
      <w:r w:rsidR="004D7951">
        <w:t>(16)</w:t>
      </w:r>
      <w:r w:rsidR="00E729BA">
        <w:fldChar w:fldCharType="end"/>
      </w:r>
      <w:r w:rsidR="007643C5">
        <w:t xml:space="preserve">. </w:t>
      </w:r>
    </w:p>
    <w:p w:rsidR="00C75B81" w:rsidRPr="00C75B81" w:rsidRDefault="00C75B81" w:rsidP="00C75B81">
      <w:pPr>
        <w:pStyle w:val="Heading3"/>
      </w:pPr>
      <w:bookmarkStart w:id="18" w:name="_Toc379467538"/>
      <w:r>
        <w:t>Health Economic Decision-Making</w:t>
      </w:r>
      <w:bookmarkEnd w:id="18"/>
    </w:p>
    <w:p w:rsidR="007171F5" w:rsidRDefault="007171F5" w:rsidP="004D7951">
      <w:r>
        <w:t xml:space="preserve">Decision theory has been applied to resource allocation in healthcare sectors </w:t>
      </w:r>
      <w:r w:rsidR="00E729BA">
        <w:fldChar w:fldCharType="begin"/>
      </w:r>
      <w:r w:rsidR="00FC61FD">
        <w:instrText xml:space="preserve"> ADDIN REFMGR.CITE &lt;Refman&gt;&lt;Cite&gt;&lt;Author&gt;Parmigiani&lt;/Author&gt;&lt;Year&gt;2002&lt;/Year&gt;&lt;RecNum&gt;1688&lt;/RecNum&gt;&lt;IDText&gt;Modeling in Medical Decision Making: a Bayesian Approach&lt;/IDText&gt;&lt;MDL Ref_Type="Book, Whole"&gt;&lt;Ref_Type&gt;Book, Whole&lt;/Ref_Type&gt;&lt;Ref_ID&gt;1688&lt;/Ref_ID&gt;&lt;Title_Primary&gt;Modeling in Medical Decision Making: a Bayesian Approach&lt;/Title_Primary&gt;&lt;Authors_Primary&gt;Parmigiani,G.&lt;/Authors_Primary&gt;&lt;Date_Primary&gt;2002&lt;/Date_Primary&gt;&lt;Keywords&gt;Decision Making&lt;/Keywords&gt;&lt;Reprint&gt;In File&lt;/Reprint&gt;&lt;Authors_Secondary&gt;John Wiley and Sons&lt;/Authors_Secondary&gt;&lt;Pub_Place&gt;Chichester&lt;/Pub_Place&gt;&lt;ZZ_WorkformID&gt;2&lt;/ZZ_WorkformID&gt;&lt;/MDL&gt;&lt;/Cite&gt;&lt;/Refman&gt;</w:instrText>
      </w:r>
      <w:r w:rsidR="00E729BA">
        <w:fldChar w:fldCharType="separate"/>
      </w:r>
      <w:r w:rsidR="004D7951">
        <w:t>(15)</w:t>
      </w:r>
      <w:r w:rsidR="00E729BA">
        <w:fldChar w:fldCharType="end"/>
      </w:r>
      <w:r>
        <w:t>. Healthcare policy makers are interested in observing the expected utility of resource allocation decisions under conditions of uncertainty.</w:t>
      </w:r>
      <w:r w:rsidR="004D7951">
        <w:t xml:space="preserve"> Decisions will be made with some uncertainty, and if a wrong decision is made there is an </w:t>
      </w:r>
      <w:r w:rsidR="004D7951" w:rsidRPr="004D7951">
        <w:t xml:space="preserve">opportunity cost </w:t>
      </w:r>
      <w:r w:rsidR="004D7951">
        <w:t>estimated at</w:t>
      </w:r>
      <w:r w:rsidR="004D7951" w:rsidRPr="004D7951">
        <w:t xml:space="preserve"> the value of the best alternative forgone</w:t>
      </w:r>
      <w:r w:rsidR="00EE2E22">
        <w:t xml:space="preserve"> </w:t>
      </w:r>
      <w:r w:rsidR="00E729BA">
        <w:fldChar w:fldCharType="begin"/>
      </w:r>
      <w:r w:rsidR="00FC61FD">
        <w:instrText xml:space="preserve"> ADDIN REFMGR.CITE &lt;Refman&gt;&lt;Cite&gt;&lt;Author&gt;Palmer&lt;/Author&gt;&lt;Year&gt;1999&lt;/Year&gt;&lt;RecNum&gt;1679&lt;/RecNum&gt;&lt;IDText&gt;Economic Notes: opportunity cost&lt;/IDText&gt;&lt;MDL Ref_Type="Journal"&gt;&lt;Ref_Type&gt;Journal&lt;/Ref_Type&gt;&lt;Ref_ID&gt;1679&lt;/Ref_ID&gt;&lt;Title_Primary&gt;Economic Notes: opportunity cost&lt;/Title_Primary&gt;&lt;Authors_Primary&gt;Palmer,S.&lt;/Authors_Primary&gt;&lt;Authors_Primary&gt;Raftery,J.&lt;/Authors_Primary&gt;&lt;Date_Primary&gt;1999/6/5&lt;/Date_Primary&gt;&lt;Keywords&gt;Cost of Illness&lt;/Keywords&gt;&lt;Keywords&gt;Cost-Benefit Analysis&lt;/Keywords&gt;&lt;Keywords&gt;economics&lt;/Keywords&gt;&lt;Keywords&gt;Great Britain&lt;/Keywords&gt;&lt;Keywords&gt;Health&lt;/Keywords&gt;&lt;Keywords&gt;Health Care Rationing&lt;/Keywords&gt;&lt;Keywords&gt;Humans&lt;/Keywords&gt;&lt;Keywords&gt;Quality-Adjusted Life Years&lt;/Keywords&gt;&lt;Reprint&gt;Not in File&lt;/Reprint&gt;&lt;Start_Page&gt;1551&lt;/Start_Page&gt;&lt;End_Page&gt;1552&lt;/End_Page&gt;&lt;Periodical&gt;BMJ.&lt;/Periodical&gt;&lt;Volume&gt;318&lt;/Volume&gt;&lt;Issue&gt;7197&lt;/Issue&gt;&lt;ZZ_JournalStdAbbrev&gt;&lt;f name="System"&gt;BMJ.&lt;/f&gt;&lt;/ZZ_JournalStdAbbrev&gt;&lt;ZZ_WorkformID&gt;1&lt;/ZZ_WorkformID&gt;&lt;/MDL&gt;&lt;/Cite&gt;&lt;/Refman&gt;</w:instrText>
      </w:r>
      <w:r w:rsidR="00E729BA">
        <w:fldChar w:fldCharType="separate"/>
      </w:r>
      <w:r w:rsidR="00EE2E22">
        <w:t>(17)</w:t>
      </w:r>
      <w:r w:rsidR="00E729BA">
        <w:fldChar w:fldCharType="end"/>
      </w:r>
      <w:r w:rsidR="004D7951">
        <w:t>.</w:t>
      </w:r>
    </w:p>
    <w:p w:rsidR="005C768E" w:rsidRDefault="007171F5" w:rsidP="005C768E">
      <w:r>
        <w:t>E</w:t>
      </w:r>
      <w:r w:rsidR="00312C40">
        <w:t>con</w:t>
      </w:r>
      <w:r w:rsidR="00AB3772">
        <w:t>omic evaluation</w:t>
      </w:r>
      <w:r w:rsidR="00312C40">
        <w:t xml:space="preserve"> is a branch of </w:t>
      </w:r>
      <w:r w:rsidR="00AB3772">
        <w:t xml:space="preserve">health </w:t>
      </w:r>
      <w:r w:rsidR="00312C40" w:rsidRPr="0061512D">
        <w:t>economics</w:t>
      </w:r>
      <w:r w:rsidR="00312C40">
        <w:t xml:space="preserve"> concerned with issues related to </w:t>
      </w:r>
      <w:r w:rsidR="00AB3772">
        <w:t>resource allocation within a health service</w:t>
      </w:r>
      <w:r w:rsidR="00312C40">
        <w:t xml:space="preserve">. </w:t>
      </w:r>
      <w:r w:rsidR="005C768E">
        <w:rPr>
          <w:szCs w:val="22"/>
        </w:rPr>
        <w:t xml:space="preserve">The economic perspective in resource allocation incorporates the concept of opportunity cost, which describes the value of opportunity foregone as a result of engaging resources in a particular activity. In health economic terms, the </w:t>
      </w:r>
      <w:r w:rsidR="005C768E" w:rsidRPr="00955E8B">
        <w:rPr>
          <w:szCs w:val="22"/>
        </w:rPr>
        <w:t xml:space="preserve">opportunity cost of investing in a </w:t>
      </w:r>
      <w:r w:rsidR="005C768E">
        <w:rPr>
          <w:szCs w:val="22"/>
        </w:rPr>
        <w:t xml:space="preserve">given </w:t>
      </w:r>
      <w:r w:rsidR="005C768E" w:rsidRPr="00955E8B">
        <w:rPr>
          <w:szCs w:val="22"/>
        </w:rPr>
        <w:t xml:space="preserve">healthcare </w:t>
      </w:r>
      <w:r w:rsidR="005C768E">
        <w:rPr>
          <w:szCs w:val="22"/>
        </w:rPr>
        <w:t>policy</w:t>
      </w:r>
      <w:r w:rsidR="005C768E" w:rsidRPr="00955E8B">
        <w:rPr>
          <w:szCs w:val="22"/>
        </w:rPr>
        <w:t xml:space="preserve"> is measured by the health benefits that could have been achieved had the money been spent on the next best </w:t>
      </w:r>
      <w:r w:rsidR="005C768E">
        <w:rPr>
          <w:szCs w:val="22"/>
        </w:rPr>
        <w:t xml:space="preserve">policy </w:t>
      </w:r>
      <w:r w:rsidR="00E729BA">
        <w:rPr>
          <w:szCs w:val="22"/>
        </w:rPr>
        <w:fldChar w:fldCharType="begin"/>
      </w:r>
      <w:r w:rsidR="00FC61FD">
        <w:rPr>
          <w:szCs w:val="22"/>
        </w:rPr>
        <w:instrText xml:space="preserve"> ADDIN REFMGR.CITE &lt;Refman&gt;&lt;Cite&gt;&lt;Author&gt;Palmer&lt;/Author&gt;&lt;Year&gt;1999&lt;/Year&gt;&lt;RecNum&gt;1679&lt;/RecNum&gt;&lt;IDText&gt;Economic Notes: opportunity cost&lt;/IDText&gt;&lt;MDL Ref_Type="Journal"&gt;&lt;Ref_Type&gt;Journal&lt;/Ref_Type&gt;&lt;Ref_ID&gt;1679&lt;/Ref_ID&gt;&lt;Title_Primary&gt;Economic Notes: opportunity cost&lt;/Title_Primary&gt;&lt;Authors_Primary&gt;Palmer,S.&lt;/Authors_Primary&gt;&lt;Authors_Primary&gt;Raftery,J.&lt;/Authors_Primary&gt;&lt;Date_Primary&gt;1999/6/5&lt;/Date_Primary&gt;&lt;Keywords&gt;Cost of Illness&lt;/Keywords&gt;&lt;Keywords&gt;Cost-Benefit Analysis&lt;/Keywords&gt;&lt;Keywords&gt;economics&lt;/Keywords&gt;&lt;Keywords&gt;Great Britain&lt;/Keywords&gt;&lt;Keywords&gt;Health&lt;/Keywords&gt;&lt;Keywords&gt;Health Care Rationing&lt;/Keywords&gt;&lt;Keywords&gt;Humans&lt;/Keywords&gt;&lt;Keywords&gt;Quality-Adjusted Life Years&lt;/Keywords&gt;&lt;Reprint&gt;Not in File&lt;/Reprint&gt;&lt;Start_Page&gt;1551&lt;/Start_Page&gt;&lt;End_Page&gt;1552&lt;/End_Page&gt;&lt;Periodical&gt;BMJ.&lt;/Periodical&gt;&lt;Volume&gt;318&lt;/Volume&gt;&lt;Issue&gt;7197&lt;/Issue&gt;&lt;ZZ_JournalStdAbbrev&gt;&lt;f name="System"&gt;BMJ.&lt;/f&gt;&lt;/ZZ_JournalStdAbbrev&gt;&lt;ZZ_WorkformID&gt;1&lt;/ZZ_WorkformID&gt;&lt;/MDL&gt;&lt;/Cite&gt;&lt;/Refman&gt;</w:instrText>
      </w:r>
      <w:r w:rsidR="00E729BA">
        <w:rPr>
          <w:szCs w:val="22"/>
        </w:rPr>
        <w:fldChar w:fldCharType="separate"/>
      </w:r>
      <w:r w:rsidR="004D7951">
        <w:rPr>
          <w:szCs w:val="22"/>
        </w:rPr>
        <w:t>(17)</w:t>
      </w:r>
      <w:r w:rsidR="00E729BA">
        <w:rPr>
          <w:szCs w:val="22"/>
        </w:rPr>
        <w:fldChar w:fldCharType="end"/>
      </w:r>
      <w:r w:rsidR="005C768E" w:rsidRPr="00890120">
        <w:rPr>
          <w:szCs w:val="22"/>
        </w:rPr>
        <w:t>.</w:t>
      </w:r>
      <w:r w:rsidR="005C768E" w:rsidRPr="00955E8B">
        <w:rPr>
          <w:szCs w:val="22"/>
        </w:rPr>
        <w:t xml:space="preserve"> </w:t>
      </w:r>
      <w:r w:rsidR="005C768E">
        <w:rPr>
          <w:szCs w:val="22"/>
        </w:rPr>
        <w:t>Efficiency is a key objective of an economic approach to resource allocation and is achieved when health benefits are maximised and opportunity costs are minimised</w:t>
      </w:r>
      <w:r w:rsidR="005C768E" w:rsidRPr="00252CF8">
        <w:rPr>
          <w:szCs w:val="22"/>
        </w:rPr>
        <w:t>.</w:t>
      </w:r>
      <w:r w:rsidR="005C768E">
        <w:t xml:space="preserve"> </w:t>
      </w:r>
    </w:p>
    <w:p w:rsidR="00771117" w:rsidRDefault="00771117" w:rsidP="00EE2E22">
      <w:pPr>
        <w:rPr>
          <w:szCs w:val="22"/>
        </w:rPr>
      </w:pPr>
      <w:r>
        <w:t xml:space="preserve">The normative foundations of economic evaluation derive from </w:t>
      </w:r>
      <w:r w:rsidR="00AB3772">
        <w:rPr>
          <w:szCs w:val="22"/>
        </w:rPr>
        <w:t>welfare economics, in which social welfare is a function of individual welfare</w:t>
      </w:r>
      <w:r w:rsidR="00EE2E22">
        <w:rPr>
          <w:szCs w:val="22"/>
        </w:rPr>
        <w:t>,</w:t>
      </w:r>
      <w:r w:rsidR="00AB3772">
        <w:rPr>
          <w:szCs w:val="22"/>
        </w:rPr>
        <w:t xml:space="preserve"> as judged by the </w:t>
      </w:r>
      <w:r>
        <w:rPr>
          <w:szCs w:val="22"/>
        </w:rPr>
        <w:t>individual’s</w:t>
      </w:r>
      <w:r w:rsidR="00AB3772">
        <w:rPr>
          <w:szCs w:val="22"/>
        </w:rPr>
        <w:t xml:space="preserve"> preferences between states of the world</w:t>
      </w:r>
      <w:r>
        <w:rPr>
          <w:szCs w:val="22"/>
        </w:rPr>
        <w:t xml:space="preserve"> </w:t>
      </w:r>
      <w:r w:rsidR="00E729BA">
        <w:rPr>
          <w:szCs w:val="22"/>
        </w:rPr>
        <w:fldChar w:fldCharType="begin"/>
      </w:r>
      <w:r w:rsidR="00FC61FD">
        <w:rPr>
          <w:szCs w:val="22"/>
        </w:rPr>
        <w:instrText xml:space="preserve"> ADDIN REFMGR.CITE &lt;Refman&gt;&lt;Cite&gt;&lt;Author&gt;Culyer&lt;/Author&gt;&lt;Year&gt;1989&lt;/Year&gt;&lt;RecNum&gt;1676&lt;/RecNum&gt;&lt;IDText&gt;The Economics of health care finance and provision&lt;/IDText&gt;&lt;MDL Ref_Type="Journal"&gt;&lt;Ref_Type&gt;Journal&lt;/Ref_Type&gt;&lt;Ref_ID&gt;1676&lt;/Ref_ID&gt;&lt;Title_Primary&gt;The Economics of health care finance and provision&lt;/Title_Primary&gt;&lt;Authors_Primary&gt;Culyer,A.J.&lt;/Authors_Primary&gt;&lt;Date_Primary&gt;1989&lt;/Date_Primary&gt;&lt;Keywords&gt;economics&lt;/Keywords&gt;&lt;Keywords&gt;Health&lt;/Keywords&gt;&lt;Reprint&gt;In File&lt;/Reprint&gt;&lt;Start_Page&gt;34&lt;/Start_Page&gt;&lt;End_Page&gt;58&lt;/End_Page&gt;&lt;Periodical&gt;Oxford Review of Economic Policy&lt;/Periodical&gt;&lt;Volume&gt;5&lt;/Volume&gt;&lt;Issue&gt;1&lt;/Issue&gt;&lt;ZZ_JournalFull&gt;&lt;f name="System"&gt;Oxford Review of Economic Policy&lt;/f&gt;&lt;/ZZ_JournalFull&gt;&lt;ZZ_WorkformID&gt;1&lt;/ZZ_WorkformID&gt;&lt;/MDL&gt;&lt;/Cite&gt;&lt;/Refman&gt;</w:instrText>
      </w:r>
      <w:r w:rsidR="00E729BA">
        <w:rPr>
          <w:szCs w:val="22"/>
        </w:rPr>
        <w:fldChar w:fldCharType="separate"/>
      </w:r>
      <w:r w:rsidR="004D7951">
        <w:rPr>
          <w:szCs w:val="22"/>
        </w:rPr>
        <w:t>(18)</w:t>
      </w:r>
      <w:r w:rsidR="00E729BA">
        <w:rPr>
          <w:szCs w:val="22"/>
        </w:rPr>
        <w:fldChar w:fldCharType="end"/>
      </w:r>
      <w:r w:rsidR="00AB3772">
        <w:rPr>
          <w:szCs w:val="22"/>
        </w:rPr>
        <w:t xml:space="preserve">. </w:t>
      </w:r>
      <w:r>
        <w:rPr>
          <w:szCs w:val="22"/>
        </w:rPr>
        <w:t>Under welfarism individual utility is a function of the consumption goods and services from the productive economy. In practice resource allocation according to welfare economics implies a cost-</w:t>
      </w:r>
      <w:r w:rsidR="005C768E">
        <w:rPr>
          <w:szCs w:val="22"/>
        </w:rPr>
        <w:t xml:space="preserve">benefit approach. </w:t>
      </w:r>
      <w:r w:rsidR="005C768E">
        <w:t>The objective in a cost-benefit analysis is to compare healthcare interventions on two dimensions; cost and consequences,</w:t>
      </w:r>
      <w:r>
        <w:rPr>
          <w:szCs w:val="22"/>
        </w:rPr>
        <w:t xml:space="preserve"> in which the costs and benefits of the policy are measured in monetary units</w:t>
      </w:r>
      <w:r w:rsidR="00EE2E22">
        <w:rPr>
          <w:szCs w:val="22"/>
        </w:rPr>
        <w:t xml:space="preserve"> </w:t>
      </w:r>
      <w:r w:rsidR="00E729BA">
        <w:fldChar w:fldCharType="begin"/>
      </w:r>
      <w:r w:rsidR="00FC61FD">
        <w:instrText xml:space="preserve"> ADDIN REFMGR.CITE &lt;Refman&gt;&lt;Cite&gt;&lt;Author&gt;Drummond&lt;/Author&gt;&lt;Year&gt;2005&lt;/Year&gt;&lt;RecNum&gt;1662&lt;/RecNum&gt;&lt;IDText&gt;Methods for the Economic Evaluation of Health Care Programmes&lt;/IDText&gt;&lt;MDL Ref_Type="Book, Whole"&gt;&lt;Ref_Type&gt;Book, Whole&lt;/Ref_Type&gt;&lt;Ref_ID&gt;1662&lt;/Ref_ID&gt;&lt;Title_Primary&gt;Methods for the Economic Evaluation of Health Care Programmes&lt;/Title_Primary&gt;&lt;Authors_Primary&gt;Drummond,M.F.&lt;/Authors_Primary&gt;&lt;Authors_Primary&gt;Sculpher,M.&lt;/Authors_Primary&gt;&lt;Authors_Primary&gt;Torrance,G.W.&lt;/Authors_Primary&gt;&lt;Authors_Primary&gt;O&amp;apos;Brien,B.J.&lt;/Authors_Primary&gt;&lt;Authors_Primary&gt;Stoddart,G.L.&lt;/Authors_Primary&gt;&lt;Date_Primary&gt;2005&lt;/Date_Primary&gt;&lt;Keywords&gt;methods&lt;/Keywords&gt;&lt;Keywords&gt;evaluation&lt;/Keywords&gt;&lt;Keywords&gt;Health&lt;/Keywords&gt;&lt;Reprint&gt;In File&lt;/Reprint&gt;&lt;Volume&gt;Third Edition&lt;/Volume&gt;&lt;Pub_Place&gt;Oxford&lt;/Pub_Place&gt;&lt;Publisher&gt;Oxford University Press&lt;/Publisher&gt;&lt;ZZ_WorkformID&gt;2&lt;/ZZ_WorkformID&gt;&lt;/MDL&gt;&lt;/Cite&gt;&lt;/Refman&gt;</w:instrText>
      </w:r>
      <w:r w:rsidR="00E729BA">
        <w:fldChar w:fldCharType="separate"/>
      </w:r>
      <w:r w:rsidR="00EE2E22">
        <w:t>(19)</w:t>
      </w:r>
      <w:r w:rsidR="00E729BA">
        <w:fldChar w:fldCharType="end"/>
      </w:r>
      <w:r>
        <w:rPr>
          <w:szCs w:val="22"/>
        </w:rPr>
        <w:t>. A resource allocation decision is determined through an evaluation of the expected net benefit of a given policy</w:t>
      </w:r>
      <w:r w:rsidR="005C768E">
        <w:rPr>
          <w:szCs w:val="22"/>
        </w:rPr>
        <w:t xml:space="preserve"> </w:t>
      </w:r>
      <w:r w:rsidR="00E729BA">
        <w:rPr>
          <w:szCs w:val="22"/>
        </w:rPr>
        <w:fldChar w:fldCharType="begin"/>
      </w:r>
      <w:r w:rsidR="00FC61FD">
        <w:rPr>
          <w:szCs w:val="22"/>
        </w:rPr>
        <w:instrText xml:space="preserve"> ADDIN REFMGR.CITE &lt;Refman&gt;&lt;Cite&gt;&lt;Author&gt;Morris&lt;/Author&gt;&lt;Year&gt;2009&lt;/Year&gt;&lt;RecNum&gt;1678&lt;/RecNum&gt;&lt;IDText&gt;Economic Analysis in Health Care&lt;/IDText&gt;&lt;MDL Ref_Type="Book, Whole"&gt;&lt;Ref_Type&gt;Book, Whole&lt;/Ref_Type&gt;&lt;Ref_ID&gt;1678&lt;/Ref_ID&gt;&lt;Title_Primary&gt;Economic Analysis in Health Care&lt;/Title_Primary&gt;&lt;Authors_Primary&gt;Morris,S.&lt;/Authors_Primary&gt;&lt;Authors_Primary&gt;Devlin,N.&lt;/Authors_Primary&gt;&lt;Authors_Primary&gt;Parkin,D.&lt;/Authors_Primary&gt;&lt;Date_Primary&gt;2009&lt;/Date_Primary&gt;&lt;Keywords&gt;analysis&lt;/Keywords&gt;&lt;Keywords&gt;Health&lt;/Keywords&gt;&lt;Reprint&gt;In File&lt;/Reprint&gt;&lt;Pub_Place&gt;Chichester&lt;/Pub_Place&gt;&lt;Publisher&gt;John Wiley and Sons&lt;/Publisher&gt;&lt;ZZ_WorkformID&gt;2&lt;/ZZ_WorkformID&gt;&lt;/MDL&gt;&lt;/Cite&gt;&lt;/Refman&gt;</w:instrText>
      </w:r>
      <w:r w:rsidR="00E729BA">
        <w:rPr>
          <w:szCs w:val="22"/>
        </w:rPr>
        <w:fldChar w:fldCharType="separate"/>
      </w:r>
      <w:r w:rsidR="004D7951">
        <w:rPr>
          <w:szCs w:val="22"/>
        </w:rPr>
        <w:t>(20)</w:t>
      </w:r>
      <w:r w:rsidR="00E729BA">
        <w:rPr>
          <w:szCs w:val="22"/>
        </w:rPr>
        <w:fldChar w:fldCharType="end"/>
      </w:r>
      <w:r>
        <w:rPr>
          <w:szCs w:val="22"/>
        </w:rPr>
        <w:t>.</w:t>
      </w:r>
    </w:p>
    <w:p w:rsidR="00982818" w:rsidRDefault="00771117" w:rsidP="007308C6">
      <w:pPr>
        <w:rPr>
          <w:szCs w:val="22"/>
        </w:rPr>
      </w:pPr>
      <w:r>
        <w:rPr>
          <w:szCs w:val="22"/>
        </w:rPr>
        <w:t xml:space="preserve">More recently, some health economists have </w:t>
      </w:r>
      <w:r w:rsidR="00982818">
        <w:rPr>
          <w:szCs w:val="22"/>
        </w:rPr>
        <w:t>preferred</w:t>
      </w:r>
      <w:r>
        <w:rPr>
          <w:szCs w:val="22"/>
        </w:rPr>
        <w:t xml:space="preserve"> an </w:t>
      </w:r>
      <w:r w:rsidR="005C768E">
        <w:rPr>
          <w:szCs w:val="22"/>
        </w:rPr>
        <w:t>“</w:t>
      </w:r>
      <w:r>
        <w:rPr>
          <w:szCs w:val="22"/>
        </w:rPr>
        <w:t>Extra-Welfarist</w:t>
      </w:r>
      <w:r w:rsidR="005C768E">
        <w:rPr>
          <w:szCs w:val="22"/>
        </w:rPr>
        <w:t>”</w:t>
      </w:r>
      <w:r>
        <w:rPr>
          <w:szCs w:val="22"/>
        </w:rPr>
        <w:t xml:space="preserve"> </w:t>
      </w:r>
      <w:r w:rsidR="00982818">
        <w:rPr>
          <w:szCs w:val="22"/>
        </w:rPr>
        <w:t>normative foundation to economic evaluation</w:t>
      </w:r>
      <w:r>
        <w:rPr>
          <w:szCs w:val="22"/>
        </w:rPr>
        <w:t xml:space="preserve">, which incorporates non-good characteristics into the social welfare function and is founded on the principles of Amatryr Sen </w:t>
      </w:r>
      <w:r w:rsidR="00E729BA">
        <w:rPr>
          <w:szCs w:val="22"/>
        </w:rPr>
        <w:fldChar w:fldCharType="begin"/>
      </w:r>
      <w:r w:rsidR="00FC61FD">
        <w:rPr>
          <w:szCs w:val="22"/>
        </w:rPr>
        <w:instrText xml:space="preserve"> ADDIN REFMGR.CITE &lt;Refman&gt;&lt;Cite&gt;&lt;Author&gt;Sen&lt;/Author&gt;&lt;Year&gt;1977&lt;/Year&gt;&lt;RecNum&gt;1677&lt;/RecNum&gt;&lt;IDText&gt;Social choice theory; a re-examination&lt;/IDText&gt;&lt;MDL Ref_Type="Journal"&gt;&lt;Ref_Type&gt;Journal&lt;/Ref_Type&gt;&lt;Ref_ID&gt;1677&lt;/Ref_ID&gt;&lt;Title_Primary&gt;Social choice theory; a re-examination&lt;/Title_Primary&gt;&lt;Authors_Primary&gt;Sen,A.&lt;/Authors_Primary&gt;&lt;Date_Primary&gt;1977&lt;/Date_Primary&gt;&lt;Reprint&gt;In File&lt;/Reprint&gt;&lt;Start_Page&gt;53&lt;/Start_Page&gt;&lt;End_Page&gt;89&lt;/End_Page&gt;&lt;Periodical&gt;Econometrica&lt;/Periodical&gt;&lt;Volume&gt;45&lt;/Volume&gt;&lt;Issue&gt;1&lt;/Issue&gt;&lt;ZZ_JournalFull&gt;&lt;f name="System"&gt;Econometrica&lt;/f&gt;&lt;/ZZ_JournalFull&gt;&lt;ZZ_WorkformID&gt;1&lt;/ZZ_WorkformID&gt;&lt;/MDL&gt;&lt;/Cite&gt;&lt;/Refman&gt;</w:instrText>
      </w:r>
      <w:r w:rsidR="00E729BA">
        <w:rPr>
          <w:szCs w:val="22"/>
        </w:rPr>
        <w:fldChar w:fldCharType="separate"/>
      </w:r>
      <w:r w:rsidR="004D7951">
        <w:rPr>
          <w:szCs w:val="22"/>
        </w:rPr>
        <w:t>(21)</w:t>
      </w:r>
      <w:r w:rsidR="00E729BA">
        <w:rPr>
          <w:szCs w:val="22"/>
        </w:rPr>
        <w:fldChar w:fldCharType="end"/>
      </w:r>
      <w:r>
        <w:rPr>
          <w:szCs w:val="22"/>
        </w:rPr>
        <w:t xml:space="preserve">. </w:t>
      </w:r>
      <w:r w:rsidR="005C768E">
        <w:rPr>
          <w:szCs w:val="22"/>
        </w:rPr>
        <w:t xml:space="preserve">The rejection of traditional welfare economics in favour of non-welfarist approaches has coincided with </w:t>
      </w:r>
      <w:r w:rsidR="00EE2E22">
        <w:rPr>
          <w:szCs w:val="22"/>
        </w:rPr>
        <w:t xml:space="preserve">the development of </w:t>
      </w:r>
      <w:r w:rsidR="00982818">
        <w:rPr>
          <w:szCs w:val="22"/>
        </w:rPr>
        <w:t>decision maker approaches and</w:t>
      </w:r>
      <w:r w:rsidR="005C768E">
        <w:rPr>
          <w:szCs w:val="22"/>
        </w:rPr>
        <w:t xml:space="preserve"> cost-effectiveness analysis </w:t>
      </w:r>
      <w:r w:rsidR="00E729BA">
        <w:rPr>
          <w:szCs w:val="22"/>
        </w:rPr>
        <w:fldChar w:fldCharType="begin"/>
      </w:r>
      <w:r w:rsidR="00FC61FD">
        <w:rPr>
          <w:szCs w:val="22"/>
        </w:rPr>
        <w:instrText xml:space="preserve"> ADDIN REFMGR.CITE &lt;Refman&gt;&lt;Cite&gt;&lt;Author&gt;Briggs&lt;/Author&gt;&lt;Year&gt;2006&lt;/Year&gt;&lt;RecNum&gt;1500&lt;/RecNum&gt;&lt;IDText&gt;Decision Modelling for Health Economic Evaluation&lt;/IDText&gt;&lt;MDL Ref_Type="Book, Whole"&gt;&lt;Ref_Type&gt;Book, Whole&lt;/Ref_Type&gt;&lt;Ref_ID&gt;1500&lt;/Ref_ID&gt;&lt;Title_Primary&gt;Decision Modelling for Health Economic Evaluation&lt;/Title_Primary&gt;&lt;Authors_Primary&gt;Briggs,A.&lt;/Authors_Primary&gt;&lt;Authors_Primary&gt;Sculpher,M.&lt;/Authors_Primary&gt;&lt;Authors_Primary&gt;Claxton,K.&lt;/Authors_Primary&gt;&lt;Date_Primary&gt;2006&lt;/Date_Primary&gt;&lt;Keywords&gt;Health&lt;/Keywords&gt;&lt;Keywords&gt;evaluation&lt;/Keywords&gt;&lt;Reprint&gt;Not in File&lt;/Reprint&gt;&lt;Volume&gt;first edition&lt;/Volume&gt;&lt;Pub_Place&gt;Oxford&lt;/Pub_Place&gt;&lt;Publisher&gt;Oxford University Press&lt;/Publisher&gt;&lt;ZZ_WorkformID&gt;2&lt;/ZZ_WorkformID&gt;&lt;/MDL&gt;&lt;/Cite&gt;&lt;Cite&gt;&lt;Author&gt;Brouwer&lt;/Author&gt;&lt;Year&gt;2000&lt;/Year&gt;&lt;RecNum&gt;1686&lt;/RecNum&gt;&lt;IDText&gt;On the economic foundations of CEA. Ladies and gentlemen, take your positions!&lt;/IDText&gt;&lt;MDL Ref_Type="Journal"&gt;&lt;Ref_Type&gt;Journal&lt;/Ref_Type&gt;&lt;Ref_ID&gt;1686&lt;/Ref_ID&gt;&lt;Title_Primary&gt;On the economic foundations of CEA. Ladies and gentlemen, take your positions!&lt;/Title_Primary&gt;&lt;Authors_Primary&gt;Brouwer,W.B.&lt;/Authors_Primary&gt;&lt;Authors_Primary&gt;Koopmanschap,M.A.&lt;/Authors_Primary&gt;&lt;Date_Primary&gt;2000/7&lt;/Date_Primary&gt;&lt;Keywords&gt;analysis&lt;/Keywords&gt;&lt;Keywords&gt;Cost-Benefit Analysis&lt;/Keywords&gt;&lt;Keywords&gt;Decision Making&lt;/Keywords&gt;&lt;Keywords&gt;economics&lt;/Keywords&gt;&lt;Keywords&gt;evaluation&lt;/Keywords&gt;&lt;Keywords&gt;Health&lt;/Keywords&gt;&lt;Keywords&gt;Health Care Rationing&lt;/Keywords&gt;&lt;Keywords&gt;Health Services Research&lt;/Keywords&gt;&lt;Keywords&gt;Humans&lt;/Keywords&gt;&lt;Keywords&gt;methods&lt;/Keywords&gt;&lt;Keywords&gt;Netherlands&lt;/Keywords&gt;&lt;Keywords&gt;Quality-Adjusted Life Years&lt;/Keywords&gt;&lt;Keywords&gt;Social Welfare&lt;/Keywords&gt;&lt;Reprint&gt;Not in File&lt;/Reprint&gt;&lt;Start_Page&gt;439&lt;/Start_Page&gt;&lt;End_Page&gt;459&lt;/End_Page&gt;&lt;Periodical&gt;J.Health Econ.&lt;/Periodical&gt;&lt;Volume&gt;19&lt;/Volume&gt;&lt;Issue&gt;4&lt;/Issue&gt;&lt;ZZ_JournalStdAbbrev&gt;&lt;f name="System"&gt;J.Health Econ.&lt;/f&gt;&lt;/ZZ_JournalStdAbbrev&gt;&lt;ZZ_WorkformID&gt;1&lt;/ZZ_WorkformID&gt;&lt;/MDL&gt;&lt;/Cite&gt;&lt;/Refman&gt;</w:instrText>
      </w:r>
      <w:r w:rsidR="00E729BA">
        <w:rPr>
          <w:szCs w:val="22"/>
        </w:rPr>
        <w:fldChar w:fldCharType="separate"/>
      </w:r>
      <w:r w:rsidR="004D7951">
        <w:rPr>
          <w:szCs w:val="22"/>
        </w:rPr>
        <w:t>(22;23)</w:t>
      </w:r>
      <w:r w:rsidR="00E729BA">
        <w:rPr>
          <w:szCs w:val="22"/>
        </w:rPr>
        <w:fldChar w:fldCharType="end"/>
      </w:r>
      <w:r w:rsidR="005C768E">
        <w:rPr>
          <w:szCs w:val="22"/>
        </w:rPr>
        <w:t xml:space="preserve">. </w:t>
      </w:r>
      <w:r w:rsidR="00380E11">
        <w:rPr>
          <w:szCs w:val="22"/>
        </w:rPr>
        <w:t xml:space="preserve">Within a cost-effectiveness analysis the benefits are measured in terms of health output, rather than in monetary units </w:t>
      </w:r>
      <w:r w:rsidR="00E729BA">
        <w:rPr>
          <w:szCs w:val="22"/>
        </w:rPr>
        <w:fldChar w:fldCharType="begin"/>
      </w:r>
      <w:r w:rsidR="00FC61FD">
        <w:rPr>
          <w:szCs w:val="22"/>
        </w:rPr>
        <w:instrText xml:space="preserve"> ADDIN REFMGR.CITE &lt;Refman&gt;&lt;Cite&gt;&lt;Author&gt;Drummond&lt;/Author&gt;&lt;Year&gt;2005&lt;/Year&gt;&lt;RecNum&gt;1662&lt;/RecNum&gt;&lt;IDText&gt;Methods for the Economic Evaluation of Health Care Programmes&lt;/IDText&gt;&lt;MDL Ref_Type="Book, Whole"&gt;&lt;Ref_Type&gt;Book, Whole&lt;/Ref_Type&gt;&lt;Ref_ID&gt;1662&lt;/Ref_ID&gt;&lt;Title_Primary&gt;Methods for the Economic Evaluation of Health Care Programmes&lt;/Title_Primary&gt;&lt;Authors_Primary&gt;Drummond,M.F.&lt;/Authors_Primary&gt;&lt;Authors_Primary&gt;Sculpher,M.&lt;/Authors_Primary&gt;&lt;Authors_Primary&gt;Torrance,G.W.&lt;/Authors_Primary&gt;&lt;Authors_Primary&gt;O&amp;apos;Brien,B.J.&lt;/Authors_Primary&gt;&lt;Authors_Primary&gt;Stoddart,G.L.&lt;/Authors_Primary&gt;&lt;Date_Primary&gt;2005&lt;/Date_Primary&gt;&lt;Keywords&gt;methods&lt;/Keywords&gt;&lt;Keywords&gt;evaluation&lt;/Keywords&gt;&lt;Keywords&gt;Health&lt;/Keywords&gt;&lt;Reprint&gt;In File&lt;/Reprint&gt;&lt;Volume&gt;Third Edition&lt;/Volume&gt;&lt;Pub_Place&gt;Oxford&lt;/Pub_Place&gt;&lt;Publisher&gt;Oxford University Press&lt;/Publisher&gt;&lt;ZZ_WorkformID&gt;2&lt;/ZZ_WorkformID&gt;&lt;/MDL&gt;&lt;/Cite&gt;&lt;/Refman&gt;</w:instrText>
      </w:r>
      <w:r w:rsidR="00E729BA">
        <w:rPr>
          <w:szCs w:val="22"/>
        </w:rPr>
        <w:fldChar w:fldCharType="separate"/>
      </w:r>
      <w:r w:rsidR="004D7951">
        <w:rPr>
          <w:szCs w:val="22"/>
        </w:rPr>
        <w:t>(19)</w:t>
      </w:r>
      <w:r w:rsidR="00E729BA">
        <w:rPr>
          <w:szCs w:val="22"/>
        </w:rPr>
        <w:fldChar w:fldCharType="end"/>
      </w:r>
      <w:r w:rsidR="00380E11">
        <w:rPr>
          <w:szCs w:val="22"/>
        </w:rPr>
        <w:t xml:space="preserve">. </w:t>
      </w:r>
      <w:r w:rsidR="00982818">
        <w:rPr>
          <w:szCs w:val="22"/>
        </w:rPr>
        <w:t xml:space="preserve">In order to employ a cost-effectiveness analysis framework it is necessary to specify a threshold at which society is willing to pay for a unit of health. Policies whose incremental cost-effectiveness ratio is above the threshold are viewed as being poor value for money in contrast to the opportunity cost of alternative resource allocations </w:t>
      </w:r>
      <w:r w:rsidR="00E729BA">
        <w:rPr>
          <w:szCs w:val="22"/>
        </w:rPr>
        <w:fldChar w:fldCharType="begin"/>
      </w:r>
      <w:r w:rsidR="00FC61FD">
        <w:rPr>
          <w:szCs w:val="22"/>
        </w:rPr>
        <w:instrText xml:space="preserve"> ADDIN REFMGR.CITE &lt;Refman&gt;&lt;Cite&gt;&lt;Author&gt;McCabe&lt;/Author&gt;&lt;Year&gt;2008&lt;/Year&gt;&lt;RecNum&gt;1687&lt;/RecNum&gt;&lt;IDText&gt;The NICE cost-effectiveness threshold: what it is and what that means&lt;/IDText&gt;&lt;MDL Ref_Type="Journal"&gt;&lt;Ref_Type&gt;Journal&lt;/Ref_Type&gt;&lt;Ref_ID&gt;1687&lt;/Ref_ID&gt;&lt;Title_Primary&gt;The NICE cost-effectiveness threshold: what it is and what that means&lt;/Title_Primary&gt;&lt;Authors_Primary&gt;McCabe,C.&lt;/Authors_Primary&gt;&lt;Authors_Primary&gt;Claxton,K.&lt;/Authors_Primary&gt;&lt;Authors_Primary&gt;Culyer,A.J.&lt;/Authors_Primary&gt;&lt;Date_Primary&gt;2008&lt;/Date_Primary&gt;&lt;Keywords&gt;Academies and Institutes&lt;/Keywords&gt;&lt;Keywords&gt;article&lt;/Keywords&gt;&lt;Keywords&gt;Cost-Benefit Analysis&lt;/Keywords&gt;&lt;Keywords&gt;Decision Making,Organizational&lt;/Keywords&gt;&lt;Keywords&gt;economics&lt;/Keywords&gt;&lt;Keywords&gt;Great Britain&lt;/Keywords&gt;&lt;Keywords&gt;Health&lt;/Keywords&gt;&lt;Keywords&gt;Humans&lt;/Keywords&gt;&lt;Keywords&gt;methods&lt;/Keywords&gt;&lt;Keywords&gt;patient&lt;/Keywords&gt;&lt;Keywords&gt;Patients&lt;/Keywords&gt;&lt;Keywords&gt;population&lt;/Keywords&gt;&lt;Keywords&gt;Quality-Adjusted Life Years&lt;/Keywords&gt;&lt;Keywords&gt;State Medicine&lt;/Keywords&gt;&lt;Keywords&gt;statistics &amp;amp; numerical data&lt;/Keywords&gt;&lt;Keywords&gt;Time&lt;/Keywords&gt;&lt;Keywords&gt;Uncertainty&lt;/Keywords&gt;&lt;Keywords&gt;utilization&lt;/Keywords&gt;&lt;Reprint&gt;Not in File&lt;/Reprint&gt;&lt;Start_Page&gt;733&lt;/Start_Page&gt;&lt;End_Page&gt;744&lt;/End_Page&gt;&lt;Periodical&gt;Pharmacoeconomics.&lt;/Periodical&gt;&lt;Volume&gt;26&lt;/Volume&gt;&lt;Issue&gt;9&lt;/Issue&gt;&lt;ZZ_JournalStdAbbrev&gt;&lt;f name="System"&gt;Pharmacoeconomics.&lt;/f&gt;&lt;/ZZ_JournalStdAbbrev&gt;&lt;ZZ_WorkformID&gt;1&lt;/ZZ_WorkformID&gt;&lt;/MDL&gt;&lt;/Cite&gt;&lt;/Refman&gt;</w:instrText>
      </w:r>
      <w:r w:rsidR="00E729BA">
        <w:rPr>
          <w:szCs w:val="22"/>
        </w:rPr>
        <w:fldChar w:fldCharType="separate"/>
      </w:r>
      <w:r w:rsidR="004D7951">
        <w:rPr>
          <w:szCs w:val="22"/>
        </w:rPr>
        <w:t>(24)</w:t>
      </w:r>
      <w:r w:rsidR="00E729BA">
        <w:rPr>
          <w:szCs w:val="22"/>
        </w:rPr>
        <w:fldChar w:fldCharType="end"/>
      </w:r>
      <w:r w:rsidR="00982818">
        <w:rPr>
          <w:szCs w:val="22"/>
        </w:rPr>
        <w:t xml:space="preserve">. </w:t>
      </w:r>
    </w:p>
    <w:p w:rsidR="00771117" w:rsidRDefault="00380E11" w:rsidP="00EE2E22">
      <w:pPr>
        <w:rPr>
          <w:szCs w:val="22"/>
        </w:rPr>
      </w:pPr>
      <w:r>
        <w:rPr>
          <w:szCs w:val="22"/>
        </w:rPr>
        <w:t xml:space="preserve">Cost-effectiveness analysis has been viewed as a deviation from traditional welfare economics and is inconsistent with welfare economic objectives </w:t>
      </w:r>
      <w:r w:rsidR="00E729BA">
        <w:rPr>
          <w:szCs w:val="22"/>
        </w:rPr>
        <w:fldChar w:fldCharType="begin"/>
      </w:r>
      <w:r w:rsidR="00FC61FD">
        <w:rPr>
          <w:szCs w:val="22"/>
        </w:rPr>
        <w:instrText xml:space="preserve"> ADDIN REFMGR.CITE &lt;Refman&gt;&lt;Cite&gt;&lt;Author&gt;Birch&lt;/Author&gt;&lt;Year&gt;1992&lt;/Year&gt;&lt;RecNum&gt;1680&lt;/RecNum&gt;&lt;IDText&gt;Cost effectiveness/utility analyses. Do current decision rules lead us to where we want to be?&lt;/IDText&gt;&lt;MDL Ref_Type="Journal"&gt;&lt;Ref_Type&gt;Journal&lt;/Ref_Type&gt;&lt;Ref_ID&gt;1680&lt;/Ref_ID&gt;&lt;Title_Primary&gt;Cost effectiveness/utility analyses. Do current decision rules lead us to where we want to be?&lt;/Title_Primary&gt;&lt;Authors_Primary&gt;Birch,S.&lt;/Authors_Primary&gt;&lt;Authors_Primary&gt;Gafni,A.&lt;/Authors_Primary&gt;&lt;Date_Primary&gt;1992/10&lt;/Date_Primary&gt;&lt;Keywords&gt;analysis&lt;/Keywords&gt;&lt;Keywords&gt;Attention&lt;/Keywords&gt;&lt;Keywords&gt;Canada&lt;/Keywords&gt;&lt;Keywords&gt;Cost-Benefit Analysis&lt;/Keywords&gt;&lt;Keywords&gt;Decision Making,Organizational&lt;/Keywords&gt;&lt;Keywords&gt;economics&lt;/Keywords&gt;&lt;Keywords&gt;Environment&lt;/Keywords&gt;&lt;Keywords&gt;evaluation&lt;/Keywords&gt;&lt;Keywords&gt;Health&lt;/Keywords&gt;&lt;Keywords&gt;Health Care Costs&lt;/Keywords&gt;&lt;Keywords&gt;Health Care Rationing&lt;/Keywords&gt;&lt;Keywords&gt;Health Services Research&lt;/Keywords&gt;&lt;Keywords&gt;methods&lt;/Keywords&gt;&lt;Keywords&gt;Models,Econometric&lt;/Keywords&gt;&lt;Keywords&gt;organization &amp;amp; administration&lt;/Keywords&gt;&lt;Keywords&gt;Outcome Assessment (Health Care)&lt;/Keywords&gt;&lt;Keywords&gt;Policy&lt;/Keywords&gt;&lt;Keywords&gt;Quality of Life&lt;/Keywords&gt;&lt;Keywords&gt;Social Welfare&lt;/Keywords&gt;&lt;Keywords&gt;statistics &amp;amp; numerical data&lt;/Keywords&gt;&lt;Keywords&gt;Value of Life&lt;/Keywords&gt;&lt;Reprint&gt;Not in File&lt;/Reprint&gt;&lt;Start_Page&gt;279&lt;/Start_Page&gt;&lt;End_Page&gt;296&lt;/End_Page&gt;&lt;Periodical&gt;J.Health Econ.&lt;/Periodical&gt;&lt;Volume&gt;11&lt;/Volume&gt;&lt;Issue&gt;3&lt;/Issue&gt;&lt;ZZ_JournalStdAbbrev&gt;&lt;f name="System"&gt;J.Health Econ.&lt;/f&gt;&lt;/ZZ_JournalStdAbbrev&gt;&lt;ZZ_WorkformID&gt;1&lt;/ZZ_WorkformID&gt;&lt;/MDL&gt;&lt;/Cite&gt;&lt;/Refman&gt;</w:instrText>
      </w:r>
      <w:r w:rsidR="00E729BA">
        <w:rPr>
          <w:szCs w:val="22"/>
        </w:rPr>
        <w:fldChar w:fldCharType="separate"/>
      </w:r>
      <w:r w:rsidR="004D7951">
        <w:rPr>
          <w:szCs w:val="22"/>
        </w:rPr>
        <w:t>(25)</w:t>
      </w:r>
      <w:r w:rsidR="00E729BA">
        <w:rPr>
          <w:szCs w:val="22"/>
        </w:rPr>
        <w:fldChar w:fldCharType="end"/>
      </w:r>
      <w:r>
        <w:rPr>
          <w:szCs w:val="22"/>
        </w:rPr>
        <w:t xml:space="preserve">. Nonetheless, a cost-utility framework enables the decision-maker to focus on the maximisation of health as the objective of policy decision-making. </w:t>
      </w:r>
      <w:r w:rsidR="0037358A">
        <w:rPr>
          <w:szCs w:val="22"/>
        </w:rPr>
        <w:t>The practicalities of the approach</w:t>
      </w:r>
      <w:r w:rsidR="00EE2E22">
        <w:rPr>
          <w:szCs w:val="22"/>
        </w:rPr>
        <w:t>,</w:t>
      </w:r>
      <w:r w:rsidR="0037358A">
        <w:rPr>
          <w:szCs w:val="22"/>
        </w:rPr>
        <w:t xml:space="preserve"> and the adoption of a cost per QALY method by the National Institute of Health and Care Excellence</w:t>
      </w:r>
      <w:r w:rsidR="00EE2E22">
        <w:rPr>
          <w:szCs w:val="22"/>
        </w:rPr>
        <w:t>,</w:t>
      </w:r>
      <w:r w:rsidR="0037358A">
        <w:rPr>
          <w:szCs w:val="22"/>
        </w:rPr>
        <w:t xml:space="preserve"> have been instrumental in promoting cost-effectiveness methods in health economics </w:t>
      </w:r>
      <w:r w:rsidR="00E729BA">
        <w:rPr>
          <w:szCs w:val="22"/>
        </w:rPr>
        <w:fldChar w:fldCharType="begin"/>
      </w:r>
      <w:r w:rsidR="00FC61FD">
        <w:rPr>
          <w:szCs w:val="22"/>
        </w:rPr>
        <w:instrText xml:space="preserve"> ADDIN REFMGR.CITE &lt;Refman&gt;&lt;Cite&gt;&lt;Author&gt;Coast&lt;/Author&gt;&lt;Year&gt;2008&lt;/Year&gt;&lt;RecNum&gt;1681&lt;/RecNum&gt;&lt;IDText&gt;Welfarism, extra-welfarism and capability: the spread of ideas in health economics&lt;/IDText&gt;&lt;MDL Ref_Type="Journal"&gt;&lt;Ref_Type&gt;Journal&lt;/Ref_Type&gt;&lt;Ref_ID&gt;1681&lt;/Ref_ID&gt;&lt;Title_Primary&gt;Welfarism, extra-welfarism and capability: the spread of ideas in health economics&lt;/Title_Primary&gt;&lt;Authors_Primary&gt;Coast,J.&lt;/Authors_Primary&gt;&lt;Authors_Primary&gt;Smith,R.D.&lt;/Authors_Primary&gt;&lt;Authors_Primary&gt;Lorgelly,P.&lt;/Authors_Primary&gt;&lt;Date_Primary&gt;2008/10&lt;/Date_Primary&gt;&lt;Keywords&gt;Decision Making&lt;/Keywords&gt;&lt;Keywords&gt;Diffusion of Innovation&lt;/Keywords&gt;&lt;Keywords&gt;economics&lt;/Keywords&gt;&lt;Keywords&gt;Economics,Medical&lt;/Keywords&gt;&lt;Keywords&gt;evaluation&lt;/Keywords&gt;&lt;Keywords&gt;Great Britain&lt;/Keywords&gt;&lt;Keywords&gt;Health&lt;/Keywords&gt;&lt;Keywords&gt;Health Policy&lt;/Keywords&gt;&lt;Keywords&gt;Health Status&lt;/Keywords&gt;&lt;Keywords&gt;Humans&lt;/Keywords&gt;&lt;Keywords&gt;Medical Assistance&lt;/Keywords&gt;&lt;Keywords&gt;Public Health&lt;/Keywords&gt;&lt;Keywords&gt;Quality of Life&lt;/Keywords&gt;&lt;Keywords&gt;Social Welfare&lt;/Keywords&gt;&lt;Keywords&gt;trends&lt;/Keywords&gt;&lt;Reprint&gt;Not in File&lt;/Reprint&gt;&lt;Start_Page&gt;1190&lt;/Start_Page&gt;&lt;End_Page&gt;1198&lt;/End_Page&gt;&lt;Periodical&gt;Soc.Sci.Med.&lt;/Periodical&gt;&lt;Volume&gt;67&lt;/Volume&gt;&lt;Issue&gt;7&lt;/Issue&gt;&lt;ZZ_JournalStdAbbrev&gt;&lt;f name="System"&gt;Soc.Sci.Med.&lt;/f&gt;&lt;/ZZ_JournalStdAbbrev&gt;&lt;ZZ_WorkformID&gt;1&lt;/ZZ_WorkformID&gt;&lt;/MDL&gt;&lt;/Cite&gt;&lt;/Refman&gt;</w:instrText>
      </w:r>
      <w:r w:rsidR="00E729BA">
        <w:rPr>
          <w:szCs w:val="22"/>
        </w:rPr>
        <w:fldChar w:fldCharType="separate"/>
      </w:r>
      <w:r w:rsidR="004D7951">
        <w:rPr>
          <w:szCs w:val="22"/>
        </w:rPr>
        <w:t>(26)</w:t>
      </w:r>
      <w:r w:rsidR="00E729BA">
        <w:rPr>
          <w:szCs w:val="22"/>
        </w:rPr>
        <w:fldChar w:fldCharType="end"/>
      </w:r>
      <w:r w:rsidR="0037358A">
        <w:rPr>
          <w:szCs w:val="22"/>
        </w:rPr>
        <w:t xml:space="preserve">. </w:t>
      </w:r>
    </w:p>
    <w:p w:rsidR="00E368B4" w:rsidRDefault="00EE0290" w:rsidP="00771117">
      <w:r>
        <w:t xml:space="preserve">Economic </w:t>
      </w:r>
      <w:r w:rsidR="00E368B4">
        <w:t>evaluation</w:t>
      </w:r>
      <w:r>
        <w:t>s</w:t>
      </w:r>
      <w:r w:rsidR="00E368B4">
        <w:t xml:space="preserve"> can compare multiple intervention options</w:t>
      </w:r>
      <m:oMath>
        <m:sSub>
          <m:sSubPr>
            <m:ctrlPr>
              <w:rPr>
                <w:rFonts w:ascii="Cambria Math" w:hAnsi="Cambria Math"/>
                <w:i/>
              </w:rPr>
            </m:ctrlPr>
          </m:sSubPr>
          <m:e>
            <m:r>
              <w:rPr>
                <w:rFonts w:ascii="Cambria Math" w:hAnsi="Cambria Math"/>
              </w:rPr>
              <m:t xml:space="preserve"> D</m:t>
            </m:r>
          </m:e>
          <m:sub>
            <m:r>
              <w:rPr>
                <w:rFonts w:ascii="Cambria Math" w:hAnsi="Cambria Math"/>
              </w:rPr>
              <m:t>i</m:t>
            </m:r>
          </m:sub>
        </m:sSub>
      </m:oMath>
      <w:r w:rsidR="00E368B4">
        <w:t xml:space="preserve"> </w:t>
      </w:r>
      <w:r>
        <w:t xml:space="preserve">which can be pharmaceuticals or programmes of care, and can include existing or new innovations in treatment. </w:t>
      </w:r>
      <w:r w:rsidR="00E368B4">
        <w:t xml:space="preserve">The </w:t>
      </w:r>
      <w:r w:rsidR="00AC6781">
        <w:t>value</w:t>
      </w:r>
      <w:r w:rsidR="00E368B4">
        <w:t xml:space="preserve"> of each </w:t>
      </w:r>
      <w:r w:rsidR="00AC6781">
        <w:t>intervention</w:t>
      </w:r>
      <w:r w:rsidR="00E368B4">
        <w:t xml:space="preserve"> can be expressed as the</w:t>
      </w:r>
      <w:r w:rsidR="004D7951">
        <w:t xml:space="preserve"> monetary</w:t>
      </w:r>
      <w:r w:rsidR="00E368B4">
        <w:t xml:space="preserve"> net benefit of the treatment.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1"/>
        <w:gridCol w:w="6819"/>
        <w:gridCol w:w="1094"/>
      </w:tblGrid>
      <w:tr w:rsidR="00AD5F5B" w:rsidTr="00FB7FA6">
        <w:trPr>
          <w:cantSplit/>
          <w:trHeight w:val="435"/>
        </w:trPr>
        <w:tc>
          <w:tcPr>
            <w:tcW w:w="534" w:type="dxa"/>
          </w:tcPr>
          <w:p w:rsidR="00AD5F5B" w:rsidRDefault="00AD5F5B" w:rsidP="00033F8F"/>
        </w:tc>
        <w:tc>
          <w:tcPr>
            <w:tcW w:w="7512" w:type="dxa"/>
          </w:tcPr>
          <w:p w:rsidR="00AD5F5B" w:rsidRDefault="002367E4" w:rsidP="002367E4">
            <m:oMathPara>
              <m:oMath>
                <m:r>
                  <w:rPr>
                    <w:rFonts w:ascii="Cambria Math" w:hAnsi="Cambria Math"/>
                  </w:rPr>
                  <m:t>NB</m:t>
                </m:r>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rPr>
                  <m:t>=λ</m:t>
                </m:r>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oMath>
            </m:oMathPara>
          </w:p>
        </w:tc>
        <w:tc>
          <w:tcPr>
            <w:tcW w:w="1196" w:type="dxa"/>
          </w:tcPr>
          <w:p w:rsidR="00AD5F5B" w:rsidRDefault="00AD5F5B" w:rsidP="00597CF5">
            <w:pPr>
              <w:pStyle w:val="ListParagraph"/>
              <w:numPr>
                <w:ilvl w:val="1"/>
                <w:numId w:val="30"/>
              </w:numPr>
              <w:bidi/>
              <w:ind w:right="220"/>
              <w:jc w:val="right"/>
            </w:pPr>
            <w:bookmarkStart w:id="19" w:name="_Ref355006862"/>
          </w:p>
        </w:tc>
        <w:bookmarkEnd w:id="19"/>
      </w:tr>
    </w:tbl>
    <w:p w:rsidR="00E368B4" w:rsidRDefault="00E368B4" w:rsidP="00F12F58">
      <w:r>
        <w:t xml:space="preserve">Where </w:t>
      </w:r>
      <w:r w:rsidRPr="007D21C9">
        <w:rPr>
          <w:i/>
          <w:iCs/>
        </w:rPr>
        <w:t>e</w:t>
      </w:r>
      <w:r>
        <w:t xml:space="preserve"> denotes the benefits of the intervention, measured in Quality Adjusted Life Years (QALYs)</w:t>
      </w:r>
      <w:r w:rsidR="004336A5">
        <w:t xml:space="preserve"> (the general approach taken in the United Kingdom</w:t>
      </w:r>
      <w:r w:rsidR="004D7951">
        <w:t>,</w:t>
      </w:r>
      <w:r w:rsidR="004336A5">
        <w:t xml:space="preserve"> Canada</w:t>
      </w:r>
      <w:r w:rsidR="004D7951">
        <w:t xml:space="preserve"> and elsewhere</w:t>
      </w:r>
      <w:r w:rsidR="004336A5">
        <w:t>)</w:t>
      </w:r>
      <w:r>
        <w:t xml:space="preserve">, and </w:t>
      </w:r>
      <w:r w:rsidRPr="007D21C9">
        <w:rPr>
          <w:i/>
          <w:iCs/>
        </w:rPr>
        <w:t>c</w:t>
      </w:r>
      <w:r>
        <w:t xml:space="preserve"> is the </w:t>
      </w:r>
      <w:r w:rsidR="005D1881">
        <w:t xml:space="preserve">total </w:t>
      </w:r>
      <w:r>
        <w:t xml:space="preserve">cost of the intervention. The term </w:t>
      </w:r>
      <m:oMath>
        <m:r>
          <w:rPr>
            <w:rFonts w:ascii="Cambria Math" w:hAnsi="Cambria Math"/>
          </w:rPr>
          <m:t>λ</m:t>
        </m:r>
      </m:oMath>
      <w:r>
        <w:t xml:space="preserve"> describes the societal willingness to pay </w:t>
      </w:r>
      <w:r w:rsidR="00F01AA4">
        <w:t xml:space="preserve">threshold </w:t>
      </w:r>
      <w:r>
        <w:t>for health benefits</w:t>
      </w:r>
      <w:r w:rsidR="00647CD1">
        <w:t xml:space="preserve">. </w:t>
      </w:r>
      <w:r w:rsidR="007171F5">
        <w:t xml:space="preserve">It has been reported that NICE have used a threshold range between £20,000 and £30,000 per QALY </w:t>
      </w:r>
      <w:r w:rsidR="004D7951">
        <w:t xml:space="preserve">gained </w:t>
      </w:r>
      <w:r w:rsidR="00E729BA">
        <w:fldChar w:fldCharType="begin"/>
      </w:r>
      <w:r w:rsidR="00FC61FD">
        <w:instrText xml:space="preserve"> ADDIN REFMGR.CITE &lt;Refman&gt;&lt;Cite&gt;&lt;Author&gt;McCabe&lt;/Author&gt;&lt;Year&gt;2008&lt;/Year&gt;&lt;RecNum&gt;1687&lt;/RecNum&gt;&lt;IDText&gt;The NICE cost-effectiveness threshold: what it is and what that means&lt;/IDText&gt;&lt;MDL Ref_Type="Journal"&gt;&lt;Ref_Type&gt;Journal&lt;/Ref_Type&gt;&lt;Ref_ID&gt;1687&lt;/Ref_ID&gt;&lt;Title_Primary&gt;The NICE cost-effectiveness threshold: what it is and what that means&lt;/Title_Primary&gt;&lt;Authors_Primary&gt;McCabe,C.&lt;/Authors_Primary&gt;&lt;Authors_Primary&gt;Claxton,K.&lt;/Authors_Primary&gt;&lt;Authors_Primary&gt;Culyer,A.J.&lt;/Authors_Primary&gt;&lt;Date_Primary&gt;2008&lt;/Date_Primary&gt;&lt;Keywords&gt;Academies and Institutes&lt;/Keywords&gt;&lt;Keywords&gt;article&lt;/Keywords&gt;&lt;Keywords&gt;Cost-Benefit Analysis&lt;/Keywords&gt;&lt;Keywords&gt;Decision Making,Organizational&lt;/Keywords&gt;&lt;Keywords&gt;economics&lt;/Keywords&gt;&lt;Keywords&gt;Great Britain&lt;/Keywords&gt;&lt;Keywords&gt;Health&lt;/Keywords&gt;&lt;Keywords&gt;Humans&lt;/Keywords&gt;&lt;Keywords&gt;methods&lt;/Keywords&gt;&lt;Keywords&gt;patient&lt;/Keywords&gt;&lt;Keywords&gt;Patients&lt;/Keywords&gt;&lt;Keywords&gt;population&lt;/Keywords&gt;&lt;Keywords&gt;Quality-Adjusted Life Years&lt;/Keywords&gt;&lt;Keywords&gt;State Medicine&lt;/Keywords&gt;&lt;Keywords&gt;statistics &amp;amp; numerical data&lt;/Keywords&gt;&lt;Keywords&gt;Time&lt;/Keywords&gt;&lt;Keywords&gt;Uncertainty&lt;/Keywords&gt;&lt;Keywords&gt;utilization&lt;/Keywords&gt;&lt;Reprint&gt;Not in File&lt;/Reprint&gt;&lt;Start_Page&gt;733&lt;/Start_Page&gt;&lt;End_Page&gt;744&lt;/End_Page&gt;&lt;Periodical&gt;Pharmacoeconomics.&lt;/Periodical&gt;&lt;Volume&gt;26&lt;/Volume&gt;&lt;Issue&gt;9&lt;/Issue&gt;&lt;ZZ_JournalStdAbbrev&gt;&lt;f name="System"&gt;Pharmacoeconomics.&lt;/f&gt;&lt;/ZZ_JournalStdAbbrev&gt;&lt;ZZ_WorkformID&gt;1&lt;/ZZ_WorkformID&gt;&lt;/MDL&gt;&lt;/Cite&gt;&lt;/Refman&gt;</w:instrText>
      </w:r>
      <w:r w:rsidR="00E729BA">
        <w:fldChar w:fldCharType="separate"/>
      </w:r>
      <w:r w:rsidR="004D7951">
        <w:t>(24)</w:t>
      </w:r>
      <w:r w:rsidR="00E729BA">
        <w:fldChar w:fldCharType="end"/>
      </w:r>
      <w:r w:rsidR="007171F5">
        <w:t>.</w:t>
      </w:r>
      <w:r w:rsidR="006D192A">
        <w:t xml:space="preserve"> </w:t>
      </w:r>
      <w:r w:rsidR="007171F5">
        <w:t>F</w:t>
      </w:r>
      <w:r w:rsidR="006D192A">
        <w:t xml:space="preserve">or the purpose of this thesis I assume that </w:t>
      </w:r>
      <m:oMath>
        <m:r>
          <w:rPr>
            <w:rFonts w:ascii="Cambria Math" w:hAnsi="Cambria Math"/>
          </w:rPr>
          <m:t>λ</m:t>
        </m:r>
      </m:oMath>
      <w:r w:rsidR="006D192A">
        <w:t xml:space="preserve"> is fixed at £30,000 per QALY</w:t>
      </w:r>
      <w:r w:rsidR="007171F5">
        <w:t xml:space="preserve"> due to the </w:t>
      </w:r>
      <w:r w:rsidR="00F12F58">
        <w:t>absence of alternative effective</w:t>
      </w:r>
      <w:r w:rsidR="007171F5">
        <w:t xml:space="preserve"> treatments for SLE</w:t>
      </w:r>
      <w:r w:rsidR="007171F5" w:rsidDel="007171F5">
        <w:t xml:space="preserve"> </w:t>
      </w:r>
      <w:r w:rsidR="00F12F58">
        <w:t xml:space="preserve"> </w:t>
      </w:r>
      <w:r w:rsidR="00E729BA">
        <w:fldChar w:fldCharType="begin"/>
      </w:r>
      <w:r w:rsidR="00FC61FD">
        <w:instrText xml:space="preserve"> ADDIN REFMGR.CITE &lt;Refman&gt;&lt;Cite&gt;&lt;Author&gt;Devlin&lt;/Author&gt;&lt;Year&gt;2004&lt;/Year&gt;&lt;RecNum&gt;1626&lt;/RecNum&gt;&lt;IDText&gt;Does NICE have a cost-effectiveness threshold and what other factors influence its decisions? A binary choice analysis&lt;/IDText&gt;&lt;MDL Ref_Type="Journal"&gt;&lt;Ref_Type&gt;Journal&lt;/Ref_Type&gt;&lt;Ref_ID&gt;1626&lt;/Ref_ID&gt;&lt;Title_Primary&gt;Does NICE have a cost-effectiveness threshold and what other factors influence its decisions? A binary choice analysis&lt;/Title_Primary&gt;&lt;Authors_Primary&gt;Devlin,N.&lt;/Authors_Primary&gt;&lt;Authors_Primary&gt;Parkin,D.&lt;/Authors_Primary&gt;&lt;Date_Primary&gt;2004/5&lt;/Date_Primary&gt;&lt;Keywords&gt;analysis&lt;/Keywords&gt;&lt;Keywords&gt;Cost-Benefit Analysis&lt;/Keywords&gt;&lt;Keywords&gt;Decision Making&lt;/Keywords&gt;&lt;Keywords&gt;Disease&lt;/Keywords&gt;&lt;Keywords&gt;economics&lt;/Keywords&gt;&lt;Keywords&gt;Great Britain&lt;/Keywords&gt;&lt;Keywords&gt;Health&lt;/Keywords&gt;&lt;Keywords&gt;Humans&lt;/Keywords&gt;&lt;Keywords&gt;Life&lt;/Keywords&gt;&lt;Keywords&gt;methods&lt;/Keywords&gt;&lt;Keywords&gt;Probability&lt;/Keywords&gt;&lt;Keywords&gt;Quality-Adjusted Life Years&lt;/Keywords&gt;&lt;Keywords&gt;State Medicine&lt;/Keywords&gt;&lt;Keywords&gt;statistics &amp;amp; numerical data&lt;/Keywords&gt;&lt;Keywords&gt;Uncertainty&lt;/Keywords&gt;&lt;Reprint&gt;Not in File&lt;/Reprint&gt;&lt;Start_Page&gt;437&lt;/Start_Page&gt;&lt;End_Page&gt;452&lt;/End_Page&gt;&lt;Periodical&gt;Health Econ.&lt;/Periodical&gt;&lt;Volume&gt;13&lt;/Volume&gt;&lt;Issue&gt;5&lt;/Issue&gt;&lt;ZZ_JournalStdAbbrev&gt;&lt;f name="System"&gt;Health Econ.&lt;/f&gt;&lt;/ZZ_JournalStdAbbrev&gt;&lt;ZZ_WorkformID&gt;1&lt;/ZZ_WorkformID&gt;&lt;/MDL&gt;&lt;/Cite&gt;&lt;/Refman&gt;</w:instrText>
      </w:r>
      <w:r w:rsidR="00E729BA">
        <w:fldChar w:fldCharType="separate"/>
      </w:r>
      <w:r w:rsidR="004D7951">
        <w:t>(27)</w:t>
      </w:r>
      <w:r w:rsidR="00E729BA">
        <w:fldChar w:fldCharType="end"/>
      </w:r>
      <w:r>
        <w:t xml:space="preserve">. </w:t>
      </w:r>
    </w:p>
    <w:p w:rsidR="00E368B4" w:rsidRDefault="00E368B4" w:rsidP="00033F8F">
      <w:r>
        <w:t>The costs and QALYs for each treatment can be estimated alongside the clinical trial to report a wit</w:t>
      </w:r>
      <w:r w:rsidR="00AC6781">
        <w:t>hin trial analysis</w:t>
      </w:r>
      <w:r w:rsidR="004336A5">
        <w:t xml:space="preserve"> </w:t>
      </w:r>
      <w:r w:rsidR="00E729BA">
        <w:fldChar w:fldCharType="begin"/>
      </w:r>
      <w:r w:rsidR="00FC61FD">
        <w:instrText xml:space="preserve"> ADDIN REFMGR.CITE &lt;Refman&gt;&lt;Cite&gt;&lt;Author&gt;Buxton&lt;/Author&gt;&lt;Year&gt;1997&lt;/Year&gt;&lt;RecNum&gt;1462&lt;/RecNum&gt;&lt;IDText&gt;Modelling in economic evaluation: an unavoidable fact of life&lt;/IDText&gt;&lt;MDL Ref_Type="Journal"&gt;&lt;Ref_Type&gt;Journal&lt;/Ref_Type&gt;&lt;Ref_ID&gt;1462&lt;/Ref_ID&gt;&lt;Title_Primary&gt;Modelling in economic evaluation: an unavoidable fact of life&lt;/Title_Primary&gt;&lt;Authors_Primary&gt;Buxton,M.J.&lt;/Authors_Primary&gt;&lt;Authors_Primary&gt;Drummond,M.F.&lt;/Authors_Primary&gt;&lt;Authors_Primary&gt;Van Hout,B.A.&lt;/Authors_Primary&gt;&lt;Authors_Primary&gt;Prince,R.L.&lt;/Authors_Primary&gt;&lt;Authors_Primary&gt;Sheldon,T.A.&lt;/Authors_Primary&gt;&lt;Authors_Primary&gt;Szucs,T.&lt;/Authors_Primary&gt;&lt;Authors_Primary&gt;Vray,M.&lt;/Authors_Primary&gt;&lt;Date_Primary&gt;1997/5&lt;/Date_Primary&gt;&lt;Keywords&gt;clinical trial&lt;/Keywords&gt;&lt;Keywords&gt;Clinical Trials as Topic&lt;/Keywords&gt;&lt;Keywords&gt;Cost-Benefit Analysis&lt;/Keywords&gt;&lt;Keywords&gt;Databases,Factual&lt;/Keywords&gt;&lt;Keywords&gt;Decision Support Techniques&lt;/Keywords&gt;&lt;Keywords&gt;evaluation&lt;/Keywords&gt;&lt;Keywords&gt;Forecasting&lt;/Keywords&gt;&lt;Keywords&gt;Humans&lt;/Keywords&gt;&lt;Keywords&gt;Life&lt;/Keywords&gt;&lt;Keywords&gt;methods&lt;/Keywords&gt;&lt;Keywords&gt;Models,Economic&lt;/Keywords&gt;&lt;Keywords&gt;standards&lt;/Keywords&gt;&lt;Keywords&gt;supply &amp;amp; distribution&lt;/Keywords&gt;&lt;Reprint&gt;Not in File&lt;/Reprint&gt;&lt;Start_Page&gt;217&lt;/Start_Page&gt;&lt;End_Page&gt;227&lt;/End_Page&gt;&lt;Periodical&gt;Health Econ.&lt;/Periodical&gt;&lt;Volume&gt;6&lt;/Volume&gt;&lt;Issue&gt;3&lt;/Issue&gt;&lt;ZZ_JournalStdAbbrev&gt;&lt;f name="System"&gt;Health Econ.&lt;/f&gt;&lt;/ZZ_JournalStdAbbrev&gt;&lt;ZZ_WorkformID&gt;1&lt;/ZZ_WorkformID&gt;&lt;/MDL&gt;&lt;/Cite&gt;&lt;/Refman&gt;</w:instrText>
      </w:r>
      <w:r w:rsidR="00E729BA">
        <w:fldChar w:fldCharType="separate"/>
      </w:r>
      <w:r w:rsidR="004D7951">
        <w:t>(28)</w:t>
      </w:r>
      <w:r w:rsidR="00E729BA">
        <w:fldChar w:fldCharType="end"/>
      </w:r>
      <w:r w:rsidR="00AC6781">
        <w:t>. However, this type of</w:t>
      </w:r>
      <w:r>
        <w:t xml:space="preserve"> assessment only considers the costs and outcomes observed during trial follow-up. A longer time perspective is needed for chronic diseases such as SLE where important health implications </w:t>
      </w:r>
      <w:r w:rsidR="00AC6781">
        <w:t>occur after the trial follow-up</w:t>
      </w:r>
      <w:r w:rsidR="004336A5">
        <w:t xml:space="preserve"> </w:t>
      </w:r>
      <w:r w:rsidR="00E729BA">
        <w:fldChar w:fldCharType="begin"/>
      </w:r>
      <w:r w:rsidR="00FC61FD">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fldChar w:fldCharType="separate"/>
      </w:r>
      <w:r w:rsidR="004D7951">
        <w:t>(29)</w:t>
      </w:r>
      <w:r w:rsidR="00E729BA">
        <w:fldChar w:fldCharType="end"/>
      </w:r>
      <w:r>
        <w:t xml:space="preserve">. </w:t>
      </w:r>
      <w:r w:rsidR="00033F8F">
        <w:t>Cost-effectiveness (CE) modelling is frequently adopted in economic evaluation to extrapolate cost and QALY gains beyond trial follow-up</w:t>
      </w:r>
      <w:r w:rsidR="004336A5">
        <w:t xml:space="preserve"> </w:t>
      </w:r>
      <w:r w:rsidR="00E729BA">
        <w:fldChar w:fldCharType="begin"/>
      </w:r>
      <w:r w:rsidR="00FC61FD">
        <w:instrText xml:space="preserve"> ADDIN REFMGR.CITE &lt;Refman&gt;&lt;Cite&gt;&lt;Author&gt;Buxton&lt;/Author&gt;&lt;Year&gt;1997&lt;/Year&gt;&lt;RecNum&gt;1462&lt;/RecNum&gt;&lt;IDText&gt;Modelling in economic evaluation: an unavoidable fact of life&lt;/IDText&gt;&lt;MDL Ref_Type="Journal"&gt;&lt;Ref_Type&gt;Journal&lt;/Ref_Type&gt;&lt;Ref_ID&gt;1462&lt;/Ref_ID&gt;&lt;Title_Primary&gt;Modelling in economic evaluation: an unavoidable fact of life&lt;/Title_Primary&gt;&lt;Authors_Primary&gt;Buxton,M.J.&lt;/Authors_Primary&gt;&lt;Authors_Primary&gt;Drummond,M.F.&lt;/Authors_Primary&gt;&lt;Authors_Primary&gt;Van Hout,B.A.&lt;/Authors_Primary&gt;&lt;Authors_Primary&gt;Prince,R.L.&lt;/Authors_Primary&gt;&lt;Authors_Primary&gt;Sheldon,T.A.&lt;/Authors_Primary&gt;&lt;Authors_Primary&gt;Szucs,T.&lt;/Authors_Primary&gt;&lt;Authors_Primary&gt;Vray,M.&lt;/Authors_Primary&gt;&lt;Date_Primary&gt;1997/5&lt;/Date_Primary&gt;&lt;Keywords&gt;clinical trial&lt;/Keywords&gt;&lt;Keywords&gt;Clinical Trials as Topic&lt;/Keywords&gt;&lt;Keywords&gt;Cost-Benefit Analysis&lt;/Keywords&gt;&lt;Keywords&gt;Databases,Factual&lt;/Keywords&gt;&lt;Keywords&gt;Decision Support Techniques&lt;/Keywords&gt;&lt;Keywords&gt;evaluation&lt;/Keywords&gt;&lt;Keywords&gt;Forecasting&lt;/Keywords&gt;&lt;Keywords&gt;Humans&lt;/Keywords&gt;&lt;Keywords&gt;Life&lt;/Keywords&gt;&lt;Keywords&gt;methods&lt;/Keywords&gt;&lt;Keywords&gt;Models,Economic&lt;/Keywords&gt;&lt;Keywords&gt;standards&lt;/Keywords&gt;&lt;Keywords&gt;supply &amp;amp; distribution&lt;/Keywords&gt;&lt;Reprint&gt;Not in File&lt;/Reprint&gt;&lt;Start_Page&gt;217&lt;/Start_Page&gt;&lt;End_Page&gt;227&lt;/End_Page&gt;&lt;Periodical&gt;Health Econ.&lt;/Periodical&gt;&lt;Volume&gt;6&lt;/Volume&gt;&lt;Issue&gt;3&lt;/Issue&gt;&lt;ZZ_JournalStdAbbrev&gt;&lt;f name="System"&gt;Health Econ.&lt;/f&gt;&lt;/ZZ_JournalStdAbbrev&gt;&lt;ZZ_WorkformID&gt;1&lt;/ZZ_WorkformID&gt;&lt;/MDL&gt;&lt;/Cite&gt;&lt;/Refman&gt;</w:instrText>
      </w:r>
      <w:r w:rsidR="00E729BA">
        <w:fldChar w:fldCharType="separate"/>
      </w:r>
      <w:r w:rsidR="004D7951">
        <w:t>(28)</w:t>
      </w:r>
      <w:r w:rsidR="00E729BA">
        <w:fldChar w:fldCharType="end"/>
      </w:r>
      <w:r w:rsidR="00A564B0">
        <w:t>.</w:t>
      </w:r>
    </w:p>
    <w:p w:rsidR="007643C5" w:rsidRDefault="007643C5" w:rsidP="00EE2E22">
      <w:r>
        <w:t xml:space="preserve">Cost-effectiveness models can be used to evaluate the long term consequences of treatment and have been recommended </w:t>
      </w:r>
      <w:r w:rsidR="00F12F58">
        <w:t xml:space="preserve">in a number of review articles </w:t>
      </w:r>
      <w:r>
        <w:t xml:space="preserve">(22;24). One advantage of this approach is that the patient outcomes can be extrapolated beyond the period of trial follow-up. Decision-analytic models can be used to synthesise clinical evidence from randomised controlled trials, with epidemiology data, cost-of illness studies and utility estimates. This approach is the most appropriate for use in evaluating SLE treatments because it is a chronic disease. There are several types of modelling structures and the choice of modelling structure should relate to the role of expected values, patient heterogeneity and time </w:t>
      </w:r>
      <w:r w:rsidR="00E729BA">
        <w:fldChar w:fldCharType="begin"/>
      </w:r>
      <w:r w:rsidR="00FC61FD">
        <w:instrText xml:space="preserve"> ADDIN REFMGR.CITE &lt;Refman&gt;&lt;Cite&gt;&lt;Author&gt;Brennan&lt;/Author&gt;&lt;Year&gt;2006&lt;/Year&gt;&lt;RecNum&gt;1684&lt;/RecNum&gt;&lt;IDText&gt;A taxonomy of model structures for economic evaluation of health technologies&lt;/IDText&gt;&lt;MDL Ref_Type="Journal"&gt;&lt;Ref_Type&gt;Journal&lt;/Ref_Type&gt;&lt;Ref_ID&gt;1684&lt;/Ref_ID&gt;&lt;Title_Primary&gt;A taxonomy of model structures for economic evaluation of health technologies&lt;/Title_Primary&gt;&lt;Authors_Primary&gt;Brennan,A.&lt;/Authors_Primary&gt;&lt;Authors_Primary&gt;Chick,S.E.&lt;/Authors_Primary&gt;&lt;Authors_Primary&gt;Davies,R.&lt;/Authors_Primary&gt;&lt;Date_Primary&gt;2006/12&lt;/Date_Primary&gt;&lt;Keywords&gt;Cost-Benefit Analysis&lt;/Keywords&gt;&lt;Keywords&gt;Decision Trees&lt;/Keywords&gt;&lt;Keywords&gt;Disease&lt;/Keywords&gt;&lt;Keywords&gt;economics&lt;/Keywords&gt;&lt;Keywords&gt;evaluation&lt;/Keywords&gt;&lt;Keywords&gt;Great Britain&lt;/Keywords&gt;&lt;Keywords&gt;Health&lt;/Keywords&gt;&lt;Keywords&gt;Markov Chains&lt;/Keywords&gt;&lt;Keywords&gt;Models,Theoretical&lt;/Keywords&gt;&lt;Keywords&gt;population&lt;/Keywords&gt;&lt;Keywords&gt;Research&lt;/Keywords&gt;&lt;Keywords&gt;Technology Assessment,Biomedical&lt;/Keywords&gt;&lt;Keywords&gt;Time&lt;/Keywords&gt;&lt;Reprint&gt;Not in File&lt;/Reprint&gt;&lt;Start_Page&gt;1295&lt;/Start_Page&gt;&lt;End_Page&gt;1310&lt;/End_Page&gt;&lt;Periodical&gt;Health Econ.&lt;/Periodical&gt;&lt;Volume&gt;15&lt;/Volume&gt;&lt;Issue&gt;12&lt;/Issue&gt;&lt;ZZ_JournalStdAbbrev&gt;&lt;f name="System"&gt;Health Econ.&lt;/f&gt;&lt;/ZZ_JournalStdAbbrev&gt;&lt;ZZ_WorkformID&gt;1&lt;/ZZ_WorkformID&gt;&lt;/MDL&gt;&lt;/Cite&gt;&lt;/Refman&gt;</w:instrText>
      </w:r>
      <w:r w:rsidR="00E729BA">
        <w:fldChar w:fldCharType="separate"/>
      </w:r>
      <w:r w:rsidR="004D7951">
        <w:t>(30)</w:t>
      </w:r>
      <w:r w:rsidR="00E729BA">
        <w:fldChar w:fldCharType="end"/>
      </w:r>
      <w:r>
        <w:t xml:space="preserve">.  </w:t>
      </w:r>
    </w:p>
    <w:p w:rsidR="000A5548" w:rsidRDefault="00A564B0" w:rsidP="007643C5">
      <w:r>
        <w:t xml:space="preserve">A CE model comprises a set of input parameters, </w:t>
      </w:r>
      <m:oMath>
        <m:r>
          <w:rPr>
            <w:rFonts w:ascii="Cambria Math" w:hAnsi="Cambria Math"/>
          </w:rPr>
          <m:t>θ</m:t>
        </m:r>
      </m:oMath>
      <w:r>
        <w:t>, to express estimates of treatment effectiveness, disease natural history, costs and utilities. CE</w:t>
      </w:r>
      <w:r w:rsidR="00EE0290">
        <w:t xml:space="preserve"> models synthesise </w:t>
      </w:r>
      <w:r>
        <w:t>data</w:t>
      </w:r>
      <w:r w:rsidR="00EE0290">
        <w:t xml:space="preserve"> from randomised controlled trials, epidemiology data, cost-of illness studies and utility estimates</w:t>
      </w:r>
      <w:r>
        <w:t>, from which the</w:t>
      </w:r>
      <w:r w:rsidR="00462E08">
        <w:t xml:space="preserve"> CE</w:t>
      </w:r>
      <w:r>
        <w:t xml:space="preserve"> model generates the lifetime costs and QALYs for each intervention</w:t>
      </w:r>
      <w:r w:rsidR="00EE0290">
        <w:t xml:space="preserve">. </w:t>
      </w:r>
    </w:p>
    <w:p w:rsidR="00EE0290" w:rsidRDefault="000A5548" w:rsidP="00F12F58">
      <w:r>
        <w:t>I consider</w:t>
      </w:r>
      <w:r w:rsidR="00F12F58">
        <w:t>ed</w:t>
      </w:r>
      <w:r>
        <w:t xml:space="preserve"> a</w:t>
      </w:r>
      <w:r w:rsidR="00EE0290">
        <w:t xml:space="preserve"> CE model comparing</w:t>
      </w:r>
      <w:r w:rsidR="00F12F58">
        <w:t xml:space="preserve"> two treatment options to be consistent with the decision problem faced by the Pharmaceutical Company developing a new treatment for SLE.</w:t>
      </w:r>
      <w:r w:rsidR="00EE0290">
        <w:t xml:space="preserve"> </w:t>
      </w:r>
      <w:r w:rsidR="00F12F58">
        <w:t>The</w:t>
      </w:r>
      <w:r>
        <w:t xml:space="preserve"> existing </w:t>
      </w:r>
      <w:r w:rsidR="00EE0290">
        <w:t xml:space="preserve">intervention, </w:t>
      </w:r>
      <m:oMath>
        <m:r>
          <w:rPr>
            <w:rFonts w:ascii="Cambria Math" w:hAnsi="Cambria Math"/>
          </w:rPr>
          <m:t>i=1</m:t>
        </m:r>
      </m:oMath>
      <w:r>
        <w:t xml:space="preserve"> </w:t>
      </w:r>
      <w:r w:rsidR="00F12F58">
        <w:t xml:space="preserve">would be compared </w:t>
      </w:r>
      <w:r>
        <w:t xml:space="preserve">with a new intervention, </w:t>
      </w:r>
      <m:oMath>
        <m:r>
          <w:rPr>
            <w:rFonts w:ascii="Cambria Math" w:hAnsi="Cambria Math"/>
          </w:rPr>
          <m:t>i=2</m:t>
        </m:r>
      </m:oMath>
      <w:r>
        <w:t>. The decision whether to adopt the new treatment is made based on the incremental net benefit it provides compared with the existing technology. The CE model</w:t>
      </w:r>
      <w:r w:rsidR="00EE0290">
        <w:t xml:space="preserve"> can be used to estimate the incremental mean effectiveness and incremental mean costs to give the mean incremental net benefit</w:t>
      </w:r>
      <w:r w:rsidR="004D7951">
        <w:t xml:space="preserve"> (INB)</w:t>
      </w:r>
      <w:r w:rsidR="00EE029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
        <w:gridCol w:w="7079"/>
        <w:gridCol w:w="835"/>
      </w:tblGrid>
      <w:tr w:rsidR="002367E4" w:rsidTr="00FB7FA6">
        <w:trPr>
          <w:trHeight w:val="435"/>
        </w:trPr>
        <w:tc>
          <w:tcPr>
            <w:tcW w:w="534" w:type="dxa"/>
          </w:tcPr>
          <w:p w:rsidR="002367E4" w:rsidRDefault="002367E4" w:rsidP="002367E4"/>
        </w:tc>
        <w:tc>
          <w:tcPr>
            <w:tcW w:w="7796" w:type="dxa"/>
          </w:tcPr>
          <w:p w:rsidR="002367E4" w:rsidRDefault="002367E4" w:rsidP="002367E4">
            <m:oMathPara>
              <m:oMath>
                <m:r>
                  <w:rPr>
                    <w:rFonts w:ascii="Cambria Math" w:hAnsi="Cambria Math"/>
                  </w:rPr>
                  <m:t>INB=λ</m:t>
                </m:r>
                <m:d>
                  <m:dPr>
                    <m:ctrlPr>
                      <w:rPr>
                        <w:rFonts w:ascii="Cambria Math" w:hAnsi="Cambria Math"/>
                        <w:i/>
                      </w:rPr>
                    </m:ctrlPr>
                  </m:dPr>
                  <m:e>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|θ</m:t>
                        </m:r>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|θ</m:t>
                        </m:r>
                      </m:e>
                    </m:d>
                  </m:e>
                </m:d>
                <m:r>
                  <w:rPr>
                    <w:rFonts w:ascii="Cambria Math" w:hAnsi="Cambria Math"/>
                  </w:rPr>
                  <m:t>-</m:t>
                </m:r>
                <m:d>
                  <m:dPr>
                    <m:ctrlPr>
                      <w:rPr>
                        <w:rFonts w:ascii="Cambria Math" w:hAnsi="Cambria Math"/>
                        <w:i/>
                      </w:rPr>
                    </m:ctrlPr>
                  </m:dPr>
                  <m:e>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|θ</m:t>
                        </m:r>
                      </m:e>
                    </m:d>
                    <m: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|θ</m:t>
                        </m:r>
                      </m:e>
                    </m:d>
                  </m:e>
                </m:d>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e</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c</m:t>
                        </m:r>
                      </m:sub>
                    </m:sSub>
                  </m:e>
                </m:d>
              </m:oMath>
            </m:oMathPara>
          </w:p>
        </w:tc>
        <w:tc>
          <w:tcPr>
            <w:tcW w:w="912" w:type="dxa"/>
          </w:tcPr>
          <w:p w:rsidR="002367E4" w:rsidRDefault="002367E4" w:rsidP="00597CF5">
            <w:pPr>
              <w:pStyle w:val="ListParagraph"/>
              <w:numPr>
                <w:ilvl w:val="1"/>
                <w:numId w:val="30"/>
              </w:numPr>
              <w:bidi/>
              <w:ind w:right="220"/>
              <w:jc w:val="right"/>
            </w:pPr>
          </w:p>
        </w:tc>
      </w:tr>
    </w:tbl>
    <w:p w:rsidR="00EE0290" w:rsidRDefault="00EE0290" w:rsidP="004336A5">
      <w:r>
        <w:t xml:space="preserve">where the expectations of </w:t>
      </w:r>
      <w:r w:rsidRPr="002C3F3B">
        <w:rPr>
          <w:i/>
          <w:iCs/>
        </w:rPr>
        <w:t>e</w:t>
      </w:r>
      <w:r>
        <w:t xml:space="preserve"> and </w:t>
      </w:r>
      <w:r w:rsidRPr="002C3F3B">
        <w:rPr>
          <w:i/>
          <w:iCs/>
        </w:rPr>
        <w:t>c</w:t>
      </w:r>
      <w:r>
        <w:t xml:space="preserve"> are </w:t>
      </w:r>
      <w:r w:rsidR="004336A5">
        <w:t>functions of</w:t>
      </w:r>
      <w:r>
        <w:t xml:space="preserve"> </w:t>
      </w:r>
      <m:oMath>
        <m:r>
          <w:rPr>
            <w:rFonts w:ascii="Cambria Math" w:hAnsi="Cambria Math"/>
          </w:rPr>
          <m:t>θ</m:t>
        </m:r>
      </m:oMath>
      <w:r>
        <w:t xml:space="preserve">. </w:t>
      </w:r>
      <w:r w:rsidR="00A564B0">
        <w:t xml:space="preserve">Incremental net benefit describes the gains or losses, </w:t>
      </w:r>
      <w:r w:rsidR="005D1881">
        <w:t>in monetary terms, of selecting</w:t>
      </w:r>
      <w:r w:rsidR="00A564B0">
        <w:t xml:space="preserve"> treatment </w:t>
      </w:r>
      <w:r w:rsidR="005D1881">
        <w:t>2</w:t>
      </w:r>
      <w:r w:rsidR="004336A5">
        <w:t xml:space="preserve"> rather than treatment 1</w:t>
      </w:r>
      <w:r>
        <w:t xml:space="preserve">. </w:t>
      </w:r>
    </w:p>
    <w:p w:rsidR="005059E1" w:rsidRDefault="00E368B4" w:rsidP="004D7951">
      <w:r>
        <w:t xml:space="preserve">CE models account for uncertainty in the input parameters </w:t>
      </w:r>
      <m:oMath>
        <m:r>
          <w:rPr>
            <w:rFonts w:ascii="Cambria Math" w:hAnsi="Cambria Math"/>
          </w:rPr>
          <m:t>θ</m:t>
        </m:r>
      </m:oMath>
      <w:r>
        <w:t xml:space="preserve">, by </w:t>
      </w:r>
      <w:r w:rsidR="009554D6">
        <w:t>drawing samples fr</w:t>
      </w:r>
      <w:r w:rsidR="004336A5">
        <w:t xml:space="preserve">om the </w:t>
      </w:r>
      <w:r w:rsidR="00211DD2">
        <w:t xml:space="preserve">probability distribution of the </w:t>
      </w:r>
      <w:r w:rsidR="004336A5">
        <w:t xml:space="preserve">parameter </w:t>
      </w:r>
      <w:r w:rsidR="00E729BA">
        <w:fldChar w:fldCharType="begin"/>
      </w:r>
      <w:r w:rsidR="00FC61FD">
        <w:instrText xml:space="preserve"> ADDIN REFMGR.CITE &lt;Refman&gt;&lt;Cite&gt;&lt;Author&gt;Briggs&lt;/Author&gt;&lt;Year&gt;1999&lt;/Year&gt;&lt;RecNum&gt;1623&lt;/RecNum&gt;&lt;IDText&gt;A Bayesian approach to stochastic cost-effectiveness analysis&lt;/IDText&gt;&lt;MDL Ref_Type="Journal"&gt;&lt;Ref_Type&gt;Journal&lt;/Ref_Type&gt;&lt;Ref_ID&gt;1623&lt;/Ref_ID&gt;&lt;Title_Primary&gt;A Bayesian approach to stochastic cost-effectiveness analysis&lt;/Title_Primary&gt;&lt;Authors_Primary&gt;Briggs,A.H.&lt;/Authors_Primary&gt;&lt;Date_Primary&gt;1999/5&lt;/Date_Primary&gt;&lt;Keywords&gt;analysis&lt;/Keywords&gt;&lt;Keywords&gt;Bayes Theorem&lt;/Keywords&gt;&lt;Keywords&gt;Clinical Trials as Topic&lt;/Keywords&gt;&lt;Keywords&gt;Cost-Benefit Analysis&lt;/Keywords&gt;&lt;Keywords&gt;Decision Making&lt;/Keywords&gt;&lt;Keywords&gt;Decision Support Techniques&lt;/Keywords&gt;&lt;Keywords&gt;economics&lt;/Keywords&gt;&lt;Keywords&gt;Health&lt;/Keywords&gt;&lt;Keywords&gt;Health Services Research&lt;/Keywords&gt;&lt;Keywords&gt;Humans&lt;/Keywords&gt;&lt;Keywords&gt;Likelihood Functions&lt;/Keywords&gt;&lt;Keywords&gt;methods&lt;/Keywords&gt;&lt;Keywords&gt;Probability&lt;/Keywords&gt;&lt;Keywords&gt;Research&lt;/Keywords&gt;&lt;Keywords&gt;statistics &amp;amp; numerical data&lt;/Keywords&gt;&lt;Reprint&gt;Not in File&lt;/Reprint&gt;&lt;Start_Page&gt;257&lt;/Start_Page&gt;&lt;End_Page&gt;261&lt;/End_Page&gt;&lt;Periodical&gt;Health Econ.&lt;/Periodical&gt;&lt;Volume&gt;8&lt;/Volume&gt;&lt;Issue&gt;3&lt;/Issue&gt;&lt;ZZ_JournalStdAbbrev&gt;&lt;f name="System"&gt;Health Econ.&lt;/f&gt;&lt;/ZZ_JournalStdAbbrev&gt;&lt;ZZ_WorkformID&gt;1&lt;/ZZ_WorkformID&gt;&lt;/MDL&gt;&lt;/Cite&gt;&lt;/Refman&gt;</w:instrText>
      </w:r>
      <w:r w:rsidR="00E729BA">
        <w:fldChar w:fldCharType="separate"/>
      </w:r>
      <w:r w:rsidR="004D7951">
        <w:t>(31)</w:t>
      </w:r>
      <w:r w:rsidR="00E729BA">
        <w:fldChar w:fldCharType="end"/>
      </w:r>
      <w:r>
        <w:t>. This approach accounts for the decision maker</w:t>
      </w:r>
      <w:r w:rsidR="004D7951">
        <w:t>’</w:t>
      </w:r>
      <w:r>
        <w:t xml:space="preserve">s imperfect knowledge of the population parameters. Probabilistic sensitivity analysis (PSA) is used to characterise the </w:t>
      </w:r>
      <w:r w:rsidR="005D1881">
        <w:t xml:space="preserve">input </w:t>
      </w:r>
      <w:r>
        <w:t xml:space="preserve">parameter uncertainty surrounding the costs and outcomes of the economic evaluation </w:t>
      </w:r>
      <w:r w:rsidR="00E729BA">
        <w:fldChar w:fldCharType="begin"/>
      </w:r>
      <w:r w:rsidR="00FC61FD">
        <w:instrText xml:space="preserve"> ADDIN REFMGR.CITE &lt;Refman&gt;&lt;Cite&gt;&lt;Author&gt;Claxton&lt;/Author&gt;&lt;Year&gt;2005&lt;/Year&gt;&lt;RecNum&gt;1491&lt;/RecNum&gt;&lt;IDText&gt;Probabilistic sensitivity analysis for NICE technology assessment: not an optional extra&lt;/IDText&gt;&lt;MDL Ref_Type="Journal"&gt;&lt;Ref_Type&gt;Journal&lt;/Ref_Type&gt;&lt;Ref_ID&gt;1491&lt;/Ref_ID&gt;&lt;Title_Primary&gt;Probabilistic sensitivity analysis for NICE technology assessment: not an optional extra&lt;/Title_Primary&gt;&lt;Authors_Primary&gt;Claxton,K.&lt;/Authors_Primary&gt;&lt;Authors_Primary&gt;Sculpher,M.&lt;/Authors_Primary&gt;&lt;Authors_Primary&gt;McCabe,C.&lt;/Authors_Primary&gt;&lt;Authors_Primary&gt;Briggs,A.&lt;/Authors_Primary&gt;&lt;Authors_Primary&gt;Akehurst,R.&lt;/Authors_Primary&gt;&lt;Authors_Primary&gt;Buxton,M.&lt;/Authors_Primary&gt;&lt;Authors_Primary&gt;Brazier,J.&lt;/Authors_Primary&gt;&lt;Authors_Primary&gt;O&amp;apos;Hagan,T.&lt;/Authors_Primary&gt;&lt;Date_Primary&gt;2005/4&lt;/Date_Primary&gt;&lt;Keywords&gt;analysis&lt;/Keywords&gt;&lt;Keywords&gt;Cost-Benefit Analysis&lt;/Keywords&gt;&lt;Keywords&gt;Decision Support Techniques&lt;/Keywords&gt;&lt;Keywords&gt;economics&lt;/Keywords&gt;&lt;Keywords&gt;Guidelines as Topic&lt;/Keywords&gt;&lt;Keywords&gt;Health&lt;/Keywords&gt;&lt;Keywords&gt;methods&lt;/Keywords&gt;&lt;Keywords&gt;Models,Statistical&lt;/Keywords&gt;&lt;Keywords&gt;Research&lt;/Keywords&gt;&lt;Keywords&gt;standards&lt;/Keywords&gt;&lt;Keywords&gt;statistics &amp;amp; numerical data&lt;/Keywords&gt;&lt;Keywords&gt;Technology Assessment,Biomedical&lt;/Keywords&gt;&lt;Reprint&gt;Not in File&lt;/Reprint&gt;&lt;Start_Page&gt;339&lt;/Start_Page&gt;&lt;End_Page&gt;347&lt;/End_Page&gt;&lt;Periodical&gt;Health Econ.&lt;/Periodical&gt;&lt;Volume&gt;14&lt;/Volume&gt;&lt;Issue&gt;4&lt;/Issue&gt;&lt;User_Def_1&gt;Economic evaluation&lt;/User_Def_1&gt;&lt;User_Def_3&gt;Probabilistic sensitivity analysis&lt;/User_Def_3&gt;&lt;ZZ_JournalStdAbbrev&gt;&lt;f name="System"&gt;Health Econ.&lt;/f&gt;&lt;/ZZ_JournalStdAbbrev&gt;&lt;ZZ_WorkformID&gt;1&lt;/ZZ_WorkformID&gt;&lt;/MDL&gt;&lt;/Cite&gt;&lt;/Refman&gt;</w:instrText>
      </w:r>
      <w:r w:rsidR="00E729BA">
        <w:fldChar w:fldCharType="separate"/>
      </w:r>
      <w:r w:rsidR="004D7951">
        <w:t>(13)</w:t>
      </w:r>
      <w:r w:rsidR="00E729BA">
        <w:fldChar w:fldCharType="end"/>
      </w:r>
      <w:r>
        <w:t>. Probability distributions are assigned to the parameter inputs of the</w:t>
      </w:r>
      <w:r w:rsidR="00462E08">
        <w:t xml:space="preserve"> CE</w:t>
      </w:r>
      <w:r>
        <w:t xml:space="preserve"> model</w:t>
      </w:r>
      <w:r w:rsidR="00EE0290">
        <w:t xml:space="preserve"> and multiple </w:t>
      </w:r>
      <w:r>
        <w:t>CE model</w:t>
      </w:r>
      <w:r w:rsidR="00EE0290">
        <w:t xml:space="preserve"> outcomes</w:t>
      </w:r>
      <w:r w:rsidR="006D192A">
        <w:t xml:space="preserve"> are</w:t>
      </w:r>
      <w:r>
        <w:t xml:space="preserve"> </w:t>
      </w:r>
      <w:r w:rsidR="006D192A">
        <w:t>estimated</w:t>
      </w:r>
      <w:r>
        <w:t xml:space="preserve"> using Monte Carlo (MC) Simulation </w:t>
      </w:r>
      <w:r w:rsidR="00E729BA">
        <w:fldChar w:fldCharType="begin"/>
      </w:r>
      <w:r w:rsidR="00FC61FD">
        <w:instrText xml:space="preserve"> ADDIN REFMGR.CITE &lt;Refman&gt;&lt;Cite&gt;&lt;Author&gt;Sonnenberg&lt;/Author&gt;&lt;Year&gt;1993&lt;/Year&gt;&lt;RecNum&gt;1622&lt;/RecNum&gt;&lt;IDText&gt;Markov models in medical decision making: a practical guide&lt;/IDText&gt;&lt;MDL Ref_Type="Journal"&gt;&lt;Ref_Type&gt;Journal&lt;/Ref_Type&gt;&lt;Ref_ID&gt;1622&lt;/Ref_ID&gt;&lt;Title_Primary&gt;Markov models in medical decision making: a practical guide&lt;/Title_Primary&gt;&lt;Authors_Primary&gt;Sonnenberg,F.A.&lt;/Authors_Primary&gt;&lt;Authors_Primary&gt;Beck,J.R.&lt;/Authors_Primary&gt;&lt;Date_Primary&gt;1993/10&lt;/Date_Primary&gt;&lt;Keywords&gt;administration &amp;amp; dosage&lt;/Keywords&gt;&lt;Keywords&gt;Adult&lt;/Keywords&gt;&lt;Keywords&gt;adverse effects&lt;/Keywords&gt;&lt;Keywords&gt;Anticoagulants&lt;/Keywords&gt;&lt;Keywords&gt;chemically induced&lt;/Keywords&gt;&lt;Keywords&gt;Cohort Studies&lt;/Keywords&gt;&lt;Keywords&gt;Decision Making&lt;/Keywords&gt;&lt;Keywords&gt;Decision Support Techniques&lt;/Keywords&gt;&lt;Keywords&gt;Decision Trees&lt;/Keywords&gt;&lt;Keywords&gt;Embolism&lt;/Keywords&gt;&lt;Keywords&gt;Health&lt;/Keywords&gt;&lt;Keywords&gt;Heart Valve Prosthesis&lt;/Keywords&gt;&lt;Keywords&gt;Hemorrhage&lt;/Keywords&gt;&lt;Keywords&gt;Humans&lt;/Keywords&gt;&lt;Keywords&gt;Kidney Transplantation&lt;/Keywords&gt;&lt;Keywords&gt;Male&lt;/Keywords&gt;&lt;Keywords&gt;Markov Chains&lt;/Keywords&gt;&lt;Keywords&gt;Monte Carlo Method&lt;/Keywords&gt;&lt;Keywords&gt;mortality&lt;/Keywords&gt;&lt;Keywords&gt;patient&lt;/Keywords&gt;&lt;Keywords&gt;Postoperative Complications&lt;/Keywords&gt;&lt;Keywords&gt;prevention &amp;amp; control&lt;/Keywords&gt;&lt;Keywords&gt;Probability&lt;/Keywords&gt;&lt;Keywords&gt;Prognosis&lt;/Keywords&gt;&lt;Keywords&gt;Quality of Life&lt;/Keywords&gt;&lt;Keywords&gt;Risk&lt;/Keywords&gt;&lt;Keywords&gt;Survival Rate&lt;/Keywords&gt;&lt;Keywords&gt;Time&lt;/Keywords&gt;&lt;Reprint&gt;Not in File&lt;/Reprint&gt;&lt;Start_Page&gt;322&lt;/Start_Page&gt;&lt;End_Page&gt;338&lt;/End_Page&gt;&lt;Periodical&gt;Med.Decis.Making.&lt;/Periodical&gt;&lt;Volume&gt;13&lt;/Volume&gt;&lt;Issue&gt;4&lt;/Issue&gt;&lt;ZZ_JournalStdAbbrev&gt;&lt;f name="System"&gt;Med.Decis.Making.&lt;/f&gt;&lt;/ZZ_JournalStdAbbrev&gt;&lt;ZZ_WorkformID&gt;1&lt;/ZZ_WorkformID&gt;&lt;/MDL&gt;&lt;/Cite&gt;&lt;/Refman&gt;</w:instrText>
      </w:r>
      <w:r w:rsidR="00E729BA">
        <w:fldChar w:fldCharType="separate"/>
      </w:r>
      <w:r w:rsidR="00F12F58">
        <w:t>(32)</w:t>
      </w:r>
      <w:r w:rsidR="00E729BA">
        <w:fldChar w:fldCharType="end"/>
      </w:r>
      <w:r>
        <w:t xml:space="preserve">. For each iteration of the PSA </w:t>
      </w:r>
      <m:oMath>
        <m:r>
          <w:rPr>
            <w:rFonts w:ascii="Cambria Math" w:hAnsi="Cambria Math"/>
          </w:rPr>
          <m:t>s=1,…S</m:t>
        </m:r>
      </m:oMath>
      <w:r>
        <w:t xml:space="preserve">, a set of values for </w:t>
      </w:r>
      <m:oMath>
        <m:sSub>
          <m:sSubPr>
            <m:ctrlPr>
              <w:rPr>
                <w:rFonts w:ascii="Cambria Math" w:hAnsi="Cambria Math"/>
                <w:i/>
              </w:rPr>
            </m:ctrlPr>
          </m:sSubPr>
          <m:e>
            <m:r>
              <w:rPr>
                <w:rFonts w:ascii="Cambria Math" w:hAnsi="Cambria Math"/>
              </w:rPr>
              <m:t>θ</m:t>
            </m:r>
          </m:e>
          <m:sub>
            <m:r>
              <w:rPr>
                <w:rFonts w:ascii="Cambria Math" w:hAnsi="Cambria Math"/>
              </w:rPr>
              <m:t>s</m:t>
            </m:r>
          </m:sub>
        </m:sSub>
      </m:oMath>
      <w:r>
        <w:t xml:space="preserve"> are sampled and </w:t>
      </w:r>
      <m:oMath>
        <m:r>
          <w:rPr>
            <w:rFonts w:ascii="Cambria Math" w:hAnsi="Cambria Math"/>
          </w:rPr>
          <m:t>INB|</m:t>
        </m:r>
        <m:sSub>
          <m:sSubPr>
            <m:ctrlPr>
              <w:rPr>
                <w:rFonts w:ascii="Cambria Math" w:hAnsi="Cambria Math"/>
                <w:i/>
              </w:rPr>
            </m:ctrlPr>
          </m:sSubPr>
          <m:e>
            <m:r>
              <w:rPr>
                <w:rFonts w:ascii="Cambria Math" w:hAnsi="Cambria Math"/>
              </w:rPr>
              <m:t>θ</m:t>
            </m:r>
          </m:e>
          <m:sub>
            <m:r>
              <w:rPr>
                <w:rFonts w:ascii="Cambria Math" w:hAnsi="Cambria Math"/>
              </w:rPr>
              <m:t>s</m:t>
            </m:r>
          </m:sub>
        </m:sSub>
      </m:oMath>
      <w:r>
        <w:t xml:space="preserve"> evaluated. This generates a distribution of CE model outcomes </w:t>
      </w:r>
      <w:r w:rsidR="005D1881">
        <w:t>and describes uncertainty in the INB</w:t>
      </w:r>
      <w:r>
        <w:t xml:space="preserve">. </w:t>
      </w:r>
    </w:p>
    <w:p w:rsidR="00C75B81" w:rsidRDefault="00C75B81" w:rsidP="00C75B81">
      <w:pPr>
        <w:pStyle w:val="Heading3"/>
      </w:pPr>
      <w:bookmarkStart w:id="20" w:name="_Toc379467539"/>
      <w:r>
        <w:t>Value of Information</w:t>
      </w:r>
      <w:bookmarkEnd w:id="20"/>
    </w:p>
    <w:p w:rsidR="00EF2AC6" w:rsidRDefault="000619A9" w:rsidP="004D7951">
      <w:r>
        <w:t>Decision</w:t>
      </w:r>
      <w:r w:rsidR="00EF2AC6">
        <w:t xml:space="preserve"> theory can also be applied to the decision of whether to invest in further research to help inform our decision whether treatment 1 or treatment 2 is optimal. If we are uncertain of the optimal treatment there </w:t>
      </w:r>
      <w:r w:rsidR="004D7951">
        <w:t xml:space="preserve">may be </w:t>
      </w:r>
      <w:r w:rsidR="00EF2AC6">
        <w:t>value in collecting further research to reduce the risk that we make a sub-optimal decision. The value of information express</w:t>
      </w:r>
      <w:r w:rsidR="00F01AA4">
        <w:t xml:space="preserve">es the amount that the decision </w:t>
      </w:r>
      <w:r w:rsidR="00EF2AC6">
        <w:t xml:space="preserve">maker would be willing to pay for information to reduce the uncertainty in their decision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Econ.&lt;/f&gt;&lt;/ZZ_JournalStdAbbrev&gt;&lt;ZZ_WorkformID&gt;1&lt;/ZZ_WorkformID&gt;&lt;/MDL&gt;&lt;/Cite&gt;&lt;/Refman&gt;</w:instrText>
      </w:r>
      <w:r w:rsidR="00E729BA">
        <w:fldChar w:fldCharType="separate"/>
      </w:r>
      <w:r w:rsidR="00F12F58">
        <w:t>(33)</w:t>
      </w:r>
      <w:r w:rsidR="00E729BA">
        <w:fldChar w:fldCharType="end"/>
      </w:r>
      <w:r w:rsidR="00EF2AC6">
        <w:t xml:space="preserve">. </w:t>
      </w:r>
      <w:r w:rsidR="004639E2">
        <w:t xml:space="preserve">If we have a current posterior for which </w:t>
      </w:r>
      <m:oMath>
        <m:r>
          <w:rPr>
            <w:rFonts w:ascii="Cambria Math" w:hAnsi="Cambria Math"/>
          </w:rPr>
          <m:t>E</m:t>
        </m:r>
        <m:d>
          <m:dPr>
            <m:begChr m:val="["/>
            <m:endChr m:val="]"/>
            <m:ctrlPr>
              <w:rPr>
                <w:rFonts w:ascii="Cambria Math" w:hAnsi="Cambria Math"/>
                <w:i/>
              </w:rPr>
            </m:ctrlPr>
          </m:dPr>
          <m:e>
            <m:r>
              <w:rPr>
                <w:rFonts w:ascii="Cambria Math" w:hAnsi="Cambria Math"/>
              </w:rPr>
              <m:t>INB</m:t>
            </m:r>
          </m:e>
          <m:e>
            <m:sSub>
              <m:sSubPr>
                <m:ctrlPr>
                  <w:rPr>
                    <w:rFonts w:ascii="Cambria Math" w:hAnsi="Cambria Math"/>
                    <w:i/>
                  </w:rPr>
                </m:ctrlPr>
              </m:sSubPr>
              <m:e>
                <m:r>
                  <w:rPr>
                    <w:rFonts w:ascii="Cambria Math" w:hAnsi="Cambria Math"/>
                  </w:rPr>
                  <m:t>θ</m:t>
                </m:r>
              </m:e>
              <m:sub>
                <m:r>
                  <w:rPr>
                    <w:rFonts w:ascii="Cambria Math" w:hAnsi="Cambria Math"/>
                  </w:rPr>
                  <m:t>s</m:t>
                </m:r>
              </m:sub>
            </m:sSub>
          </m:e>
        </m:d>
        <m:r>
          <w:rPr>
            <w:rFonts w:ascii="Cambria Math" w:hAnsi="Cambria Math"/>
          </w:rPr>
          <m:t>&gt;0</m:t>
        </m:r>
      </m:oMath>
      <w:r w:rsidR="004639E2">
        <w:t xml:space="preserve">, but there is uncertainty in INB, there may be some values of </w:t>
      </w:r>
      <m:oMath>
        <m:r>
          <w:rPr>
            <w:rFonts w:ascii="Cambria Math" w:hAnsi="Cambria Math"/>
          </w:rPr>
          <m:t>θ</m:t>
        </m:r>
      </m:oMath>
      <w:r w:rsidR="004639E2">
        <w:t xml:space="preserve"> for which the incremental net benefit is negative. We can calculate the value of </w:t>
      </w:r>
      <w:r w:rsidR="004D7951">
        <w:t xml:space="preserve">collected further </w:t>
      </w:r>
      <w:r w:rsidR="004639E2">
        <w:t xml:space="preserve">information by sampling values of </w:t>
      </w:r>
      <m:oMath>
        <m:r>
          <w:rPr>
            <w:rFonts w:ascii="Cambria Math" w:hAnsi="Cambria Math"/>
          </w:rPr>
          <m:t>θ</m:t>
        </m:r>
      </m:oMath>
      <w:r w:rsidR="004639E2">
        <w:t xml:space="preserve"> to estimate the expected benefits lost when a wrong decision is made. </w:t>
      </w:r>
    </w:p>
    <w:p w:rsidR="00C75B81" w:rsidRDefault="00EF2AC6" w:rsidP="00A57F96">
      <w:r>
        <w:t xml:space="preserve">In a commercial setting the value of information must be quantified in terms of the expected profits for the company. The process of valuing information must also assess the chances of regulatory approval, reimbursement and future market competition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t>(10)</w:t>
      </w:r>
      <w:r w:rsidR="00E729BA">
        <w:fldChar w:fldCharType="end"/>
      </w:r>
      <w:r>
        <w:t xml:space="preserve">. </w:t>
      </w:r>
      <w:r w:rsidR="004639E2">
        <w:t xml:space="preserve">This leads to a situation where a wrong decision to invest in a trial could lead to zero benefits if the treatment is not granted regulatory approval. </w:t>
      </w:r>
      <w:r w:rsidR="00A57F96">
        <w:t xml:space="preserve">In pharmaceutical drug development the risk of failure is important because 19%-30% of compounds that undergo clinical testing are abandoned without obtaining marketing approval </w:t>
      </w:r>
      <w:r w:rsidR="00E729BA">
        <w:fldChar w:fldCharType="begin"/>
      </w:r>
      <w:r w:rsidR="00FC61FD">
        <w:instrText xml:space="preserve"> ADDIN REFMGR.CITE &lt;Refman&gt;&lt;Cite&gt;&lt;Author&gt;Dimasi&lt;/Author&gt;&lt;Year&gt;2001&lt;/Year&gt;&lt;RecNum&gt;1666&lt;/RecNum&gt;&lt;IDText&gt;Risks in new drug development: approval success rates for investigational drugs&lt;/IDText&gt;&lt;MDL Ref_Type="Journal"&gt;&lt;Ref_Type&gt;Journal&lt;/Ref_Type&gt;&lt;Ref_ID&gt;1666&lt;/Ref_ID&gt;&lt;Title_Primary&gt;Risks in new drug development: approval success rates for investigational drugs&lt;/Title_Primary&gt;&lt;Authors_Primary&gt;Dimasi,J.A.&lt;/Authors_Primary&gt;&lt;Date_Primary&gt;2001/5&lt;/Date_Primary&gt;&lt;Keywords&gt;analysis&lt;/Keywords&gt;&lt;Keywords&gt;Databases,Factual&lt;/Keywords&gt;&lt;Keywords&gt;Drug Industry&lt;/Keywords&gt;&lt;Keywords&gt;Drugs,Investigational&lt;/Keywords&gt;&lt;Keywords&gt;economics&lt;/Keywords&gt;&lt;Keywords&gt;Humans&lt;/Keywords&gt;&lt;Keywords&gt;Probability&lt;/Keywords&gt;&lt;Keywords&gt;Research&lt;/Keywords&gt;&lt;Keywords&gt;Risk&lt;/Keywords&gt;&lt;Keywords&gt;statistics &amp;amp; numerical data&lt;/Keywords&gt;&lt;Keywords&gt;Time Factors&lt;/Keywords&gt;&lt;Keywords&gt;United States&lt;/Keywords&gt;&lt;Reprint&gt;Not in File&lt;/Reprint&gt;&lt;Start_Page&gt;297&lt;/Start_Page&gt;&lt;End_Page&gt;307&lt;/End_Page&gt;&lt;Periodical&gt;Clin.Pharmacol.Ther.&lt;/Periodical&gt;&lt;Volume&gt;69&lt;/Volume&gt;&lt;Issue&gt;5&lt;/Issue&gt;&lt;ZZ_JournalStdAbbrev&gt;&lt;f name="System"&gt;Clin.Pharmacol.Ther.&lt;/f&gt;&lt;/ZZ_JournalStdAbbrev&gt;&lt;ZZ_WorkformID&gt;1&lt;/ZZ_WorkformID&gt;&lt;/MDL&gt;&lt;/Cite&gt;&lt;/Refman&gt;</w:instrText>
      </w:r>
      <w:r w:rsidR="00E729BA">
        <w:fldChar w:fldCharType="separate"/>
      </w:r>
      <w:r w:rsidR="00F12F58">
        <w:t>(34)</w:t>
      </w:r>
      <w:r w:rsidR="00E729BA">
        <w:fldChar w:fldCharType="end"/>
      </w:r>
    </w:p>
    <w:p w:rsidR="00297C4C" w:rsidRDefault="00297C4C" w:rsidP="00297C4C">
      <w:pPr>
        <w:pStyle w:val="Heading3"/>
      </w:pPr>
      <w:bookmarkStart w:id="21" w:name="_Toc379467540"/>
      <w:r>
        <w:t>Summary</w:t>
      </w:r>
      <w:bookmarkEnd w:id="21"/>
    </w:p>
    <w:p w:rsidR="00297C4C" w:rsidRPr="00297C4C" w:rsidRDefault="00A57F96" w:rsidP="00A57F96">
      <w:r>
        <w:t>In Bayesian statistics</w:t>
      </w:r>
      <w:r w:rsidR="004D7951">
        <w:t>,</w:t>
      </w:r>
      <w:r>
        <w:t xml:space="preserve"> probabilities are expressions of uncertainty and have been adopted in health economics to evaluate the uncertainty for a decision-maker. Health economic models often incorporate probabilistic sensitivity analysis to evaluate the probability that treatment 2 is optimal compared with treatment 1</w:t>
      </w:r>
      <w:r w:rsidR="004D7951">
        <w:t xml:space="preserve"> given some decision maker’s criteria</w:t>
      </w:r>
      <w:r>
        <w:t xml:space="preserve">. More recently health economists have explored the value of data collection for decision-makers if the uncertainty in the cost-effectiveness model indicates that there is a high risk of making </w:t>
      </w:r>
      <w:r w:rsidR="00D0049C">
        <w:t>a</w:t>
      </w:r>
      <w:r>
        <w:t xml:space="preserve"> sub-optimal decision.</w:t>
      </w:r>
    </w:p>
    <w:p w:rsidR="00E368B4" w:rsidRDefault="00E368B4" w:rsidP="00E368B4">
      <w:pPr>
        <w:pStyle w:val="Heading2"/>
      </w:pPr>
      <w:bookmarkStart w:id="22" w:name="_Toc379467541"/>
      <w:r>
        <w:t>What is Systemic Lupus Erythematosus</w:t>
      </w:r>
      <w:bookmarkEnd w:id="8"/>
      <w:bookmarkEnd w:id="9"/>
      <w:bookmarkEnd w:id="10"/>
      <w:r>
        <w:t xml:space="preserve"> (SLE)?</w:t>
      </w:r>
      <w:bookmarkEnd w:id="22"/>
    </w:p>
    <w:p w:rsidR="00E368B4" w:rsidRDefault="00EB5F70" w:rsidP="00085865">
      <w:r>
        <w:t>Systemic lupus e</w:t>
      </w:r>
      <w:r w:rsidR="00E368B4">
        <w:t>rythematosus (SLE) is a multi-system autoimmune disorder with variable manifestations. SLE can affect almost any organ in the body and has a broad spectrum of immunological manifestations. It is characterised by periods of disease activity and remission</w:t>
      </w:r>
      <w:r w:rsidR="00085865">
        <w:t xml:space="preserve"> </w:t>
      </w:r>
      <w:r w:rsidR="00E729BA">
        <w:fldChar w:fldCharType="begin"/>
      </w:r>
      <w:r w:rsidR="00FC61FD">
        <w:instrText xml:space="preserve"> ADDIN REFMGR.CITE &lt;Refman&gt;&lt;Cite&gt;&lt;Author&gt;Drenkard&lt;/Author&gt;&lt;Year&gt;1996&lt;/Year&gt;&lt;RecNum&gt;1370&lt;/RecNum&gt;&lt;IDText&gt;Remission of systematic lupus erythematosus&lt;/IDText&gt;&lt;MDL Ref_Type="Journal"&gt;&lt;Ref_Type&gt;Journal&lt;/Ref_Type&gt;&lt;Ref_ID&gt;1370&lt;/Ref_ID&gt;&lt;Title_Primary&gt;Remission of systematic lupus erythematosus&lt;/Title_Primary&gt;&lt;Authors_Primary&gt;Drenkard,C.&lt;/Authors_Primary&gt;&lt;Authors_Primary&gt;Villa,A.R.&lt;/Authors_Primary&gt;&lt;Authors_Primary&gt;Garcia-Padilla,C.&lt;/Authors_Primary&gt;&lt;Authors_Primary&gt;Perez-Vazquez,M.E.&lt;/Authors_Primary&gt;&lt;Authors_Primary&gt;Alarcon-Segovia,D.&lt;/Authors_Primary&gt;&lt;Date_Primary&gt;1996/3&lt;/Date_Primary&gt;&lt;Keywords&gt;Adult&lt;/Keywords&gt;&lt;Keywords&gt;Anemia&lt;/Keywords&gt;&lt;Keywords&gt;Anti-Inflammatory Agents&lt;/Keywords&gt;&lt;Keywords&gt;Antirheumatic Agents&lt;/Keywords&gt;&lt;Keywords&gt;Child&lt;/Keywords&gt;&lt;Keywords&gt;Chloroquine&lt;/Keywords&gt;&lt;Keywords&gt;complications&lt;/Keywords&gt;&lt;Keywords&gt;diagnosis&lt;/Keywords&gt;&lt;Keywords&gt;Disease&lt;/Keywords&gt;&lt;Keywords&gt;drug therapy&lt;/Keywords&gt;&lt;Keywords&gt;Drug Therapy,Combination&lt;/Keywords&gt;&lt;Keywords&gt;erythematosus&lt;/Keywords&gt;&lt;Keywords&gt;Female&lt;/Keywords&gt;&lt;Keywords&gt;Follow-Up Studies&lt;/Keywords&gt;&lt;Keywords&gt;Humans&lt;/Keywords&gt;&lt;Keywords&gt;immunology&lt;/Keywords&gt;&lt;Keywords&gt;Immunosuppressive Agents&lt;/Keywords&gt;&lt;Keywords&gt;Incidence&lt;/Keywords&gt;&lt;Keywords&gt;lupus erythematosus&lt;/Keywords&gt;&lt;Keywords&gt;Lupus Erythematosus,Systemic&lt;/Keywords&gt;&lt;Keywords&gt;mortality&lt;/Keywords&gt;&lt;Keywords&gt;patient&lt;/Keywords&gt;&lt;Keywords&gt;Patients&lt;/Keywords&gt;&lt;Keywords&gt;Proportional Hazards Models&lt;/Keywords&gt;&lt;Keywords&gt;Remission Induction&lt;/Keywords&gt;&lt;Keywords&gt;Rheumatology&lt;/Keywords&gt;&lt;Keywords&gt;Steroids&lt;/Keywords&gt;&lt;Keywords&gt;Survival Analysis&lt;/Keywords&gt;&lt;Keywords&gt;therapeutic use&lt;/Keywords&gt;&lt;Keywords&gt;Thrombocytopenia&lt;/Keywords&gt;&lt;Keywords&gt;Time&lt;/Keywords&gt;&lt;Keywords&gt;Time Factors&lt;/Keywords&gt;&lt;Keywords&gt;Treatment Outcome&lt;/Keywords&gt;&lt;Reprint&gt;Not in File&lt;/Reprint&gt;&lt;Start_Page&gt;88&lt;/Start_Page&gt;&lt;End_Page&gt;98&lt;/End_Page&gt;&lt;Periodical&gt;Medicine (Baltimore).&lt;/Periodical&gt;&lt;Volume&gt;75&lt;/Volume&gt;&lt;Issue&gt;2&lt;/Issue&gt;&lt;User_Def_1&gt;y&lt;/User_Def_1&gt;&lt;ZZ_JournalStdAbbrev&gt;&lt;f name="System"&gt;Medicine (Baltimore).&lt;/f&gt;&lt;/ZZ_JournalStdAbbrev&gt;&lt;ZZ_WorkformID&gt;1&lt;/ZZ_WorkformID&gt;&lt;/MDL&gt;&lt;/Cite&gt;&lt;/Refman&gt;</w:instrText>
      </w:r>
      <w:r w:rsidR="00E729BA">
        <w:fldChar w:fldCharType="separate"/>
      </w:r>
      <w:r w:rsidR="00F12F58">
        <w:t>(35)</w:t>
      </w:r>
      <w:r w:rsidR="00E729BA">
        <w:fldChar w:fldCharType="end"/>
      </w:r>
      <w:r w:rsidR="00E368B4">
        <w:t>. Periods of active disease are often associated with reversible impairment however; active disease can cause permanent organ damage and mortality</w:t>
      </w:r>
      <w:r w:rsidR="00085865">
        <w:t xml:space="preserve"> </w:t>
      </w:r>
      <w:r w:rsidR="00E729BA">
        <w:fldChar w:fldCharType="begin"/>
      </w:r>
      <w:r w:rsidR="00FC61FD">
        <w:instrText xml:space="preserve"> ADDIN REFMGR.CITE &lt;Refman&gt;&lt;Cite&gt;&lt;Author&gt;Petri&lt;/Author&gt;&lt;Year&gt;2005&lt;/Year&gt;&lt;RecNum&gt;1457&lt;/RecNum&gt;&lt;IDText&gt;Lupus in Baltimore: evidence-based &amp;apos;clinical pearls&amp;apos; from the Hopkins Lupus Cohort&lt;/IDText&gt;&lt;MDL Ref_Type="Journal"&gt;&lt;Ref_Type&gt;Journal&lt;/Ref_Type&gt;&lt;Ref_ID&gt;1457&lt;/Ref_ID&gt;&lt;Title_Primary&gt;Lupus in Baltimore: evidence-based &amp;apos;clinical pearls&amp;apos; from the Hopkins Lupus Cohort&lt;/Title_Primary&gt;&lt;Authors_Primary&gt;Petri,M.&lt;/Authors_Primary&gt;&lt;Date_Primary&gt;2005&lt;/Date_Primary&gt;&lt;Keywords&gt;African American&lt;/Keywords&gt;&lt;Keywords&gt;Baltimore&lt;/Keywords&gt;&lt;Keywords&gt;Evidence-Based Medicine&lt;/Keywords&gt;&lt;Keywords&gt;Humans&lt;/Keywords&gt;&lt;Keywords&gt;Life&lt;/Keywords&gt;&lt;Keywords&gt;Longitudinal Studies&lt;/Keywords&gt;&lt;Keywords&gt;longitudinal study&lt;/Keywords&gt;&lt;Keywords&gt;Lupus Erythematosus,Systemic&lt;/Keywords&gt;&lt;Keywords&gt;patient&lt;/Keywords&gt;&lt;Keywords&gt;Patients&lt;/Keywords&gt;&lt;Keywords&gt;Prospective Studies&lt;/Keywords&gt;&lt;Keywords&gt;Quality of Life&lt;/Keywords&gt;&lt;Keywords&gt;Rheumatology&lt;/Keywords&gt;&lt;Reprint&gt;Not in File&lt;/Reprint&gt;&lt;Start_Page&gt;970&lt;/Start_Page&gt;&lt;End_Page&gt;973&lt;/End_Page&gt;&lt;Periodical&gt;Lupus.&lt;/Periodical&gt;&lt;Volume&gt;14&lt;/Volume&gt;&lt;Issue&gt;12&lt;/Issue&gt;&lt;ZZ_JournalStdAbbrev&gt;&lt;f name="System"&gt;Lupus.&lt;/f&gt;&lt;/ZZ_JournalStdAbbrev&gt;&lt;ZZ_WorkformID&gt;1&lt;/ZZ_WorkformID&gt;&lt;/MDL&gt;&lt;/Cite&gt;&lt;/Refman&gt;</w:instrText>
      </w:r>
      <w:r w:rsidR="00E729BA">
        <w:fldChar w:fldCharType="separate"/>
      </w:r>
      <w:r w:rsidR="00F12F58">
        <w:t>(36)</w:t>
      </w:r>
      <w:r w:rsidR="00E729BA">
        <w:fldChar w:fldCharType="end"/>
      </w:r>
      <w:r w:rsidR="00E368B4">
        <w:t xml:space="preserve">. </w:t>
      </w:r>
    </w:p>
    <w:p w:rsidR="00E368B4" w:rsidRPr="000A3F23" w:rsidRDefault="00E368B4" w:rsidP="00E368B4">
      <w:pPr>
        <w:pStyle w:val="Heading3"/>
      </w:pPr>
      <w:bookmarkStart w:id="23" w:name="_Toc278533896"/>
      <w:bookmarkStart w:id="24" w:name="_Toc278533956"/>
      <w:bookmarkStart w:id="25" w:name="_Toc279009223"/>
      <w:bookmarkStart w:id="26" w:name="_Toc379467542"/>
      <w:r w:rsidRPr="000A3F23">
        <w:t>Aetiology</w:t>
      </w:r>
      <w:bookmarkEnd w:id="23"/>
      <w:bookmarkEnd w:id="24"/>
      <w:bookmarkEnd w:id="25"/>
      <w:bookmarkEnd w:id="26"/>
    </w:p>
    <w:p w:rsidR="00E368B4" w:rsidRDefault="00E368B4" w:rsidP="00D0049C">
      <w:r>
        <w:t>The pathogenesis of SLE involves a complex mix of genetic</w:t>
      </w:r>
      <w:r w:rsidR="000E7F9A">
        <w:t xml:space="preserve"> </w:t>
      </w:r>
      <w:r w:rsidR="00E729BA">
        <w:fldChar w:fldCharType="begin"/>
      </w:r>
      <w:r w:rsidR="00FC61FD">
        <w:instrText xml:space="preserve"> ADDIN REFMGR.CITE &lt;Refman&gt;&lt;Cite&gt;&lt;Author&gt;Ardoin&lt;/Author&gt;&lt;Year&gt;2008&lt;/Year&gt;&lt;RecNum&gt;1494&lt;/RecNum&gt;&lt;IDText&gt;Developments in the scientific understanding of lupus&lt;/IDText&gt;&lt;MDL Ref_Type="Journal"&gt;&lt;Ref_Type&gt;Journal&lt;/Ref_Type&gt;&lt;Ref_ID&gt;1494&lt;/Ref_ID&gt;&lt;Title_Primary&gt;Developments in the scientific understanding of lupus&lt;/Title_Primary&gt;&lt;Authors_Primary&gt;Ardoin,S.P.&lt;/Authors_Primary&gt;&lt;Authors_Primary&gt;Pisetsky,D.S.&lt;/Authors_Primary&gt;&lt;Date_Primary&gt;2008&lt;/Date_Primary&gt;&lt;Keywords&gt;Animals&lt;/Keywords&gt;&lt;Keywords&gt;Antibodies&lt;/Keywords&gt;&lt;Keywords&gt;Autoantibodies&lt;/Keywords&gt;&lt;Keywords&gt;Autoantigens&lt;/Keywords&gt;&lt;Keywords&gt;cytokine&lt;/Keywords&gt;&lt;Keywords&gt;Cytokines&lt;/Keywords&gt;&lt;Keywords&gt;Disease&lt;/Keywords&gt;&lt;Keywords&gt;erythematosus&lt;/Keywords&gt;&lt;Keywords&gt;Genetic Predisposition to Disease&lt;/Keywords&gt;&lt;Keywords&gt;genetics&lt;/Keywords&gt;&lt;Keywords&gt;human&lt;/Keywords&gt;&lt;Keywords&gt;Humans&lt;/Keywords&gt;&lt;Keywords&gt;immunology&lt;/Keywords&gt;&lt;Keywords&gt;lupus erythematosus&lt;/Keywords&gt;&lt;Keywords&gt;Lupus Erythematosus,Systemic&lt;/Keywords&gt;&lt;Keywords&gt;Pediatrics&lt;/Keywords&gt;&lt;Keywords&gt;Research&lt;/Keywords&gt;&lt;Keywords&gt;systemic lupus erythematosus&lt;/Keywords&gt;&lt;Keywords&gt;therapy&lt;/Keywords&gt;&lt;Reprint&gt;Not in File&lt;/Reprint&gt;&lt;Start_Page&gt;218&lt;/Start_Page&gt;&lt;Periodical&gt;Arthritis Res.Ther.&lt;/Periodical&gt;&lt;Volume&gt;10&lt;/Volume&gt;&lt;Issue&gt;5&lt;/Issue&gt;&lt;ZZ_JournalStdAbbrev&gt;&lt;f name="System"&gt;Arthritis Res.Ther.&lt;/f&gt;&lt;/ZZ_JournalStdAbbrev&gt;&lt;ZZ_WorkformID&gt;1&lt;/ZZ_WorkformID&gt;&lt;/MDL&gt;&lt;/Cite&gt;&lt;/Refman&gt;</w:instrText>
      </w:r>
      <w:r w:rsidR="00E729BA">
        <w:fldChar w:fldCharType="separate"/>
      </w:r>
      <w:r w:rsidR="00F12F58">
        <w:t>(37)</w:t>
      </w:r>
      <w:r w:rsidR="00E729BA">
        <w:fldChar w:fldCharType="end"/>
      </w:r>
      <w:r>
        <w:t xml:space="preserve">, environmental factors and the immune system </w:t>
      </w:r>
      <w:r w:rsidR="00E729BA">
        <w:fldChar w:fldCharType="begin"/>
      </w:r>
      <w:r w:rsidR="00FC61FD">
        <w:instrText xml:space="preserve"> ADDIN REFMGR.CITE &lt;Refman&gt;&lt;Cite&gt;&lt;Author&gt;Mason&lt;/Author&gt;&lt;Year&gt;2009&lt;/Year&gt;&lt;RecNum&gt;1511&lt;/RecNum&gt;&lt;IDText&gt;The clinical characterisation of systemic lupus erythematosus in a Far North Queensland Indigenous kindred&lt;/IDText&gt;&lt;MDL Ref_Type="Journal"&gt;&lt;Ref_Type&gt;Journal&lt;/Ref_Type&gt;&lt;Ref_ID&gt;1511&lt;/Ref_ID&gt;&lt;Title_Primary&gt;The clinical characterisation of systemic lupus erythematosus in a Far North Queensland Indigenous kindred&lt;/Title_Primary&gt;&lt;Authors_Primary&gt;Mason,J.A.&lt;/Authors_Primary&gt;&lt;Authors_Primary&gt;Bossingham,D.&lt;/Authors_Primary&gt;&lt;Date_Primary&gt;2009/2&lt;/Date_Primary&gt;&lt;Keywords&gt;Adolescent&lt;/Keywords&gt;&lt;Keywords&gt;Adult&lt;/Keywords&gt;&lt;Keywords&gt;analysis&lt;/Keywords&gt;&lt;Keywords&gt;Antibodies&lt;/Keywords&gt;&lt;Keywords&gt;Arthritis&lt;/Keywords&gt;&lt;Keywords&gt;Autoimmunity&lt;/Keywords&gt;&lt;Keywords&gt;blood&lt;/Keywords&gt;&lt;Keywords&gt;Disease&lt;/Keywords&gt;&lt;Keywords&gt;epidemiology&lt;/Keywords&gt;&lt;Keywords&gt;erythematosus&lt;/Keywords&gt;&lt;Keywords&gt;Female&lt;/Keywords&gt;&lt;Keywords&gt;Genetic Predisposition to Disease&lt;/Keywords&gt;&lt;Keywords&gt;genetics&lt;/Keywords&gt;&lt;Keywords&gt;hospital&lt;/Keywords&gt;&lt;Keywords&gt;Humans&lt;/Keywords&gt;&lt;Keywords&gt;Infection&lt;/Keywords&gt;&lt;Keywords&gt;lupus erythematosus&lt;/Keywords&gt;&lt;Keywords&gt;Lupus Erythematosus,Systemic&lt;/Keywords&gt;&lt;Keywords&gt;Male&lt;/Keywords&gt;&lt;Keywords&gt;Middle Aged&lt;/Keywords&gt;&lt;Keywords&gt;Oceanic Ancestry Group&lt;/Keywords&gt;&lt;Keywords&gt;Pedigree&lt;/Keywords&gt;&lt;Keywords&gt;Phenotype&lt;/Keywords&gt;&lt;Keywords&gt;Queensland&lt;/Keywords&gt;&lt;Keywords&gt;Rheumatology&lt;/Keywords&gt;&lt;Keywords&gt;sample&lt;/Keywords&gt;&lt;Keywords&gt;screening&lt;/Keywords&gt;&lt;Keywords&gt;Severity of Illness Index&lt;/Keywords&gt;&lt;Keywords&gt;Skin&lt;/Keywords&gt;&lt;Keywords&gt;systemic lupus erythematosus&lt;/Keywords&gt;&lt;Keywords&gt;urine&lt;/Keywords&gt;&lt;Keywords&gt;Young Adult&lt;/Keywords&gt;&lt;Reprint&gt;Not in File&lt;/Reprint&gt;&lt;Start_Page&gt;144&lt;/Start_Page&gt;&lt;End_Page&gt;148&lt;/End_Page&gt;&lt;Periodical&gt;Lupus.&lt;/Periodical&gt;&lt;Volume&gt;18&lt;/Volume&gt;&lt;Issue&gt;2&lt;/Issue&gt;&lt;ZZ_JournalStdAbbrev&gt;&lt;f name="System"&gt;Lupus.&lt;/f&gt;&lt;/ZZ_JournalStdAbbrev&gt;&lt;ZZ_WorkformID&gt;1&lt;/ZZ_WorkformID&gt;&lt;/MDL&gt;&lt;/Cite&gt;&lt;/Refman&gt;</w:instrText>
      </w:r>
      <w:r w:rsidR="00E729BA">
        <w:fldChar w:fldCharType="separate"/>
      </w:r>
      <w:r w:rsidR="00F12F58">
        <w:t>(38)</w:t>
      </w:r>
      <w:r w:rsidR="00E729BA">
        <w:fldChar w:fldCharType="end"/>
      </w:r>
      <w:r>
        <w:t>. Genetic polymorphisms</w:t>
      </w:r>
      <w:r w:rsidR="006F46EE">
        <w:t>,</w:t>
      </w:r>
      <w:r>
        <w:t xml:space="preserve"> epigenetic modifications to DNA</w:t>
      </w:r>
      <w:r w:rsidR="006F46EE">
        <w:t>,</w:t>
      </w:r>
      <w:r>
        <w:t xml:space="preserve"> influence risk and environmental triggers are believed to induce the disease. </w:t>
      </w:r>
    </w:p>
    <w:p w:rsidR="00E368B4" w:rsidRDefault="00E368B4" w:rsidP="00236C8F">
      <w:pPr>
        <w:pStyle w:val="Heading3"/>
      </w:pPr>
      <w:bookmarkStart w:id="27" w:name="_Toc278533898"/>
      <w:bookmarkStart w:id="28" w:name="_Toc278533958"/>
      <w:bookmarkStart w:id="29" w:name="_Toc279009225"/>
      <w:bookmarkStart w:id="30" w:name="_Toc379467543"/>
      <w:r>
        <w:t xml:space="preserve">Incidence and </w:t>
      </w:r>
      <w:r w:rsidR="00236C8F">
        <w:t>P</w:t>
      </w:r>
      <w:r>
        <w:t>revalence</w:t>
      </w:r>
      <w:bookmarkEnd w:id="27"/>
      <w:bookmarkEnd w:id="28"/>
      <w:bookmarkEnd w:id="29"/>
      <w:bookmarkEnd w:id="30"/>
    </w:p>
    <w:p w:rsidR="00957BD5" w:rsidRPr="00085865" w:rsidRDefault="00E052A6" w:rsidP="000A5548">
      <w:r>
        <w:t xml:space="preserve">Studies of the prevalence of SLE in the UK estimate it to be </w:t>
      </w:r>
      <w:r w:rsidRPr="00327887">
        <w:t>27.7/100,000 (95% confidence interval 24.2-31.2/100,</w:t>
      </w:r>
      <w:r>
        <w:t>000) in the population and 206</w:t>
      </w:r>
      <w:r w:rsidRPr="00327887">
        <w:t>/100,000 in Afro-Caribbean females</w:t>
      </w:r>
      <w:r>
        <w:t xml:space="preserve"> </w:t>
      </w:r>
      <w:r w:rsidR="00E729BA">
        <w:fldChar w:fldCharType="begin"/>
      </w:r>
      <w:r w:rsidR="00FC61FD">
        <w:instrText xml:space="preserve"> ADDIN REFMGR.CITE &lt;Refman&gt;&lt;Cite&gt;&lt;Author&gt;Johnson&lt;/Author&gt;&lt;Year&gt;1995&lt;/Year&gt;&lt;RecNum&gt;1441&lt;/RecNum&gt;&lt;IDText&gt;The prevalence and incidence of systemic lupus erythematosus in Birmingham, England. Relationship to ethnicity and country of birth&lt;/IDText&gt;&lt;MDL Ref_Type="Journal"&gt;&lt;Ref_Type&gt;Journal&lt;/Ref_Type&gt;&lt;Ref_ID&gt;1441&lt;/Ref_ID&gt;&lt;Title_Primary&gt;The prevalence and incidence of systemic lupus erythematosus in Birmingham, England. Relationship to ethnicity and country of birth&lt;/Title_Primary&gt;&lt;Authors_Primary&gt;Johnson,A.E.&lt;/Authors_Primary&gt;&lt;Authors_Primary&gt;Gordon,C.&lt;/Authors_Primary&gt;&lt;Authors_Primary&gt;Palmer,R.G.&lt;/Authors_Primary&gt;&lt;Authors_Primary&gt;Bacon,P.A.&lt;/Authors_Primary&gt;&lt;Date_Primary&gt;1995/4&lt;/Date_Primary&gt;&lt;Keywords&gt;Adolescent&lt;/Keywords&gt;&lt;Keywords&gt;Adult&lt;/Keywords&gt;&lt;Keywords&gt;Africa&lt;/Keywords&gt;&lt;Keywords&gt;African Americans&lt;/Keywords&gt;&lt;Keywords&gt;African Continental Ancestry Group&lt;/Keywords&gt;&lt;Keywords&gt;Age Factors&lt;/Keywords&gt;&lt;Keywords&gt;Aged&lt;/Keywords&gt;&lt;Keywords&gt;Caribbean Region&lt;/Keywords&gt;&lt;Keywords&gt;confidence interval&lt;/Keywords&gt;&lt;Keywords&gt;England&lt;/Keywords&gt;&lt;Keywords&gt;epidemiology&lt;/Keywords&gt;&lt;Keywords&gt;erythematosus&lt;/Keywords&gt;&lt;Keywords&gt;Ethnic Groups&lt;/Keywords&gt;&lt;Keywords&gt;ethnology&lt;/Keywords&gt;&lt;Keywords&gt;European Continental Ancestry Group&lt;/Keywords&gt;&lt;Keywords&gt;Female&lt;/Keywords&gt;&lt;Keywords&gt;hospital&lt;/Keywords&gt;&lt;Keywords&gt;Humans&lt;/Keywords&gt;&lt;Keywords&gt;Incidence&lt;/Keywords&gt;&lt;Keywords&gt;lupus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Aged&lt;/Keywords&gt;&lt;Keywords&gt;patient&lt;/Keywords&gt;&lt;Keywords&gt;Patients&lt;/Keywords&gt;&lt;Keywords&gt;population&lt;/Keywords&gt;&lt;Keywords&gt;Prevalence&lt;/Keywords&gt;&lt;Keywords&gt;Rheumatology&lt;/Keywords&gt;&lt;Keywords&gt;Sex Factors&lt;/Keywords&gt;&lt;Keywords&gt;systemic lupus erythematosus&lt;/Keywords&gt;&lt;Reprint&gt;Not in File&lt;/Reprint&gt;&lt;Start_Page&gt;551&lt;/Start_Page&gt;&lt;End_Page&gt;558&lt;/End_Page&gt;&lt;Periodical&gt;Arthritis Rheum.&lt;/Periodical&gt;&lt;Volume&gt;38&lt;/Volume&gt;&lt;Issue&gt;4&lt;/Issue&gt;&lt;ZZ_JournalStdAbbrev&gt;&lt;f name="System"&gt;Arthritis Rheum.&lt;/f&gt;&lt;/ZZ_JournalStdAbbrev&gt;&lt;ZZ_WorkformID&gt;1&lt;/ZZ_WorkformID&gt;&lt;/MDL&gt;&lt;/Cite&gt;&lt;/Refman&gt;</w:instrText>
      </w:r>
      <w:r w:rsidR="00E729BA">
        <w:fldChar w:fldCharType="separate"/>
      </w:r>
      <w:r w:rsidR="00F12F58">
        <w:t>(39)</w:t>
      </w:r>
      <w:r w:rsidR="00E729BA">
        <w:fldChar w:fldCharType="end"/>
      </w:r>
      <w:r>
        <w:t xml:space="preserve">. </w:t>
      </w:r>
      <w:r w:rsidR="00E368B4">
        <w:t xml:space="preserve">SLE has a higher prevalence among women, with estimates ranging between 80 to 90% of cases </w:t>
      </w:r>
      <w:r w:rsidR="00E729BA">
        <w:fldChar w:fldCharType="begin"/>
      </w:r>
      <w:r w:rsidR="00FC61FD">
        <w:instrText xml:space="preserve"> ADDIN REFMGR.CITE &lt;Refman&gt;&lt;Cite&gt;&lt;Author&gt;Siegel&lt;/Author&gt;&lt;Year&gt;1973&lt;/Year&gt;&lt;RecNum&gt;1433&lt;/RecNum&gt;&lt;IDText&gt;The epidemiology of systemic lupus erythematosus&lt;/IDText&gt;&lt;MDL Ref_Type="Journal"&gt;&lt;Ref_Type&gt;Journal&lt;/Ref_Type&gt;&lt;Ref_ID&gt;1433&lt;/Ref_ID&gt;&lt;Title_Primary&gt;The epidemiology of systemic lupus erythematosus&lt;/Title_Primary&gt;&lt;Authors_Primary&gt;Siegel,M.&lt;/Authors_Primary&gt;&lt;Authors_Primary&gt;Lee,S.L.&lt;/Authors_Primary&gt;&lt;Date_Primary&gt;1973&lt;/Date_Primary&gt;&lt;Keywords&gt;Adolescent&lt;/Keywords&gt;&lt;Keywords&gt;Adult&lt;/Keywords&gt;&lt;Keywords&gt;Aged&lt;/Keywords&gt;&lt;Keywords&gt;Alabama&lt;/Keywords&gt;&lt;Keywords&gt;analysis&lt;/Keywords&gt;&lt;Keywords&gt;Antibodies,Viral&lt;/Keywords&gt;&lt;Keywords&gt;Child&lt;/Keywords&gt;&lt;Keywords&gt;Demography&lt;/Keywords&gt;&lt;Keywords&gt;diagnosis&lt;/Keywords&gt;&lt;Keywords&gt;Epidemiologic Methods&lt;/Keywords&gt;&lt;Keywords&gt;epidemiology&lt;/Keywords&gt;&lt;Keywords&gt;erythematosus&lt;/Keywords&gt;&lt;Keywords&gt;etiology&lt;/Keywords&gt;&lt;Keywords&gt;Female&lt;/Keywords&gt;&lt;Keywords&gt;genetics&lt;/Keywords&gt;&lt;Keywords&gt;Humans&lt;/Keywords&gt;&lt;Keywords&gt;Immunoglobulins&lt;/Keywords&gt;&lt;Keywords&gt;Inclusion Bodies&lt;/Keywords&gt;&lt;Keywords&gt;lupus erythematosus&lt;/Keywords&gt;&lt;Keywords&gt;Lupus Erythematosus,Systemic&lt;/Keywords&gt;&lt;Keywords&gt;Male&lt;/Keywords&gt;&lt;Keywords&gt;Middle Aged&lt;/Keywords&gt;&lt;Keywords&gt;Minnesota&lt;/Keywords&gt;&lt;Keywords&gt;mortality&lt;/Keywords&gt;&lt;Keywords&gt;Neutrophils&lt;/Keywords&gt;&lt;Keywords&gt;New York City&lt;/Keywords&gt;&lt;Keywords&gt;Pregnancy&lt;/Keywords&gt;&lt;Keywords&gt;Pregnancy Complications&lt;/Keywords&gt;&lt;Keywords&gt;Socioeconomic Factors&lt;/Keywords&gt;&lt;Keywords&gt;Sweden&lt;/Keywords&gt;&lt;Keywords&gt;systemic lupus erythematosus&lt;/Keywords&gt;&lt;Reprint&gt;Not in File&lt;/Reprint&gt;&lt;Start_Page&gt;1&lt;/Start_Page&gt;&lt;End_Page&gt;54&lt;/End_Page&gt;&lt;Periodical&gt;Semin.Arthritis Rheum.&lt;/Periodical&gt;&lt;Volume&gt;3&lt;/Volume&gt;&lt;Issue&gt;1&lt;/Issue&gt;&lt;ZZ_JournalStdAbbrev&gt;&lt;f name="System"&gt;Semin.Arthritis Rheum.&lt;/f&gt;&lt;/ZZ_JournalStdAbbrev&gt;&lt;ZZ_WorkformID&gt;1&lt;/ZZ_WorkformID&gt;&lt;/MDL&gt;&lt;/Cite&gt;&lt;/Refman&gt;</w:instrText>
      </w:r>
      <w:r w:rsidR="00E729BA">
        <w:fldChar w:fldCharType="separate"/>
      </w:r>
      <w:r w:rsidR="00F12F58">
        <w:t>(40)</w:t>
      </w:r>
      <w:r w:rsidR="00E729BA">
        <w:fldChar w:fldCharType="end"/>
      </w:r>
      <w:r w:rsidR="00E368B4">
        <w:t xml:space="preserve">. SLE diagnosis can range from 2 </w:t>
      </w:r>
      <w:r>
        <w:t xml:space="preserve">years to 80 years. However, disease onset is most commonly observed </w:t>
      </w:r>
      <w:r w:rsidR="00E368B4">
        <w:t xml:space="preserve">in women of childbearing age </w:t>
      </w:r>
      <w:r w:rsidR="00E729BA">
        <w:fldChar w:fldCharType="begin"/>
      </w:r>
      <w:r w:rsidR="00FC61FD">
        <w:instrText xml:space="preserve"> ADDIN REFMGR.CITE &lt;Refman&gt;&lt;Cite&gt;&lt;Author&gt;Danchenko&lt;/Author&gt;&lt;Year&gt;2006&lt;/Year&gt;&lt;RecNum&gt;1434&lt;/RecNum&gt;&lt;IDText&gt;Epidemiology of systemic lupus erythematosus: a comparison of worldwide disease burden&lt;/IDText&gt;&lt;MDL Ref_Type="Journal"&gt;&lt;Ref_Type&gt;Journal&lt;/Ref_Type&gt;&lt;Ref_ID&gt;1434&lt;/Ref_ID&gt;&lt;Title_Primary&gt;Epidemiology of systemic lupus erythematosus: a comparison of worldwide disease burden&lt;/Title_Primary&gt;&lt;Authors_Primary&gt;Danchenko,N.&lt;/Authors_Primary&gt;&lt;Authors_Primary&gt;Satia,J.A.&lt;/Authors_Primary&gt;&lt;Authors_Primary&gt;Anthony,M.S.&lt;/Authors_Primary&gt;&lt;Date_Primary&gt;2006&lt;/Date_Primary&gt;&lt;Keywords&gt;Age Factors&lt;/Keywords&gt;&lt;Keywords&gt;Australia&lt;/Keywords&gt;&lt;Keywords&gt;Disease&lt;/Keywords&gt;&lt;Keywords&gt;Epidemiologic Studies&lt;/Keywords&gt;&lt;Keywords&gt;epidemiology&lt;/Keywords&gt;&lt;Keywords&gt;erythematosus&lt;/Keywords&gt;&lt;Keywords&gt;etiology&lt;/Keywords&gt;&lt;Keywords&gt;Europe&lt;/Keywords&gt;&lt;Keywords&gt;Female&lt;/Keywords&gt;&lt;Keywords&gt;Humans&lt;/Keywords&gt;&lt;Keywords&gt;Iceland&lt;/Keywords&gt;&lt;Keywords&gt;Incidence&lt;/Keywords&gt;&lt;Keywords&gt;Japan&lt;/Keywords&gt;&lt;Keywords&gt;lupus erythematosus&lt;/Keywords&gt;&lt;Keywords&gt;Lupus Erythematosus,Systemic&lt;/Keywords&gt;&lt;Keywords&gt;Male&lt;/Keywords&gt;&lt;Keywords&gt;Martinique&lt;/Keywords&gt;&lt;Keywords&gt;Medline&lt;/Keywords&gt;&lt;Keywords&gt;population&lt;/Keywords&gt;&lt;Keywords&gt;Prevalence&lt;/Keywords&gt;&lt;Keywords&gt;PubMed&lt;/Keywords&gt;&lt;Keywords&gt;Retrospective Studies&lt;/Keywords&gt;&lt;Keywords&gt;Sex Factors&lt;/Keywords&gt;&lt;Keywords&gt;Spain&lt;/Keywords&gt;&lt;Keywords&gt;statistics &amp;amp; numerical data&lt;/Keywords&gt;&lt;Keywords&gt;Sweden&lt;/Keywords&gt;&lt;Keywords&gt;systemic lupus erythematosus&lt;/Keywords&gt;&lt;Keywords&gt;United States&lt;/Keywords&gt;&lt;Reprint&gt;Not in File&lt;/Reprint&gt;&lt;Start_Page&gt;308&lt;/Start_Page&gt;&lt;End_Page&gt;318&lt;/End_Page&gt;&lt;Periodical&gt;Lupus.&lt;/Periodical&gt;&lt;Volume&gt;15&lt;/Volume&gt;&lt;Issue&gt;5&lt;/Issue&gt;&lt;Web_URL_Link1&gt;&lt;u&gt;file://U:\Thesis\Introduction\Articles\Danchenko 2006.pdf&lt;/u&gt;&lt;/Web_URL_Link1&gt;&lt;ZZ_JournalStdAbbrev&gt;&lt;f name="System"&gt;Lupus.&lt;/f&gt;&lt;/ZZ_JournalStdAbbrev&gt;&lt;ZZ_WorkformID&gt;1&lt;/ZZ_WorkformID&gt;&lt;/MDL&gt;&lt;/Cite&gt;&lt;/Refman&gt;</w:instrText>
      </w:r>
      <w:r w:rsidR="00E729BA">
        <w:fldChar w:fldCharType="separate"/>
      </w:r>
      <w:r w:rsidR="00F12F58">
        <w:t>(41)</w:t>
      </w:r>
      <w:r w:rsidR="00E729BA">
        <w:fldChar w:fldCharType="end"/>
      </w:r>
      <w:r w:rsidR="00E368B4">
        <w:t xml:space="preserve">. A large </w:t>
      </w:r>
      <w:r w:rsidR="00085865">
        <w:t xml:space="preserve">multicentre </w:t>
      </w:r>
      <w:r w:rsidR="00E368B4">
        <w:t xml:space="preserve">European cohort study </w:t>
      </w:r>
      <w:r w:rsidR="00085865" w:rsidRPr="00085865">
        <w:t xml:space="preserve">of 1,000 patients from 7 European countries </w:t>
      </w:r>
      <w:r w:rsidR="00E368B4">
        <w:t xml:space="preserve">reported a mean age of diagnosis to be 31 years </w:t>
      </w:r>
      <w:r w:rsidR="00E729BA">
        <w:fldChar w:fldCharType="begin"/>
      </w:r>
      <w:r w:rsidR="00FC61FD">
        <w:instrText xml:space="preserve"> ADDIN REFMGR.CITE &lt;Refman&gt;&lt;Cite&gt;&lt;Author&gt;Cervera&lt;/Author&gt;&lt;Year&gt;2009&lt;/Year&gt;&lt;RecNum&gt;1436&lt;/RecNum&gt;&lt;IDText&gt;The Euro-lupus project: epidemiology of systemic lupus erythematosus in Europe&lt;/IDText&gt;&lt;MDL Ref_Type="Journal"&gt;&lt;Ref_Type&gt;Journal&lt;/Ref_Type&gt;&lt;Ref_ID&gt;1436&lt;/Ref_ID&gt;&lt;Title_Primary&gt;The Euro-lupus project: epidemiology of systemic lupus erythematosus in Europe&lt;/Title_Primary&gt;&lt;Authors_Primary&gt;Cervera,R.&lt;/Authors_Primary&gt;&lt;Authors_Primary&gt;Khamashta,M.A.&lt;/Authors_Primary&gt;&lt;Authors_Primary&gt;Hughes,G.R.&lt;/Authors_Primary&gt;&lt;Date_Primary&gt;2009/9&lt;/Date_Primary&gt;&lt;Keywords&gt;age&lt;/Keywords&gt;&lt;Keywords&gt;Autoantibodies&lt;/Keywords&gt;&lt;Keywords&gt;Autoimmune Diseases&lt;/Keywords&gt;&lt;Keywords&gt;blood&lt;/Keywords&gt;&lt;Keywords&gt;Cause of Death&lt;/Keywords&gt;&lt;Keywords&gt;Cohort Studies&lt;/Keywords&gt;&lt;Keywords&gt;complications&lt;/Keywords&gt;&lt;Keywords&gt;Disease&lt;/Keywords&gt;&lt;Keywords&gt;epidemiology&lt;/Keywords&gt;&lt;Keywords&gt;erythematosus&lt;/Keywords&gt;&lt;Keywords&gt;Europe&lt;/Keywords&gt;&lt;Keywords&gt;hospital&lt;/Keywords&gt;&lt;Keywords&gt;Humans&lt;/Keywords&gt;&lt;Keywords&gt;immunology&lt;/Keywords&gt;&lt;Keywords&gt;lupus erythematosus&lt;/Keywords&gt;&lt;Keywords&gt;Lupus Erythematosus,Systemic&lt;/Keywords&gt;&lt;Keywords&gt;Morbidity&lt;/Keywords&gt;&lt;Keywords&gt;mortality&lt;/Keywords&gt;&lt;Keywords&gt;patient&lt;/Keywords&gt;&lt;Keywords&gt;Patients&lt;/Keywords&gt;&lt;Keywords&gt;remission&lt;/Keywords&gt;&lt;Keywords&gt;Spain&lt;/Keywords&gt;&lt;Keywords&gt;systemic lupus erythematosus&lt;/Keywords&gt;&lt;Keywords&gt;therapy&lt;/Keywords&gt;&lt;Reprint&gt;Not in File&lt;/Reprint&gt;&lt;Start_Page&gt;869&lt;/Start_Page&gt;&lt;End_Page&gt;874&lt;/End_Page&gt;&lt;Periodical&gt;Lupus.&lt;/Periodical&gt;&lt;Volume&gt;18&lt;/Volume&gt;&lt;Issue&gt;10&lt;/Issue&gt;&lt;ZZ_JournalStdAbbrev&gt;&lt;f name="System"&gt;Lupus.&lt;/f&gt;&lt;/ZZ_JournalStdAbbrev&gt;&lt;ZZ_WorkformID&gt;1&lt;/ZZ_WorkformID&gt;&lt;/MDL&gt;&lt;/Cite&gt;&lt;/Refman&gt;</w:instrText>
      </w:r>
      <w:r w:rsidR="00E729BA">
        <w:fldChar w:fldCharType="separate"/>
      </w:r>
      <w:r w:rsidR="00F12F58">
        <w:t>(42)</w:t>
      </w:r>
      <w:r w:rsidR="00E729BA">
        <w:fldChar w:fldCharType="end"/>
      </w:r>
      <w:r w:rsidR="00E368B4">
        <w:t>.</w:t>
      </w:r>
      <w:r w:rsidR="000A5548">
        <w:t xml:space="preserve"> </w:t>
      </w:r>
      <w:r w:rsidR="006670D6">
        <w:t>It is believed that ethnicity plays an important role in the incidence of cases</w:t>
      </w:r>
      <w:r w:rsidR="00085865">
        <w:t xml:space="preserve"> </w:t>
      </w:r>
      <w:r w:rsidR="00E729BA">
        <w:fldChar w:fldCharType="begin"/>
      </w:r>
      <w:r w:rsidR="00FC61FD">
        <w:instrText xml:space="preserve"> ADDIN REFMGR.CITE &lt;Refman&gt;&lt;Cite&gt;&lt;Author&gt;Reveille&lt;/Author&gt;&lt;Year&gt;1998&lt;/Year&gt;&lt;RecNum&gt;1664&lt;/RecNum&gt;&lt;IDText&gt;Systemic lupus erythematosus in three ethnic groups: I. The effects of HLA class II, C4, and CR1 alleles, socioeconomic factors, and ethnicity at disease onset. LUMINA Study Group. Lupus in minority populations, nature versus nurture&lt;/IDText&gt;&lt;MDL Ref_Type="Journal"&gt;&lt;Ref_Type&gt;Journal&lt;/Ref_Type&gt;&lt;Ref_ID&gt;1664&lt;/Ref_ID&gt;&lt;Title_Primary&gt;Systemic lupus erythematosus in three ethnic groups: I. The effects of HLA class II, C4, and CR1 alleles, socioeconomic factors, and ethnicity at disease onset. LUMINA Study Group. Lupus in minority populations, nature versus nurture&lt;/Title_Primary&gt;&lt;Authors_Primary&gt;Reveille,J.D.&lt;/Authors_Primary&gt;&lt;Authors_Primary&gt;Moulds,J.M.&lt;/Authors_Primary&gt;&lt;Authors_Primary&gt;Ahn,C.&lt;/Authors_Primary&gt;&lt;Authors_Primary&gt;Friedman,A.W.&lt;/Authors_Primary&gt;&lt;Authors_Primary&gt;Baethge,B.&lt;/Authors_Primary&gt;&lt;Authors_Primary&gt;Roseman,J.&lt;/Authors_Primary&gt;&lt;Authors_Primary&gt;Straaton,K.V.&lt;/Authors_Primary&gt;&lt;Authors_Primary&gt;Alarcon,G.S.&lt;/Authors_Primary&gt;&lt;Date_Primary&gt;1998/7&lt;/Date_Primary&gt;&lt;Keywords&gt;Adolescent&lt;/Keywords&gt;&lt;Keywords&gt;Adult&lt;/Keywords&gt;&lt;Keywords&gt;African American&lt;/Keywords&gt;&lt;Keywords&gt;African Americans&lt;/Keywords&gt;&lt;Keywords&gt;African Continental Ancestry Group&lt;/Keywords&gt;&lt;Keywords&gt;age&lt;/Keywords&gt;&lt;Keywords&gt;Aged&lt;/Keywords&gt;&lt;Keywords&gt;Alleles&lt;/Keywords&gt;&lt;Keywords&gt;Complement C4&lt;/Keywords&gt;&lt;Keywords&gt;Disease&lt;/Keywords&gt;&lt;Keywords&gt;disease activity&lt;/Keywords&gt;&lt;Keywords&gt;erythematosus&lt;/Keywords&gt;&lt;Keywords&gt;Ethnic Groups&lt;/Keywords&gt;&lt;Keywords&gt;European Continental Ancestry Group&lt;/Keywords&gt;&lt;Keywords&gt;Female&lt;/Keywords&gt;&lt;Keywords&gt;genetics&lt;/Keywords&gt;&lt;Keywords&gt;Health&lt;/Keywords&gt;&lt;Keywords&gt;Hispanic&lt;/Keywords&gt;&lt;Keywords&gt;Hispanic Americans&lt;/Keywords&gt;&lt;Keywords&gt;HLA-DR Antigens&lt;/Keywords&gt;&lt;Keywords&gt;Hla-Drb1 Chains&lt;/Keywords&gt;&lt;Keywords&gt;Humans&lt;/Keywords&gt;&lt;Keywords&gt;immunology&lt;/Keywords&gt;&lt;Keywords&gt;Income&lt;/Keywords&gt;&lt;Keywords&gt;lupus erythematosus&lt;/Keywords&gt;&lt;Keywords&gt;Lupus Erythematosus,Systemic&lt;/Keywords&gt;&lt;Keywords&gt;Male&lt;/Keywords&gt;&lt;Keywords&gt;Medical Records&lt;/Keywords&gt;&lt;Keywords&gt;methods&lt;/Keywords&gt;&lt;Keywords&gt;Middle Aged&lt;/Keywords&gt;&lt;Keywords&gt;Multivariate Analysis&lt;/Keywords&gt;&lt;Keywords&gt;patient&lt;/Keywords&gt;&lt;Keywords&gt;Patients&lt;/Keywords&gt;&lt;Keywords&gt;population&lt;/Keywords&gt;&lt;Keywords&gt;Prospective Studies&lt;/Keywords&gt;&lt;Keywords&gt;Receptors,Complement 3b&lt;/Keywords&gt;&lt;Keywords&gt;Socioeconomic Factors&lt;/Keywords&gt;&lt;Keywords&gt;systemic lupus erythematosus&lt;/Keywords&gt;&lt;Reprint&gt;Not in File&lt;/Reprint&gt;&lt;Start_Page&gt;1161&lt;/Start_Page&gt;&lt;End_Page&gt;1172&lt;/End_Page&gt;&lt;Periodical&gt;Arthritis Rheum.&lt;/Periodical&gt;&lt;Volume&gt;41&lt;/Volume&gt;&lt;Issue&gt;7&lt;/Issue&gt;&lt;ZZ_JournalStdAbbrev&gt;&lt;f name="System"&gt;Arthritis Rheum.&lt;/f&gt;&lt;/ZZ_JournalStdAbbrev&gt;&lt;ZZ_WorkformID&gt;1&lt;/ZZ_WorkformID&gt;&lt;/MDL&gt;&lt;/Cite&gt;&lt;/Refman&gt;</w:instrText>
      </w:r>
      <w:r w:rsidR="00E729BA">
        <w:fldChar w:fldCharType="separate"/>
      </w:r>
      <w:r w:rsidR="00F12F58">
        <w:t>(43)</w:t>
      </w:r>
      <w:r w:rsidR="00E729BA">
        <w:fldChar w:fldCharType="end"/>
      </w:r>
      <w:r w:rsidR="006670D6">
        <w:t xml:space="preserve">. </w:t>
      </w:r>
      <w:bookmarkStart w:id="31" w:name="_Toc278533899"/>
      <w:bookmarkStart w:id="32" w:name="_Toc278533959"/>
      <w:bookmarkStart w:id="33" w:name="_Toc279009226"/>
    </w:p>
    <w:p w:rsidR="00E368B4" w:rsidRDefault="00E368B4" w:rsidP="00236C8F">
      <w:pPr>
        <w:pStyle w:val="Heading3"/>
      </w:pPr>
      <w:bookmarkStart w:id="34" w:name="_Toc379467544"/>
      <w:r>
        <w:t xml:space="preserve">Symptoms and </w:t>
      </w:r>
      <w:r w:rsidR="00236C8F">
        <w:t>C</w:t>
      </w:r>
      <w:r>
        <w:t>onsequences</w:t>
      </w:r>
      <w:bookmarkEnd w:id="31"/>
      <w:bookmarkEnd w:id="32"/>
      <w:bookmarkEnd w:id="33"/>
      <w:bookmarkEnd w:id="34"/>
    </w:p>
    <w:p w:rsidR="00E368B4" w:rsidRPr="00542EA8" w:rsidRDefault="00E368B4" w:rsidP="00E368B4">
      <w:pPr>
        <w:rPr>
          <w:rStyle w:val="Emphasis"/>
        </w:rPr>
      </w:pPr>
      <w:r w:rsidRPr="00542EA8">
        <w:rPr>
          <w:rStyle w:val="Emphasis"/>
        </w:rPr>
        <w:t>Diagnosis</w:t>
      </w:r>
    </w:p>
    <w:p w:rsidR="00F01AA4" w:rsidRDefault="004734AC" w:rsidP="00F01AA4">
      <w:r>
        <w:t xml:space="preserve">Most people with SLE test positive for </w:t>
      </w:r>
      <w:r w:rsidR="00085865">
        <w:t>antinuclear antibod</w:t>
      </w:r>
      <w:r>
        <w:t>ies following a blood test</w:t>
      </w:r>
      <w:r w:rsidR="00085865">
        <w:t>. Another antibody</w:t>
      </w:r>
      <w:r>
        <w:t>,</w:t>
      </w:r>
      <w:r w:rsidR="00085865">
        <w:t xml:space="preserve"> anti-double-stranded DNA (anti-dsDNA) is </w:t>
      </w:r>
      <w:r>
        <w:t>o</w:t>
      </w:r>
      <w:r w:rsidR="00085865">
        <w:t xml:space="preserve">ften present in people with SLE. Various other antibodies are also associated with SLE. However, they can also occur in well people who do not have SLE. Typical symptoms combined with high levels of certain antibodies </w:t>
      </w:r>
      <w:r>
        <w:t>are used in diagnosis</w:t>
      </w:r>
      <w:r w:rsidR="00085865">
        <w:t xml:space="preserve">. </w:t>
      </w:r>
    </w:p>
    <w:p w:rsidR="00E368B4" w:rsidRPr="00395180" w:rsidRDefault="004734AC" w:rsidP="00F01AA4">
      <w:pPr>
        <w:rPr>
          <w:sz w:val="18"/>
          <w:szCs w:val="16"/>
        </w:rPr>
      </w:pPr>
      <w:r>
        <w:t>Criteria for the classification and diagnosis of SLE were published by the American College of Rheumatology</w:t>
      </w:r>
      <w:r w:rsidR="004D7951">
        <w:t xml:space="preserve"> (ACR)</w:t>
      </w:r>
      <w:r>
        <w:t xml:space="preserve"> in 1982 with amendments published in 1997 </w:t>
      </w:r>
      <w:r w:rsidR="00E729BA">
        <w:fldChar w:fldCharType="begin"/>
      </w:r>
      <w:r w:rsidR="00FC61FD">
        <w:instrText xml:space="preserve"> ADDIN REFMGR.CITE &lt;Refman&gt;&lt;Cite&gt;&lt;Author&gt;Hochberg&lt;/Author&gt;&lt;Year&gt;1997&lt;/Year&gt;&lt;RecNum&gt;1437&lt;/RecNum&gt;&lt;IDText&gt;Updating the American College of Rheumatology revised criteria for the classification of systemic lupus erythematosus&lt;/IDText&gt;&lt;MDL Ref_Type="Journal"&gt;&lt;Ref_Type&gt;Journal&lt;/Ref_Type&gt;&lt;Ref_ID&gt;1437&lt;/Ref_ID&gt;&lt;Title_Primary&gt;Updating the American College of Rheumatology revised criteria for the classification of systemic lupus erythematosus&lt;/Title_Primary&gt;&lt;Authors_Primary&gt;Hochberg,M.C.&lt;/Authors_Primary&gt;&lt;Date_Primary&gt;1997/9&lt;/Date_Primary&gt;&lt;Keywords&gt;analysis&lt;/Keywords&gt;&lt;Keywords&gt;Antibodies,Antiphospholipid&lt;/Keywords&gt;&lt;Keywords&gt;classification&lt;/Keywords&gt;&lt;Keywords&gt;Diagnosis,Differential&lt;/Keywords&gt;&lt;Keywords&gt;erythematosus&lt;/Keywords&gt;&lt;Keywords&gt;Humans&lt;/Keywords&gt;&lt;Keywords&gt;lupus erythematosus&lt;/Keywords&gt;&lt;Keywords&gt;Lupus Erythematosus,Systemic&lt;/Keywords&gt;&lt;Keywords&gt;organization &amp;amp; administration&lt;/Keywords&gt;&lt;Keywords&gt;Rheumatology&lt;/Keywords&gt;&lt;Keywords&gt;Societies,Medical&lt;/Keywords&gt;&lt;Keywords&gt;systemic lupus erythematosus&lt;/Keywords&gt;&lt;Keywords&gt;United States&lt;/Keywords&gt;&lt;Reprint&gt;Not in File&lt;/Reprint&gt;&lt;Start_Page&gt;1725&lt;/Start_Page&gt;&lt;Periodical&gt;Arthritis Rheum.&lt;/Periodical&gt;&lt;Volume&gt;40&lt;/Volume&gt;&lt;Issue&gt;9&lt;/Issue&gt;&lt;ZZ_JournalStdAbbrev&gt;&lt;f name="System"&gt;Arthritis Rheum.&lt;/f&gt;&lt;/ZZ_JournalStdAbbrev&gt;&lt;ZZ_WorkformID&gt;1&lt;/ZZ_WorkformID&gt;&lt;/MDL&gt;&lt;/Cite&gt;&lt;/Refman&gt;</w:instrText>
      </w:r>
      <w:r w:rsidR="00E729BA">
        <w:fldChar w:fldCharType="separate"/>
      </w:r>
      <w:r w:rsidR="00F12F58">
        <w:t>(44)</w:t>
      </w:r>
      <w:r w:rsidR="00E729BA">
        <w:fldChar w:fldCharType="end"/>
      </w:r>
      <w:r>
        <w:t xml:space="preserve">. </w:t>
      </w:r>
      <w:r w:rsidR="00E368B4">
        <w:t xml:space="preserve">The diagnosis of </w:t>
      </w:r>
      <w:r w:rsidR="006670D6">
        <w:t xml:space="preserve">SLE </w:t>
      </w:r>
      <w:r w:rsidR="00E368B4">
        <w:t>is based on clinical and laboratory tests when patients me</w:t>
      </w:r>
      <w:r w:rsidR="00395180">
        <w:t xml:space="preserve">et four of the eleven criteria. </w:t>
      </w:r>
      <w:r w:rsidR="00A767BA">
        <w:t>T</w:t>
      </w:r>
      <w:r w:rsidR="00E368B4">
        <w:t xml:space="preserve">he most common criteria satisfied at diagnosis were </w:t>
      </w:r>
      <w:r w:rsidR="00085865">
        <w:t>Anti-nuclear Antibody (</w:t>
      </w:r>
      <w:r w:rsidR="00E368B4">
        <w:t>ANA</w:t>
      </w:r>
      <w:r w:rsidR="00085865">
        <w:t>)</w:t>
      </w:r>
      <w:r w:rsidR="00E368B4">
        <w:t xml:space="preserve"> positive (96%), other serological abnormalities (92%), </w:t>
      </w:r>
      <w:r w:rsidR="00A767BA">
        <w:t xml:space="preserve">arthritis (62%), </w:t>
      </w:r>
      <w:r w:rsidR="00E368B4">
        <w:t>and haem</w:t>
      </w:r>
      <w:r w:rsidR="00A767BA">
        <w:t xml:space="preserve">atological abnormalities (56%), </w:t>
      </w:r>
      <w:r w:rsidR="00E368B4">
        <w:t xml:space="preserve">malar rash (43%) and photosensitivity (35%) </w:t>
      </w:r>
      <w:r w:rsidR="00E729BA">
        <w:fldChar w:fldCharType="begin"/>
      </w:r>
      <w:r w:rsidR="00FC61FD">
        <w:instrText xml:space="preserve"> ADDIN REFMGR.CITE &lt;Refman&gt;&lt;Cite&gt;&lt;Author&gt;Jacobsen&lt;/Author&gt;&lt;Year&gt;1998&lt;/Year&gt;&lt;RecNum&gt;1448&lt;/RecNum&gt;&lt;IDText&gt;A multicentre study of 513 Danish patients with systemic lupus erythematosus. I. Disease manifestations and analyses of clinical subsets&lt;/IDText&gt;&lt;MDL Ref_Type="Journal"&gt;&lt;Ref_Type&gt;Journal&lt;/Ref_Type&gt;&lt;Ref_ID&gt;1448&lt;/Ref_ID&gt;&lt;Title_Primary&gt;A multicentre study of 513 Danish patients with systemic lupus erythematosus. I. Disease manifestations and analyses of clinical subsets&lt;/Title_Primary&gt;&lt;Authors_Primary&gt;Jacobsen,S.&lt;/Authors_Primary&gt;&lt;Authors_Primary&gt;Petersen,J.&lt;/Authors_Primary&gt;&lt;Authors_Primary&gt;Ullman,S.&lt;/Authors_Primary&gt;&lt;Authors_Primary&gt;Junker,P.&lt;/Authors_Primary&gt;&lt;Authors_Primary&gt;Voss,A.&lt;/Authors_Primary&gt;&lt;Authors_Primary&gt;Rasmussen,J.M.&lt;/Authors_Primary&gt;&lt;Authors_Primary&gt;Tarp,U.&lt;/Authors_Primary&gt;&lt;Authors_Primary&gt;Poulsen,L.H.&lt;/Authors_Primary&gt;&lt;Authors_Primary&gt;van Overeem,Hansen G.&lt;/Authors_Primary&gt;&lt;Authors_Primary&gt;Skaarup,B.&lt;/Authors_Primary&gt;&lt;Authors_Primary&gt;Hansen,T.M.&lt;/Authors_Primary&gt;&lt;Authors_Primary&gt;Podenphant,J.&lt;/Authors_Primary&gt;&lt;Authors_Primary&gt;Halberg,P.&lt;/Authors_Primary&gt;&lt;Date_Primary&gt;1998&lt;/Date_Primary&gt;&lt;Keywords&gt;Adolescent&lt;/Keywords&gt;&lt;Keywords&gt;Adult&lt;/Keywords&gt;&lt;Keywords&gt;age&lt;/Keywords&gt;&lt;Keywords&gt;Age Factors&lt;/Keywords&gt;&lt;Keywords&gt;analysis&lt;/Keywords&gt;&lt;Keywords&gt;classification&lt;/Keywords&gt;&lt;Keywords&gt;Cluster Analysis&lt;/Keywords&gt;&lt;Keywords&gt;Denmark&lt;/Keywords&gt;&lt;Keywords&gt;diagnosis&lt;/Keywords&gt;&lt;Keywords&gt;Disease&lt;/Keywords&gt;&lt;Keywords&gt;epidemiology&lt;/Keywords&gt;&lt;Keywords&gt;erythematosus&lt;/Keywords&gt;&lt;Keywords&gt;Female&lt;/Keywords&gt;&lt;Keywords&gt;follow up&lt;/Keywords&gt;&lt;Keywords&gt;Follow-Up Studies&lt;/Keywords&gt;&lt;Keywords&gt;hospital&lt;/Keywords&gt;&lt;Keywords&gt;Hospitals&lt;/Keywords&gt;&lt;Keywords&gt;Humans&lt;/Keywords&gt;&lt;Keywords&gt;Hypertension&lt;/Keywords&gt;&lt;Keywords&gt;Infection&lt;/Keywords&gt;&lt;Keywords&gt;lupus erythematosus&lt;/Keywords&gt;&lt;Keywords&gt;Lupus Erythematosus,Systemic&lt;/Keywords&gt;&lt;Keywords&gt;Lupus Nephritis&lt;/Keywords&gt;&lt;Keywords&gt;Male&lt;/Keywords&gt;&lt;Keywords&gt;Middle Aged&lt;/Keywords&gt;&lt;Keywords&gt;mortality&lt;/Keywords&gt;&lt;Keywords&gt;pathology&lt;/Keywords&gt;&lt;Keywords&gt;patient&lt;/Keywords&gt;&lt;Keywords&gt;Patients&lt;/Keywords&gt;&lt;Keywords&gt;Prevalence&lt;/Keywords&gt;&lt;Keywords&gt;Prognosis&lt;/Keywords&gt;&lt;Keywords&gt;Proteinuria&lt;/Keywords&gt;&lt;Keywords&gt;Rheumatology&lt;/Keywords&gt;&lt;Keywords&gt;Risk&lt;/Keywords&gt;&lt;Keywords&gt;Serositis&lt;/Keywords&gt;&lt;Keywords&gt;sex&lt;/Keywords&gt;&lt;Keywords&gt;Sex Characteristics&lt;/Keywords&gt;&lt;Keywords&gt;Survival Rate&lt;/Keywords&gt;&lt;Keywords&gt;systemic lupus erythematosus&lt;/Keywords&gt;&lt;Keywords&gt;Time&lt;/Keywords&gt;&lt;Keywords&gt;Time Factors&lt;/Keywords&gt;&lt;Reprint&gt;Not in File&lt;/Reprint&gt;&lt;Start_Page&gt;468&lt;/Start_Page&gt;&lt;End_Page&gt;477&lt;/End_Page&gt;&lt;Periodical&gt;Clin.Rheumatol.&lt;/Periodical&gt;&lt;Volume&gt;17&lt;/Volume&gt;&lt;Issue&gt;6&lt;/Issue&gt;&lt;ZZ_JournalStdAbbrev&gt;&lt;f name="System"&gt;Clin.Rheumatol.&lt;/f&gt;&lt;/ZZ_JournalStdAbbrev&gt;&lt;ZZ_WorkformID&gt;1&lt;/ZZ_WorkformID&gt;&lt;/MDL&gt;&lt;/Cite&gt;&lt;/Refman&gt;</w:instrText>
      </w:r>
      <w:r w:rsidR="00E729BA">
        <w:fldChar w:fldCharType="separate"/>
      </w:r>
      <w:r w:rsidR="00F12F58">
        <w:t>(45)</w:t>
      </w:r>
      <w:r w:rsidR="00E729BA">
        <w:fldChar w:fldCharType="end"/>
      </w:r>
      <w:r w:rsidR="00E368B4">
        <w:t>.</w:t>
      </w:r>
    </w:p>
    <w:p w:rsidR="00E368B4" w:rsidRPr="00542EA8" w:rsidRDefault="00E368B4" w:rsidP="00E368B4">
      <w:pPr>
        <w:rPr>
          <w:rStyle w:val="Emphasis"/>
        </w:rPr>
      </w:pPr>
      <w:r w:rsidRPr="00542EA8">
        <w:rPr>
          <w:rStyle w:val="Emphasis"/>
        </w:rPr>
        <w:t>Disease Activity</w:t>
      </w:r>
    </w:p>
    <w:p w:rsidR="00E368B4" w:rsidRDefault="00395180" w:rsidP="004734AC">
      <w:r>
        <w:t>It is extremely difficult to describe a typical disease path for SLE patients because they</w:t>
      </w:r>
      <w:r w:rsidR="00E368B4">
        <w:t xml:space="preserve"> experience periods of active disease of varying length, affecting </w:t>
      </w:r>
      <w:r w:rsidR="00A767BA">
        <w:t xml:space="preserve">one or more </w:t>
      </w:r>
      <w:r w:rsidR="00E368B4">
        <w:t>organ systems</w:t>
      </w:r>
      <w:r w:rsidR="00C224BD">
        <w:t xml:space="preserve"> </w:t>
      </w:r>
      <w:r w:rsidR="00E729BA">
        <w:fldChar w:fldCharType="begin"/>
      </w:r>
      <w:r w:rsidR="00FC61FD">
        <w:instrText xml:space="preserve"> ADDIN REFMGR.CITE &lt;Refman&gt;&lt;Cite&gt;&lt;Author&gt;Jacobsen&lt;/Author&gt;&lt;Year&gt;1998&lt;/Year&gt;&lt;RecNum&gt;1448&lt;/RecNum&gt;&lt;IDText&gt;A multicentre study of 513 Danish patients with systemic lupus erythematosus. I. Disease manifestations and analyses of clinical subsets&lt;/IDText&gt;&lt;MDL Ref_Type="Journal"&gt;&lt;Ref_Type&gt;Journal&lt;/Ref_Type&gt;&lt;Ref_ID&gt;1448&lt;/Ref_ID&gt;&lt;Title_Primary&gt;A multicentre study of 513 Danish patients with systemic lupus erythematosus. I. Disease manifestations and analyses of clinical subsets&lt;/Title_Primary&gt;&lt;Authors_Primary&gt;Jacobsen,S.&lt;/Authors_Primary&gt;&lt;Authors_Primary&gt;Petersen,J.&lt;/Authors_Primary&gt;&lt;Authors_Primary&gt;Ullman,S.&lt;/Authors_Primary&gt;&lt;Authors_Primary&gt;Junker,P.&lt;/Authors_Primary&gt;&lt;Authors_Primary&gt;Voss,A.&lt;/Authors_Primary&gt;&lt;Authors_Primary&gt;Rasmussen,J.M.&lt;/Authors_Primary&gt;&lt;Authors_Primary&gt;Tarp,U.&lt;/Authors_Primary&gt;&lt;Authors_Primary&gt;Poulsen,L.H.&lt;/Authors_Primary&gt;&lt;Authors_Primary&gt;van Overeem,Hansen G.&lt;/Authors_Primary&gt;&lt;Authors_Primary&gt;Skaarup,B.&lt;/Authors_Primary&gt;&lt;Authors_Primary&gt;Hansen,T.M.&lt;/Authors_Primary&gt;&lt;Authors_Primary&gt;Podenphant,J.&lt;/Authors_Primary&gt;&lt;Authors_Primary&gt;Halberg,P.&lt;/Authors_Primary&gt;&lt;Date_Primary&gt;1998&lt;/Date_Primary&gt;&lt;Keywords&gt;Adolescent&lt;/Keywords&gt;&lt;Keywords&gt;Adult&lt;/Keywords&gt;&lt;Keywords&gt;age&lt;/Keywords&gt;&lt;Keywords&gt;Age Factors&lt;/Keywords&gt;&lt;Keywords&gt;analysis&lt;/Keywords&gt;&lt;Keywords&gt;classification&lt;/Keywords&gt;&lt;Keywords&gt;Cluster Analysis&lt;/Keywords&gt;&lt;Keywords&gt;Denmark&lt;/Keywords&gt;&lt;Keywords&gt;diagnosis&lt;/Keywords&gt;&lt;Keywords&gt;Disease&lt;/Keywords&gt;&lt;Keywords&gt;epidemiology&lt;/Keywords&gt;&lt;Keywords&gt;erythematosus&lt;/Keywords&gt;&lt;Keywords&gt;Female&lt;/Keywords&gt;&lt;Keywords&gt;follow up&lt;/Keywords&gt;&lt;Keywords&gt;Follow-Up Studies&lt;/Keywords&gt;&lt;Keywords&gt;hospital&lt;/Keywords&gt;&lt;Keywords&gt;Hospitals&lt;/Keywords&gt;&lt;Keywords&gt;Humans&lt;/Keywords&gt;&lt;Keywords&gt;Hypertension&lt;/Keywords&gt;&lt;Keywords&gt;Infection&lt;/Keywords&gt;&lt;Keywords&gt;lupus erythematosus&lt;/Keywords&gt;&lt;Keywords&gt;Lupus Erythematosus,Systemic&lt;/Keywords&gt;&lt;Keywords&gt;Lupus Nephritis&lt;/Keywords&gt;&lt;Keywords&gt;Male&lt;/Keywords&gt;&lt;Keywords&gt;Middle Aged&lt;/Keywords&gt;&lt;Keywords&gt;mortality&lt;/Keywords&gt;&lt;Keywords&gt;pathology&lt;/Keywords&gt;&lt;Keywords&gt;patient&lt;/Keywords&gt;&lt;Keywords&gt;Patients&lt;/Keywords&gt;&lt;Keywords&gt;Prevalence&lt;/Keywords&gt;&lt;Keywords&gt;Prognosis&lt;/Keywords&gt;&lt;Keywords&gt;Proteinuria&lt;/Keywords&gt;&lt;Keywords&gt;Rheumatology&lt;/Keywords&gt;&lt;Keywords&gt;Risk&lt;/Keywords&gt;&lt;Keywords&gt;Serositis&lt;/Keywords&gt;&lt;Keywords&gt;sex&lt;/Keywords&gt;&lt;Keywords&gt;Sex Characteristics&lt;/Keywords&gt;&lt;Keywords&gt;Survival Rate&lt;/Keywords&gt;&lt;Keywords&gt;systemic lupus erythematosus&lt;/Keywords&gt;&lt;Keywords&gt;Time&lt;/Keywords&gt;&lt;Keywords&gt;Time Factors&lt;/Keywords&gt;&lt;Reprint&gt;Not in File&lt;/Reprint&gt;&lt;Start_Page&gt;468&lt;/Start_Page&gt;&lt;End_Page&gt;477&lt;/End_Page&gt;&lt;Periodical&gt;Clin.Rheumatol.&lt;/Periodical&gt;&lt;Volume&gt;17&lt;/Volume&gt;&lt;Issue&gt;6&lt;/Issue&gt;&lt;ZZ_JournalStdAbbrev&gt;&lt;f name="System"&gt;Clin.Rheumatol.&lt;/f&gt;&lt;/ZZ_JournalStdAbbrev&gt;&lt;ZZ_WorkformID&gt;1&lt;/ZZ_WorkformID&gt;&lt;/MDL&gt;&lt;/Cite&gt;&lt;/Refman&gt;</w:instrText>
      </w:r>
      <w:r w:rsidR="00E729BA">
        <w:fldChar w:fldCharType="separate"/>
      </w:r>
      <w:r w:rsidR="00F12F58">
        <w:t>(45)</w:t>
      </w:r>
      <w:r w:rsidR="00E729BA">
        <w:fldChar w:fldCharType="end"/>
      </w:r>
      <w:r w:rsidR="00E368B4">
        <w:t>. A number of indices have been developed to monitor disease severity in observational studies</w:t>
      </w:r>
      <w:r w:rsidR="004734AC">
        <w:t xml:space="preserve">. The most commonly used are the </w:t>
      </w:r>
      <w:r w:rsidR="00EB5F70">
        <w:t>Systemic</w:t>
      </w:r>
      <w:r w:rsidR="00A767BA">
        <w:t xml:space="preserve"> Lupus Erythematosus Disease Activity Index (SLEDAI),</w:t>
      </w:r>
      <w:r>
        <w:t xml:space="preserve"> and</w:t>
      </w:r>
      <w:r w:rsidR="00A767BA">
        <w:t xml:space="preserve"> the British Isles </w:t>
      </w:r>
      <w:r>
        <w:t>Lupus Assessment Group (BILAG)</w:t>
      </w:r>
      <w:r w:rsidR="004D7951">
        <w:t xml:space="preserve"> index</w:t>
      </w:r>
      <w:r w:rsidR="000D1923">
        <w:t xml:space="preserve">. </w:t>
      </w:r>
      <w:r w:rsidR="00E368B4">
        <w:t>These indices record symptoms in the neuropsychiatric, cardiovascular, peripheral vascular, musculoskeletal, mucocutaneous, oc</w:t>
      </w:r>
      <w:r w:rsidR="006670D6">
        <w:t>ular</w:t>
      </w:r>
      <w:r w:rsidR="00E368B4">
        <w:t xml:space="preserve">, renal, respiratory, and gastrointestinal systems. </w:t>
      </w:r>
    </w:p>
    <w:p w:rsidR="004D7951" w:rsidRDefault="00E368B4" w:rsidP="009732B5">
      <w:r>
        <w:t xml:space="preserve">The SLEDAI focuses on symptoms experienced in the past 10 days. Disease activity can range between 0-105 and patients with a score of &gt;20 would be considered very severe </w:t>
      </w:r>
      <w:r w:rsidR="00E729BA">
        <w:fldChar w:fldCharType="begin"/>
      </w:r>
      <w:r w:rsidR="00FC61FD">
        <w:instrText xml:space="preserve"> ADDIN REFMGR.CITE &lt;Refman&gt;&lt;Cite&gt;&lt;Author&gt;Griffiths&lt;/Author&gt;&lt;Year&gt;2005&lt;/Year&gt;&lt;RecNum&gt;18&lt;/RecNum&gt;&lt;IDText&gt;Assessment of patients with systemic lupus erythematosus and the use of lupus disease activity indices&lt;/IDText&gt;&lt;MDL Ref_Type="Journal"&gt;&lt;Ref_Type&gt;Journal&lt;/Ref_Type&gt;&lt;Ref_ID&gt;18&lt;/Ref_ID&gt;&lt;Title_Primary&gt;Assessment of patients with systemic lupus erythematosus and the use of lupus disease activity indices&lt;/Title_Primary&gt;&lt;Authors_Primary&gt;Griffiths,B.&lt;/Authors_Primary&gt;&lt;Authors_Primary&gt;Mosca,M.&lt;/Authors_Primary&gt;&lt;Authors_Primary&gt;Gordon,C.&lt;/Authors_Primary&gt;&lt;Date_Primary&gt;2005/10&lt;/Date_Primary&gt;&lt;Keywords&gt;Disease Progression&lt;/Keywords&gt;&lt;Keywords&gt;Humans&lt;/Keywords&gt;&lt;Keywords&gt;Lupus Erythematosus,Systemic&lt;/Keywords&gt;&lt;Keywords&gt;physiopathology&lt;/Keywords&gt;&lt;Keywords&gt;psychology&lt;/Keywords&gt;&lt;Keywords&gt;Quality of Life&lt;/Keywords&gt;&lt;Keywords&gt;Severity of Illness Index&lt;/Keywords&gt;&lt;Keywords&gt;Sickness Impact Profile&lt;/Keywords&gt;&lt;Reprint&gt;Not in File&lt;/Reprint&gt;&lt;Start_Page&gt;685&lt;/Start_Page&gt;&lt;End_Page&gt;708&lt;/End_Page&gt;&lt;Periodical&gt;Best.Pract.Res.Clin.Rheumatol.&lt;/Periodical&gt;&lt;Volume&gt;19&lt;/Volume&gt;&lt;Issue&gt;5&lt;/Issue&gt;&lt;User_Def_1&gt;SLEDAI&lt;/User_Def_1&gt;&lt;User_Def_2&gt;BILAG&lt;/User_Def_2&gt;&lt;ZZ_JournalStdAbbrev&gt;&lt;f name="System"&gt;Best.Pract.Res.Clin.Rheumatol.&lt;/f&gt;&lt;/ZZ_JournalStdAbbrev&gt;&lt;ZZ_WorkformID&gt;1&lt;/ZZ_WorkformID&gt;&lt;/MDL&gt;&lt;/Cite&gt;&lt;/Refman&gt;</w:instrText>
      </w:r>
      <w:r w:rsidR="00E729BA">
        <w:fldChar w:fldCharType="separate"/>
      </w:r>
      <w:r w:rsidR="00F12F58">
        <w:t>(46)</w:t>
      </w:r>
      <w:r w:rsidR="00E729BA">
        <w:fldChar w:fldCharType="end"/>
      </w:r>
      <w:r>
        <w:t xml:space="preserve">. </w:t>
      </w:r>
      <w:r w:rsidR="00C224BD">
        <w:t>Twenty-four features that are attributed to lupus are listed</w:t>
      </w:r>
      <w:r w:rsidR="004D7951">
        <w:t xml:space="preserve"> in</w:t>
      </w:r>
      <w:r w:rsidR="009732B5">
        <w:t xml:space="preserve"> </w:t>
      </w:r>
      <w:fldSimple w:instr=" REF _Ref379468734 \h  \* MERGEFORMAT ">
        <w:r w:rsidR="004911B7">
          <w:t xml:space="preserve">Table </w:t>
        </w:r>
        <w:r w:rsidR="004911B7">
          <w:rPr>
            <w:noProof/>
          </w:rPr>
          <w:t>1</w:t>
        </w:r>
      </w:fldSimple>
      <w:r w:rsidR="00C224BD">
        <w:t xml:space="preserve">, with a weighted score given to any one that is present. </w:t>
      </w:r>
    </w:p>
    <w:p w:rsidR="005E0734" w:rsidRDefault="005E0734" w:rsidP="009732B5">
      <w:pPr>
        <w:rPr>
          <w:b/>
          <w:bCs/>
          <w:sz w:val="18"/>
          <w:szCs w:val="16"/>
        </w:rPr>
      </w:pPr>
      <w:bookmarkStart w:id="35" w:name="_Ref376273649"/>
      <w:bookmarkStart w:id="36" w:name="_Ref376273645"/>
      <w:r>
        <w:br w:type="page"/>
      </w:r>
    </w:p>
    <w:p w:rsidR="00D0049C" w:rsidRDefault="004D7951">
      <w:pPr>
        <w:pStyle w:val="Caption"/>
      </w:pPr>
      <w:bookmarkStart w:id="37" w:name="_Ref379468734"/>
      <w:r>
        <w:t xml:space="preserve">Table </w:t>
      </w:r>
      <w:r w:rsidR="00E729BA">
        <w:fldChar w:fldCharType="begin"/>
      </w:r>
      <w:r>
        <w:instrText xml:space="preserve"> SEQ Table \* ARABIC </w:instrText>
      </w:r>
      <w:r w:rsidR="00E729BA">
        <w:fldChar w:fldCharType="separate"/>
      </w:r>
      <w:r w:rsidR="004911B7">
        <w:rPr>
          <w:noProof/>
        </w:rPr>
        <w:t>1</w:t>
      </w:r>
      <w:r w:rsidR="00E729BA">
        <w:fldChar w:fldCharType="end"/>
      </w:r>
      <w:bookmarkEnd w:id="35"/>
      <w:bookmarkEnd w:id="37"/>
      <w:r>
        <w:t>: SLEDAI score attributes</w:t>
      </w:r>
      <w:bookmarkEnd w:id="36"/>
    </w:p>
    <w:tbl>
      <w:tblPr>
        <w:tblW w:w="0" w:type="auto"/>
        <w:tblBorders>
          <w:top w:val="single" w:sz="12" w:space="0" w:color="auto"/>
          <w:bottom w:val="single" w:sz="12" w:space="0" w:color="auto"/>
        </w:tblBorders>
        <w:tblLook w:val="01E0"/>
      </w:tblPr>
      <w:tblGrid>
        <w:gridCol w:w="794"/>
        <w:gridCol w:w="1709"/>
        <w:gridCol w:w="1434"/>
        <w:gridCol w:w="1457"/>
        <w:gridCol w:w="1434"/>
        <w:gridCol w:w="1586"/>
      </w:tblGrid>
      <w:tr w:rsidR="004D7951" w:rsidRPr="00041032" w:rsidTr="004D7951">
        <w:tc>
          <w:tcPr>
            <w:tcW w:w="794"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Weight</w:t>
            </w:r>
          </w:p>
        </w:tc>
        <w:tc>
          <w:tcPr>
            <w:tcW w:w="1709"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Descriptor</w:t>
            </w:r>
          </w:p>
        </w:tc>
        <w:tc>
          <w:tcPr>
            <w:tcW w:w="1434"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Weight</w:t>
            </w:r>
          </w:p>
        </w:tc>
        <w:tc>
          <w:tcPr>
            <w:tcW w:w="1457"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Descriptor</w:t>
            </w:r>
          </w:p>
        </w:tc>
        <w:tc>
          <w:tcPr>
            <w:tcW w:w="1434"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Weight</w:t>
            </w:r>
          </w:p>
        </w:tc>
        <w:tc>
          <w:tcPr>
            <w:tcW w:w="1586" w:type="dxa"/>
            <w:tcBorders>
              <w:top w:val="single" w:sz="12" w:space="0" w:color="auto"/>
              <w:bottom w:val="single" w:sz="8" w:space="0" w:color="auto"/>
            </w:tcBorders>
          </w:tcPr>
          <w:p w:rsidR="004D7951" w:rsidRPr="00041032" w:rsidRDefault="004D7951" w:rsidP="004D7951">
            <w:pPr>
              <w:spacing w:line="240" w:lineRule="auto"/>
              <w:rPr>
                <w:sz w:val="18"/>
                <w:szCs w:val="18"/>
              </w:rPr>
            </w:pPr>
            <w:r w:rsidRPr="00041032">
              <w:rPr>
                <w:sz w:val="18"/>
                <w:szCs w:val="18"/>
              </w:rPr>
              <w:t>Descriptor</w:t>
            </w:r>
          </w:p>
        </w:tc>
      </w:tr>
      <w:tr w:rsidR="004D7951" w:rsidRPr="00041032" w:rsidTr="004D7951">
        <w:tc>
          <w:tcPr>
            <w:tcW w:w="794"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8</w:t>
            </w:r>
          </w:p>
        </w:tc>
        <w:tc>
          <w:tcPr>
            <w:tcW w:w="1709"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Seizure</w:t>
            </w:r>
          </w:p>
        </w:tc>
        <w:tc>
          <w:tcPr>
            <w:tcW w:w="1434"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4</w:t>
            </w:r>
          </w:p>
        </w:tc>
        <w:tc>
          <w:tcPr>
            <w:tcW w:w="1457"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Arthritis</w:t>
            </w:r>
          </w:p>
        </w:tc>
        <w:tc>
          <w:tcPr>
            <w:tcW w:w="1434"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 xml:space="preserve">2 </w:t>
            </w:r>
          </w:p>
        </w:tc>
        <w:tc>
          <w:tcPr>
            <w:tcW w:w="1586" w:type="dxa"/>
            <w:tcBorders>
              <w:top w:val="single" w:sz="8" w:space="0" w:color="auto"/>
            </w:tcBorders>
          </w:tcPr>
          <w:p w:rsidR="004D7951" w:rsidRPr="00041032" w:rsidRDefault="004D7951" w:rsidP="004D7951">
            <w:pPr>
              <w:spacing w:line="240" w:lineRule="auto"/>
              <w:rPr>
                <w:sz w:val="18"/>
                <w:szCs w:val="18"/>
              </w:rPr>
            </w:pPr>
            <w:r w:rsidRPr="00041032">
              <w:rPr>
                <w:sz w:val="18"/>
                <w:szCs w:val="18"/>
              </w:rPr>
              <w:t>New rash</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Psychosis</w:t>
            </w:r>
          </w:p>
        </w:tc>
        <w:tc>
          <w:tcPr>
            <w:tcW w:w="1434" w:type="dxa"/>
          </w:tcPr>
          <w:p w:rsidR="004D7951" w:rsidRPr="00041032" w:rsidRDefault="004D7951" w:rsidP="004D7951">
            <w:pPr>
              <w:spacing w:line="240" w:lineRule="auto"/>
              <w:rPr>
                <w:sz w:val="18"/>
                <w:szCs w:val="18"/>
              </w:rPr>
            </w:pPr>
            <w:r w:rsidRPr="00041032">
              <w:rPr>
                <w:sz w:val="18"/>
                <w:szCs w:val="18"/>
              </w:rPr>
              <w:t>4</w:t>
            </w:r>
          </w:p>
        </w:tc>
        <w:tc>
          <w:tcPr>
            <w:tcW w:w="1457" w:type="dxa"/>
          </w:tcPr>
          <w:p w:rsidR="004D7951" w:rsidRPr="00041032" w:rsidRDefault="004D7951" w:rsidP="004D7951">
            <w:pPr>
              <w:spacing w:line="240" w:lineRule="auto"/>
              <w:rPr>
                <w:sz w:val="18"/>
                <w:szCs w:val="18"/>
              </w:rPr>
            </w:pPr>
            <w:r w:rsidRPr="00041032">
              <w:rPr>
                <w:sz w:val="18"/>
                <w:szCs w:val="18"/>
              </w:rPr>
              <w:t>Myositis</w:t>
            </w: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Alopecia</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Organic Brain Syndrome</w:t>
            </w:r>
          </w:p>
        </w:tc>
        <w:tc>
          <w:tcPr>
            <w:tcW w:w="1434" w:type="dxa"/>
          </w:tcPr>
          <w:p w:rsidR="004D7951" w:rsidRPr="00041032" w:rsidRDefault="004D7951" w:rsidP="004D7951">
            <w:pPr>
              <w:spacing w:line="240" w:lineRule="auto"/>
              <w:rPr>
                <w:sz w:val="18"/>
                <w:szCs w:val="18"/>
              </w:rPr>
            </w:pPr>
            <w:r w:rsidRPr="00041032">
              <w:rPr>
                <w:sz w:val="18"/>
                <w:szCs w:val="18"/>
              </w:rPr>
              <w:t xml:space="preserve">4 </w:t>
            </w:r>
          </w:p>
        </w:tc>
        <w:tc>
          <w:tcPr>
            <w:tcW w:w="1457" w:type="dxa"/>
          </w:tcPr>
          <w:p w:rsidR="004D7951" w:rsidRPr="00041032" w:rsidRDefault="004D7951" w:rsidP="004D7951">
            <w:pPr>
              <w:spacing w:line="240" w:lineRule="auto"/>
              <w:rPr>
                <w:sz w:val="18"/>
                <w:szCs w:val="18"/>
              </w:rPr>
            </w:pPr>
            <w:r w:rsidRPr="00041032">
              <w:rPr>
                <w:sz w:val="18"/>
                <w:szCs w:val="18"/>
              </w:rPr>
              <w:t>Urinary Casts</w:t>
            </w: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Mucosal Ulcers</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Visual Disturbance</w:t>
            </w:r>
          </w:p>
        </w:tc>
        <w:tc>
          <w:tcPr>
            <w:tcW w:w="1434" w:type="dxa"/>
          </w:tcPr>
          <w:p w:rsidR="004D7951" w:rsidRPr="00041032" w:rsidRDefault="004D7951" w:rsidP="004D7951">
            <w:pPr>
              <w:spacing w:line="240" w:lineRule="auto"/>
              <w:rPr>
                <w:sz w:val="18"/>
                <w:szCs w:val="18"/>
              </w:rPr>
            </w:pPr>
            <w:r w:rsidRPr="00041032">
              <w:rPr>
                <w:sz w:val="18"/>
                <w:szCs w:val="18"/>
              </w:rPr>
              <w:t>4</w:t>
            </w:r>
          </w:p>
        </w:tc>
        <w:tc>
          <w:tcPr>
            <w:tcW w:w="1457" w:type="dxa"/>
          </w:tcPr>
          <w:p w:rsidR="004D7951" w:rsidRPr="00041032" w:rsidRDefault="004D7951" w:rsidP="004D7951">
            <w:pPr>
              <w:spacing w:line="240" w:lineRule="auto"/>
              <w:rPr>
                <w:sz w:val="18"/>
                <w:szCs w:val="18"/>
              </w:rPr>
            </w:pPr>
            <w:r w:rsidRPr="00041032">
              <w:rPr>
                <w:sz w:val="18"/>
                <w:szCs w:val="18"/>
              </w:rPr>
              <w:t>Hematuria</w:t>
            </w: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Pleurisy</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Cranial Nerve Disorder</w:t>
            </w:r>
          </w:p>
        </w:tc>
        <w:tc>
          <w:tcPr>
            <w:tcW w:w="1434" w:type="dxa"/>
          </w:tcPr>
          <w:p w:rsidR="004D7951" w:rsidRPr="00041032" w:rsidRDefault="004D7951" w:rsidP="004D7951">
            <w:pPr>
              <w:spacing w:line="240" w:lineRule="auto"/>
              <w:rPr>
                <w:sz w:val="18"/>
                <w:szCs w:val="18"/>
              </w:rPr>
            </w:pPr>
            <w:r w:rsidRPr="00041032">
              <w:rPr>
                <w:sz w:val="18"/>
                <w:szCs w:val="18"/>
              </w:rPr>
              <w:t>4</w:t>
            </w:r>
          </w:p>
        </w:tc>
        <w:tc>
          <w:tcPr>
            <w:tcW w:w="1457" w:type="dxa"/>
          </w:tcPr>
          <w:p w:rsidR="004D7951" w:rsidRPr="00041032" w:rsidRDefault="004D7951" w:rsidP="004D7951">
            <w:pPr>
              <w:spacing w:line="240" w:lineRule="auto"/>
              <w:rPr>
                <w:sz w:val="18"/>
                <w:szCs w:val="18"/>
              </w:rPr>
            </w:pPr>
            <w:r w:rsidRPr="00041032">
              <w:rPr>
                <w:sz w:val="18"/>
                <w:szCs w:val="18"/>
              </w:rPr>
              <w:t>Proteinuria</w:t>
            </w: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Pericarditis</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Lupus Headache</w:t>
            </w:r>
          </w:p>
        </w:tc>
        <w:tc>
          <w:tcPr>
            <w:tcW w:w="1434" w:type="dxa"/>
          </w:tcPr>
          <w:p w:rsidR="004D7951" w:rsidRPr="00041032" w:rsidRDefault="004D7951" w:rsidP="004D7951">
            <w:pPr>
              <w:spacing w:line="240" w:lineRule="auto"/>
              <w:rPr>
                <w:sz w:val="18"/>
                <w:szCs w:val="18"/>
              </w:rPr>
            </w:pPr>
            <w:r w:rsidRPr="00041032">
              <w:rPr>
                <w:sz w:val="18"/>
                <w:szCs w:val="18"/>
              </w:rPr>
              <w:t>4</w:t>
            </w:r>
          </w:p>
        </w:tc>
        <w:tc>
          <w:tcPr>
            <w:tcW w:w="1457" w:type="dxa"/>
          </w:tcPr>
          <w:p w:rsidR="004D7951" w:rsidRPr="00041032" w:rsidRDefault="004D7951" w:rsidP="004D7951">
            <w:pPr>
              <w:spacing w:line="240" w:lineRule="auto"/>
              <w:rPr>
                <w:sz w:val="18"/>
                <w:szCs w:val="18"/>
              </w:rPr>
            </w:pPr>
            <w:r w:rsidRPr="00041032">
              <w:rPr>
                <w:sz w:val="18"/>
                <w:szCs w:val="18"/>
              </w:rPr>
              <w:t>Pyuria</w:t>
            </w: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Low Complement</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CVA</w:t>
            </w:r>
          </w:p>
        </w:tc>
        <w:tc>
          <w:tcPr>
            <w:tcW w:w="1434" w:type="dxa"/>
          </w:tcPr>
          <w:p w:rsidR="004D7951" w:rsidRPr="00041032" w:rsidRDefault="004D7951" w:rsidP="004D7951">
            <w:pPr>
              <w:spacing w:line="240" w:lineRule="auto"/>
              <w:rPr>
                <w:sz w:val="18"/>
                <w:szCs w:val="18"/>
              </w:rPr>
            </w:pPr>
          </w:p>
        </w:tc>
        <w:tc>
          <w:tcPr>
            <w:tcW w:w="1457"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r w:rsidRPr="00041032">
              <w:rPr>
                <w:sz w:val="18"/>
                <w:szCs w:val="18"/>
              </w:rPr>
              <w:t>2</w:t>
            </w:r>
          </w:p>
        </w:tc>
        <w:tc>
          <w:tcPr>
            <w:tcW w:w="1586" w:type="dxa"/>
          </w:tcPr>
          <w:p w:rsidR="004D7951" w:rsidRPr="00041032" w:rsidRDefault="004D7951" w:rsidP="004D7951">
            <w:pPr>
              <w:spacing w:line="240" w:lineRule="auto"/>
              <w:rPr>
                <w:sz w:val="18"/>
                <w:szCs w:val="18"/>
              </w:rPr>
            </w:pPr>
            <w:r w:rsidRPr="00041032">
              <w:rPr>
                <w:sz w:val="18"/>
                <w:szCs w:val="18"/>
              </w:rPr>
              <w:t>Increased DNA binding</w:t>
            </w:r>
          </w:p>
        </w:tc>
      </w:tr>
      <w:tr w:rsidR="004D7951" w:rsidRPr="00041032" w:rsidTr="004D7951">
        <w:tc>
          <w:tcPr>
            <w:tcW w:w="794" w:type="dxa"/>
          </w:tcPr>
          <w:p w:rsidR="004D7951" w:rsidRPr="00041032" w:rsidRDefault="004D7951" w:rsidP="004D7951">
            <w:pPr>
              <w:spacing w:line="240" w:lineRule="auto"/>
              <w:rPr>
                <w:sz w:val="18"/>
                <w:szCs w:val="18"/>
              </w:rPr>
            </w:pPr>
            <w:r w:rsidRPr="00041032">
              <w:rPr>
                <w:sz w:val="18"/>
                <w:szCs w:val="18"/>
              </w:rPr>
              <w:t>8</w:t>
            </w:r>
          </w:p>
        </w:tc>
        <w:tc>
          <w:tcPr>
            <w:tcW w:w="1709" w:type="dxa"/>
          </w:tcPr>
          <w:p w:rsidR="004D7951" w:rsidRPr="00041032" w:rsidRDefault="004D7951" w:rsidP="004D7951">
            <w:pPr>
              <w:spacing w:line="240" w:lineRule="auto"/>
              <w:rPr>
                <w:sz w:val="18"/>
                <w:szCs w:val="18"/>
              </w:rPr>
            </w:pPr>
            <w:r w:rsidRPr="00041032">
              <w:rPr>
                <w:sz w:val="18"/>
                <w:szCs w:val="18"/>
              </w:rPr>
              <w:t>Vasculitis</w:t>
            </w:r>
          </w:p>
        </w:tc>
        <w:tc>
          <w:tcPr>
            <w:tcW w:w="1434" w:type="dxa"/>
          </w:tcPr>
          <w:p w:rsidR="004D7951" w:rsidRPr="00041032" w:rsidRDefault="004D7951" w:rsidP="004D7951">
            <w:pPr>
              <w:spacing w:line="240" w:lineRule="auto"/>
              <w:rPr>
                <w:sz w:val="18"/>
                <w:szCs w:val="18"/>
              </w:rPr>
            </w:pPr>
          </w:p>
        </w:tc>
        <w:tc>
          <w:tcPr>
            <w:tcW w:w="1457"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r w:rsidRPr="00041032">
              <w:rPr>
                <w:sz w:val="18"/>
                <w:szCs w:val="18"/>
              </w:rPr>
              <w:t>1</w:t>
            </w:r>
          </w:p>
        </w:tc>
        <w:tc>
          <w:tcPr>
            <w:tcW w:w="1586" w:type="dxa"/>
          </w:tcPr>
          <w:p w:rsidR="004D7951" w:rsidRPr="00041032" w:rsidRDefault="004D7951" w:rsidP="004D7951">
            <w:pPr>
              <w:spacing w:line="240" w:lineRule="auto"/>
              <w:rPr>
                <w:sz w:val="18"/>
                <w:szCs w:val="18"/>
              </w:rPr>
            </w:pPr>
            <w:r w:rsidRPr="00041032">
              <w:rPr>
                <w:sz w:val="18"/>
                <w:szCs w:val="18"/>
              </w:rPr>
              <w:t>Fever</w:t>
            </w:r>
          </w:p>
        </w:tc>
      </w:tr>
      <w:tr w:rsidR="004D7951" w:rsidRPr="00041032" w:rsidTr="004D7951">
        <w:tc>
          <w:tcPr>
            <w:tcW w:w="794" w:type="dxa"/>
          </w:tcPr>
          <w:p w:rsidR="004D7951" w:rsidRPr="00041032" w:rsidRDefault="004D7951" w:rsidP="004D7951">
            <w:pPr>
              <w:spacing w:line="240" w:lineRule="auto"/>
              <w:rPr>
                <w:sz w:val="18"/>
                <w:szCs w:val="18"/>
              </w:rPr>
            </w:pPr>
          </w:p>
        </w:tc>
        <w:tc>
          <w:tcPr>
            <w:tcW w:w="1709"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p>
        </w:tc>
        <w:tc>
          <w:tcPr>
            <w:tcW w:w="1457"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r w:rsidRPr="00041032">
              <w:rPr>
                <w:sz w:val="18"/>
                <w:szCs w:val="18"/>
              </w:rPr>
              <w:t>1</w:t>
            </w:r>
          </w:p>
        </w:tc>
        <w:tc>
          <w:tcPr>
            <w:tcW w:w="1586" w:type="dxa"/>
          </w:tcPr>
          <w:p w:rsidR="004D7951" w:rsidRPr="00041032" w:rsidRDefault="004D7951" w:rsidP="004D7951">
            <w:pPr>
              <w:spacing w:line="240" w:lineRule="auto"/>
              <w:rPr>
                <w:sz w:val="18"/>
                <w:szCs w:val="18"/>
              </w:rPr>
            </w:pPr>
            <w:r w:rsidRPr="00041032">
              <w:rPr>
                <w:sz w:val="18"/>
                <w:szCs w:val="18"/>
              </w:rPr>
              <w:t>Thrombocytopenia</w:t>
            </w:r>
          </w:p>
        </w:tc>
      </w:tr>
      <w:tr w:rsidR="004D7951" w:rsidRPr="00041032" w:rsidTr="004D7951">
        <w:tc>
          <w:tcPr>
            <w:tcW w:w="794" w:type="dxa"/>
          </w:tcPr>
          <w:p w:rsidR="004D7951" w:rsidRPr="00041032" w:rsidRDefault="004D7951" w:rsidP="004D7951">
            <w:pPr>
              <w:spacing w:line="240" w:lineRule="auto"/>
              <w:rPr>
                <w:sz w:val="18"/>
                <w:szCs w:val="18"/>
              </w:rPr>
            </w:pPr>
          </w:p>
        </w:tc>
        <w:tc>
          <w:tcPr>
            <w:tcW w:w="1709"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p>
        </w:tc>
        <w:tc>
          <w:tcPr>
            <w:tcW w:w="1457" w:type="dxa"/>
          </w:tcPr>
          <w:p w:rsidR="004D7951" w:rsidRPr="00041032" w:rsidRDefault="004D7951" w:rsidP="004D7951">
            <w:pPr>
              <w:spacing w:line="240" w:lineRule="auto"/>
              <w:rPr>
                <w:sz w:val="18"/>
                <w:szCs w:val="18"/>
              </w:rPr>
            </w:pPr>
          </w:p>
        </w:tc>
        <w:tc>
          <w:tcPr>
            <w:tcW w:w="1434" w:type="dxa"/>
          </w:tcPr>
          <w:p w:rsidR="004D7951" w:rsidRPr="00041032" w:rsidRDefault="004D7951" w:rsidP="004D7951">
            <w:pPr>
              <w:spacing w:line="240" w:lineRule="auto"/>
              <w:rPr>
                <w:sz w:val="18"/>
                <w:szCs w:val="18"/>
              </w:rPr>
            </w:pPr>
            <w:r w:rsidRPr="00041032">
              <w:rPr>
                <w:sz w:val="18"/>
                <w:szCs w:val="18"/>
              </w:rPr>
              <w:t>1</w:t>
            </w:r>
          </w:p>
        </w:tc>
        <w:tc>
          <w:tcPr>
            <w:tcW w:w="1586" w:type="dxa"/>
          </w:tcPr>
          <w:p w:rsidR="004D7951" w:rsidRPr="00041032" w:rsidRDefault="004D7951" w:rsidP="004D7951">
            <w:pPr>
              <w:spacing w:line="240" w:lineRule="auto"/>
              <w:rPr>
                <w:sz w:val="18"/>
                <w:szCs w:val="18"/>
              </w:rPr>
            </w:pPr>
            <w:r w:rsidRPr="00041032">
              <w:rPr>
                <w:sz w:val="18"/>
                <w:szCs w:val="18"/>
              </w:rPr>
              <w:t>Leukopenia</w:t>
            </w:r>
          </w:p>
        </w:tc>
      </w:tr>
    </w:tbl>
    <w:p w:rsidR="004D7951" w:rsidRDefault="004D7951" w:rsidP="00C224BD"/>
    <w:p w:rsidR="00E368B4" w:rsidRDefault="00C224BD" w:rsidP="00C224BD">
      <w:r>
        <w:t>The more serious manifestations (such as renal, neurologic, and vasculitis) are</w:t>
      </w:r>
      <w:r w:rsidRPr="00C224BD">
        <w:t xml:space="preserve"> </w:t>
      </w:r>
      <w:r>
        <w:t xml:space="preserve">weighted more than others (such as cutaneous manifestations). </w:t>
      </w:r>
      <w:r w:rsidR="00E368B4">
        <w:t xml:space="preserve">The SLEDAI records immunology results such as anti-dsDNA antibodies and complement. A limitation of the SLEDAI is that, unlike the BILAG, it does not rate the severity of symptoms. </w:t>
      </w:r>
      <w:r w:rsidR="00E368B4" w:rsidRPr="00E6688A">
        <w:t>Since the publication of the original SLEDAI several modifications of the SLEDAI have been made to how items are defined</w:t>
      </w:r>
      <w:r w:rsidR="00395180">
        <w:t xml:space="preserve"> such as the </w:t>
      </w:r>
      <w:r w:rsidR="00E368B4" w:rsidRPr="005E355D">
        <w:rPr>
          <w:rFonts w:eastAsiaTheme="minorHAnsi"/>
        </w:rPr>
        <w:t>Safety of</w:t>
      </w:r>
      <w:r w:rsidR="00E368B4" w:rsidRPr="0087118A">
        <w:rPr>
          <w:lang w:eastAsia="nl-NL"/>
        </w:rPr>
        <w:t xml:space="preserve"> Estrogen in Lupus</w:t>
      </w:r>
      <w:r w:rsidR="00E368B4">
        <w:rPr>
          <w:lang w:eastAsia="nl-NL"/>
        </w:rPr>
        <w:t xml:space="preserve"> </w:t>
      </w:r>
      <w:r w:rsidR="00E368B4" w:rsidRPr="0087118A">
        <w:rPr>
          <w:lang w:eastAsia="nl-NL"/>
        </w:rPr>
        <w:t>Erythematosus National Assessment</w:t>
      </w:r>
      <w:r w:rsidR="00E368B4">
        <w:rPr>
          <w:lang w:eastAsia="nl-NL"/>
        </w:rPr>
        <w:t xml:space="preserve"> (SELENA)</w:t>
      </w:r>
      <w:r w:rsidR="00E368B4" w:rsidRPr="0087118A">
        <w:rPr>
          <w:lang w:eastAsia="nl-NL"/>
        </w:rPr>
        <w:t xml:space="preserve"> </w:t>
      </w:r>
      <w:r w:rsidR="00E729BA">
        <w:rPr>
          <w:lang w:eastAsia="nl-NL"/>
        </w:rPr>
        <w:fldChar w:fldCharType="begin"/>
      </w:r>
      <w:r w:rsidR="00FC61FD">
        <w:rPr>
          <w:lang w:eastAsia="nl-NL"/>
        </w:rPr>
        <w:instrText xml:space="preserve"> ADDIN REFMGR.CITE &lt;Refman&gt;&lt;Cite&gt;&lt;Author&gt;Petri&lt;/Author&gt;&lt;Year&gt;2005&lt;/Year&gt;&lt;RecNum&gt;1503&lt;/RecNum&gt;&lt;IDText&gt;Combined oral contraceptives in women with systemic lupus erythematosus&lt;/IDText&gt;&lt;MDL Ref_Type="Journal"&gt;&lt;Ref_Type&gt;Journal&lt;/Ref_Type&gt;&lt;Ref_ID&gt;1503&lt;/Ref_ID&gt;&lt;Title_Primary&gt;Combined oral contraceptives in women with systemic lupus erythematosus&lt;/Title_Primary&gt;&lt;Authors_Primary&gt;Petri,M.&lt;/Authors_Primary&gt;&lt;Authors_Primary&gt;Kim,M.Y.&lt;/Authors_Primary&gt;&lt;Authors_Primary&gt;Kalunian,K.C.&lt;/Authors_Primary&gt;&lt;Authors_Primary&gt;Grossman,J.&lt;/Authors_Primary&gt;&lt;Authors_Primary&gt;Hahn,B.H.&lt;/Authors_Primary&gt;&lt;Authors_Primary&gt;Sammaritano,L.R.&lt;/Authors_Primary&gt;&lt;Authors_Primary&gt;Lockshin,M.&lt;/Authors_Primary&gt;&lt;Authors_Primary&gt;Merrill,J.T.&lt;/Authors_Primary&gt;&lt;Authors_Primary&gt;Belmont,H.M.&lt;/Authors_Primary&gt;&lt;Authors_Primary&gt;Askanase,A.D.&lt;/Authors_Primary&gt;&lt;Authors_Primary&gt;McCune,W.J.&lt;/Authors_Primary&gt;&lt;Authors_Primary&gt;Hearth-Holmes,M.&lt;/Authors_Primary&gt;&lt;Authors_Primary&gt;Dooley,M.A.&lt;/Authors_Primary&gt;&lt;Authors_Primary&gt;Von,Feldt J.&lt;/Authors_Primary&gt;&lt;Authors_Primary&gt;Friedman,A.&lt;/Authors_Primary&gt;&lt;Authors_Primary&gt;Tan,M.&lt;/Authors_Primary&gt;&lt;Authors_Primary&gt;Davis,J.&lt;/Authors_Primary&gt;&lt;Authors_Primary&gt;Cronin,M.&lt;/Authors_Primary&gt;&lt;Authors_Primary&gt;Diamond,B.&lt;/Authors_Primary&gt;&lt;Authors_Primary&gt;Mackay,M.&lt;/Authors_Primary&gt;&lt;Authors_Primary&gt;Sigler,L.&lt;/Authors_Primary&gt;&lt;Authors_Primary&gt;Fillius,M.&lt;/Authors_Primary&gt;&lt;Authors_Primary&gt;Rupel,A.&lt;/Authors_Primary&gt;&lt;Authors_Primary&gt;Licciardi,F.&lt;/Authors_Primary&gt;&lt;Authors_Primary&gt;Buyon,J.P.&lt;/Authors_Primary&gt;&lt;Date_Primary&gt;2005/12/15&lt;/Date_Primary&gt;&lt;Keywords&gt;Adolescent&lt;/Keywords&gt;&lt;Keywords&gt;Adult&lt;/Keywords&gt;&lt;Keywords&gt;adverse effects&lt;/Keywords&gt;&lt;Keywords&gt;Antibodies&lt;/Keywords&gt;&lt;Keywords&gt;Baltimore&lt;/Keywords&gt;&lt;Keywords&gt;classification&lt;/Keywords&gt;&lt;Keywords&gt;confidence interval&lt;/Keywords&gt;&lt;Keywords&gt;Contraceptives,Oral,Combined&lt;/Keywords&gt;&lt;Keywords&gt;death&lt;/Keywords&gt;&lt;Keywords&gt;Disease&lt;/Keywords&gt;&lt;Keywords&gt;Double-Blind Method&lt;/Keywords&gt;&lt;Keywords&gt;erythematosus&lt;/Keywords&gt;&lt;Keywords&gt;estradiol&lt;/Keywords&gt;&lt;Keywords&gt;Ethinyl Estradiol&lt;/Keywords&gt;&lt;Keywords&gt;Female&lt;/Keywords&gt;&lt;Keywords&gt;Humans&lt;/Keywords&gt;&lt;Keywords&gt;lupus erythematosus&lt;/Keywords&gt;&lt;Keywords&gt;Lupus Erythematosus,Systemic&lt;/Keywords&gt;&lt;Keywords&gt;methods&lt;/Keywords&gt;&lt;Keywords&gt;Norethindrone&lt;/Keywords&gt;&lt;Keywords&gt;placebo&lt;/Keywords&gt;&lt;Keywords&gt;Pregnancy&lt;/Keywords&gt;&lt;Keywords&gt;Risk&lt;/Keywords&gt;&lt;Keywords&gt;Severity of Illness Index&lt;/Keywords&gt;&lt;Keywords&gt;systemic lupus erythematosus&lt;/Keywords&gt;&lt;Keywords&gt;Thrombosis&lt;/Keywords&gt;&lt;Keywords&gt;Venous Thrombosis&lt;/Keywords&gt;&lt;Keywords&gt;Women&lt;/Keywords&gt;&lt;Reprint&gt;Not in File&lt;/Reprint&gt;&lt;Start_Page&gt;2550&lt;/Start_Page&gt;&lt;End_Page&gt;2558&lt;/End_Page&gt;&lt;Periodical&gt;N.Engl.J.Med.&lt;/Periodical&gt;&lt;Volume&gt;353&lt;/Volume&gt;&lt;Issue&gt;24&lt;/Issue&gt;&lt;ZZ_JournalStdAbbrev&gt;&lt;f name="System"&gt;N.Engl.J.Med.&lt;/f&gt;&lt;/ZZ_JournalStdAbbrev&gt;&lt;ZZ_WorkformID&gt;1&lt;/ZZ_WorkformID&gt;&lt;/MDL&gt;&lt;/Cite&gt;&lt;/Refman&gt;</w:instrText>
      </w:r>
      <w:r w:rsidR="00E729BA">
        <w:rPr>
          <w:lang w:eastAsia="nl-NL"/>
        </w:rPr>
        <w:fldChar w:fldCharType="separate"/>
      </w:r>
      <w:r w:rsidR="00F12F58">
        <w:rPr>
          <w:lang w:eastAsia="nl-NL"/>
        </w:rPr>
        <w:t>(47)</w:t>
      </w:r>
      <w:r w:rsidR="00E729BA">
        <w:rPr>
          <w:lang w:eastAsia="nl-NL"/>
        </w:rPr>
        <w:fldChar w:fldCharType="end"/>
      </w:r>
      <w:r>
        <w:rPr>
          <w:lang w:eastAsia="nl-NL"/>
        </w:rPr>
        <w:t xml:space="preserve"> </w:t>
      </w:r>
      <w:r w:rsidR="00395180">
        <w:rPr>
          <w:lang w:eastAsia="nl-NL"/>
        </w:rPr>
        <w:t>and the</w:t>
      </w:r>
      <w:r w:rsidR="00E368B4" w:rsidRPr="00E6688A">
        <w:rPr>
          <w:lang w:eastAsia="nl-NL"/>
        </w:rPr>
        <w:t xml:space="preserve"> SLEDAI-2k</w:t>
      </w:r>
      <w:r>
        <w:rPr>
          <w:lang w:eastAsia="nl-NL"/>
        </w:rPr>
        <w:t xml:space="preserve"> </w:t>
      </w:r>
      <w:r w:rsidR="00E729BA">
        <w:rPr>
          <w:lang w:eastAsia="nl-NL"/>
        </w:rPr>
        <w:fldChar w:fldCharType="begin"/>
      </w:r>
      <w:r w:rsidR="00FC61FD">
        <w:rPr>
          <w:lang w:eastAsia="nl-NL"/>
        </w:rPr>
        <w:instrText xml:space="preserve"> ADDIN REFMGR.CITE &lt;Refman&gt;&lt;Cite&gt;&lt;Author&gt;Gladman&lt;/Author&gt;&lt;Year&gt;2002&lt;/Year&gt;&lt;RecNum&gt;908&lt;/RecNum&gt;&lt;IDText&gt;Systemic lupus erythematosus disease activity index 2000&lt;/IDText&gt;&lt;MDL Ref_Type="Journal"&gt;&lt;Ref_Type&gt;Journal&lt;/Ref_Type&gt;&lt;Ref_ID&gt;908&lt;/Ref_ID&gt;&lt;Title_Primary&gt;Systemic lupus erythematosus disease activity index 2000&lt;/Title_Primary&gt;&lt;Authors_Primary&gt;Gladman,D.D.&lt;/Authors_Primary&gt;&lt;Authors_Primary&gt;Ibanez,D.&lt;/Authors_Primary&gt;&lt;Authors_Primary&gt;Urowitz,M.B.&lt;/Authors_Primary&gt;&lt;Date_Primary&gt;2002/2&lt;/Date_Primary&gt;&lt;Keywords&gt;Adolescent&lt;/Keywords&gt;&lt;Keywords&gt;Adult&lt;/Keywords&gt;&lt;Keywords&gt;Aged&lt;/Keywords&gt;&lt;Keywords&gt;Aged,80 and over&lt;/Keywords&gt;&lt;Keywords&gt;Alopecia&lt;/Keywords&gt;&lt;Keywords&gt;Child&lt;/Keywords&gt;&lt;Keywords&gt;clinical trial&lt;/Keywords&gt;&lt;Keywords&gt;Cohort Studies&lt;/Keywords&gt;&lt;Keywords&gt;Disease&lt;/Keywords&gt;&lt;Keywords&gt;disease activity&lt;/Keywords&gt;&lt;Keywords&gt;disease activity index&lt;/Keywords&gt;&lt;Keywords&gt;erythematosus&lt;/Keywords&gt;&lt;Keywords&gt;Female&lt;/Keywords&gt;&lt;Keywords&gt;hospital&lt;/Keywords&gt;&lt;Keywords&gt;Humans&lt;/Keywords&gt;&lt;Keywords&gt;lupus erythematosus&lt;/Keywords&gt;&lt;Keywords&gt;Lupus Erythematosus,Systemic&lt;/Keywords&gt;&lt;Keywords&gt;Male&lt;/Keywords&gt;&lt;Keywords&gt;methods&lt;/Keywords&gt;&lt;Keywords&gt;Middle Aged&lt;/Keywords&gt;&lt;Keywords&gt;mortality&lt;/Keywords&gt;&lt;Keywords&gt;Ontario&lt;/Keywords&gt;&lt;Keywords&gt;patient&lt;/Keywords&gt;&lt;Keywords&gt;Patients&lt;/Keywords&gt;&lt;Keywords&gt;physiopathology&lt;/Keywords&gt;&lt;Keywords&gt;Prognosis&lt;/Keywords&gt;&lt;Keywords&gt;Proteinuria&lt;/Keywords&gt;&lt;Keywords&gt;Rheumatic Diseases&lt;/Keywords&gt;&lt;Keywords&gt;Severity of Illness Index&lt;/Keywords&gt;&lt;Keywords&gt;Survival Analysis&lt;/Keywords&gt;&lt;Keywords&gt;Survival Rate&lt;/Keywords&gt;&lt;Keywords&gt;systemic lupus erythematosus&lt;/Keywords&gt;&lt;Reprint&gt;Not in File&lt;/Reprint&gt;&lt;Start_Page&gt;288&lt;/Start_Page&gt;&lt;End_Page&gt;291&lt;/End_Page&gt;&lt;Periodical&gt;J.Rheumatol.&lt;/Periodical&gt;&lt;Volume&gt;29&lt;/Volume&gt;&lt;Issue&gt;2&lt;/Issue&gt;&lt;User_Def_1&gt;y&lt;/User_Def_1&gt;&lt;ZZ_JournalStdAbbrev&gt;&lt;f name="System"&gt;J.Rheumatol.&lt;/f&gt;&lt;/ZZ_JournalStdAbbrev&gt;&lt;ZZ_WorkformID&gt;1&lt;/ZZ_WorkformID&gt;&lt;/MDL&gt;&lt;/Cite&gt;&lt;/Refman&gt;</w:instrText>
      </w:r>
      <w:r w:rsidR="00E729BA">
        <w:rPr>
          <w:lang w:eastAsia="nl-NL"/>
        </w:rPr>
        <w:fldChar w:fldCharType="separate"/>
      </w:r>
      <w:r w:rsidR="00F12F58">
        <w:rPr>
          <w:lang w:eastAsia="nl-NL"/>
        </w:rPr>
        <w:t>(48)</w:t>
      </w:r>
      <w:r w:rsidR="00E729BA">
        <w:rPr>
          <w:lang w:eastAsia="nl-NL"/>
        </w:rPr>
        <w:fldChar w:fldCharType="end"/>
      </w:r>
      <w:r w:rsidR="00E368B4" w:rsidRPr="00E6688A">
        <w:rPr>
          <w:lang w:eastAsia="nl-NL"/>
        </w:rPr>
        <w:t>. Each version of the SLEDAI maintains the same 24 items and weighting system so they are very similar; however the classification of events is slightly different.</w:t>
      </w:r>
    </w:p>
    <w:p w:rsidR="005E31CE" w:rsidRDefault="00E368B4" w:rsidP="004734AC">
      <w:r>
        <w:t xml:space="preserve">The BILAG score was developed based on </w:t>
      </w:r>
      <w:r w:rsidR="003E1773">
        <w:t xml:space="preserve">a </w:t>
      </w:r>
      <w:r>
        <w:t>physician intention</w:t>
      </w:r>
      <w:r w:rsidR="00F6548D">
        <w:t>-to-</w:t>
      </w:r>
      <w:r>
        <w:t>treat</w:t>
      </w:r>
      <w:r w:rsidR="003E1773">
        <w:t xml:space="preserve"> basis</w:t>
      </w:r>
      <w:r w:rsidR="00C224BD">
        <w:t xml:space="preserve"> </w:t>
      </w:r>
      <w:r w:rsidR="00E729BA">
        <w:fldChar w:fldCharType="begin"/>
      </w:r>
      <w:r w:rsidR="00FC61FD">
        <w:instrText xml:space="preserve"> ADDIN REFMGR.CITE &lt;Refman&gt;&lt;Cite&gt;&lt;Author&gt;Isenberg&lt;/Author&gt;&lt;Year&gt;2005&lt;/Year&gt;&lt;RecNum&gt;1504&lt;/RecNum&gt;&lt;IDText&gt;BILAG 2004. Development and initial validation of an updated version of the British Isles Lupus Assessment Group&amp;apos;s disease activity index for patients with systemic lupus erythematosus&lt;/IDText&gt;&lt;MDL Ref_Type="Journal"&gt;&lt;Ref_Type&gt;Journal&lt;/Ref_Type&gt;&lt;Ref_ID&gt;1504&lt;/Ref_ID&gt;&lt;Title_Primary&gt;BILAG 2004. Development and initial validation of an updated version of the British Isles Lupus Assessment Group&amp;apos;s disease activity index for patients with systemic lupus erythematosus&lt;/Title_Primary&gt;&lt;Authors_Primary&gt;Isenberg,D.A.&lt;/Authors_Primary&gt;&lt;Authors_Primary&gt;Rahman,A.&lt;/Authors_Primary&gt;&lt;Authors_Primary&gt;Allen,E.&lt;/Authors_Primary&gt;&lt;Authors_Primary&gt;Farewell,V.&lt;/Authors_Primary&gt;&lt;Authors_Primary&gt;Akil,M.&lt;/Authors_Primary&gt;&lt;Authors_Primary&gt;Bruce,I.N.&lt;/Authors_Primary&gt;&lt;Authors_Primary&gt;D&amp;apos;Cruz,D.&lt;/Authors_Primary&gt;&lt;Authors_Primary&gt;Griffiths,B.&lt;/Authors_Primary&gt;&lt;Authors_Primary&gt;Khamashta,M.&lt;/Authors_Primary&gt;&lt;Authors_Primary&gt;Maddison,P.&lt;/Authors_Primary&gt;&lt;Authors_Primary&gt;McHugh,N.&lt;/Authors_Primary&gt;&lt;Authors_Primary&gt;Snaith,M.&lt;/Authors_Primary&gt;&lt;Authors_Primary&gt;Teh,L.S.&lt;/Authors_Primary&gt;&lt;Authors_Primary&gt;Yee,C.S.&lt;/Authors_Primary&gt;&lt;Authors_Primary&gt;Zoma,A.&lt;/Authors_Primary&gt;&lt;Authors_Primary&gt;Gordon,C.&lt;/Authors_Primary&gt;&lt;Date_Primary&gt;2005/7&lt;/Date_Primary&gt;&lt;Keywords&gt;Adult&lt;/Keywords&gt;&lt;Keywords&gt;clinical trial&lt;/Keywords&gt;&lt;Keywords&gt;diagnosis&lt;/Keywords&gt;&lt;Keywords&gt;Disease&lt;/Keywords&gt;&lt;Keywords&gt;disease activity&lt;/Keywords&gt;&lt;Keywords&gt;disease activity index&lt;/Keywords&gt;&lt;Keywords&gt;erythematosus&lt;/Keywords&gt;&lt;Keywords&gt;Female&lt;/Keywords&gt;&lt;Keywords&gt;Humans&lt;/Keywords&gt;&lt;Keywords&gt;London&lt;/Keywords&gt;&lt;Keywords&gt;lupus erythematosus&lt;/Keywords&gt;&lt;Keywords&gt;Lupus Erythematosus,Systemic&lt;/Keywords&gt;&lt;Keywords&gt;Male&lt;/Keywords&gt;&lt;Keywords&gt;methods&lt;/Keywords&gt;&lt;Keywords&gt;Musculoskeletal System&lt;/Keywords&gt;&lt;Keywords&gt;Observer Variation&lt;/Keywords&gt;&lt;Keywords&gt;patient&lt;/Keywords&gt;&lt;Keywords&gt;Patients&lt;/Keywords&gt;&lt;Keywords&gt;Reproducibility of Results&lt;/Keywords&gt;&lt;Keywords&gt;Rheumatology&lt;/Keywords&gt;&lt;Keywords&gt;Severity of Illness Index&lt;/Keywords&gt;&lt;Keywords&gt;systemic lupus erythematosus&lt;/Keywords&gt;&lt;Keywords&gt;therapy&lt;/Keywords&gt;&lt;Reprint&gt;Not in File&lt;/Reprint&gt;&lt;Start_Page&gt;902&lt;/Start_Page&gt;&lt;End_Page&gt;906&lt;/End_Page&gt;&lt;Periodical&gt;Rheumatology.(Oxford).&lt;/Periodical&gt;&lt;Volume&gt;44&lt;/Volume&gt;&lt;Issue&gt;7&lt;/Issue&gt;&lt;ZZ_JournalStdAbbrev&gt;&lt;f name="System"&gt;Rheumatology.(Oxford).&lt;/f&gt;&lt;/ZZ_JournalStdAbbrev&gt;&lt;ZZ_WorkformID&gt;1&lt;/ZZ_WorkformID&gt;&lt;/MDL&gt;&lt;/Cite&gt;&lt;/Refman&gt;</w:instrText>
      </w:r>
      <w:r w:rsidR="00E729BA">
        <w:fldChar w:fldCharType="separate"/>
      </w:r>
      <w:r w:rsidR="00F12F58">
        <w:t>(49)</w:t>
      </w:r>
      <w:r w:rsidR="00E729BA">
        <w:fldChar w:fldCharType="end"/>
      </w:r>
      <w:r>
        <w:t xml:space="preserve">. The index assesses eight organ systems over the past month. It includes haematological and renal tests, but unlike the SLEDAI does not require immunological tests. A composite score can be generated by the BILAG, but it is more commonly used to generate </w:t>
      </w:r>
      <w:r w:rsidR="00F6548D">
        <w:t xml:space="preserve">organ system </w:t>
      </w:r>
      <w:r>
        <w:t>severity scores. The BILAG index is the only index that records whether the symptoms are new, worsening or improving, rather than present or absent</w:t>
      </w:r>
      <w:r w:rsidR="0023227A">
        <w:t xml:space="preserve"> </w:t>
      </w:r>
      <w:r w:rsidR="00E729BA">
        <w:fldChar w:fldCharType="begin"/>
      </w:r>
      <w:r w:rsidR="00FC61FD">
        <w:instrText xml:space="preserve"> ADDIN REFMGR.CITE &lt;Refman&gt;&lt;Cite&gt;&lt;Author&gt;Isenberg&lt;/Author&gt;&lt;Year&gt;2007&lt;/Year&gt;&lt;RecNum&gt;1507&lt;/RecNum&gt;&lt;IDText&gt;BILAG, SLEDAI, SIS, ECLAM, WAM, SLAM .... thank you MAM&lt;/IDText&gt;&lt;MDL Ref_Type="Journal"&gt;&lt;Ref_Type&gt;Journal&lt;/Ref_Type&gt;&lt;Ref_ID&gt;1507&lt;/Ref_ID&gt;&lt;Title_Primary&gt;BILAG, SLEDAI, SIS, ECLAM, WAM, SLAM .... thank you MAM&lt;/Title_Primary&gt;&lt;Authors_Primary&gt;Isenberg,D.A.&lt;/Authors_Primary&gt;&lt;Date_Primary&gt;2007&lt;/Date_Primary&gt;&lt;Keywords&gt;diagnosis&lt;/Keywords&gt;&lt;Keywords&gt;Humans&lt;/Keywords&gt;&lt;Keywords&gt;London&lt;/Keywords&gt;&lt;Keywords&gt;Lupus Erythematosus,Systemic&lt;/Keywords&gt;&lt;Keywords&gt;Rheumatology&lt;/Keywords&gt;&lt;Keywords&gt;Severity of Illness Index&lt;/Keywords&gt;&lt;Keywords&gt;Terminology as Topic&lt;/Keywords&gt;&lt;Reprint&gt;Not in File&lt;/Reprint&gt;&lt;Start_Page&gt;849&lt;/Start_Page&gt;&lt;End_Page&gt;851&lt;/End_Page&gt;&lt;Periodical&gt;Lupus.&lt;/Periodical&gt;&lt;Volume&gt;16&lt;/Volume&gt;&lt;Issue&gt;11&lt;/Issue&gt;&lt;ZZ_JournalStdAbbrev&gt;&lt;f name="System"&gt;Lupus.&lt;/f&gt;&lt;/ZZ_JournalStdAbbrev&gt;&lt;ZZ_WorkformID&gt;1&lt;/ZZ_WorkformID&gt;&lt;/MDL&gt;&lt;/Cite&gt;&lt;/Refman&gt;</w:instrText>
      </w:r>
      <w:r w:rsidR="00E729BA">
        <w:fldChar w:fldCharType="separate"/>
      </w:r>
      <w:r w:rsidR="00F12F58">
        <w:t>(50)</w:t>
      </w:r>
      <w:r w:rsidR="00E729BA">
        <w:fldChar w:fldCharType="end"/>
      </w:r>
      <w:r>
        <w:t xml:space="preserve">. </w:t>
      </w:r>
      <w:r w:rsidR="004734AC">
        <w:t>Details of the SLEDAI and BILAG indices can be found in Appendix 1.</w:t>
      </w:r>
    </w:p>
    <w:p w:rsidR="00E368B4" w:rsidRPr="00542EA8" w:rsidRDefault="00E368B4" w:rsidP="00E368B4">
      <w:pPr>
        <w:rPr>
          <w:rStyle w:val="Emphasis"/>
        </w:rPr>
      </w:pPr>
      <w:r w:rsidRPr="00542EA8">
        <w:rPr>
          <w:rStyle w:val="Emphasis"/>
        </w:rPr>
        <w:t>Organ Damage</w:t>
      </w:r>
    </w:p>
    <w:p w:rsidR="00E368B4" w:rsidRPr="0023227A" w:rsidRDefault="005613E7" w:rsidP="004D7951">
      <w:pPr>
        <w:rPr>
          <w:rFonts w:cs="Times New Roman"/>
        </w:rPr>
      </w:pPr>
      <w:r>
        <w:t xml:space="preserve">Organ damage can occur in </w:t>
      </w:r>
      <w:r w:rsidR="004D7951">
        <w:t xml:space="preserve">nine </w:t>
      </w:r>
      <w:r>
        <w:t>organ systems as a result of SLE</w:t>
      </w:r>
      <w:r w:rsidR="004D7951">
        <w:t xml:space="preserve"> (Cardiovascular, renal, musculoskeletal, neuropsychiatric, pulmonary, peripheral vascular, gastrointestinal, ocular and skin)</w:t>
      </w:r>
      <w:r w:rsidR="00E368B4">
        <w:t xml:space="preserve">. </w:t>
      </w:r>
      <w:r w:rsidR="005E3AF0">
        <w:t xml:space="preserve">The SLICC/ACR Damage Index is a validated instrument developed to measure irreversible organ damage in patients with SLE </w:t>
      </w:r>
      <w:r w:rsidR="00E729BA">
        <w:fldChar w:fldCharType="begin"/>
      </w:r>
      <w:r w:rsidR="00FC61FD">
        <w:instrText xml:space="preserve"> ADDIN REFMGR.CITE &lt;Refman&gt;&lt;Cite&gt;&lt;Author&gt;Gladman&lt;/Author&gt;&lt;Year&gt;2000&lt;/Year&gt;&lt;RecNum&gt;1072&lt;/RecNum&gt;&lt;IDText&gt;The Systemic Lupus International Collaborating Clinics/American College of Rheumatology (SLICC/ACR) Damage Index for Systemic Lupus Erythematosus International Comparison&lt;/IDText&gt;&lt;MDL Ref_Type="Journal"&gt;&lt;Ref_Type&gt;Journal&lt;/Ref_Type&gt;&lt;Ref_ID&gt;1072&lt;/Ref_ID&gt;&lt;Title_Primary&gt;The Systemic Lupus International Collaborating Clinics/American College of Rheumatology (SLICC/ACR) Damage Index for Systemic Lupus Erythematosus International Comparison&lt;/Title_Primary&gt;&lt;Authors_Primary&gt;Gladman,D.D.&lt;/Authors_Primary&gt;&lt;Authors_Primary&gt;Goldsmith,C.H.&lt;/Authors_Primary&gt;&lt;Authors_Primary&gt;Urowitz,M.B.&lt;/Authors_Primary&gt;&lt;Authors_Primary&gt;Bacon,P.&lt;/Authors_Primary&gt;&lt;Authors_Primary&gt;Fortin,P.&lt;/Authors_Primary&gt;&lt;Authors_Primary&gt;Ginzler,E.&lt;/Authors_Primary&gt;&lt;Authors_Primary&gt;Gordon,C.&lt;/Authors_Primary&gt;&lt;Authors_Primary&gt;Hanly,J.G.&lt;/Authors_Primary&gt;&lt;Authors_Primary&gt;Isenberg,D.A.&lt;/Authors_Primary&gt;&lt;Authors_Primary&gt;Petri,M.&lt;/Authors_Primary&gt;&lt;Authors_Primary&gt;Nived,O.&lt;/Authors_Primary&gt;&lt;Authors_Primary&gt;Snaith,M.&lt;/Authors_Primary&gt;&lt;Authors_Primary&gt;Sturfelt,G.&lt;/Authors_Primary&gt;&lt;Date_Primary&gt;2000/2&lt;/Date_Primary&gt;&lt;Keywords&gt;age&lt;/Keywords&gt;&lt;Keywords&gt;American Medical Association&lt;/Keywords&gt;&lt;Keywords&gt;analysis&lt;/Keywords&gt;&lt;Keywords&gt;Analysis of Variance&lt;/Keywords&gt;&lt;Keywords&gt;Cohort Studies&lt;/Keywords&gt;&lt;Keywords&gt;Data Interpretation,Statistical&lt;/Keywords&gt;&lt;Keywords&gt;Demography&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patient&lt;/Keywords&gt;&lt;Keywords&gt;Patients&lt;/Keywords&gt;&lt;Keywords&gt;Prognosis&lt;/Keywords&gt;&lt;Keywords&gt;race&lt;/Keywords&gt;&lt;Keywords&gt;Reference Values&lt;/Keywords&gt;&lt;Keywords&gt;Rheumatic Diseases&lt;/Keywords&gt;&lt;Keywords&gt;Rheumatology&lt;/Keywords&gt;&lt;Keywords&gt;Severity of Illness Index&lt;/Keywords&gt;&lt;Keywords&gt;statistics&lt;/Keywords&gt;&lt;Keywords&gt;systemic lupus erythematosus&lt;/Keywords&gt;&lt;Keywords&gt;Time&lt;/Keywords&gt;&lt;Keywords&gt;United States&lt;/Keywords&gt;&lt;Keywords&gt;Women&lt;/Keywords&gt;&lt;Reprint&gt;Not in File&lt;/Reprint&gt;&lt;Start_Page&gt;373&lt;/Start_Page&gt;&lt;End_Page&gt;376&lt;/End_Page&gt;&lt;Periodical&gt;J.Rheumatol.&lt;/Periodical&gt;&lt;Volume&gt;27&lt;/Volume&gt;&lt;Issue&gt;2&lt;/Issue&gt;&lt;User_Def_1&gt;y&lt;/User_Def_1&gt;&lt;ZZ_JournalStdAbbrev&gt;&lt;f name="System"&gt;J.Rheumatol.&lt;/f&gt;&lt;/ZZ_JournalStdAbbrev&gt;&lt;ZZ_WorkformID&gt;1&lt;/ZZ_WorkformID&gt;&lt;/MDL&gt;&lt;/Cite&gt;&lt;Cite&gt;&lt;Author&gt;Gladman&lt;/Author&gt;&lt;Year&gt;1996&lt;/Year&gt;&lt;RecNum&gt;1423&lt;/RecNum&gt;&lt;IDText&gt;The development and initial validation of the Systemic Lupus International Collaborating Clinics/American College of Rheumatology damage index for systemic lupus erythematosus&lt;/IDText&gt;&lt;MDL Ref_Type="Journal"&gt;&lt;Ref_Type&gt;Journal&lt;/Ref_Type&gt;&lt;Ref_ID&gt;1423&lt;/Ref_ID&gt;&lt;Title_Primary&gt;The development and initial validation of the Systemic Lupus International Collaborating Clinics/American College of Rheumatology damage index for systemic lupus erythematosus&lt;/Title_Primary&gt;&lt;Authors_Primary&gt;Gladman,D.&lt;/Authors_Primary&gt;&lt;Authors_Primary&gt;Ginzler,E.&lt;/Authors_Primary&gt;&lt;Authors_Primary&gt;Goldsmith,C.&lt;/Authors_Primary&gt;&lt;Authors_Primary&gt;Fortin,P.&lt;/Authors_Primary&gt;&lt;Authors_Primary&gt;Liang,M.&lt;/Authors_Primary&gt;&lt;Authors_Primary&gt;Urowitz,M.&lt;/Authors_Primary&gt;&lt;Authors_Primary&gt;Bacon,P.&lt;/Authors_Primary&gt;&lt;Authors_Primary&gt;Bombardieri,S.&lt;/Authors_Primary&gt;&lt;Authors_Primary&gt;Hanly,J.&lt;/Authors_Primary&gt;&lt;Authors_Primary&gt;Hay,E.&lt;/Authors_Primary&gt;&lt;Authors_Primary&gt;Isenberg,D.&lt;/Authors_Primary&gt;&lt;Authors_Primary&gt;Jones,J.&lt;/Authors_Primary&gt;&lt;Authors_Primary&gt;Kalunian,K.&lt;/Authors_Primary&gt;&lt;Authors_Primary&gt;Maddison,P.&lt;/Authors_Primary&gt;&lt;Authors_Primary&gt;Nived,O.&lt;/Authors_Primary&gt;&lt;Authors_Primary&gt;Petri,M.&lt;/Authors_Primary&gt;&lt;Authors_Primary&gt;Richter,M.&lt;/Authors_Primary&gt;&lt;Authors_Primary&gt;Sanchez-Guerrero,J.&lt;/Authors_Primary&gt;&lt;Authors_Primary&gt;Snaith,M.&lt;/Authors_Primary&gt;&lt;Authors_Primary&gt;Sturfelt,G.&lt;/Authors_Primary&gt;&lt;Authors_Primary&gt;Symmons,D.&lt;/Authors_Primary&gt;&lt;Authors_Primary&gt;Zoma,A.&lt;/Authors_Primary&gt;&lt;Date_Primary&gt;1996/3&lt;/Date_Primary&gt;&lt;Keywords&gt;analysis&lt;/Keywords&gt;&lt;Keywords&gt;Analysis of Variance&lt;/Keywords&gt;&lt;Keywords&gt;diagnosis&lt;/Keywords&gt;&lt;Keywords&gt;Disease&lt;/Keywords&gt;&lt;Keywords&gt;erythematosus&lt;/Keywords&gt;&lt;Keywords&gt;Health Status Indicators&lt;/Keywords&gt;&lt;Keywords&gt;hospital&lt;/Keywords&gt;&lt;Keywords&gt;Humans&lt;/Keywords&gt;&lt;Keywords&gt;lupus erythematosus&lt;/Keywords&gt;&lt;Keywords&gt;Lupus Erythematosus,Systemic&lt;/Keywords&gt;&lt;Keywords&gt;methods&lt;/Keywords&gt;&lt;Keywords&gt;Ontario&lt;/Keywords&gt;&lt;Keywords&gt;pathology&lt;/Keywords&gt;&lt;Keywords&gt;patient&lt;/Keywords&gt;&lt;Keywords&gt;Patients&lt;/Keywords&gt;&lt;Keywords&gt;Reproducibility of Results&lt;/Keywords&gt;&lt;Keywords&gt;Rheumatic Diseases&lt;/Keywords&gt;&lt;Keywords&gt;Rheumatology&lt;/Keywords&gt;&lt;Keywords&gt;systemic lupus erythematosus&lt;/Keywords&gt;&lt;Keywords&gt;Time&lt;/Keywords&gt;&lt;Reprint&gt;Not in File&lt;/Reprint&gt;&lt;Start_Page&gt;363&lt;/Start_Page&gt;&lt;End_Page&gt;369&lt;/End_Page&gt;&lt;Periodical&gt;Arthritis Rheum.&lt;/Periodical&gt;&lt;Volume&gt;39&lt;/Volume&gt;&lt;Issue&gt;3&lt;/Issue&gt;&lt;ZZ_JournalStdAbbrev&gt;&lt;f name="System"&gt;Arthritis Rheum.&lt;/f&gt;&lt;/ZZ_JournalStdAbbrev&gt;&lt;ZZ_WorkformID&gt;1&lt;/ZZ_WorkformID&gt;&lt;/MDL&gt;&lt;/Cite&gt;&lt;Cite&gt;&lt;Author&gt;Gladman&lt;/Author&gt;&lt;Year&gt;1997&lt;/Year&gt;&lt;RecNum&gt;1424&lt;/RecNum&gt;&lt;IDText&gt;The reliability of the Systemic Lupus International Collaborating Clinics/American College of Rheumatology Damage Index in patients with systemic lupus erythematosus&lt;/IDText&gt;&lt;MDL Ref_Type="Journal"&gt;&lt;Ref_Type&gt;Journal&lt;/Ref_Type&gt;&lt;Ref_ID&gt;1424&lt;/Ref_ID&gt;&lt;Title_Primary&gt;The reliability of the Systemic Lupus International Collaborating Clinics/American College of Rheumatology Damage Index in patients with systemic lupus erythematosus&lt;/Title_Primary&gt;&lt;Authors_Primary&gt;Gladman,D.D.&lt;/Authors_Primary&gt;&lt;Authors_Primary&gt;Urowitz,M.B.&lt;/Authors_Primary&gt;&lt;Authors_Primary&gt;Goldsmith,C.H.&lt;/Authors_Primary&gt;&lt;Authors_Primary&gt;Fortin,P.&lt;/Authors_Primary&gt;&lt;Authors_Primary&gt;Ginzler,E.&lt;/Authors_Primary&gt;&lt;Authors_Primary&gt;Gordon,C.&lt;/Authors_Primary&gt;&lt;Authors_Primary&gt;Hanly,J.G.&lt;/Authors_Primary&gt;&lt;Authors_Primary&gt;Isenberg,D.A.&lt;/Authors_Primary&gt;&lt;Authors_Primary&gt;Kalunian,K.&lt;/Authors_Primary&gt;&lt;Authors_Primary&gt;Nived,O.&lt;/Authors_Primary&gt;&lt;Authors_Primary&gt;Petri,M.&lt;/Authors_Primary&gt;&lt;Authors_Primary&gt;Sanchez-Guerrero,J.&lt;/Authors_Primary&gt;&lt;Authors_Primary&gt;Snaith,M.&lt;/Authors_Primary&gt;&lt;Authors_Primary&gt;Sturfelt,G.&lt;/Authors_Primary&gt;&lt;Date_Primary&gt;1997/5&lt;/Date_Primary&gt;&lt;Keywords&gt;Adult&lt;/Keywords&gt;&lt;Keywords&gt;Aged&lt;/Keywords&gt;&lt;Keywords&gt;Analysis of Variance&lt;/Keywords&gt;&lt;Keywords&gt;Disease&lt;/Keywords&gt;&lt;Keywords&gt;erythematosus&lt;/Keywords&gt;&lt;Keywords&gt;Female&lt;/Keywords&gt;&lt;Keywords&gt;hospital&lt;/Keywords&gt;&lt;Keywords&gt;Humans&lt;/Keywords&gt;&lt;Keywords&gt;lupus erythematosus&lt;/Keywords&gt;&lt;Keywords&gt;Lupus Erythematosus,Systemic&lt;/Keywords&gt;&lt;Keywords&gt;Male&lt;/Keywords&gt;&lt;Keywords&gt;methods&lt;/Keywords&gt;&lt;Keywords&gt;Middle Aged&lt;/Keywords&gt;&lt;Keywords&gt;Ontario&lt;/Keywords&gt;&lt;Keywords&gt;patient&lt;/Keywords&gt;&lt;Keywords&gt;Patients&lt;/Keywords&gt;&lt;Keywords&gt;physiopathology&lt;/Keywords&gt;&lt;Keywords&gt;Prognosis&lt;/Keywords&gt;&lt;Keywords&gt;Reproducibility of Results&lt;/Keywords&gt;&lt;Keywords&gt;Rheumatic Diseases&lt;/Keywords&gt;&lt;Keywords&gt;Rheumatology&lt;/Keywords&gt;&lt;Keywords&gt;Severity of Illness Index&lt;/Keywords&gt;&lt;Keywords&gt;systemic lupus erythematosus&lt;/Keywords&gt;&lt;Reprint&gt;Not in File&lt;/Reprint&gt;&lt;Start_Page&gt;809&lt;/Start_Page&gt;&lt;End_Page&gt;813&lt;/End_Page&gt;&lt;Periodical&gt;Arthritis Rheum.&lt;/Periodical&gt;&lt;Volume&gt;40&lt;/Volume&gt;&lt;Issue&gt;5&lt;/Issue&gt;&lt;ZZ_JournalStdAbbrev&gt;&lt;f name="System"&gt;Arthritis Rheum.&lt;/f&gt;&lt;/ZZ_JournalStdAbbrev&gt;&lt;ZZ_WorkformID&gt;1&lt;/ZZ_WorkformID&gt;&lt;/MDL&gt;&lt;/Cite&gt;&lt;/Refman&gt;</w:instrText>
      </w:r>
      <w:r w:rsidR="00E729BA">
        <w:fldChar w:fldCharType="separate"/>
      </w:r>
      <w:r w:rsidR="00F12F58">
        <w:t>(51-53)</w:t>
      </w:r>
      <w:r w:rsidR="00E729BA">
        <w:fldChar w:fldCharType="end"/>
      </w:r>
      <w:r w:rsidR="005E3AF0">
        <w:t xml:space="preserve">. </w:t>
      </w:r>
      <w:r w:rsidR="00E368B4">
        <w:t>The index has 41 items</w:t>
      </w:r>
      <w:r w:rsidR="00F01AA4">
        <w:t>. It</w:t>
      </w:r>
      <w:r w:rsidR="00E368B4">
        <w:t xml:space="preserve"> includes items relating</w:t>
      </w:r>
      <w:r w:rsidR="0023227A">
        <w:t xml:space="preserve"> to</w:t>
      </w:r>
      <w:r w:rsidR="00E368B4">
        <w:t xml:space="preserve"> the disease and complications arising from toxicity from treatments</w:t>
      </w:r>
      <w:r w:rsidR="00F01AA4">
        <w:t>,</w:t>
      </w:r>
      <w:r w:rsidR="00E368B4">
        <w:t xml:space="preserve"> such as cataracts due to steroids. Items are recorded on the SLICC/ACR Damage Index if they have been present for more than 6 months to distinguish between disease activity and permanent damage. </w:t>
      </w:r>
      <w:r w:rsidR="0023227A">
        <w:t>The de</w:t>
      </w:r>
      <w:r w:rsidR="0023227A">
        <w:rPr>
          <w:rFonts w:cs="Times New Roman"/>
        </w:rPr>
        <w:t xml:space="preserve">finitions and determinants of </w:t>
      </w:r>
      <w:r w:rsidR="0023227A">
        <w:t>the SLICC/ACR Damage Index are based on clinical grounds or</w:t>
      </w:r>
      <w:r w:rsidR="0023227A">
        <w:rPr>
          <w:rFonts w:cs="Times New Roman"/>
        </w:rPr>
        <w:t xml:space="preserve"> </w:t>
      </w:r>
      <w:r w:rsidR="0023227A">
        <w:t>widely available investigations, such as chest X-ray,</w:t>
      </w:r>
      <w:r w:rsidR="0023227A">
        <w:rPr>
          <w:rFonts w:cs="Times New Roman"/>
        </w:rPr>
        <w:t xml:space="preserve"> </w:t>
      </w:r>
      <w:r w:rsidR="0023227A">
        <w:t>so that it can be completed in centres without</w:t>
      </w:r>
      <w:r w:rsidR="0023227A">
        <w:rPr>
          <w:rFonts w:cs="Times New Roman"/>
        </w:rPr>
        <w:t xml:space="preserve"> </w:t>
      </w:r>
      <w:r w:rsidR="0023227A">
        <w:t>access to more expensive imaging techniques</w:t>
      </w:r>
      <w:r w:rsidR="00DB0891">
        <w:t xml:space="preserve"> </w:t>
      </w:r>
      <w:r w:rsidR="00E729BA">
        <w:fldChar w:fldCharType="begin"/>
      </w:r>
      <w:r w:rsidR="00FC61FD">
        <w:instrText xml:space="preserve"> ADDIN REFMGR.CITE &lt;Refman&gt;&lt;Cite&gt;&lt;Author&gt;Dayal&lt;/Author&gt;&lt;Year&gt;2002&lt;/Year&gt;&lt;RecNum&gt;1665&lt;/RecNum&gt;&lt;IDText&gt;The SLICC damage index: past, present and future&lt;/IDText&gt;&lt;MDL Ref_Type="Journal"&gt;&lt;Ref_Type&gt;Journal&lt;/Ref_Type&gt;&lt;Ref_ID&gt;1665&lt;/Ref_ID&gt;&lt;Title_Primary&gt;The SLICC damage index: past, present and future&lt;/Title_Primary&gt;&lt;Authors_Primary&gt;Dayal,N.A.&lt;/Authors_Primary&gt;&lt;Authors_Primary&gt;Gordon,C.&lt;/Authors_Primary&gt;&lt;Authors_Primary&gt;Tucker,L.&lt;/Authors_Primary&gt;&lt;Authors_Primary&gt;Isenberg,D.A.&lt;/Authors_Primary&gt;&lt;Date_Primary&gt;2002&lt;/Date_Primary&gt;&lt;Keywords&gt;Adolescent&lt;/Keywords&gt;&lt;Keywords&gt;Adult&lt;/Keywords&gt;&lt;Keywords&gt;Age of Onset&lt;/Keywords&gt;&lt;Keywords&gt;Aging&lt;/Keywords&gt;&lt;Keywords&gt;Child&lt;/Keywords&gt;&lt;Keywords&gt;drug therapy&lt;/Keywords&gt;&lt;Keywords&gt;Epidemiologic Measurements&lt;/Keywords&gt;&lt;Keywords&gt;epidemiology&lt;/Keywords&gt;&lt;Keywords&gt;Female&lt;/Keywords&gt;&lt;Keywords&gt;hospital&lt;/Keywords&gt;&lt;Keywords&gt;Humans&lt;/Keywords&gt;&lt;Keywords&gt;London&lt;/Keywords&gt;&lt;Keywords&gt;Lupus Erythematosus,Systemic&lt;/Keywords&gt;&lt;Keywords&gt;Male&lt;/Keywords&gt;&lt;Keywords&gt;Middle Aged&lt;/Keywords&gt;&lt;Keywords&gt;mortality&lt;/Keywords&gt;&lt;Keywords&gt;pathology&lt;/Keywords&gt;&lt;Keywords&gt;Rheumatology&lt;/Keywords&gt;&lt;Keywords&gt;Survival Rate&lt;/Keywords&gt;&lt;Keywords&gt;Treatment Outcome&lt;/Keywords&gt;&lt;Reprint&gt;Not in File&lt;/Reprint&gt;&lt;Start_Page&gt;261&lt;/Start_Page&gt;&lt;End_Page&gt;265&lt;/End_Page&gt;&lt;Periodical&gt;Lupus.&lt;/Periodical&gt;&lt;Volume&gt;11&lt;/Volume&gt;&lt;Issue&gt;4&lt;/Issue&gt;&lt;ZZ_JournalStdAbbrev&gt;&lt;f name="System"&gt;Lupus.&lt;/f&gt;&lt;/ZZ_JournalStdAbbrev&gt;&lt;ZZ_WorkformID&gt;1&lt;/ZZ_WorkformID&gt;&lt;/MDL&gt;&lt;/Cite&gt;&lt;/Refman&gt;</w:instrText>
      </w:r>
      <w:r w:rsidR="00E729BA">
        <w:fldChar w:fldCharType="separate"/>
      </w:r>
      <w:r w:rsidR="00F12F58">
        <w:t>(54)</w:t>
      </w:r>
      <w:r w:rsidR="00E729BA">
        <w:fldChar w:fldCharType="end"/>
      </w:r>
      <w:r w:rsidR="0023227A">
        <w:t xml:space="preserve">. </w:t>
      </w:r>
      <w:r w:rsidR="00E368B4">
        <w:t>Details on the SLICC/ACR Damage Index can be found in Appendix 1.</w:t>
      </w:r>
      <w:bookmarkStart w:id="38" w:name="_Toc278533900"/>
      <w:bookmarkStart w:id="39" w:name="_Toc278533960"/>
      <w:bookmarkStart w:id="40" w:name="_Toc279009227"/>
    </w:p>
    <w:p w:rsidR="00E368B4" w:rsidRDefault="00E368B4" w:rsidP="00E368B4">
      <w:pPr>
        <w:pStyle w:val="Heading3"/>
      </w:pPr>
      <w:bookmarkStart w:id="41" w:name="_Ref349216141"/>
      <w:bookmarkStart w:id="42" w:name="_Toc379467545"/>
      <w:r>
        <w:t>Treatment</w:t>
      </w:r>
      <w:bookmarkEnd w:id="38"/>
      <w:bookmarkEnd w:id="39"/>
      <w:bookmarkEnd w:id="40"/>
      <w:bookmarkEnd w:id="41"/>
      <w:bookmarkEnd w:id="42"/>
    </w:p>
    <w:p w:rsidR="0015321E" w:rsidRDefault="0015321E" w:rsidP="004D7951">
      <w:r>
        <w:rPr>
          <w:lang w:eastAsia="zh-CN"/>
        </w:rPr>
        <w:t>SLE treatments aim</w:t>
      </w:r>
      <w:r w:rsidR="00E368B4">
        <w:rPr>
          <w:lang w:eastAsia="zh-CN"/>
        </w:rPr>
        <w:t xml:space="preserve"> to</w:t>
      </w:r>
      <w:r w:rsidR="00E368B4" w:rsidRPr="002E42F6">
        <w:rPr>
          <w:lang w:eastAsia="zh-CN"/>
        </w:rPr>
        <w:t xml:space="preserve"> </w:t>
      </w:r>
      <w:r w:rsidR="004D7951" w:rsidRPr="002E42F6">
        <w:rPr>
          <w:lang w:eastAsia="zh-CN"/>
        </w:rPr>
        <w:t>minimi</w:t>
      </w:r>
      <w:r w:rsidR="004D7951">
        <w:rPr>
          <w:lang w:eastAsia="zh-CN"/>
        </w:rPr>
        <w:t>s</w:t>
      </w:r>
      <w:r w:rsidR="004D7951" w:rsidRPr="002E42F6">
        <w:rPr>
          <w:lang w:eastAsia="zh-CN"/>
        </w:rPr>
        <w:t xml:space="preserve">e </w:t>
      </w:r>
      <w:r w:rsidR="00E368B4" w:rsidRPr="002E42F6">
        <w:rPr>
          <w:lang w:eastAsia="zh-CN"/>
        </w:rPr>
        <w:t>symptoms, reduce inflammation, and maintain norm</w:t>
      </w:r>
      <w:r w:rsidR="00E368B4">
        <w:rPr>
          <w:lang w:eastAsia="zh-CN"/>
        </w:rPr>
        <w:t xml:space="preserve">al bodily functions. </w:t>
      </w:r>
      <w:r>
        <w:rPr>
          <w:lang w:eastAsia="zh-CN"/>
        </w:rPr>
        <w:t>Treatment</w:t>
      </w:r>
      <w:r w:rsidR="00E368B4">
        <w:rPr>
          <w:lang w:eastAsia="zh-CN"/>
        </w:rPr>
        <w:t xml:space="preserve"> choices</w:t>
      </w:r>
      <w:r w:rsidR="00E368B4" w:rsidRPr="002E42F6">
        <w:rPr>
          <w:lang w:eastAsia="zh-CN"/>
        </w:rPr>
        <w:t xml:space="preserve"> </w:t>
      </w:r>
      <w:r w:rsidR="00E368B4">
        <w:rPr>
          <w:lang w:eastAsia="zh-CN"/>
        </w:rPr>
        <w:t>often depend</w:t>
      </w:r>
      <w:r w:rsidR="00E368B4" w:rsidRPr="002E42F6">
        <w:rPr>
          <w:lang w:eastAsia="zh-CN"/>
        </w:rPr>
        <w:t xml:space="preserve"> on</w:t>
      </w:r>
      <w:r w:rsidR="00E368B4">
        <w:rPr>
          <w:lang w:eastAsia="zh-CN"/>
        </w:rPr>
        <w:t xml:space="preserve"> organ involvement</w:t>
      </w:r>
      <w:r w:rsidR="00E368B4" w:rsidRPr="002E42F6">
        <w:rPr>
          <w:lang w:eastAsia="zh-CN"/>
        </w:rPr>
        <w:t>, and the s</w:t>
      </w:r>
      <w:r w:rsidR="00E368B4">
        <w:rPr>
          <w:lang w:eastAsia="zh-CN"/>
        </w:rPr>
        <w:t xml:space="preserve">everity of activity. The European League Against Rheumatism (EULAR) guidelines on the management of </w:t>
      </w:r>
      <w:r w:rsidR="00F6548D">
        <w:rPr>
          <w:lang w:eastAsia="zh-CN"/>
        </w:rPr>
        <w:t xml:space="preserve">SLE </w:t>
      </w:r>
      <w:r w:rsidR="00E368B4">
        <w:rPr>
          <w:lang w:eastAsia="zh-CN"/>
        </w:rPr>
        <w:t>recommend non-steroidal anti-inflammatories, anti-malarials, cyt</w:t>
      </w:r>
      <w:r w:rsidR="00F6548D">
        <w:rPr>
          <w:lang w:eastAsia="zh-CN"/>
        </w:rPr>
        <w:t xml:space="preserve">otoxics/immunosuppressants and </w:t>
      </w:r>
      <w:r w:rsidR="00E368B4">
        <w:rPr>
          <w:lang w:eastAsia="zh-CN"/>
        </w:rPr>
        <w:t>steroids</w:t>
      </w:r>
      <w:r>
        <w:rPr>
          <w:lang w:eastAsia="zh-CN"/>
        </w:rPr>
        <w:t xml:space="preserve"> </w:t>
      </w:r>
      <w:r w:rsidR="00E729BA">
        <w:rPr>
          <w:lang w:eastAsia="zh-CN"/>
        </w:rPr>
        <w:fldChar w:fldCharType="begin"/>
      </w:r>
      <w:r w:rsidR="00FC61FD">
        <w:rPr>
          <w:lang w:eastAsia="zh-CN"/>
        </w:rPr>
        <w:instrText xml:space="preserve"> ADDIN REFMGR.CITE &lt;Refman&gt;&lt;Cite&gt;&lt;Author&gt;Bertsias&lt;/Author&gt;&lt;Year&gt;2008&lt;/Year&gt;&lt;RecNum&gt;1633&lt;/RecNum&gt;&lt;IDText&gt;EULAR recommendations for the management of systemic lupus erythematosus. Report of a Task Force of the EULAR Standing Committee for International Clinical Studies Including Therapeutics&lt;/IDText&gt;&lt;MDL Ref_Type="Journal"&gt;&lt;Ref_Type&gt;Journal&lt;/Ref_Type&gt;&lt;Ref_ID&gt;1633&lt;/Ref_ID&gt;&lt;Title_Primary&gt;EULAR recommendations for the management of systemic lupus erythematosus. Report of a Task Force of the EULAR Standing Committee for International Clinical Studies Including Therapeutics&lt;/Title_Primary&gt;&lt;Authors_Primary&gt;Bertsias,G.&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lt;/Authors_Primary&gt;&lt;Authors_Primary&gt;Isenberg,D.&lt;/Authors_Primary&gt;&lt;Authors_Primary&gt;Kallenberg,C.G.&lt;/Authors_Primary&gt;&lt;Authors_Primary&gt;Khamashta,M.&lt;/Authors_Primary&gt;&lt;Authors_Primary&gt;Piette,J.C.&lt;/Authors_Primary&gt;&lt;Authors_Primary&gt;Schneider,M.&lt;/Authors_Primary&gt;&lt;Authors_Primary&gt;Smolen,J.&lt;/Authors_Primary&gt;&lt;Authors_Primary&gt;Sturfelt,G.&lt;/Authors_Primary&gt;&lt;Authors_Primary&gt;Tincani,A.&lt;/Authors_Primary&gt;&lt;Authors_Primary&gt;van,Vollenhoven R.&lt;/Authors_Primary&gt;&lt;Authors_Primary&gt;Gordon,C.&lt;/Authors_Primary&gt;&lt;Authors_Primary&gt;Boumpas,D.T.&lt;/Authors_Primary&gt;&lt;Date_Primary&gt;2008/2&lt;/Date_Primary&gt;&lt;Keywords&gt;Antiphospholipid Syndrome&lt;/Keywords&gt;&lt;Keywords&gt;Delphi Technique&lt;/Keywords&gt;&lt;Keywords&gt;diagnosis&lt;/Keywords&gt;&lt;Keywords&gt;Disease&lt;/Keywords&gt;&lt;Keywords&gt;drug therapy&lt;/Keywords&gt;&lt;Keywords&gt;erythematosus&lt;/Keywords&gt;&lt;Keywords&gt;Evidence-Based Medicine&lt;/Keywords&gt;&lt;Keywords&gt;Female&lt;/Keywords&gt;&lt;Keywords&gt;Humans&lt;/Keywords&gt;&lt;Keywords&gt;lupus erythematosus&lt;/Keywords&gt;&lt;Keywords&gt;Lupus Erythematosus,Systemic&lt;/Keywords&gt;&lt;Keywords&gt;Lupus Nephritis&lt;/Keywords&gt;&lt;Keywords&gt;Male&lt;/Keywords&gt;&lt;Keywords&gt;methods&lt;/Keywords&gt;&lt;Keywords&gt;Nephritis&lt;/Keywords&gt;&lt;Keywords&gt;Pregnancy&lt;/Keywords&gt;&lt;Keywords&gt;Pregnancy Complications&lt;/Keywords&gt;&lt;Keywords&gt;Prognosis&lt;/Keywords&gt;&lt;Keywords&gt;psychology&lt;/Keywords&gt;&lt;Keywords&gt;PubMed&lt;/Keywords&gt;&lt;Keywords&gt;sample&lt;/Keywords&gt;&lt;Keywords&gt;Sample Size&lt;/Keywords&gt;&lt;Keywords&gt;Syndrome&lt;/Keywords&gt;&lt;Keywords&gt;systemic lupus erythematosus&lt;/Keywords&gt;&lt;Keywords&gt;therapy&lt;/Keywords&gt;&lt;Reprint&gt;Not in File&lt;/Reprint&gt;&lt;Start_Page&gt;195&lt;/Start_Page&gt;&lt;End_Page&gt;205&lt;/End_Page&gt;&lt;Periodical&gt;Ann.Rheum.Dis.&lt;/Periodical&gt;&lt;Volume&gt;67&lt;/Volume&gt;&lt;Issue&gt;2&lt;/Issue&gt;&lt;ZZ_JournalStdAbbrev&gt;&lt;f name="System"&gt;Ann.Rheum.Dis.&lt;/f&gt;&lt;/ZZ_JournalStdAbbrev&gt;&lt;ZZ_WorkformID&gt;1&lt;/ZZ_WorkformID&gt;&lt;/MDL&gt;&lt;/Cite&gt;&lt;/Refman&gt;</w:instrText>
      </w:r>
      <w:r w:rsidR="00E729BA">
        <w:rPr>
          <w:lang w:eastAsia="zh-CN"/>
        </w:rPr>
        <w:fldChar w:fldCharType="separate"/>
      </w:r>
      <w:r w:rsidR="00F12F58">
        <w:rPr>
          <w:lang w:eastAsia="zh-CN"/>
        </w:rPr>
        <w:t>(55)</w:t>
      </w:r>
      <w:r w:rsidR="00E729BA">
        <w:rPr>
          <w:lang w:eastAsia="zh-CN"/>
        </w:rPr>
        <w:fldChar w:fldCharType="end"/>
      </w:r>
      <w:r w:rsidR="00E368B4">
        <w:rPr>
          <w:lang w:eastAsia="zh-CN"/>
        </w:rPr>
        <w:t xml:space="preserve">. More recently biologic drugs, such as rituximab, have been </w:t>
      </w:r>
      <w:r w:rsidR="00F01AA4">
        <w:rPr>
          <w:lang w:eastAsia="zh-CN"/>
        </w:rPr>
        <w:t xml:space="preserve">used </w:t>
      </w:r>
      <w:r w:rsidR="00E368B4">
        <w:rPr>
          <w:lang w:eastAsia="zh-CN"/>
        </w:rPr>
        <w:t>in patients with severe disease</w:t>
      </w:r>
      <w:r>
        <w:rPr>
          <w:lang w:eastAsia="zh-CN"/>
        </w:rPr>
        <w:t xml:space="preserve"> </w:t>
      </w:r>
      <w:r w:rsidR="00E729BA">
        <w:rPr>
          <w:lang w:eastAsia="zh-CN"/>
        </w:rPr>
        <w:fldChar w:fldCharType="begin"/>
      </w:r>
      <w:r w:rsidR="00FC61FD">
        <w:rPr>
          <w:lang w:eastAsia="zh-CN"/>
        </w:rPr>
        <w:instrText xml:space="preserve"> ADDIN REFMGR.CITE &lt;Refman&gt;&lt;Cite&gt;&lt;Author&gt;Murray&lt;/Author&gt;&lt;Year&gt;2010&lt;/Year&gt;&lt;RecNum&gt;1446&lt;/RecNum&gt;&lt;IDText&gt;Off-label use of rituximab in systemic lupus erythematosus: a systematic review&lt;/IDText&gt;&lt;MDL Ref_Type="Journal"&gt;&lt;Ref_Type&gt;Journal&lt;/Ref_Type&gt;&lt;Ref_ID&gt;1446&lt;/Ref_ID&gt;&lt;Title_Primary&gt;Off-label use of rituximab in systemic lupus erythematosus: a systematic review&lt;/Title_Primary&gt;&lt;Authors_Primary&gt;Murray,E.&lt;/Authors_Primary&gt;&lt;Authors_Primary&gt;Perry,M.&lt;/Authors_Primary&gt;&lt;Date_Primary&gt;2010/2/13&lt;/Date_Primary&gt;&lt;Keywords&gt;Antibodies&lt;/Keywords&gt;&lt;Keywords&gt;Disease&lt;/Keywords&gt;&lt;Keywords&gt;disease activity&lt;/Keywords&gt;&lt;Keywords&gt;erythematosus&lt;/Keywords&gt;&lt;Keywords&gt;lupus erythematosus&lt;/Keywords&gt;&lt;Keywords&gt;patient&lt;/Keywords&gt;&lt;Keywords&gt;Patients&lt;/Keywords&gt;&lt;Keywords&gt;safety&lt;/Keywords&gt;&lt;Keywords&gt;systemic lupus erythematosus&lt;/Keywords&gt;&lt;Reprint&gt;Not in File&lt;/Reprint&gt;&lt;Periodical&gt;Clin.Rheumatol.&lt;/Periodical&gt;&lt;ZZ_JournalStdAbbrev&gt;&lt;f name="System"&gt;Clin.Rheumatol.&lt;/f&gt;&lt;/ZZ_JournalStdAbbrev&gt;&lt;ZZ_WorkformID&gt;1&lt;/ZZ_WorkformID&gt;&lt;/MDL&gt;&lt;/Cite&gt;&lt;/Refman&gt;</w:instrText>
      </w:r>
      <w:r w:rsidR="00E729BA">
        <w:rPr>
          <w:lang w:eastAsia="zh-CN"/>
        </w:rPr>
        <w:fldChar w:fldCharType="separate"/>
      </w:r>
      <w:r w:rsidR="00F12F58">
        <w:rPr>
          <w:lang w:eastAsia="zh-CN"/>
        </w:rPr>
        <w:t>(56)</w:t>
      </w:r>
      <w:r w:rsidR="00E729BA">
        <w:rPr>
          <w:lang w:eastAsia="zh-CN"/>
        </w:rPr>
        <w:fldChar w:fldCharType="end"/>
      </w:r>
      <w:r>
        <w:rPr>
          <w:lang w:eastAsia="zh-CN"/>
        </w:rPr>
        <w:t xml:space="preserve">. </w:t>
      </w:r>
      <w:r w:rsidR="00E368B4">
        <w:t xml:space="preserve">However, there are numerous problems associated with the effectiveness, and side effects of the traditional treatment options for SLE. Infection and permanent organ damage have been attributed to steroid exposure and cytotoxic treatments </w:t>
      </w:r>
      <w:r w:rsidR="00E729BA">
        <w:fldChar w:fldCharType="begin"/>
      </w:r>
      <w:r w:rsidR="00FC61FD">
        <w:instrText xml:space="preserve"> ADDIN REFMGR.CITE &lt;Refman&gt;&lt;Cite&gt;&lt;Author&gt;Kang&lt;/Author&gt;&lt;Year&gt;2003&lt;/Year&gt;&lt;RecNum&gt;1449&lt;/RecNum&gt;&lt;IDText&gt;Infectious complications in SLE after immunosuppressive therapies&lt;/IDText&gt;&lt;MDL Ref_Type="Journal"&gt;&lt;Ref_Type&gt;Journal&lt;/Ref_Type&gt;&lt;Ref_ID&gt;1449&lt;/Ref_ID&gt;&lt;Title_Primary&gt;Infectious complications in SLE after immunosuppressive therapies&lt;/Title_Primary&gt;&lt;Authors_Primary&gt;Kang,I.&lt;/Authors_Primary&gt;&lt;Authors_Primary&gt;Park,S.H.&lt;/Authors_Primary&gt;&lt;Date_Primary&gt;2003/9&lt;/Date_Primary&gt;&lt;Keywords&gt;adverse effects&lt;/Keywords&gt;&lt;Keywords&gt;Alleles&lt;/Keywords&gt;&lt;Keywords&gt;article&lt;/Keywords&gt;&lt;Keywords&gt;complications&lt;/Keywords&gt;&lt;Keywords&gt;Cyclophosphamide&lt;/Keywords&gt;&lt;Keywords&gt;deficiency&lt;/Keywords&gt;&lt;Keywords&gt;drug therapy&lt;/Keywords&gt;&lt;Keywords&gt;erythematosus&lt;/Keywords&gt;&lt;Keywords&gt;Glucocorticoids&lt;/Keywords&gt;&lt;Keywords&gt;Hospitalization&lt;/Keywords&gt;&lt;Keywords&gt;Humans&lt;/Keywords&gt;&lt;Keywords&gt;Immunocompromised Host&lt;/Keywords&gt;&lt;Keywords&gt;immunology&lt;/Keywords&gt;&lt;Keywords&gt;Immunosuppression&lt;/Keywords&gt;&lt;Keywords&gt;Immunosuppressive Agents&lt;/Keywords&gt;&lt;Keywords&gt;Incidence&lt;/Keywords&gt;&lt;Keywords&gt;Infection&lt;/Keywords&gt;&lt;Keywords&gt;lupus erythematosus&lt;/Keywords&gt;&lt;Keywords&gt;Lupus Erythematosus,Systemic&lt;/Keywords&gt;&lt;Keywords&gt;Opportunistic Infections&lt;/Keywords&gt;&lt;Keywords&gt;patient&lt;/Keywords&gt;&lt;Keywords&gt;Patients&lt;/Keywords&gt;&lt;Keywords&gt;Rheumatology&lt;/Keywords&gt;&lt;Keywords&gt;Risk&lt;/Keywords&gt;&lt;Keywords&gt;Risk Factors&lt;/Keywords&gt;&lt;Keywords&gt;Steroids&lt;/Keywords&gt;&lt;Keywords&gt;systemic lupus erythematosus&lt;/Keywords&gt;&lt;Keywords&gt;therapy&lt;/Keywords&gt;&lt;Reprint&gt;Not in File&lt;/Reprint&gt;&lt;Start_Page&gt;528&lt;/Start_Page&gt;&lt;End_Page&gt;534&lt;/End_Page&gt;&lt;Periodical&gt;Curr.Opin.Rheumatol.&lt;/Periodical&gt;&lt;Volume&gt;15&lt;/Volume&gt;&lt;Issue&gt;5&lt;/Issue&gt;&lt;ZZ_JournalStdAbbrev&gt;&lt;f name="System"&gt;Curr.Opin.Rheumatol.&lt;/f&gt;&lt;/ZZ_JournalStdAbbrev&gt;&lt;ZZ_WorkformID&gt;1&lt;/ZZ_WorkformID&gt;&lt;/MDL&gt;&lt;/Cite&gt;&lt;/Refman&gt;</w:instrText>
      </w:r>
      <w:r w:rsidR="00E729BA">
        <w:fldChar w:fldCharType="separate"/>
      </w:r>
      <w:r w:rsidR="00F12F58">
        <w:t>(57)</w:t>
      </w:r>
      <w:r w:rsidR="00E729BA">
        <w:fldChar w:fldCharType="end"/>
      </w:r>
      <w:r w:rsidR="00E368B4">
        <w:t xml:space="preserve">. </w:t>
      </w:r>
    </w:p>
    <w:p w:rsidR="00E368B4" w:rsidRDefault="00E368B4" w:rsidP="0015321E">
      <w:pPr>
        <w:rPr>
          <w:lang w:eastAsia="zh-CN"/>
        </w:rPr>
      </w:pPr>
      <w:r w:rsidRPr="00203EDD">
        <w:t>Despite the apparent need for new treatments</w:t>
      </w:r>
      <w:r w:rsidR="002963D3">
        <w:t>,</w:t>
      </w:r>
      <w:r w:rsidRPr="00203EDD">
        <w:t xml:space="preserve"> no </w:t>
      </w:r>
      <w:r>
        <w:t xml:space="preserve">license </w:t>
      </w:r>
      <w:r w:rsidRPr="00203EDD">
        <w:t xml:space="preserve">indications for SLE </w:t>
      </w:r>
      <w:r w:rsidR="003E1773">
        <w:t>were</w:t>
      </w:r>
      <w:r w:rsidRPr="00203EDD">
        <w:t xml:space="preserve"> granted </w:t>
      </w:r>
      <w:r w:rsidR="003E1773">
        <w:t>before 2011</w:t>
      </w:r>
      <w:r w:rsidRPr="00203EDD">
        <w:t xml:space="preserve">. </w:t>
      </w:r>
      <w:r>
        <w:t xml:space="preserve">SLE is a complex autoimmune disease that poses considerable challenges in the development of drugs </w:t>
      </w:r>
      <w:r w:rsidR="003E1773">
        <w:t>and design of clinical trials. Ei</w:t>
      </w:r>
      <w:r>
        <w:t xml:space="preserve">senberg </w:t>
      </w:r>
      <w:r w:rsidR="00DB0891">
        <w:t xml:space="preserve">(2009) </w:t>
      </w:r>
      <w:r>
        <w:t xml:space="preserve">identified six reasons for the lack of new treatments in SLE </w:t>
      </w:r>
      <w:r w:rsidR="00E729BA">
        <w:fldChar w:fldCharType="begin"/>
      </w:r>
      <w:r w:rsidR="00FC61FD">
        <w:instrText xml:space="preserve"> ADDIN REFMGR.CITE &lt;Refman&gt;&lt;Cite&gt;&lt;Author&gt;Eisenberg&lt;/Author&gt;&lt;Year&gt;2009&lt;/Year&gt;&lt;RecNum&gt;4&lt;/RecNum&gt;&lt;IDText&gt;Why can&amp;apos;t we find a new treatment for SLE?&lt;/IDText&gt;&lt;MDL Ref_Type="Journal"&gt;&lt;Ref_Type&gt;Journal&lt;/Ref_Type&gt;&lt;Ref_ID&gt;4&lt;/Ref_ID&gt;&lt;Title_Primary&gt;Why can&amp;apos;t we find a new treatment for SLE?&lt;/Title_Primary&gt;&lt;Authors_Primary&gt;Eisenberg,R.&lt;/Authors_Primary&gt;&lt;Date_Primary&gt;2009/5&lt;/Date_Primary&gt;&lt;Keywords&gt;analysis&lt;/Keywords&gt;&lt;Keywords&gt;Animals&lt;/Keywords&gt;&lt;Keywords&gt;Biological Markers&lt;/Keywords&gt;&lt;Keywords&gt;blood&lt;/Keywords&gt;&lt;Keywords&gt;Clinical Trials as Topic&lt;/Keywords&gt;&lt;Keywords&gt;Drug Design&lt;/Keywords&gt;&lt;Keywords&gt;etiology&lt;/Keywords&gt;&lt;Keywords&gt;genetics&lt;/Keywords&gt;&lt;Keywords&gt;Humans&lt;/Keywords&gt;&lt;Keywords&gt;immunology&lt;/Keywords&gt;&lt;Keywords&gt;Lupus Erythematosus,Systemic&lt;/Keywords&gt;&lt;Keywords&gt;Research Design&lt;/Keywords&gt;&lt;Keywords&gt;therapy&lt;/Keywords&gt;&lt;Reprint&gt;Not in File&lt;/Reprint&gt;&lt;Start_Page&gt;223&lt;/Start_Page&gt;&lt;End_Page&gt;230&lt;/End_Page&gt;&lt;Periodical&gt;J.Autoimmun.&lt;/Periodical&gt;&lt;Volume&gt;32&lt;/Volume&gt;&lt;Issue&gt;3-4&lt;/Issue&gt;&lt;ZZ_JournalStdAbbrev&gt;&lt;f name="System"&gt;J.Autoimmun.&lt;/f&gt;&lt;/ZZ_JournalStdAbbrev&gt;&lt;ZZ_WorkformID&gt;1&lt;/ZZ_WorkformID&gt;&lt;/MDL&gt;&lt;/Cite&gt;&lt;/Refman&gt;</w:instrText>
      </w:r>
      <w:r w:rsidR="00E729BA">
        <w:fldChar w:fldCharType="separate"/>
      </w:r>
      <w:r w:rsidR="00F12F58">
        <w:t>(58)</w:t>
      </w:r>
      <w:r w:rsidR="00E729BA">
        <w:fldChar w:fldCharType="end"/>
      </w:r>
      <w:r>
        <w:t xml:space="preserve">. </w:t>
      </w:r>
    </w:p>
    <w:p w:rsidR="00E368B4" w:rsidRPr="007419B7" w:rsidRDefault="00E368B4" w:rsidP="00597CF5">
      <w:pPr>
        <w:pStyle w:val="ListParagraph1"/>
        <w:numPr>
          <w:ilvl w:val="0"/>
          <w:numId w:val="25"/>
        </w:numPr>
        <w:spacing w:line="360" w:lineRule="auto"/>
        <w:ind w:left="714" w:hanging="357"/>
        <w:rPr>
          <w:sz w:val="22"/>
        </w:rPr>
      </w:pPr>
      <w:r w:rsidRPr="007419B7">
        <w:rPr>
          <w:sz w:val="22"/>
        </w:rPr>
        <w:t xml:space="preserve">SLE is a complex and only partially understood disease. </w:t>
      </w:r>
    </w:p>
    <w:p w:rsidR="00E368B4" w:rsidRPr="007419B7" w:rsidRDefault="00E368B4" w:rsidP="00F12F58">
      <w:pPr>
        <w:pStyle w:val="ListParagraph1"/>
        <w:numPr>
          <w:ilvl w:val="0"/>
          <w:numId w:val="25"/>
        </w:numPr>
        <w:spacing w:line="360" w:lineRule="auto"/>
        <w:ind w:left="714" w:hanging="357"/>
        <w:rPr>
          <w:sz w:val="22"/>
        </w:rPr>
      </w:pPr>
      <w:r w:rsidRPr="007419B7">
        <w:rPr>
          <w:sz w:val="22"/>
        </w:rPr>
        <w:t xml:space="preserve">SLE patients </w:t>
      </w:r>
      <w:r w:rsidR="00F12F58">
        <w:rPr>
          <w:sz w:val="22"/>
        </w:rPr>
        <w:t>have</w:t>
      </w:r>
      <w:r w:rsidR="00F12F58" w:rsidRPr="007419B7">
        <w:rPr>
          <w:sz w:val="22"/>
        </w:rPr>
        <w:t xml:space="preserve"> </w:t>
      </w:r>
      <w:r w:rsidRPr="007419B7">
        <w:rPr>
          <w:sz w:val="22"/>
        </w:rPr>
        <w:t xml:space="preserve">extremely heterogeneous </w:t>
      </w:r>
      <w:r w:rsidR="00F01AA4">
        <w:rPr>
          <w:sz w:val="22"/>
        </w:rPr>
        <w:t>symptoms. This complicates</w:t>
      </w:r>
      <w:r w:rsidRPr="007419B7">
        <w:rPr>
          <w:sz w:val="22"/>
        </w:rPr>
        <w:t xml:space="preserve"> inclusion criteria, subgroup analysis, and outcome measures. </w:t>
      </w:r>
    </w:p>
    <w:p w:rsidR="00E368B4" w:rsidRPr="007419B7" w:rsidRDefault="00E368B4" w:rsidP="00597CF5">
      <w:pPr>
        <w:pStyle w:val="ListParagraph1"/>
        <w:numPr>
          <w:ilvl w:val="0"/>
          <w:numId w:val="25"/>
        </w:numPr>
        <w:spacing w:line="360" w:lineRule="auto"/>
        <w:ind w:left="714" w:hanging="357"/>
        <w:rPr>
          <w:sz w:val="22"/>
        </w:rPr>
      </w:pPr>
      <w:r w:rsidRPr="007419B7">
        <w:rPr>
          <w:sz w:val="22"/>
        </w:rPr>
        <w:t>Although there are many useful mouse models for SLE, the findings of studies in murine disease do not correspond with the findings in humans.</w:t>
      </w:r>
    </w:p>
    <w:p w:rsidR="00E368B4" w:rsidRPr="007419B7" w:rsidRDefault="00E368B4" w:rsidP="00597CF5">
      <w:pPr>
        <w:pStyle w:val="ListParagraph1"/>
        <w:numPr>
          <w:ilvl w:val="0"/>
          <w:numId w:val="25"/>
        </w:numPr>
        <w:spacing w:line="360" w:lineRule="auto"/>
        <w:ind w:left="714" w:hanging="357"/>
        <w:rPr>
          <w:sz w:val="22"/>
        </w:rPr>
      </w:pPr>
      <w:r w:rsidRPr="007419B7">
        <w:rPr>
          <w:sz w:val="22"/>
        </w:rPr>
        <w:t xml:space="preserve">There are few reliable biomarkers for SLE, and none that have been validated for use in clinical trials. </w:t>
      </w:r>
    </w:p>
    <w:p w:rsidR="00E368B4" w:rsidRPr="007419B7" w:rsidRDefault="00E368B4" w:rsidP="00597CF5">
      <w:pPr>
        <w:pStyle w:val="ListParagraph1"/>
        <w:numPr>
          <w:ilvl w:val="0"/>
          <w:numId w:val="25"/>
        </w:numPr>
        <w:spacing w:line="360" w:lineRule="auto"/>
        <w:ind w:left="714" w:hanging="357"/>
        <w:rPr>
          <w:sz w:val="22"/>
        </w:rPr>
      </w:pPr>
      <w:r w:rsidRPr="007419B7">
        <w:rPr>
          <w:sz w:val="22"/>
        </w:rPr>
        <w:t xml:space="preserve">SLE patients respond to new treatments differently to other patient populations. </w:t>
      </w:r>
    </w:p>
    <w:p w:rsidR="00E368B4" w:rsidRPr="007419B7" w:rsidRDefault="00E368B4" w:rsidP="00F01AA4">
      <w:pPr>
        <w:pStyle w:val="ListParagraph1"/>
        <w:numPr>
          <w:ilvl w:val="0"/>
          <w:numId w:val="25"/>
        </w:numPr>
        <w:spacing w:after="120" w:line="360" w:lineRule="auto"/>
        <w:ind w:left="714" w:hanging="357"/>
        <w:rPr>
          <w:sz w:val="22"/>
        </w:rPr>
      </w:pPr>
      <w:r w:rsidRPr="007419B7">
        <w:rPr>
          <w:sz w:val="22"/>
        </w:rPr>
        <w:t xml:space="preserve">The history of failed trials in SLE </w:t>
      </w:r>
      <w:r w:rsidR="00F01AA4">
        <w:rPr>
          <w:sz w:val="22"/>
        </w:rPr>
        <w:t>discourages</w:t>
      </w:r>
      <w:r w:rsidRPr="007419B7">
        <w:rPr>
          <w:sz w:val="22"/>
        </w:rPr>
        <w:t xml:space="preserve"> companies </w:t>
      </w:r>
      <w:r w:rsidR="00F01AA4">
        <w:rPr>
          <w:sz w:val="22"/>
        </w:rPr>
        <w:t>developing</w:t>
      </w:r>
      <w:r w:rsidRPr="007419B7">
        <w:rPr>
          <w:sz w:val="22"/>
        </w:rPr>
        <w:t xml:space="preserve"> drugs for this disease. </w:t>
      </w:r>
    </w:p>
    <w:p w:rsidR="00E368B4" w:rsidRDefault="0015321E" w:rsidP="004D7951">
      <w:r>
        <w:t>I</w:t>
      </w:r>
      <w:r w:rsidR="00E368B4">
        <w:t xml:space="preserve">n the past decade there </w:t>
      </w:r>
      <w:r w:rsidR="004D7951">
        <w:t xml:space="preserve">has </w:t>
      </w:r>
      <w:r w:rsidR="00E368B4">
        <w:t>been an increasing number of clinical trials conducted in SLE, which has generated much excitement in the field for the prospects of new effective therapies</w:t>
      </w:r>
      <w:r w:rsidR="003E1773">
        <w:t xml:space="preserve"> </w:t>
      </w:r>
      <w:r w:rsidR="00E729BA">
        <w:fldChar w:fldCharType="begin"/>
      </w:r>
      <w:r w:rsidR="00FC61FD">
        <w:instrText xml:space="preserve"> ADDIN REFMGR.CITE &lt;Refman&gt;&lt;Cite&gt;&lt;Author&gt;Sousa&lt;/Author&gt;&lt;Year&gt;2009&lt;/Year&gt;&lt;RecNum&gt;13&lt;/RecNum&gt;&lt;IDText&gt;Treating lupus: from serendipity to sense, the rise of the new biologicals and other emerging therapies&lt;/IDText&gt;&lt;MDL Ref_Type="Journal"&gt;&lt;Ref_Type&gt;Journal&lt;/Ref_Type&gt;&lt;Ref_ID&gt;13&lt;/Ref_ID&gt;&lt;Title_Primary&gt;Treating lupus: from serendipity to sense, the rise of the new biologicals and other emerging therapies&lt;/Title_Primary&gt;&lt;Authors_Primary&gt;Sousa,E.&lt;/Authors_Primary&gt;&lt;Authors_Primary&gt;Isenberg,D.&lt;/Authors_Primary&gt;&lt;Date_Primary&gt;2009/8&lt;/Date_Primary&gt;&lt;Keywords&gt;Antibodies,Monoclonal&lt;/Keywords&gt;&lt;Keywords&gt;Antigens,CD22&lt;/Keywords&gt;&lt;Keywords&gt;Antigens,CD40&lt;/Keywords&gt;&lt;Keywords&gt;B-Lymphocytes&lt;/Keywords&gt;&lt;Keywords&gt;Drug Design&lt;/Keywords&gt;&lt;Keywords&gt;drug therapy&lt;/Keywords&gt;&lt;Keywords&gt;Humans&lt;/Keywords&gt;&lt;Keywords&gt;Immunologic Factors&lt;/Keywords&gt;&lt;Keywords&gt;immunology&lt;/Keywords&gt;&lt;Keywords&gt;Immunosuppressive Agents&lt;/Keywords&gt;&lt;Keywords&gt;Lupus Erythematosus,Systemic&lt;/Keywords&gt;&lt;Keywords&gt;therapeutic use&lt;/Keywords&gt;&lt;Keywords&gt;therapy&lt;/Keywords&gt;&lt;Reprint&gt;Not in File&lt;/Reprint&gt;&lt;Start_Page&gt;563&lt;/Start_Page&gt;&lt;End_Page&gt;574&lt;/End_Page&gt;&lt;Periodical&gt;Best.Pract.Res.Clin.Rheumatol.&lt;/Periodical&gt;&lt;Volume&gt;23&lt;/Volume&gt;&lt;Issue&gt;4&lt;/Issue&gt;&lt;ZZ_JournalStdAbbrev&gt;&lt;f name="System"&gt;Best.Pract.Res.Clin.Rheumatol.&lt;/f&gt;&lt;/ZZ_JournalStdAbbrev&gt;&lt;ZZ_WorkformID&gt;1&lt;/ZZ_WorkformID&gt;&lt;/MDL&gt;&lt;/Cite&gt;&lt;/Refman&gt;</w:instrText>
      </w:r>
      <w:r w:rsidR="00E729BA">
        <w:fldChar w:fldCharType="separate"/>
      </w:r>
      <w:r w:rsidR="00F12F58">
        <w:t>(59)</w:t>
      </w:r>
      <w:r w:rsidR="00E729BA">
        <w:fldChar w:fldCharType="end"/>
      </w:r>
      <w:r w:rsidR="00E368B4">
        <w:t xml:space="preserve">. </w:t>
      </w:r>
      <w:r w:rsidR="00DB0891">
        <w:t>A detailed review of clinical trials in SLE will be presented in Chapter 2.</w:t>
      </w:r>
    </w:p>
    <w:p w:rsidR="0015321E" w:rsidRDefault="0015321E" w:rsidP="004D7951">
      <w:r w:rsidRPr="00D85A58">
        <w:t>A search of the online clinical trials database (</w:t>
      </w:r>
      <w:hyperlink r:id="rId9" w:history="1">
        <w:r w:rsidRPr="00D85A58">
          <w:rPr>
            <w:rStyle w:val="Hyperlink"/>
          </w:rPr>
          <w:t>www.clinicaltrials.gov</w:t>
        </w:r>
      </w:hyperlink>
      <w:r w:rsidRPr="00D85A58">
        <w:t xml:space="preserve">) </w:t>
      </w:r>
      <w:r>
        <w:t>on the 7</w:t>
      </w:r>
      <w:r w:rsidRPr="00E80705">
        <w:rPr>
          <w:vertAlign w:val="superscript"/>
        </w:rPr>
        <w:t>th</w:t>
      </w:r>
      <w:r>
        <w:t xml:space="preserve"> April 2010 revealed that there was</w:t>
      </w:r>
      <w:r w:rsidRPr="00D85A58">
        <w:t xml:space="preserve"> an abundant pipeline of </w:t>
      </w:r>
      <w:r>
        <w:t xml:space="preserve">at least 17 </w:t>
      </w:r>
      <w:r w:rsidR="004D7951" w:rsidRPr="00D85A58">
        <w:t>tr</w:t>
      </w:r>
      <w:r w:rsidR="004D7951">
        <w:t>ials</w:t>
      </w:r>
      <w:r w:rsidR="004D7951" w:rsidRPr="00D85A58">
        <w:t xml:space="preserve"> </w:t>
      </w:r>
      <w:r w:rsidR="00E55EB7">
        <w:t>recruiting</w:t>
      </w:r>
      <w:r w:rsidRPr="00D85A58">
        <w:t xml:space="preserve"> SLE</w:t>
      </w:r>
      <w:r w:rsidR="00E55EB7">
        <w:t xml:space="preserve"> patients</w:t>
      </w:r>
      <w:r w:rsidR="007F49FE">
        <w:t xml:space="preserve"> (Appendix 2)</w:t>
      </w:r>
      <w:r w:rsidRPr="00D85A58">
        <w:t>.</w:t>
      </w:r>
      <w:r>
        <w:t xml:space="preserve"> </w:t>
      </w:r>
      <w:r w:rsidR="00E368B4" w:rsidRPr="00D85A58">
        <w:t xml:space="preserve">Rituximab and epratzumab are B-cell depleting therapies that target B-lymphocyte surface markers CD20 and CD22 </w:t>
      </w:r>
      <w:r>
        <w:t>respectively. Belimumab and atat</w:t>
      </w:r>
      <w:r w:rsidR="00E368B4" w:rsidRPr="00D85A58">
        <w:t xml:space="preserve">icept target the cytokines that regulate the maturation, proliferation and survival of B-cells </w:t>
      </w:r>
      <w:r w:rsidR="00E729BA" w:rsidRPr="00D85A58">
        <w:fldChar w:fldCharType="begin"/>
      </w:r>
      <w:r w:rsidR="00FC61FD">
        <w:instrText xml:space="preserve"> ADDIN REFMGR.CITE &lt;Refman&gt;&lt;Cite&gt;&lt;Author&gt;Sousa&lt;/Author&gt;&lt;Year&gt;2009&lt;/Year&gt;&lt;RecNum&gt;1450&lt;/RecNum&gt;&lt;IDText&gt;Treating lupus: from serendipity to sense, the rise of the new biologicals and other emerging therapies&lt;/IDText&gt;&lt;MDL Ref_Type="Journal"&gt;&lt;Ref_Type&gt;Journal&lt;/Ref_Type&gt;&lt;Ref_ID&gt;1450&lt;/Ref_ID&gt;&lt;Title_Primary&gt;Treating lupus: from serendipity to sense, the rise of the new biologicals and other emerging therapies&lt;/Title_Primary&gt;&lt;Authors_Primary&gt;Sousa,E.&lt;/Authors_Primary&gt;&lt;Authors_Primary&gt;Isenberg,D.&lt;/Authors_Primary&gt;&lt;Date_Primary&gt;2009/8&lt;/Date_Primary&gt;&lt;Keywords&gt;Antibodies&lt;/Keywords&gt;&lt;Keywords&gt;Antibodies,Monoclonal&lt;/Keywords&gt;&lt;Keywords&gt;Antigens,CD22&lt;/Keywords&gt;&lt;Keywords&gt;Antigens,CD40&lt;/Keywords&gt;&lt;Keywords&gt;B-Lymphocytes&lt;/Keywords&gt;&lt;Keywords&gt;Disease&lt;/Keywords&gt;&lt;Keywords&gt;disease activity&lt;/Keywords&gt;&lt;Keywords&gt;Drug Design&lt;/Keywords&gt;&lt;Keywords&gt;drug therapy&lt;/Keywords&gt;&lt;Keywords&gt;erythematosus&lt;/Keywords&gt;&lt;Keywords&gt;hospital&lt;/Keywords&gt;&lt;Keywords&gt;Humans&lt;/Keywords&gt;&lt;Keywords&gt;Hydroxychloroquine&lt;/Keywords&gt;&lt;Keywords&gt;Immunologic Factors&lt;/Keywords&gt;&lt;Keywords&gt;immunology&lt;/Keywords&gt;&lt;Keywords&gt;Immunosuppressive Agents&lt;/Keywords&gt;&lt;Keywords&gt;lupus erythematosus&lt;/Keywords&gt;&lt;Keywords&gt;Lupus Erythematosus,Systemic&lt;/Keywords&gt;&lt;Keywords&gt;Portugal&lt;/Keywords&gt;&lt;Keywords&gt;Research&lt;/Keywords&gt;&lt;Keywords&gt;Rheumatology&lt;/Keywords&gt;&lt;Keywords&gt;safety&lt;/Keywords&gt;&lt;Keywords&gt;systemic lupus erythematosus&lt;/Keywords&gt;&lt;Keywords&gt;therapeutic use&lt;/Keywords&gt;&lt;Keywords&gt;therapy&lt;/Keywords&gt;&lt;Reprint&gt;Not in File&lt;/Reprint&gt;&lt;Start_Page&gt;563&lt;/Start_Page&gt;&lt;End_Page&gt;574&lt;/End_Page&gt;&lt;Periodical&gt;Best.Pract.Res.Clin.Rheumatol.&lt;/Periodical&gt;&lt;Volume&gt;23&lt;/Volume&gt;&lt;Issue&gt;4&lt;/Issue&gt;&lt;ZZ_JournalStdAbbrev&gt;&lt;f name="System"&gt;Best.Pract.Res.Clin.Rheumatol.&lt;/f&gt;&lt;/ZZ_JournalStdAbbrev&gt;&lt;ZZ_WorkformID&gt;1&lt;/ZZ_WorkformID&gt;&lt;/MDL&gt;&lt;/Cite&gt;&lt;/Refman&gt;</w:instrText>
      </w:r>
      <w:r w:rsidR="00E729BA" w:rsidRPr="00D85A58">
        <w:fldChar w:fldCharType="separate"/>
      </w:r>
      <w:r w:rsidR="00F12F58">
        <w:t>(60)</w:t>
      </w:r>
      <w:r w:rsidR="00E729BA" w:rsidRPr="00D85A58">
        <w:fldChar w:fldCharType="end"/>
      </w:r>
      <w:r w:rsidR="00E368B4" w:rsidRPr="00D85A58">
        <w:t xml:space="preserve">. However, the success of </w:t>
      </w:r>
      <w:r w:rsidR="00E368B4">
        <w:t>recent</w:t>
      </w:r>
      <w:r w:rsidR="00E368B4" w:rsidRPr="00D85A58">
        <w:t xml:space="preserve"> clinical trials has been mixed</w:t>
      </w:r>
      <w:r w:rsidR="00E368B4">
        <w:t>, with many trials failing to meet their primary endpoint</w:t>
      </w:r>
      <w:r w:rsidR="00E368B4" w:rsidRPr="00D85A58">
        <w:t xml:space="preserve">. Two phase III studies for rituximab and one trial for abatacept failed to meet their primary endpoint </w:t>
      </w:r>
      <w:r w:rsidR="00E729BA" w:rsidRPr="00D85A58">
        <w:fldChar w:fldCharType="begin"/>
      </w:r>
      <w:r w:rsidR="00FC61FD">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rsidRPr="00D85A58">
        <w:fldChar w:fldCharType="separate"/>
      </w:r>
      <w:r w:rsidR="00F12F58">
        <w:t>(61;62)</w:t>
      </w:r>
      <w:r w:rsidR="00E729BA" w:rsidRPr="00D85A58">
        <w:fldChar w:fldCharType="end"/>
      </w:r>
      <w:r w:rsidR="00E368B4" w:rsidRPr="00D85A58">
        <w:t xml:space="preserve">. </w:t>
      </w:r>
      <w:r w:rsidR="00DB0891">
        <w:t xml:space="preserve">In 2011 </w:t>
      </w:r>
      <w:r>
        <w:t>B</w:t>
      </w:r>
      <w:r w:rsidR="00E368B4" w:rsidRPr="00D85A58">
        <w:t>elimumab</w:t>
      </w:r>
      <w:r w:rsidR="00E368B4">
        <w:t xml:space="preserve"> </w:t>
      </w:r>
      <w:r w:rsidR="00E368B4" w:rsidRPr="00D85A58">
        <w:t>reported success in two large phase III clinical trials</w:t>
      </w:r>
      <w:r>
        <w:t xml:space="preserve"> and received a license from the FDA and EMEA</w:t>
      </w:r>
      <w:r w:rsidR="00E368B4" w:rsidRPr="00D85A58">
        <w:t>.</w:t>
      </w:r>
      <w:r w:rsidR="00E368B4">
        <w:t xml:space="preserve">  </w:t>
      </w:r>
    </w:p>
    <w:p w:rsidR="00DB0891" w:rsidRDefault="00DB0891" w:rsidP="004D7951">
      <w:r>
        <w:t xml:space="preserve">In summary, there is currently considerable demand for new effective treatments for SLE due to the paucity of licensed treatments. Much excitement has been expressed for the potential of biologics to provide effective treatment for SLE </w:t>
      </w:r>
      <w:r w:rsidR="00E729BA">
        <w:fldChar w:fldCharType="begin"/>
      </w:r>
      <w:r w:rsidR="00FC61FD">
        <w:instrText xml:space="preserve"> ADDIN REFMGR.CITE &lt;Refman&gt;&lt;Cite&gt;&lt;Author&gt;Sousa&lt;/Author&gt;&lt;Year&gt;2009&lt;/Year&gt;&lt;RecNum&gt;13&lt;/RecNum&gt;&lt;IDText&gt;Treating lupus: from serendipity to sense, the rise of the new biologicals and other emerging therapies&lt;/IDText&gt;&lt;MDL Ref_Type="Journal"&gt;&lt;Ref_Type&gt;Journal&lt;/Ref_Type&gt;&lt;Ref_ID&gt;13&lt;/Ref_ID&gt;&lt;Title_Primary&gt;Treating lupus: from serendipity to sense, the rise of the new biologicals and other emerging therapies&lt;/Title_Primary&gt;&lt;Authors_Primary&gt;Sousa,E.&lt;/Authors_Primary&gt;&lt;Authors_Primary&gt;Isenberg,D.&lt;/Authors_Primary&gt;&lt;Date_Primary&gt;2009/8&lt;/Date_Primary&gt;&lt;Keywords&gt;Antibodies,Monoclonal&lt;/Keywords&gt;&lt;Keywords&gt;Antigens,CD22&lt;/Keywords&gt;&lt;Keywords&gt;Antigens,CD40&lt;/Keywords&gt;&lt;Keywords&gt;B-Lymphocytes&lt;/Keywords&gt;&lt;Keywords&gt;Drug Design&lt;/Keywords&gt;&lt;Keywords&gt;drug therapy&lt;/Keywords&gt;&lt;Keywords&gt;Humans&lt;/Keywords&gt;&lt;Keywords&gt;Immunologic Factors&lt;/Keywords&gt;&lt;Keywords&gt;immunology&lt;/Keywords&gt;&lt;Keywords&gt;Immunosuppressive Agents&lt;/Keywords&gt;&lt;Keywords&gt;Lupus Erythematosus,Systemic&lt;/Keywords&gt;&lt;Keywords&gt;therapeutic use&lt;/Keywords&gt;&lt;Keywords&gt;therapy&lt;/Keywords&gt;&lt;Reprint&gt;Not in File&lt;/Reprint&gt;&lt;Start_Page&gt;563&lt;/Start_Page&gt;&lt;End_Page&gt;574&lt;/End_Page&gt;&lt;Periodical&gt;Best.Pract.Res.Clin.Rheumatol.&lt;/Periodical&gt;&lt;Volume&gt;23&lt;/Volume&gt;&lt;Issue&gt;4&lt;/Issue&gt;&lt;ZZ_JournalStdAbbrev&gt;&lt;f name="System"&gt;Best.Pract.Res.Clin.Rheumatol.&lt;/f&gt;&lt;/ZZ_JournalStdAbbrev&gt;&lt;ZZ_WorkformID&gt;1&lt;/ZZ_WorkformID&gt;&lt;/MDL&gt;&lt;/Cite&gt;&lt;/Refman&gt;</w:instrText>
      </w:r>
      <w:r w:rsidR="00E729BA">
        <w:fldChar w:fldCharType="separate"/>
      </w:r>
      <w:r w:rsidR="00F12F58">
        <w:t>(59)</w:t>
      </w:r>
      <w:r w:rsidR="00E729BA">
        <w:fldChar w:fldCharType="end"/>
      </w:r>
      <w:r>
        <w:t xml:space="preserve">. However, after several years of research there are considerable barriers for patients to access biologic treatment, and the challenges in designing clinical trials have contributed to the </w:t>
      </w:r>
      <w:r w:rsidR="00546346">
        <w:t>restricted access to</w:t>
      </w:r>
      <w:r>
        <w:t xml:space="preserve"> new treatments.</w:t>
      </w:r>
      <w:r w:rsidR="00C75B81">
        <w:t xml:space="preserve"> Clinical trial design impacts </w:t>
      </w:r>
      <w:r w:rsidR="004D7951">
        <w:t xml:space="preserve">on </w:t>
      </w:r>
      <w:r w:rsidR="00C75B81">
        <w:t>the strength of evidence for efficacy and safety required by the regulator, and the long-term effectiveness and cost-effectiveness over the patient’s lifetime.</w:t>
      </w:r>
    </w:p>
    <w:p w:rsidR="002A7925" w:rsidRDefault="002A7925" w:rsidP="002A7925">
      <w:pPr>
        <w:pStyle w:val="Heading2"/>
      </w:pPr>
      <w:bookmarkStart w:id="43" w:name="_Toc379467546"/>
      <w:r>
        <w:t>Hypothesis</w:t>
      </w:r>
      <w:bookmarkEnd w:id="43"/>
    </w:p>
    <w:p w:rsidR="00D0049C" w:rsidRDefault="002A7925">
      <w:r>
        <w:t xml:space="preserve">I hypothesize that Health Economic analyses can improve clinical trial design in the pharmaceutical industry by prioritising trial design features that optimise future profits for the pharmaceutical company. </w:t>
      </w:r>
    </w:p>
    <w:p w:rsidR="00E368B4" w:rsidRDefault="00EE2E22" w:rsidP="00742814">
      <w:pPr>
        <w:pStyle w:val="Heading2"/>
      </w:pPr>
      <w:bookmarkStart w:id="44" w:name="_Toc379467547"/>
      <w:r>
        <w:t>Overview of Methods Used in This Thesis</w:t>
      </w:r>
      <w:bookmarkEnd w:id="44"/>
    </w:p>
    <w:p w:rsidR="00742814" w:rsidRDefault="004D7951" w:rsidP="00EE2E22">
      <w:r>
        <w:t>New treatments for SLE require CE models to demonstrate the incremental benefits of new treatment compared with standard care</w:t>
      </w:r>
      <w:r w:rsidR="00C75B81">
        <w:t xml:space="preserve">. </w:t>
      </w:r>
      <w:r>
        <w:t xml:space="preserve">The work in this PhD </w:t>
      </w:r>
      <w:r w:rsidR="00EE2E22">
        <w:t xml:space="preserve">has </w:t>
      </w:r>
      <w:r>
        <w:t>made substantial contribution to the development of a CE model for SLE.</w:t>
      </w:r>
      <w:r w:rsidR="00527615">
        <w:t xml:space="preserve"> </w:t>
      </w:r>
      <w:r w:rsidR="00742814">
        <w:t xml:space="preserve">This </w:t>
      </w:r>
      <w:r w:rsidR="00C75B81">
        <w:t xml:space="preserve">PhD </w:t>
      </w:r>
      <w:r w:rsidR="00EE2E22">
        <w:t xml:space="preserve">aimed </w:t>
      </w:r>
      <w:r w:rsidR="00C75B81">
        <w:t xml:space="preserve">to explore whether the cost-effectiveness model could also be used early in the drug development process to improve the design of clinical trials. </w:t>
      </w:r>
    </w:p>
    <w:p w:rsidR="00C75B81" w:rsidRDefault="00C75B81" w:rsidP="001F1AD6">
      <w:r>
        <w:t xml:space="preserve">I believe that the </w:t>
      </w:r>
      <w:r w:rsidR="001F1AD6">
        <w:t>CE</w:t>
      </w:r>
      <w:r>
        <w:t xml:space="preserve"> model </w:t>
      </w:r>
      <w:r w:rsidR="00EE2E22">
        <w:t>has two main uses for a Pharmaceutical company during drug development</w:t>
      </w:r>
      <w:r>
        <w:t xml:space="preserve">. Firstly, it is important to develop a good quality model to present the most reliable estimates of the cost-effectiveness of SLE. This can be informative throughout the stages of drug development to estimate the expected cost-effectiveness results based on current or projected information. </w:t>
      </w:r>
      <w:r w:rsidR="000A5548">
        <w:t xml:space="preserve">This may help inform the pharmaceutical company on whether to proceed with the drug development and data collection process. </w:t>
      </w:r>
      <w:r>
        <w:t xml:space="preserve">Secondly, the decision model can be used to </w:t>
      </w:r>
      <w:r w:rsidR="004D7951">
        <w:t xml:space="preserve">characterise </w:t>
      </w:r>
      <w:r>
        <w:t xml:space="preserve">the uncertainty in the parameter estimates, and use value of information techniques to consider </w:t>
      </w:r>
      <w:r w:rsidR="004D7951">
        <w:t>if data collection is valuable</w:t>
      </w:r>
      <w:r>
        <w:t xml:space="preserve">. By considering the costs together with the expected value of future research it is possible to analyse the cost-effectiveness of future research. </w:t>
      </w:r>
      <w:r w:rsidR="00024A09">
        <w:t xml:space="preserve">In this thesis I present a novel method for evaluating the value of alternative trial designs from a pharmaceutical perspective where profits are maximised </w:t>
      </w:r>
      <w:r w:rsidR="00EE2E22">
        <w:t>according to</w:t>
      </w:r>
      <w:r w:rsidR="00024A09">
        <w:t xml:space="preserve"> the price achieved after data collection. The profits are conditional on the constraints of regulatory approval and acceptable prices implied by value-based pricing.</w:t>
      </w:r>
    </w:p>
    <w:p w:rsidR="00FF7CDE" w:rsidRDefault="00FF7CDE" w:rsidP="00EE2E22">
      <w:r>
        <w:t xml:space="preserve">The review of Health Economic methods for trial design identified that Bayesian </w:t>
      </w:r>
      <w:r w:rsidR="00EE2E22">
        <w:t>V</w:t>
      </w:r>
      <w:r>
        <w:t>alue</w:t>
      </w:r>
      <w:r w:rsidR="00EE2E22">
        <w:t xml:space="preserve"> of I</w:t>
      </w:r>
      <w:r>
        <w:t xml:space="preserve">nformation methods were an appropriate method to value trial designs. Within this method prior parameters for a cost-effectiveness evaluation can be updated with multiple simulated datasets to evaluate the reduction in uncertainty from data collection. </w:t>
      </w:r>
    </w:p>
    <w:p w:rsidR="00FF7CDE" w:rsidRDefault="00EE2E22" w:rsidP="00EE2E22">
      <w:r>
        <w:t>In summary</w:t>
      </w:r>
      <w:r w:rsidR="00965BC7">
        <w:t>,</w:t>
      </w:r>
      <w:r>
        <w:t xml:space="preserve"> the method uses Bayes theorem to update the parameters of a CE model with new data from a simulated clinical trial. Therefore, the me</w:t>
      </w:r>
      <w:r w:rsidR="00965BC7">
        <w:t>thod draws upon health economic</w:t>
      </w:r>
      <w:r>
        <w:t xml:space="preserve"> methods to develop </w:t>
      </w:r>
      <w:r w:rsidR="00FF7CDE">
        <w:t xml:space="preserve">CE </w:t>
      </w:r>
      <w:r>
        <w:t>analyses</w:t>
      </w:r>
      <w:r w:rsidR="00FF7CDE">
        <w:t xml:space="preserve"> to estimate total costs and QALYs</w:t>
      </w:r>
      <w:r>
        <w:t xml:space="preserve">. </w:t>
      </w:r>
      <w:r w:rsidR="00FF7CDE">
        <w:t xml:space="preserve"> </w:t>
      </w:r>
      <w:r>
        <w:t xml:space="preserve">In this example the CE analyses </w:t>
      </w:r>
      <w:r w:rsidR="00FF7CDE">
        <w:t xml:space="preserve">will be </w:t>
      </w:r>
      <w:r>
        <w:t xml:space="preserve">generated from a CE model, which includes </w:t>
      </w:r>
      <w:r w:rsidR="00FF7CDE">
        <w:t>uncertain input parameters,</w:t>
      </w:r>
      <m:oMath>
        <m:r>
          <w:rPr>
            <w:rFonts w:ascii="Cambria Math" w:hAnsi="Cambria Math"/>
          </w:rPr>
          <m:t xml:space="preserve"> θ</m:t>
        </m:r>
      </m:oMath>
      <w:r w:rsidR="00FF7CDE">
        <w:t xml:space="preserve">. The </w:t>
      </w:r>
      <w:r>
        <w:t>c</w:t>
      </w:r>
      <w:r w:rsidR="000B0EDB">
        <w:t>linical</w:t>
      </w:r>
      <w:r w:rsidR="00FF7CDE">
        <w:t xml:space="preserve"> trial would provide additional data </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oMath>
      <w:r w:rsidR="00FF7CDE">
        <w:t xml:space="preserve"> on</w:t>
      </w:r>
      <w:r w:rsidR="000B0EDB">
        <w:t xml:space="preserve"> all or</w:t>
      </w:r>
      <w:r w:rsidR="00FF7CDE">
        <w:t xml:space="preserve"> a subset of the CE model parameters</w:t>
      </w:r>
      <m:oMath>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oMath>
      <w:r w:rsidR="00FF7CDE">
        <w:t xml:space="preserve">. The complement set of CE model parameters,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rsidR="00FF7CDE">
        <w:t xml:space="preserve">, </w:t>
      </w:r>
      <w:r w:rsidR="000B0EDB">
        <w:t>may</w:t>
      </w:r>
      <w:r w:rsidR="00FF7CDE">
        <w:t xml:space="preserve"> not updated with trial data. The prior joint probability density p(</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FF7CDE">
        <w:t xml:space="preserve">) was updated, via Bayesian updating, to derive the posterior density </w:t>
      </w:r>
      <m:oMath>
        <m:r>
          <w:rPr>
            <w:rFonts w:ascii="Cambria Math" w:hAnsi="Cambria Math"/>
          </w:rPr>
          <m:t>p(θ|</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oMath>
      <w:r w:rsidR="00FF7CDE">
        <w:t xml:space="preserve"> for each hypothetical data set sampled. The CE model could then be re-run with the posterior density </w:t>
      </w:r>
      <m:oMath>
        <m:r>
          <w:rPr>
            <w:rFonts w:ascii="Cambria Math" w:hAnsi="Cambria Math"/>
          </w:rPr>
          <m:t>p(θ|</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oMath>
      <w:r w:rsidR="00FF7CDE">
        <w:t xml:space="preserve"> and </w:t>
      </w:r>
      <m:oMath>
        <m:sSubSup>
          <m:sSubSupPr>
            <m:ctrlPr>
              <w:rPr>
                <w:rFonts w:ascii="Cambria Math" w:hAnsi="Cambria Math"/>
                <w:i/>
              </w:rPr>
            </m:ctrlPr>
          </m:sSubSupPr>
          <m:e>
            <m:r>
              <w:rPr>
                <w:rFonts w:ascii="Cambria Math" w:hAnsi="Cambria Math"/>
              </w:rPr>
              <m:t>p(θ</m:t>
            </m:r>
          </m:e>
          <m:sub>
            <m:r>
              <w:rPr>
                <w:rFonts w:ascii="Cambria Math" w:hAnsi="Cambria Math"/>
              </w:rPr>
              <m:t>I</m:t>
            </m:r>
          </m:sub>
          <m:sup>
            <m:r>
              <w:rPr>
                <w:rFonts w:ascii="Cambria Math" w:hAnsi="Cambria Math"/>
              </w:rPr>
              <m:t>C</m:t>
            </m:r>
          </m:sup>
        </m:sSubSup>
        <m:r>
          <w:rPr>
            <w:rFonts w:ascii="Cambria Math" w:hAnsi="Cambria Math"/>
          </w:rPr>
          <m:t xml:space="preserve">) </m:t>
        </m:r>
      </m:oMath>
      <w:r w:rsidR="00FF7CDE">
        <w:t>to estimate the CE outcomes given the simulated trial data.</w:t>
      </w:r>
      <w:r w:rsidR="00FF7CDE" w:rsidRPr="00E00C62">
        <w:t xml:space="preserve"> </w:t>
      </w:r>
    </w:p>
    <w:p w:rsidR="00FF7CDE" w:rsidRDefault="00FF7CDE" w:rsidP="00965BC7">
      <w:r>
        <w:t xml:space="preserve">Bayesian Clinical Trial Simulation (BCTS) can be used to simulate Phase III datasets for complex design options. </w:t>
      </w:r>
      <w:r w:rsidR="000B0EDB">
        <w:t>Within the VOI framework m</w:t>
      </w:r>
      <w:r>
        <w:t xml:space="preserve">ultiple simulated datasets are generated for each trial design to predict many possible outcomes of the Phase III trial. </w:t>
      </w:r>
      <w:r w:rsidR="00EE2E22">
        <w:t xml:space="preserve">The BCTS provided a flexible method for simulating a broad range of trial specifications. </w:t>
      </w:r>
      <w:r w:rsidR="00965BC7">
        <w:t>C</w:t>
      </w:r>
      <w:r>
        <w:t xml:space="preserve">linical trial designs can be evaluated by simulating trial data and updating CE model parameters with the information gathered. For each simulated dataset the prior and likelihood of the data are synthesised to generate the posterior distribution of the parameters and evaluate the CE model outcomes. </w:t>
      </w:r>
    </w:p>
    <w:p w:rsidR="00FF7CDE" w:rsidRDefault="00FF7CDE" w:rsidP="000B0EDB">
      <w:r>
        <w:t xml:space="preserve">The simulation process </w:t>
      </w:r>
      <w:r w:rsidR="000B0EDB">
        <w:t>used within this thesis is</w:t>
      </w:r>
      <w:r>
        <w:t xml:space="preserve"> illustrated in</w:t>
      </w:r>
      <w:r w:rsidR="000B0EDB">
        <w:t xml:space="preserve"> </w:t>
      </w:r>
      <w:r w:rsidR="00E729BA">
        <w:fldChar w:fldCharType="begin"/>
      </w:r>
      <w:r w:rsidR="000B0EDB">
        <w:instrText xml:space="preserve"> REF _Ref376175543 \h </w:instrText>
      </w:r>
      <w:r w:rsidR="00E729BA">
        <w:fldChar w:fldCharType="separate"/>
      </w:r>
      <w:r w:rsidR="004911B7">
        <w:t xml:space="preserve">Figure </w:t>
      </w:r>
      <w:r w:rsidR="004911B7">
        <w:rPr>
          <w:noProof/>
        </w:rPr>
        <w:t>1</w:t>
      </w:r>
      <w:r w:rsidR="00E729BA">
        <w:fldChar w:fldCharType="end"/>
      </w:r>
      <w:r>
        <w:t>.</w:t>
      </w:r>
    </w:p>
    <w:p w:rsidR="000B0EDB" w:rsidRDefault="000B0EDB" w:rsidP="000B0EDB">
      <w:pPr>
        <w:pStyle w:val="Caption"/>
      </w:pPr>
      <w:bookmarkStart w:id="45" w:name="_Ref376175543"/>
      <w:r>
        <w:t xml:space="preserve">Figure </w:t>
      </w:r>
      <w:r w:rsidR="00E729BA">
        <w:fldChar w:fldCharType="begin"/>
      </w:r>
      <w:r>
        <w:instrText xml:space="preserve"> SEQ Figure \* ARABIC </w:instrText>
      </w:r>
      <w:r w:rsidR="00E729BA">
        <w:fldChar w:fldCharType="separate"/>
      </w:r>
      <w:r w:rsidR="004911B7">
        <w:rPr>
          <w:noProof/>
        </w:rPr>
        <w:t>1</w:t>
      </w:r>
      <w:r w:rsidR="00E729BA">
        <w:fldChar w:fldCharType="end"/>
      </w:r>
      <w:bookmarkEnd w:id="45"/>
      <w:r>
        <w:t>: The four stage simulation process to evaluate alternative trial designs</w:t>
      </w:r>
    </w:p>
    <w:p w:rsidR="00FF7CDE" w:rsidRDefault="00D0049C" w:rsidP="00FF7CDE">
      <w:r>
        <w:rPr>
          <w:noProof/>
          <w:lang w:eastAsia="zh-CN" w:bidi="ar-SA"/>
        </w:rPr>
        <w:drawing>
          <wp:inline distT="0" distB="0" distL="0" distR="0">
            <wp:extent cx="5731510" cy="2301733"/>
            <wp:effectExtent l="19050" t="0" r="2540"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731510" cy="2301733"/>
                    </a:xfrm>
                    <a:prstGeom prst="rect">
                      <a:avLst/>
                    </a:prstGeom>
                    <a:noFill/>
                    <a:ln w="9525">
                      <a:noFill/>
                      <a:miter lim="800000"/>
                      <a:headEnd/>
                      <a:tailEnd/>
                    </a:ln>
                  </pic:spPr>
                </pic:pic>
              </a:graphicData>
            </a:graphic>
          </wp:inline>
        </w:drawing>
      </w:r>
    </w:p>
    <w:p w:rsidR="00FF7CDE" w:rsidRDefault="00EE2E22" w:rsidP="00EE2E22">
      <w:r>
        <w:t>First</w:t>
      </w:r>
      <w:r w:rsidR="00FF7CDE">
        <w:t>, a population of SLE patients are generated reflecting the disease characteristics of patients in the Hopkins Lupus Cohort. Secondly, a SLE Phase III clinical trial is simulated to generate a single sample dataset. In stage three, this dataset is combined with the prior distributions of the CE model to get the posterior distributions. In the final stage, the CE model is evaluated given the posterior parameters and the results are recorded. The simulation returns to stage 2 to simulate another clinical trial dataset, and the process is repeated until sufficient trial results have been iterated to draw a conclusion about the value of chosen trial designs. The whole process is repeated for each alternative trial design of interest, thus enabling comparison of the relative value of different designs.</w:t>
      </w:r>
    </w:p>
    <w:p w:rsidR="00D0049C" w:rsidRDefault="00EE2E22" w:rsidP="00CD16C3">
      <w:pPr>
        <w:pStyle w:val="Heading2"/>
      </w:pPr>
      <w:bookmarkStart w:id="46" w:name="_Toc379467548"/>
      <w:r>
        <w:t>Outline of this PHD Study</w:t>
      </w:r>
      <w:bookmarkEnd w:id="46"/>
    </w:p>
    <w:p w:rsidR="001F1AD6" w:rsidRDefault="001F1AD6" w:rsidP="001F1AD6">
      <w:r>
        <w:t>I have provided a background to the main themes of this thesis. I have described a stylised description of the drug development process and pathway to regulatory and reimbursement approval. I have introduced the main principles of health economic methods and Bayesian statistics. Finally, I have summarised the signs and symptoms of SLE, and provided a background to the pipeline of new biologic treatments that are under development.</w:t>
      </w:r>
    </w:p>
    <w:p w:rsidR="00EE2E22" w:rsidRDefault="00EE2E22" w:rsidP="00EE2E22">
      <w:r>
        <w:t xml:space="preserve">The thesis comprises four Phases of research. The Phases of research, and the impact each chapter had on subsequent research developments are illustrated in </w:t>
      </w:r>
      <w:r w:rsidR="00E729BA">
        <w:fldChar w:fldCharType="begin"/>
      </w:r>
      <w:r>
        <w:instrText xml:space="preserve"> REF _Ref376186840 \h </w:instrText>
      </w:r>
      <w:r w:rsidR="00E729BA">
        <w:fldChar w:fldCharType="separate"/>
      </w:r>
      <w:r w:rsidR="004911B7">
        <w:t xml:space="preserve">Figure </w:t>
      </w:r>
      <w:r w:rsidR="004911B7">
        <w:rPr>
          <w:noProof/>
        </w:rPr>
        <w:t>2</w:t>
      </w:r>
      <w:r w:rsidR="00E729BA">
        <w:fldChar w:fldCharType="end"/>
      </w:r>
      <w:r>
        <w:t>. In Phase I reviewed current literature on clinical trials in SLE, and health economic methods for trial design. Following the outcome of the methods review I identified a need to describe the natural history of SLE to enable the simulation of patient outcomes in a Bayesian Clinical Trial Simulation and CE model. In Phase 2 I developed a conceptual model for the natural history of SLE, which informed the analysis plan for statistical analyses of a SLE registry cohort. The statistical models describing the natural history of SLE were used to develop a Bayesian Clinical Trial Simulation and cost-effectiveness model. These are described as the simulation modelling Phase of the research. The design of the Bayesian Clinical Trial Simulation incorporated data and findings from the Clinical trials review. Finally, in Phase 4 I implemented the methods identified in the methods review to develop an analysis to value six trial designs. The Bayesian Clinical Trial Simulation and CE model were combined in Chapter 8 to simulate clinical trial datasets, and evaluate cost-effectiveness outcomes for each simulated dataset. This enabled calculation of the Net Commercial benefit of a proposed trial design.</w:t>
      </w:r>
    </w:p>
    <w:p w:rsidR="00EE2E22" w:rsidRDefault="00EE2E22" w:rsidP="00EE2E22">
      <w:pPr>
        <w:pStyle w:val="Caption"/>
      </w:pPr>
      <w:bookmarkStart w:id="47" w:name="_Ref376186840"/>
      <w:r>
        <w:t xml:space="preserve">Figure </w:t>
      </w:r>
      <w:r w:rsidR="00E729BA">
        <w:fldChar w:fldCharType="begin"/>
      </w:r>
      <w:r>
        <w:instrText xml:space="preserve"> SEQ Figure \* ARABIC </w:instrText>
      </w:r>
      <w:r w:rsidR="00E729BA">
        <w:fldChar w:fldCharType="separate"/>
      </w:r>
      <w:r w:rsidR="004911B7">
        <w:rPr>
          <w:noProof/>
        </w:rPr>
        <w:t>2</w:t>
      </w:r>
      <w:r w:rsidR="00E729BA">
        <w:fldChar w:fldCharType="end"/>
      </w:r>
      <w:bookmarkEnd w:id="47"/>
      <w:r>
        <w:t>: Illustration of the Phases of research</w:t>
      </w:r>
    </w:p>
    <w:p w:rsidR="00EE2E22" w:rsidRDefault="00D0049C" w:rsidP="00EE2E22">
      <w:r>
        <w:rPr>
          <w:noProof/>
          <w:lang w:eastAsia="zh-CN" w:bidi="ar-SA"/>
        </w:rPr>
        <w:drawing>
          <wp:inline distT="0" distB="0" distL="0" distR="0">
            <wp:extent cx="5205730" cy="3159046"/>
            <wp:effectExtent l="19050" t="0" r="0" b="0"/>
            <wp:docPr id="5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srcRect/>
                    <a:stretch>
                      <a:fillRect/>
                    </a:stretch>
                  </pic:blipFill>
                  <pic:spPr bwMode="auto">
                    <a:xfrm>
                      <a:off x="0" y="0"/>
                      <a:ext cx="5205730" cy="3159046"/>
                    </a:xfrm>
                    <a:prstGeom prst="rect">
                      <a:avLst/>
                    </a:prstGeom>
                    <a:noFill/>
                    <a:ln w="9525">
                      <a:noFill/>
                      <a:miter lim="800000"/>
                      <a:headEnd/>
                      <a:tailEnd/>
                    </a:ln>
                  </pic:spPr>
                </pic:pic>
              </a:graphicData>
            </a:graphic>
          </wp:inline>
        </w:drawing>
      </w:r>
    </w:p>
    <w:p w:rsidR="00EE2E22" w:rsidRDefault="00EE2E22" w:rsidP="00EE2E22">
      <w:r>
        <w:t xml:space="preserve">In Chapter 2, I conducted a literature review </w:t>
      </w:r>
      <w:r>
        <w:rPr>
          <w:szCs w:val="22"/>
        </w:rPr>
        <w:t xml:space="preserve">to describe the established characteristics of SLE clinical trials, and identify what trial design features could be improved. </w:t>
      </w:r>
      <w:r>
        <w:t xml:space="preserve">Clinical trials can be very difficult to design particularly if disease outcomes in the population recruited into the trial are unpredictable. Previous successful clinical trials set a strong precedent for clinical trial designs. However, there are inevitably cases where more difficult choices arise, such as in SLE where very few clinical trials have been successful and outcomes are often negative. </w:t>
      </w:r>
    </w:p>
    <w:p w:rsidR="00EE2E22" w:rsidRDefault="00EE2E22" w:rsidP="00EE2E22">
      <w:r>
        <w:t xml:space="preserve">In Chapter 3, a review was needed </w:t>
      </w:r>
      <w:r>
        <w:rPr>
          <w:szCs w:val="22"/>
        </w:rPr>
        <w:t xml:space="preserve">to identify a suitable methodological framework for evaluating clinical trials for drug development programmes. </w:t>
      </w:r>
      <w:r>
        <w:t xml:space="preserve">Analytical methods for designing clinical trials may be preferable to informal decision-making or evaluation of study design through pilot studies. Analytic methods can incorporate data from multiple data sources and consider multiple research objectives. For example, many new treatments have to demonstrate the health economic consequences of the interventions in order to improve their prospects of being approved by reimbursement authorities. </w:t>
      </w:r>
    </w:p>
    <w:p w:rsidR="00EE2E22" w:rsidRDefault="00EE2E22" w:rsidP="00EE2E22">
      <w:r>
        <w:t>Chapter 4 and 5 focussed on the development of a natural history model for SLE. In Chapter 4, I developed a conceptual model to describe the natural history of SLE based on a literature review of observational studies in SLE. The review also established that there was insufficient data from the existing literature to inform the natural history of SLE as defined by the conceptual model. In Chapter 5, I describe a statistical analysis of the Hopkins Lupus Cohort, which generated statistical models to describe the short and long-term natural history of SLE. The development of the natural history model for SLE present a novel method for simulating individual patient outcomes across disease activity, treatment exposure, organ damage and mortality.</w:t>
      </w:r>
    </w:p>
    <w:p w:rsidR="00FF7CDE" w:rsidRDefault="00FF7CDE" w:rsidP="00EE2E22">
      <w:r>
        <w:t xml:space="preserve">Based on the </w:t>
      </w:r>
      <w:r w:rsidR="000B0EDB">
        <w:t xml:space="preserve">analysis described in </w:t>
      </w:r>
      <w:r w:rsidR="00E729BA">
        <w:fldChar w:fldCharType="begin"/>
      </w:r>
      <w:r w:rsidR="000B0EDB">
        <w:instrText xml:space="preserve"> REF _Ref376175543 \h </w:instrText>
      </w:r>
      <w:r w:rsidR="00E729BA">
        <w:fldChar w:fldCharType="separate"/>
      </w:r>
      <w:r w:rsidR="004911B7">
        <w:t xml:space="preserve">Figure </w:t>
      </w:r>
      <w:r w:rsidR="004911B7">
        <w:rPr>
          <w:noProof/>
        </w:rPr>
        <w:t>1</w:t>
      </w:r>
      <w:r w:rsidR="00E729BA">
        <w:fldChar w:fldCharType="end"/>
      </w:r>
      <w:r>
        <w:t xml:space="preserve"> it was necessary to develop two simulation models. In Chapter 6 a Bayesian Clinical Trial Simulation was described</w:t>
      </w:r>
      <w:r w:rsidR="00D0676B">
        <w:t xml:space="preserve"> adopting methods identified in the methods review </w:t>
      </w:r>
      <w:r w:rsidR="00E729BA">
        <w:fldChar w:fldCharType="begin"/>
      </w:r>
      <w:r w:rsidR="00FC61FD">
        <w:instrText xml:space="preserve"> ADDIN REFMGR.CITE &lt;Refman&gt;&lt;Cite&gt;&lt;Author&gt;Nixon&lt;/Author&gt;&lt;Year&gt;2009&lt;/Year&gt;&lt;RecNum&gt;1496&lt;/RecNum&gt;&lt;IDText&gt;The Rheumatoid Arthritis Drug Development Model: a case study in Bayesian clinical trial simulation&lt;/IDText&gt;&lt;MDL Ref_Type="Journal"&gt;&lt;Ref_Type&gt;Journal&lt;/Ref_Type&gt;&lt;Ref_ID&gt;1496&lt;/Ref_ID&gt;&lt;Title_Primary&gt;The Rheumatoid Arthritis Drug Development Model: a case study in Bayesian clinical trial simulation&lt;/Title_Primary&gt;&lt;Authors_Primary&gt;Nixon,R.M.&lt;/Authors_Primary&gt;&lt;Authors_Primary&gt;O&amp;apos;Hagan,A.&lt;/Authors_Primary&gt;&lt;Authors_Primary&gt;Oakley,J.&lt;/Authors_Primary&gt;&lt;Authors_Primary&gt;Madan,J.&lt;/Authors_Primary&gt;&lt;Authors_Primary&gt;Stevens,J.W.&lt;/Authors_Primary&gt;&lt;Authors_Primary&gt;Bansback,N.&lt;/Authors_Primary&gt;&lt;Authors_Primary&gt;Brennan,A.&lt;/Authors_Primary&gt;&lt;Date_Primary&gt;2009/10&lt;/Date_Primary&gt;&lt;Keywords&gt;Algorithms&lt;/Keywords&gt;&lt;Keywords&gt;Antirheumatic Agents&lt;/Keywords&gt;&lt;Keywords&gt;Arthritis&lt;/Keywords&gt;&lt;Keywords&gt;Arthritis,Rheumatoid&lt;/Keywords&gt;&lt;Keywords&gt;Bayes Theorem&lt;/Keywords&gt;&lt;Keywords&gt;clinical trial&lt;/Keywords&gt;&lt;Keywords&gt;Clinical Trials,Phase III as Topic&lt;/Keywords&gt;&lt;Keywords&gt;Clinical Trials,Phase II as Topic&lt;/Keywords&gt;&lt;Keywords&gt;Computer Simulation&lt;/Keywords&gt;&lt;Keywords&gt;Disease&lt;/Keywords&gt;&lt;Keywords&gt;Drug Discovery&lt;/Keywords&gt;&lt;Keywords&gt;drug therapy&lt;/Keywords&gt;&lt;Keywords&gt;Humans&lt;/Keywords&gt;&lt;Keywords&gt;Models,Statistical&lt;/Keywords&gt;&lt;Keywords&gt;population&lt;/Keywords&gt;&lt;Keywords&gt;Probability&lt;/Keywords&gt;&lt;Keywords&gt;safety&lt;/Keywords&gt;&lt;Keywords&gt;sample&lt;/Keywords&gt;&lt;Keywords&gt;statistics &amp;amp; numerical data&lt;/Keywords&gt;&lt;Keywords&gt;therapeutic use&lt;/Keywords&gt;&lt;Keywords&gt;Treatment Outcome&lt;/Keywords&gt;&lt;Reprint&gt;Not in File&lt;/Reprint&gt;&lt;Start_Page&gt;371&lt;/Start_Page&gt;&lt;End_Page&gt;389&lt;/End_Page&gt;&lt;Periodical&gt;Pharm.Stat.&lt;/Periodical&gt;&lt;Volume&gt;8&lt;/Volume&gt;&lt;Issue&gt;4&lt;/Issue&gt;&lt;ZZ_JournalStdAbbrev&gt;&lt;f name="System"&gt;Pharm.Stat.&lt;/f&gt;&lt;/ZZ_JournalStdAbbrev&gt;&lt;ZZ_WorkformID&gt;1&lt;/ZZ_WorkformID&gt;&lt;/MDL&gt;&lt;/Cite&gt;&lt;/Refman&gt;</w:instrText>
      </w:r>
      <w:r w:rsidR="00E729BA">
        <w:fldChar w:fldCharType="separate"/>
      </w:r>
      <w:r w:rsidR="00F12F58">
        <w:t>(63)</w:t>
      </w:r>
      <w:r w:rsidR="00E729BA">
        <w:fldChar w:fldCharType="end"/>
      </w:r>
      <w:r>
        <w:t xml:space="preserve">. </w:t>
      </w:r>
      <w:r w:rsidR="00EE2E22">
        <w:t>T</w:t>
      </w:r>
      <w:r w:rsidR="00D0676B">
        <w:t xml:space="preserve">he simulation predicted </w:t>
      </w:r>
      <w:r>
        <w:t>individual patient disease progression</w:t>
      </w:r>
      <w:r w:rsidR="00D0676B">
        <w:t xml:space="preserve"> across multiple organ systems</w:t>
      </w:r>
      <w:r>
        <w:t xml:space="preserve"> over 3 monthly cycles to estimate outcomes from future clinical trials. The simulation was based on</w:t>
      </w:r>
      <w:r w:rsidR="00EE2E22">
        <w:t xml:space="preserve"> some of</w:t>
      </w:r>
      <w:r>
        <w:t xml:space="preserve"> the statistical analyses described in Chapter 5 and data from previous SLE trials. Unknown parameters </w:t>
      </w:r>
      <w:r w:rsidR="00EE2E22">
        <w:t xml:space="preserve">in </w:t>
      </w:r>
      <w:r>
        <w:t xml:space="preserve">the simulation were elicited from Clinical experts in SLE through an elicitation </w:t>
      </w:r>
      <w:r w:rsidR="00EE2E22">
        <w:t>study</w:t>
      </w:r>
      <w:r>
        <w:t xml:space="preserve">. </w:t>
      </w:r>
    </w:p>
    <w:p w:rsidR="00FF7CDE" w:rsidRDefault="00FF7CDE" w:rsidP="002D62B0">
      <w:r w:rsidRPr="00FF7CDE">
        <w:t>Chapter 7 describes a cost-e</w:t>
      </w:r>
      <w:r w:rsidR="0094366B" w:rsidRPr="0094366B">
        <w:t>ffectiveness</w:t>
      </w:r>
      <w:r>
        <w:t xml:space="preserve"> model to evaluate new pharmaceutical products for SLE. </w:t>
      </w:r>
      <w:r w:rsidR="00591312">
        <w:t>The CE model described was developed for the purpose of this thesis</w:t>
      </w:r>
      <w:r w:rsidR="002D62B0">
        <w:t xml:space="preserve">. GlaxoSmithKline developed a CE model concurrently, but independently, from my work using the statistical analyses I produced. </w:t>
      </w:r>
      <w:r>
        <w:t xml:space="preserve">The simulation was based on the statistical analyses described in Chapter 5 and data from a cost-effectiveness model developed for belimumab. </w:t>
      </w:r>
    </w:p>
    <w:p w:rsidR="00FF7CDE" w:rsidRDefault="00FF7CDE" w:rsidP="00EE2E22">
      <w:r>
        <w:t>Chapter 8 describes the evaluation of six Phase III trial designs using a n</w:t>
      </w:r>
      <w:r w:rsidR="00D0676B">
        <w:t>ovel</w:t>
      </w:r>
      <w:r>
        <w:t xml:space="preserve"> framework for Expected Net Benefit of Sampling from a pharmaceutical perspective. I describe an analytic method to compare SLE Phase III RCTs with variable sample size and duration of follow-up. The VOI analysis utilised the BCTS described in Chapter 6</w:t>
      </w:r>
      <w:r w:rsidRPr="00A030C3">
        <w:t xml:space="preserve"> </w:t>
      </w:r>
      <w:r>
        <w:t xml:space="preserve">and the CE model described in Chapter 7. </w:t>
      </w:r>
      <w:r w:rsidR="00D0676B">
        <w:t>The met</w:t>
      </w:r>
      <w:r w:rsidR="00EE2E22">
        <w:t>hod for Bayesian Updating adopted</w:t>
      </w:r>
      <w:r w:rsidR="00D0676B">
        <w:t xml:space="preserve"> an existing Bayesian Approximation technique. The </w:t>
      </w:r>
      <w:r w:rsidR="00EE2E22">
        <w:t>Bayesian Approximation method had not previously been applied</w:t>
      </w:r>
      <w:r w:rsidR="00D0676B">
        <w:t xml:space="preserve"> to an individual patient CE model. </w:t>
      </w:r>
      <w:r>
        <w:t xml:space="preserve">The analysis from Chapter 8 illustrates that Health Economic analyses can be incorporated into clinical trial design process. However, the methods are computationally intensive and may not be feasible for complex individual patient simulation models. </w:t>
      </w:r>
    </w:p>
    <w:p w:rsidR="00FF7CDE" w:rsidRPr="00FF7CDE" w:rsidRDefault="00FF7CDE" w:rsidP="00FF7CDE">
      <w:r>
        <w:t xml:space="preserve">Chapter 9 summarizes the findings of the thesis and discusses their practical application in the pharmaceutical industry. This Chapter highlights the limitations of the method and reflects on areas of further research that are needed. </w:t>
      </w:r>
    </w:p>
    <w:p w:rsidR="0020040A" w:rsidRPr="00FF7CDE" w:rsidRDefault="0020040A">
      <w:pPr>
        <w:spacing w:after="0" w:afterAutospacing="0" w:line="240" w:lineRule="auto"/>
        <w:rPr>
          <w:b/>
          <w:bCs/>
          <w:caps/>
          <w:color w:val="000000" w:themeColor="text1"/>
          <w:spacing w:val="15"/>
          <w:sz w:val="24"/>
          <w:szCs w:val="24"/>
        </w:rPr>
      </w:pPr>
      <w:r w:rsidRPr="00FF7CDE">
        <w:br w:type="page"/>
      </w:r>
    </w:p>
    <w:p w:rsidR="002D772C" w:rsidRDefault="002D772C" w:rsidP="006425C6">
      <w:pPr>
        <w:pStyle w:val="Heading1"/>
      </w:pPr>
      <w:bookmarkStart w:id="48" w:name="_Toc379467549"/>
      <w:r>
        <w:t xml:space="preserve">Chapter 2: </w:t>
      </w:r>
      <w:bookmarkEnd w:id="2"/>
      <w:r w:rsidR="006425C6">
        <w:t>A Review of Randomised Controlled Trials in SLE</w:t>
      </w:r>
      <w:bookmarkEnd w:id="48"/>
      <w:r>
        <w:t xml:space="preserve"> </w:t>
      </w:r>
    </w:p>
    <w:p w:rsidR="002367E4" w:rsidRPr="002367E4" w:rsidRDefault="002367E4" w:rsidP="00597CF5">
      <w:pPr>
        <w:pStyle w:val="ListParagraph"/>
        <w:numPr>
          <w:ilvl w:val="0"/>
          <w:numId w:val="30"/>
        </w:numPr>
        <w:rPr>
          <w:sz w:val="16"/>
          <w:szCs w:val="16"/>
        </w:rPr>
      </w:pPr>
    </w:p>
    <w:p w:rsidR="009A00B2" w:rsidRDefault="009A00B2" w:rsidP="00C67DD2">
      <w:r w:rsidRPr="008B23E4">
        <w:t xml:space="preserve">The purpose of this chapter is to review clinical trials in </w:t>
      </w:r>
      <w:r>
        <w:t>Systemic Lupus Erythematosus (</w:t>
      </w:r>
      <w:r w:rsidRPr="008B23E4">
        <w:t>SLE</w:t>
      </w:r>
      <w:r>
        <w:t>)</w:t>
      </w:r>
      <w:r w:rsidRPr="008B23E4">
        <w:t xml:space="preserve"> </w:t>
      </w:r>
      <w:r w:rsidR="00C67DD2">
        <w:t>and their design features</w:t>
      </w:r>
      <w:r w:rsidRPr="008B23E4">
        <w:t>.</w:t>
      </w:r>
    </w:p>
    <w:p w:rsidR="00392091" w:rsidRDefault="00AE0160" w:rsidP="002E1550">
      <w:r>
        <w:t>V</w:t>
      </w:r>
      <w:r w:rsidR="00392091">
        <w:t>ery few SLE clinical trials have been successful</w:t>
      </w:r>
      <w:r w:rsidR="00E5556D">
        <w:t>. I</w:t>
      </w:r>
      <w:r w:rsidR="00392091">
        <w:t>t was important to learn from the design choices and outcomes of previous trials. I decided to conduct a</w:t>
      </w:r>
      <w:r w:rsidR="00392091" w:rsidRPr="008B23E4">
        <w:t xml:space="preserve"> </w:t>
      </w:r>
      <w:r w:rsidR="00392091">
        <w:t xml:space="preserve">literature </w:t>
      </w:r>
      <w:r w:rsidR="00392091" w:rsidRPr="008B23E4">
        <w:t xml:space="preserve">review of previous clinical trials </w:t>
      </w:r>
      <w:r w:rsidR="00E5556D">
        <w:t>and clinical trial guidelines in SLE</w:t>
      </w:r>
      <w:r w:rsidR="00392091" w:rsidRPr="008B23E4">
        <w:t xml:space="preserve">. </w:t>
      </w:r>
      <w:r w:rsidR="00392091">
        <w:t>The literature review would help to define the main characteristics of an SLE trial</w:t>
      </w:r>
      <w:r w:rsidR="002E1550">
        <w:t xml:space="preserve"> by observing the approximate sample size, duration of follow-up, inclusion criteria, primary endpoints, protocol for concomitant medications and adverse events in previous trials, and discussion of these features in guidelines</w:t>
      </w:r>
      <w:r w:rsidR="00392091">
        <w:t>.</w:t>
      </w:r>
      <w:r w:rsidR="00392091" w:rsidRPr="008B23E4">
        <w:t xml:space="preserve"> </w:t>
      </w:r>
      <w:r w:rsidR="00392091">
        <w:t xml:space="preserve">I hoped to identify what aspects of clinical trials in SLE </w:t>
      </w:r>
      <w:r w:rsidR="009554D6">
        <w:t>could be varied to improve data collection,</w:t>
      </w:r>
      <w:r w:rsidR="00392091">
        <w:t xml:space="preserve"> and could be </w:t>
      </w:r>
      <w:r w:rsidR="009554D6">
        <w:t>evaluated</w:t>
      </w:r>
      <w:r w:rsidR="00392091">
        <w:t xml:space="preserve"> with an analytical model.</w:t>
      </w:r>
    </w:p>
    <w:p w:rsidR="009A00B2" w:rsidRPr="00D25E96" w:rsidRDefault="006B33E3" w:rsidP="005037D4">
      <w:r>
        <w:t>S</w:t>
      </w:r>
      <w:r w:rsidR="009A00B2">
        <w:t xml:space="preserve">ection </w:t>
      </w:r>
      <w:r w:rsidR="00E729BA">
        <w:fldChar w:fldCharType="begin"/>
      </w:r>
      <w:r w:rsidR="009A00B2">
        <w:instrText xml:space="preserve"> REF _Ref332719199 \r \h </w:instrText>
      </w:r>
      <w:r w:rsidR="00E729BA">
        <w:fldChar w:fldCharType="separate"/>
      </w:r>
      <w:r w:rsidR="004911B7">
        <w:rPr>
          <w:cs/>
        </w:rPr>
        <w:t>‎</w:t>
      </w:r>
      <w:r w:rsidR="004911B7">
        <w:t>2.1</w:t>
      </w:r>
      <w:r w:rsidR="00E729BA">
        <w:fldChar w:fldCharType="end"/>
      </w:r>
      <w:r>
        <w:t xml:space="preserve"> describes</w:t>
      </w:r>
      <w:r w:rsidR="009A00B2">
        <w:t xml:space="preserve"> methods for literature identification and data extraction. Section </w:t>
      </w:r>
      <w:r w:rsidR="00E729BA">
        <w:fldChar w:fldCharType="begin"/>
      </w:r>
      <w:r w:rsidR="009A00B2">
        <w:instrText xml:space="preserve"> REF _Ref332720587 \r \h </w:instrText>
      </w:r>
      <w:r w:rsidR="00E729BA">
        <w:fldChar w:fldCharType="separate"/>
      </w:r>
      <w:r w:rsidR="004911B7">
        <w:rPr>
          <w:cs/>
        </w:rPr>
        <w:t>‎</w:t>
      </w:r>
      <w:r w:rsidR="004911B7">
        <w:t>2.2</w:t>
      </w:r>
      <w:r w:rsidR="00E729BA">
        <w:fldChar w:fldCharType="end"/>
      </w:r>
      <w:r w:rsidR="009A00B2">
        <w:t xml:space="preserve"> reports the results of the literature review, broken down into clinical trial features. The discussion in Section </w:t>
      </w:r>
      <w:r w:rsidR="00E729BA">
        <w:fldChar w:fldCharType="begin"/>
      </w:r>
      <w:r w:rsidR="00AE0160">
        <w:instrText xml:space="preserve"> REF _Ref362171713 \r \h </w:instrText>
      </w:r>
      <w:r w:rsidR="00E729BA">
        <w:fldChar w:fldCharType="separate"/>
      </w:r>
      <w:r w:rsidR="004911B7">
        <w:rPr>
          <w:cs/>
        </w:rPr>
        <w:t>‎</w:t>
      </w:r>
      <w:r w:rsidR="004911B7">
        <w:t>2.3</w:t>
      </w:r>
      <w:r w:rsidR="00E729BA">
        <w:fldChar w:fldCharType="end"/>
      </w:r>
      <w:r w:rsidR="009A00B2">
        <w:t xml:space="preserve"> considers what </w:t>
      </w:r>
      <w:r w:rsidR="00C67DD2">
        <w:t>clinical trial features are most relevant to investigate in this thesis</w:t>
      </w:r>
      <w:r w:rsidR="009A00B2">
        <w:t>. In the conclus</w:t>
      </w:r>
      <w:r>
        <w:t>ion</w:t>
      </w:r>
      <w:r w:rsidR="0075708C">
        <w:t>, Section</w:t>
      </w:r>
      <w:r w:rsidR="00AE0160">
        <w:t xml:space="preserve"> </w:t>
      </w:r>
      <w:r w:rsidR="00E729BA">
        <w:fldChar w:fldCharType="begin"/>
      </w:r>
      <w:r w:rsidR="00AE0160">
        <w:instrText xml:space="preserve"> REF _Ref362171697 \r \h </w:instrText>
      </w:r>
      <w:r w:rsidR="00E729BA">
        <w:fldChar w:fldCharType="separate"/>
      </w:r>
      <w:r w:rsidR="004911B7">
        <w:rPr>
          <w:cs/>
        </w:rPr>
        <w:t>‎</w:t>
      </w:r>
      <w:r w:rsidR="004911B7">
        <w:t>2.4</w:t>
      </w:r>
      <w:r w:rsidR="00E729BA">
        <w:fldChar w:fldCharType="end"/>
      </w:r>
      <w:r>
        <w:t>, possible analyses</w:t>
      </w:r>
      <w:r w:rsidR="009A00B2">
        <w:t xml:space="preserve"> for the PhD were identified. </w:t>
      </w:r>
    </w:p>
    <w:p w:rsidR="009A00B2" w:rsidRDefault="009A00B2" w:rsidP="009A00B2">
      <w:pPr>
        <w:pStyle w:val="Heading2"/>
      </w:pPr>
      <w:bookmarkStart w:id="49" w:name="_Ref332719199"/>
      <w:bookmarkStart w:id="50" w:name="_Toc332720559"/>
      <w:bookmarkStart w:id="51" w:name="_Toc379467550"/>
      <w:r>
        <w:t>Method</w:t>
      </w:r>
      <w:bookmarkEnd w:id="49"/>
      <w:bookmarkEnd w:id="50"/>
      <w:bookmarkEnd w:id="51"/>
    </w:p>
    <w:p w:rsidR="009A00B2" w:rsidRPr="00BF2C68" w:rsidRDefault="009A00B2" w:rsidP="009A00B2">
      <w:pPr>
        <w:pStyle w:val="Heading3"/>
      </w:pPr>
      <w:bookmarkStart w:id="52" w:name="_Toc332720560"/>
      <w:bookmarkStart w:id="53" w:name="_Ref376257669"/>
      <w:bookmarkStart w:id="54" w:name="_Toc379467551"/>
      <w:r>
        <w:t>Search Strategy</w:t>
      </w:r>
      <w:bookmarkEnd w:id="52"/>
      <w:bookmarkEnd w:id="53"/>
      <w:bookmarkEnd w:id="54"/>
    </w:p>
    <w:p w:rsidR="009A00B2" w:rsidRPr="0064227C" w:rsidRDefault="00257A05" w:rsidP="002E1550">
      <w:r>
        <w:t xml:space="preserve">A </w:t>
      </w:r>
      <w:r w:rsidRPr="0064227C">
        <w:t>literature</w:t>
      </w:r>
      <w:r w:rsidR="009A00B2" w:rsidRPr="0064227C">
        <w:t xml:space="preserve"> search was</w:t>
      </w:r>
      <w:r w:rsidR="009A00B2">
        <w:t xml:space="preserve"> </w:t>
      </w:r>
      <w:r w:rsidR="009A00B2" w:rsidRPr="0064227C">
        <w:t>performed</w:t>
      </w:r>
      <w:r w:rsidR="009A00B2" w:rsidRPr="00A07A23">
        <w:t xml:space="preserve"> </w:t>
      </w:r>
      <w:r w:rsidR="00C67DD2">
        <w:t xml:space="preserve">using Medline, an online database of clinical articles, </w:t>
      </w:r>
      <w:r w:rsidR="009A00B2" w:rsidRPr="0064227C">
        <w:t xml:space="preserve">to identify </w:t>
      </w:r>
      <w:r w:rsidR="00E55EB7">
        <w:t>randomised controlled trial (RCTs)</w:t>
      </w:r>
      <w:r w:rsidR="009A00B2" w:rsidRPr="0064227C">
        <w:t xml:space="preserve"> </w:t>
      </w:r>
      <w:r w:rsidR="009A00B2">
        <w:t>in SLE</w:t>
      </w:r>
      <w:r w:rsidR="009A00B2" w:rsidRPr="0064227C">
        <w:t>.</w:t>
      </w:r>
      <w:r w:rsidR="006B33E3">
        <w:t xml:space="preserve"> Professor David Isenberg, from</w:t>
      </w:r>
      <w:r w:rsidR="009A00B2">
        <w:t xml:space="preserve"> University College London</w:t>
      </w:r>
      <w:r>
        <w:t>, United Kingdom</w:t>
      </w:r>
      <w:r w:rsidR="009A00B2">
        <w:t xml:space="preserve"> specialising in SLE, was consulted</w:t>
      </w:r>
      <w:r w:rsidR="002E1550">
        <w:t xml:space="preserve"> (December 2009)</w:t>
      </w:r>
      <w:r w:rsidR="009A00B2">
        <w:t xml:space="preserve"> before and after the literature search to assist with the design of the search strategy and check that important</w:t>
      </w:r>
      <w:r w:rsidR="00C67DD2">
        <w:t xml:space="preserve"> SLE trials</w:t>
      </w:r>
      <w:r w:rsidR="009A00B2">
        <w:t xml:space="preserve"> had been identified.</w:t>
      </w:r>
      <w:r w:rsidR="009A00B2" w:rsidRPr="00E52552">
        <w:t xml:space="preserve"> </w:t>
      </w:r>
      <w:r w:rsidR="009A00B2">
        <w:t>Embase, and other online databases</w:t>
      </w:r>
      <w:r w:rsidR="00C67DD2">
        <w:t>,</w:t>
      </w:r>
      <w:r w:rsidR="009A00B2">
        <w:t xml:space="preserve"> were not searched in this review because the coverage of the search in Medline identified the most recent larg</w:t>
      </w:r>
      <w:r w:rsidR="006B33E3">
        <w:t>e multi-centre trials</w:t>
      </w:r>
      <w:r w:rsidR="009A00B2">
        <w:t>.</w:t>
      </w:r>
    </w:p>
    <w:p w:rsidR="009A00B2" w:rsidRPr="0064227C" w:rsidRDefault="009A00B2" w:rsidP="002E1550">
      <w:r w:rsidRPr="0064227C">
        <w:t xml:space="preserve">Search terms included a combination of free-text and </w:t>
      </w:r>
      <w:r>
        <w:t>MeSH</w:t>
      </w:r>
      <w:r w:rsidRPr="0064227C">
        <w:t xml:space="preserve"> terms.</w:t>
      </w:r>
      <w:r>
        <w:t xml:space="preserve"> </w:t>
      </w:r>
      <w:r w:rsidR="00912A6B">
        <w:t xml:space="preserve">Details of the search strategies are reported in Appendix </w:t>
      </w:r>
      <w:r w:rsidR="007F49FE">
        <w:t>3</w:t>
      </w:r>
      <w:r w:rsidR="00912A6B">
        <w:t xml:space="preserve">. </w:t>
      </w:r>
      <w:r>
        <w:t>Only s</w:t>
      </w:r>
      <w:r w:rsidRPr="0064227C">
        <w:t>tudies that were published</w:t>
      </w:r>
      <w:r>
        <w:t xml:space="preserve"> from January 1995</w:t>
      </w:r>
      <w:r w:rsidRPr="0064227C">
        <w:t xml:space="preserve"> </w:t>
      </w:r>
      <w:r>
        <w:t>to</w:t>
      </w:r>
      <w:r w:rsidRPr="0064227C">
        <w:t xml:space="preserve"> </w:t>
      </w:r>
      <w:r>
        <w:t xml:space="preserve">January 2010 were included in the search. </w:t>
      </w:r>
      <w:r w:rsidR="002E1550">
        <w:t>Professor Isenberg (December 2009)</w:t>
      </w:r>
      <w:r>
        <w:t xml:space="preserve"> did not think that excluding studies prior to 1995 would exclude any good quality </w:t>
      </w:r>
      <w:r w:rsidR="00E55EB7">
        <w:t>RCTs</w:t>
      </w:r>
      <w:r>
        <w:t xml:space="preserve"> in SLE</w:t>
      </w:r>
      <w:r w:rsidR="002E1550">
        <w:t xml:space="preserve"> that would contribute additional information that had not already been incorporated into the guidelines for trial design</w:t>
      </w:r>
      <w:r w:rsidRPr="0064227C">
        <w:t>.</w:t>
      </w:r>
      <w:r w:rsidR="002E1550">
        <w:t xml:space="preserve"> </w:t>
      </w:r>
      <w:r>
        <w:t>The search was repeated on the 21</w:t>
      </w:r>
      <w:r w:rsidRPr="00F26223">
        <w:rPr>
          <w:vertAlign w:val="superscript"/>
        </w:rPr>
        <w:t>st</w:t>
      </w:r>
      <w:r>
        <w:t xml:space="preserve"> February 2012 to update the literature review with more recent RCTs.</w:t>
      </w:r>
      <w:r w:rsidRPr="0064227C">
        <w:t xml:space="preserve"> </w:t>
      </w:r>
      <w:r>
        <w:t xml:space="preserve">All references were exported to Reference Manager 11.0 for application of the inclusion/exclusion criteria. </w:t>
      </w:r>
    </w:p>
    <w:p w:rsidR="009A00B2" w:rsidRPr="0064227C" w:rsidRDefault="00E55EB7" w:rsidP="00E55EB7">
      <w:r>
        <w:t xml:space="preserve">Identification </w:t>
      </w:r>
      <w:r w:rsidR="009A00B2">
        <w:t>of</w:t>
      </w:r>
      <w:r w:rsidR="009A00B2" w:rsidRPr="0064227C">
        <w:t xml:space="preserve"> citation</w:t>
      </w:r>
      <w:r w:rsidR="009A00B2">
        <w:t>s</w:t>
      </w:r>
      <w:r w:rsidR="009A00B2" w:rsidRPr="0064227C">
        <w:t xml:space="preserve"> was based on title and abstract</w:t>
      </w:r>
      <w:r w:rsidR="009A00B2">
        <w:t xml:space="preserve"> review </w:t>
      </w:r>
      <w:r w:rsidR="00C67DD2">
        <w:t>according to the pre-</w:t>
      </w:r>
      <w:r w:rsidR="009A00B2" w:rsidRPr="0064227C">
        <w:t>defined sel</w:t>
      </w:r>
      <w:r w:rsidR="009A00B2">
        <w:t>ection criteria</w:t>
      </w:r>
      <w:r w:rsidR="009A00B2" w:rsidRPr="0064227C">
        <w:t xml:space="preserve">. The final </w:t>
      </w:r>
      <w:r w:rsidR="009A00B2">
        <w:t>inclusion criteria for the studies were as follows</w:t>
      </w:r>
      <w:r w:rsidR="009A00B2" w:rsidRPr="0064227C">
        <w:t>.</w:t>
      </w:r>
    </w:p>
    <w:p w:rsidR="009A00B2" w:rsidRPr="002A301C" w:rsidRDefault="009A00B2" w:rsidP="002A0F3D">
      <w:pPr>
        <w:pStyle w:val="ListParagraph"/>
        <w:numPr>
          <w:ilvl w:val="0"/>
          <w:numId w:val="8"/>
        </w:numPr>
      </w:pPr>
      <w:r w:rsidRPr="00BF2C68">
        <w:rPr>
          <w:b/>
          <w:bCs/>
        </w:rPr>
        <w:t xml:space="preserve">Study design. </w:t>
      </w:r>
      <w:r w:rsidRPr="002A301C">
        <w:t>Randomised controlled trial</w:t>
      </w:r>
      <w:r>
        <w:t>s</w:t>
      </w:r>
    </w:p>
    <w:p w:rsidR="009A00B2" w:rsidRDefault="009A00B2" w:rsidP="002A0F3D">
      <w:pPr>
        <w:pStyle w:val="ListParagraph"/>
        <w:numPr>
          <w:ilvl w:val="0"/>
          <w:numId w:val="8"/>
        </w:numPr>
      </w:pPr>
      <w:r w:rsidRPr="00BF2C68">
        <w:rPr>
          <w:b/>
          <w:bCs/>
        </w:rPr>
        <w:t xml:space="preserve">Patients. </w:t>
      </w:r>
      <w:r w:rsidRPr="00A07A23">
        <w:t>An A</w:t>
      </w:r>
      <w:r>
        <w:t xml:space="preserve">merican </w:t>
      </w:r>
      <w:r w:rsidRPr="00A07A23">
        <w:t>C</w:t>
      </w:r>
      <w:r>
        <w:t xml:space="preserve">ollege of </w:t>
      </w:r>
      <w:r w:rsidRPr="00A07A23">
        <w:t>R</w:t>
      </w:r>
      <w:r>
        <w:t>heumatology (ACR)</w:t>
      </w:r>
      <w:r w:rsidRPr="00A07A23">
        <w:t xml:space="preserve"> diagnosis</w:t>
      </w:r>
      <w:r w:rsidR="004D7951">
        <w:t xml:space="preserve"> of</w:t>
      </w:r>
      <w:r w:rsidRPr="00A07A23">
        <w:t xml:space="preserve"> </w:t>
      </w:r>
      <w:r>
        <w:t xml:space="preserve">SLE, </w:t>
      </w:r>
      <w:r w:rsidRPr="00A07A23">
        <w:t>adult</w:t>
      </w:r>
      <w:r>
        <w:t>s</w:t>
      </w:r>
      <w:r w:rsidRPr="00A07A23">
        <w:t>.</w:t>
      </w:r>
      <w:r>
        <w:t xml:space="preserve"> </w:t>
      </w:r>
    </w:p>
    <w:p w:rsidR="009A00B2" w:rsidRPr="00A07A23" w:rsidRDefault="009A00B2" w:rsidP="002A0F3D">
      <w:pPr>
        <w:pStyle w:val="ListParagraph"/>
        <w:numPr>
          <w:ilvl w:val="0"/>
          <w:numId w:val="8"/>
        </w:numPr>
      </w:pPr>
      <w:r w:rsidRPr="00BF2C68">
        <w:rPr>
          <w:b/>
          <w:bCs/>
        </w:rPr>
        <w:t xml:space="preserve">Interventions. </w:t>
      </w:r>
      <w:r w:rsidR="00C67DD2">
        <w:t>P</w:t>
      </w:r>
      <w:r w:rsidRPr="00A07A23">
        <w:t>harmacological interventions for SL</w:t>
      </w:r>
      <w:r>
        <w:t xml:space="preserve">E. </w:t>
      </w:r>
    </w:p>
    <w:p w:rsidR="009A00B2" w:rsidRPr="002A301C" w:rsidRDefault="009A00B2" w:rsidP="00E55EB7">
      <w:pPr>
        <w:pStyle w:val="ListParagraph"/>
        <w:numPr>
          <w:ilvl w:val="0"/>
          <w:numId w:val="8"/>
        </w:numPr>
      </w:pPr>
      <w:r w:rsidRPr="00BF2C68">
        <w:rPr>
          <w:b/>
          <w:bCs/>
        </w:rPr>
        <w:t xml:space="preserve">Outcome measures. </w:t>
      </w:r>
      <w:r w:rsidRPr="002A301C">
        <w:t xml:space="preserve">Outcomes of interest were disease activity </w:t>
      </w:r>
      <w:r w:rsidR="00E55EB7">
        <w:t>indices</w:t>
      </w:r>
      <w:r w:rsidRPr="002A301C">
        <w:t xml:space="preserve"> (</w:t>
      </w:r>
      <w:r w:rsidR="00E55EB7">
        <w:t xml:space="preserve">i.e. </w:t>
      </w:r>
      <w:r w:rsidRPr="002A301C">
        <w:t>SLEDAI, BILAG), SLICC/ACR Damage Index, Physicians Global Assessment, Response, remission, flare, Anti-DNA, anti-dsDNA, serum creatinine, proteinuria</w:t>
      </w:r>
      <w:r>
        <w:t xml:space="preserve">. Other autoantibodies, genetic, and immunological outcomes were excluded from the review. </w:t>
      </w:r>
    </w:p>
    <w:p w:rsidR="009A00B2" w:rsidRDefault="009A00B2" w:rsidP="002A0F3D">
      <w:pPr>
        <w:pStyle w:val="ListParagraph"/>
        <w:numPr>
          <w:ilvl w:val="0"/>
          <w:numId w:val="8"/>
        </w:numPr>
      </w:pPr>
      <w:r w:rsidRPr="00BF2C68">
        <w:rPr>
          <w:b/>
          <w:bCs/>
        </w:rPr>
        <w:t xml:space="preserve">Language. </w:t>
      </w:r>
      <w:r w:rsidRPr="002A301C">
        <w:t>Full-published reports in English were considered.</w:t>
      </w:r>
    </w:p>
    <w:p w:rsidR="002E1550" w:rsidRDefault="002E1550" w:rsidP="002E1550">
      <w:r>
        <w:t xml:space="preserve">Studies of autoantibodies, genetics, and immunological outcomes were excluded for pragmatic reasons due to the breadth of outcomes that have been associated with SLE without clear causation </w:t>
      </w:r>
      <w:r w:rsidR="00E729BA">
        <w:fldChar w:fldCharType="begin"/>
      </w:r>
      <w:r w:rsidR="00FC61FD">
        <w:instrText xml:space="preserve"> ADDIN REFMGR.CITE &lt;Refman&gt;&lt;Cite&gt;&lt;Author&gt;Sousa&lt;/Author&gt;&lt;Year&gt;2009&lt;/Year&gt;&lt;RecNum&gt;13&lt;/RecNum&gt;&lt;IDText&gt;Treating lupus: from serendipity to sense, the rise of the new biologicals and other emerging therapies&lt;/IDText&gt;&lt;MDL Ref_Type="Journal"&gt;&lt;Ref_Type&gt;Journal&lt;/Ref_Type&gt;&lt;Ref_ID&gt;13&lt;/Ref_ID&gt;&lt;Title_Primary&gt;Treating lupus: from serendipity to sense, the rise of the new biologicals and other emerging therapies&lt;/Title_Primary&gt;&lt;Authors_Primary&gt;Sousa,E.&lt;/Authors_Primary&gt;&lt;Authors_Primary&gt;Isenberg,D.&lt;/Authors_Primary&gt;&lt;Date_Primary&gt;2009/8&lt;/Date_Primary&gt;&lt;Keywords&gt;Antibodies,Monoclonal&lt;/Keywords&gt;&lt;Keywords&gt;Antigens,CD22&lt;/Keywords&gt;&lt;Keywords&gt;Antigens,CD40&lt;/Keywords&gt;&lt;Keywords&gt;B-Lymphocytes&lt;/Keywords&gt;&lt;Keywords&gt;Drug Design&lt;/Keywords&gt;&lt;Keywords&gt;drug therapy&lt;/Keywords&gt;&lt;Keywords&gt;Humans&lt;/Keywords&gt;&lt;Keywords&gt;Immunologic Factors&lt;/Keywords&gt;&lt;Keywords&gt;immunology&lt;/Keywords&gt;&lt;Keywords&gt;Immunosuppressive Agents&lt;/Keywords&gt;&lt;Keywords&gt;Lupus Erythematosus,Systemic&lt;/Keywords&gt;&lt;Keywords&gt;therapeutic use&lt;/Keywords&gt;&lt;Keywords&gt;therapy&lt;/Keywords&gt;&lt;Reprint&gt;Not in File&lt;/Reprint&gt;&lt;Start_Page&gt;563&lt;/Start_Page&gt;&lt;End_Page&gt;574&lt;/End_Page&gt;&lt;Periodical&gt;Best.Pract.Res.Clin.Rheumatol.&lt;/Periodical&gt;&lt;Volume&gt;23&lt;/Volume&gt;&lt;Issue&gt;4&lt;/Issue&gt;&lt;ZZ_JournalStdAbbrev&gt;&lt;f name="System"&gt;Best.Pract.Res.Clin.Rheumatol.&lt;/f&gt;&lt;/ZZ_JournalStdAbbrev&gt;&lt;ZZ_WorkformID&gt;1&lt;/ZZ_WorkformID&gt;&lt;/MDL&gt;&lt;/Cite&gt;&lt;/Refman&gt;</w:instrText>
      </w:r>
      <w:r w:rsidR="00E729BA">
        <w:fldChar w:fldCharType="separate"/>
      </w:r>
      <w:r w:rsidR="00F12F58">
        <w:t>(59)</w:t>
      </w:r>
      <w:r w:rsidR="00E729BA">
        <w:fldChar w:fldCharType="end"/>
      </w:r>
      <w:r>
        <w:t>. Therefore, it was not feasible to include all of these physiological processes into the study.</w:t>
      </w:r>
    </w:p>
    <w:p w:rsidR="009A00B2" w:rsidRDefault="009A00B2" w:rsidP="00E55EB7">
      <w:r>
        <w:t>F</w:t>
      </w:r>
      <w:r w:rsidRPr="0064227C">
        <w:t>ull text reports were obtained</w:t>
      </w:r>
      <w:r>
        <w:t xml:space="preserve"> for the abstracts that met the inclusion criteria</w:t>
      </w:r>
      <w:r w:rsidRPr="0064227C">
        <w:t>.</w:t>
      </w:r>
      <w:r w:rsidRPr="004B3EA8">
        <w:t xml:space="preserve"> </w:t>
      </w:r>
      <w:r w:rsidR="006B33E3">
        <w:t>I decided to exclude articles</w:t>
      </w:r>
      <w:r>
        <w:t xml:space="preserve"> that described clinical trials in Lupus Nephritis </w:t>
      </w:r>
      <w:r w:rsidR="006B33E3">
        <w:t>or Cutaneous Lupus patients. I</w:t>
      </w:r>
      <w:r>
        <w:t>t was clear</w:t>
      </w:r>
      <w:r w:rsidR="006B33E3">
        <w:t xml:space="preserve"> from the full text reports</w:t>
      </w:r>
      <w:r>
        <w:t xml:space="preserve"> that the </w:t>
      </w:r>
      <w:r w:rsidR="006B33E3">
        <w:t>design of these trials was</w:t>
      </w:r>
      <w:r>
        <w:t xml:space="preserve"> different to a</w:t>
      </w:r>
      <w:r w:rsidR="00C67DD2">
        <w:t>n</w:t>
      </w:r>
      <w:r>
        <w:t xml:space="preserve"> SLE population</w:t>
      </w:r>
      <w:r w:rsidR="00C67DD2">
        <w:t xml:space="preserve"> because t</w:t>
      </w:r>
      <w:r>
        <w:t>he primary endpoint</w:t>
      </w:r>
      <w:r w:rsidR="00C67DD2">
        <w:t>s</w:t>
      </w:r>
      <w:r>
        <w:t xml:space="preserve"> observe response criteria within individual organ systems. In contrast</w:t>
      </w:r>
      <w:r w:rsidR="00912A6B">
        <w:t>,</w:t>
      </w:r>
      <w:r>
        <w:t xml:space="preserve"> a</w:t>
      </w:r>
      <w:r w:rsidR="004D7951">
        <w:t>n</w:t>
      </w:r>
      <w:r>
        <w:t xml:space="preserve"> SLE trial aims to observe treatment effect across </w:t>
      </w:r>
      <w:r w:rsidR="00E55EB7">
        <w:t>multiple</w:t>
      </w:r>
      <w:r>
        <w:t xml:space="preserve"> </w:t>
      </w:r>
      <w:r w:rsidR="00912A6B">
        <w:t>organ systems</w:t>
      </w:r>
      <w:r>
        <w:t xml:space="preserve">. </w:t>
      </w:r>
    </w:p>
    <w:p w:rsidR="009A00B2" w:rsidRPr="009B02C4" w:rsidRDefault="009A00B2" w:rsidP="004D7951">
      <w:r>
        <w:t>A separate search was conducted to identify guidelines f</w:t>
      </w:r>
      <w:r w:rsidR="006B33E3">
        <w:t>or clinical trials in SLE. G</w:t>
      </w:r>
      <w:r>
        <w:t>uidelines published by national and</w:t>
      </w:r>
      <w:r w:rsidR="006B33E3">
        <w:t xml:space="preserve"> international</w:t>
      </w:r>
      <w:r>
        <w:t xml:space="preserve"> agencies we</w:t>
      </w:r>
      <w:r w:rsidR="006B33E3">
        <w:t>re</w:t>
      </w:r>
      <w:r>
        <w:t xml:space="preserve"> included in the review. A free text search in Medline using the search terms ((“recommendation” OR “Endpoints” OR “guidelines” OR “EULAR” OR “ACR” OR “OMERACT”) AND “Clinical trials” AND “Systemic Lupus Erythematosus”) was conducted to identify guidelines. Additional </w:t>
      </w:r>
      <w:r w:rsidR="00C67DD2">
        <w:t>grey literature searches w</w:t>
      </w:r>
      <w:r w:rsidR="006B33E3">
        <w:t>ere conducted by searching</w:t>
      </w:r>
      <w:r>
        <w:t xml:space="preserve"> the United States Food and Drugs Administration (FDA), the European Medicines Agency (EMA), and the American College of Rheumatology (ACR)</w:t>
      </w:r>
      <w:r w:rsidRPr="004422BC">
        <w:t xml:space="preserve"> </w:t>
      </w:r>
      <w:r>
        <w:t xml:space="preserve">websites. </w:t>
      </w:r>
    </w:p>
    <w:p w:rsidR="009A00B2" w:rsidRPr="00D840F7" w:rsidRDefault="009A00B2" w:rsidP="00236C8F">
      <w:pPr>
        <w:pStyle w:val="Heading3"/>
      </w:pPr>
      <w:bookmarkStart w:id="55" w:name="_Toc332720561"/>
      <w:bookmarkStart w:id="56" w:name="_Toc379467552"/>
      <w:r w:rsidRPr="00D840F7">
        <w:t xml:space="preserve">Data </w:t>
      </w:r>
      <w:r w:rsidR="00236C8F">
        <w:t>E</w:t>
      </w:r>
      <w:r w:rsidRPr="00D840F7">
        <w:t>xtraction</w:t>
      </w:r>
      <w:bookmarkEnd w:id="55"/>
      <w:bookmarkEnd w:id="56"/>
    </w:p>
    <w:p w:rsidR="009A00B2" w:rsidRDefault="009A00B2" w:rsidP="009A00B2">
      <w:r w:rsidRPr="0007517D">
        <w:t xml:space="preserve">For each </w:t>
      </w:r>
      <w:r>
        <w:t>published clinical trial</w:t>
      </w:r>
      <w:r w:rsidRPr="0007517D">
        <w:t xml:space="preserve">, </w:t>
      </w:r>
      <w:r>
        <w:t>trial inclusion</w:t>
      </w:r>
      <w:r w:rsidRPr="0007517D">
        <w:t xml:space="preserve"> criteria</w:t>
      </w:r>
      <w:r>
        <w:t>, sample size and power calculations</w:t>
      </w:r>
      <w:r w:rsidRPr="0007517D">
        <w:t>,</w:t>
      </w:r>
      <w:r>
        <w:t xml:space="preserve"> </w:t>
      </w:r>
      <w:r w:rsidRPr="0007517D">
        <w:t xml:space="preserve">interventions, </w:t>
      </w:r>
      <w:r>
        <w:t>primary endpoints</w:t>
      </w:r>
      <w:r w:rsidRPr="0007517D">
        <w:t>, length of follow-up, and results were extracted and recorded onto</w:t>
      </w:r>
      <w:r>
        <w:t xml:space="preserve"> a data extraction form</w:t>
      </w:r>
      <w:r w:rsidRPr="0007517D">
        <w:t xml:space="preserve">. </w:t>
      </w:r>
      <w:r>
        <w:t>Serious adverse events, infections and discontinuation data were extracted.</w:t>
      </w:r>
    </w:p>
    <w:p w:rsidR="00957BD5" w:rsidRDefault="00C67DD2" w:rsidP="00AE0160">
      <w:r>
        <w:t xml:space="preserve">A description of SLE </w:t>
      </w:r>
      <w:r w:rsidR="00C76C92">
        <w:t>sample size, duration of follow-up, inclusion criteria, concomitant medications, endpoints, and adverse events was extracted</w:t>
      </w:r>
      <w:r>
        <w:t xml:space="preserve"> based on findings from the RCT search and guidelines</w:t>
      </w:r>
      <w:r w:rsidR="00C76C92">
        <w:t>.</w:t>
      </w:r>
      <w:r>
        <w:t xml:space="preserve"> </w:t>
      </w:r>
    </w:p>
    <w:p w:rsidR="009A00B2" w:rsidRPr="00EB0286" w:rsidRDefault="009A00B2" w:rsidP="00EB0286">
      <w:pPr>
        <w:pStyle w:val="Heading2"/>
        <w:rPr>
          <w:rStyle w:val="Emphasis"/>
          <w:spacing w:val="15"/>
          <w:sz w:val="22"/>
        </w:rPr>
      </w:pPr>
      <w:bookmarkStart w:id="57" w:name="_Toc332720562"/>
      <w:bookmarkStart w:id="58" w:name="_Ref332720587"/>
      <w:bookmarkStart w:id="59" w:name="_Toc379467553"/>
      <w:r w:rsidRPr="00EB0286">
        <w:rPr>
          <w:rStyle w:val="Emphasis"/>
          <w:spacing w:val="15"/>
          <w:sz w:val="22"/>
        </w:rPr>
        <w:t>Clinical Trials in SLE Results</w:t>
      </w:r>
      <w:bookmarkEnd w:id="57"/>
      <w:bookmarkEnd w:id="58"/>
      <w:bookmarkEnd w:id="59"/>
    </w:p>
    <w:p w:rsidR="009A00B2" w:rsidRDefault="009A00B2" w:rsidP="00F12F58">
      <w:r>
        <w:t xml:space="preserve">In the </w:t>
      </w:r>
      <w:r w:rsidR="008912D1">
        <w:t>initial</w:t>
      </w:r>
      <w:r>
        <w:t xml:space="preserve"> search a total of </w:t>
      </w:r>
      <w:r w:rsidR="008912D1">
        <w:t>ninety-nine</w:t>
      </w:r>
      <w:r>
        <w:t xml:space="preserve"> records were identified in </w:t>
      </w:r>
      <w:r w:rsidR="00C67DD2">
        <w:t>Medline</w:t>
      </w:r>
      <w:r>
        <w:t xml:space="preserve">. These </w:t>
      </w:r>
      <w:r w:rsidR="008912D1">
        <w:t>ninety-nine</w:t>
      </w:r>
      <w:r>
        <w:t xml:space="preserve"> records were screened and</w:t>
      </w:r>
      <w:r w:rsidR="008912D1">
        <w:t xml:space="preserve"> twenty-three</w:t>
      </w:r>
      <w:r>
        <w:t xml:space="preserve"> studies reported the results of an RCT in an adult population. Ten studies </w:t>
      </w:r>
      <w:r w:rsidR="00C67DD2">
        <w:t>were included in the review</w:t>
      </w:r>
      <w:r>
        <w:t xml:space="preserve">, whereas the other </w:t>
      </w:r>
      <w:r w:rsidR="008912D1">
        <w:t>thirteen</w:t>
      </w:r>
      <w:r>
        <w:t xml:space="preserve"> reported the results of RCTs in Lupus Nephritis or Cutaneous Lupus. The updated search conducted on 21 February 2012 identified a further </w:t>
      </w:r>
      <w:r w:rsidR="008912D1">
        <w:t>twenty-three</w:t>
      </w:r>
      <w:r>
        <w:t xml:space="preserve"> studies. </w:t>
      </w:r>
      <w:r w:rsidR="00F12F58">
        <w:t>F</w:t>
      </w:r>
      <w:r w:rsidR="008912D1">
        <w:t>ourteen</w:t>
      </w:r>
      <w:r>
        <w:t xml:space="preserve"> were found to report the results of</w:t>
      </w:r>
      <w:r w:rsidR="004D7951">
        <w:t xml:space="preserve"> an</w:t>
      </w:r>
      <w:r>
        <w:t xml:space="preserve"> RCT in </w:t>
      </w:r>
      <w:r w:rsidR="00F12F58">
        <w:t xml:space="preserve">patients with </w:t>
      </w:r>
      <w:r>
        <w:t xml:space="preserve">SLE </w:t>
      </w:r>
      <w:r w:rsidR="002E1550">
        <w:t xml:space="preserve">of which </w:t>
      </w:r>
      <w:r w:rsidR="008912D1">
        <w:t>eight</w:t>
      </w:r>
      <w:r>
        <w:t xml:space="preserve"> were exclude</w:t>
      </w:r>
      <w:r w:rsidR="00C67DD2">
        <w:t>d because they studied a Lupus N</w:t>
      </w:r>
      <w:r>
        <w:t>ephritis popu</w:t>
      </w:r>
      <w:r w:rsidR="00C67DD2">
        <w:t xml:space="preserve">lation. A total of </w:t>
      </w:r>
      <w:r w:rsidR="008912D1">
        <w:t>sixteen</w:t>
      </w:r>
      <w:r w:rsidR="00C67DD2">
        <w:t xml:space="preserve"> </w:t>
      </w:r>
      <w:r w:rsidR="00AE0160">
        <w:t>articles</w:t>
      </w:r>
      <w:r w:rsidR="00C67DD2">
        <w:t xml:space="preserve"> in an </w:t>
      </w:r>
      <w:r>
        <w:t>SLE population were identified</w:t>
      </w:r>
      <w:r w:rsidR="00AE0160">
        <w:t xml:space="preserve"> describing fifteen RCTs</w:t>
      </w:r>
      <w:r>
        <w:t xml:space="preserve">. </w:t>
      </w:r>
      <w:r w:rsidR="00E729BA">
        <w:fldChar w:fldCharType="begin"/>
      </w:r>
      <w:r>
        <w:instrText xml:space="preserve"> REF _Ref337129569 \h </w:instrText>
      </w:r>
      <w:r w:rsidR="00E729BA">
        <w:fldChar w:fldCharType="separate"/>
      </w:r>
      <w:r w:rsidR="004911B7">
        <w:t xml:space="preserve">Figure </w:t>
      </w:r>
      <w:r w:rsidR="004911B7">
        <w:rPr>
          <w:noProof/>
        </w:rPr>
        <w:t>3</w:t>
      </w:r>
      <w:r w:rsidR="00E729BA">
        <w:fldChar w:fldCharType="end"/>
      </w:r>
      <w:r>
        <w:t xml:space="preserve"> details the process of identifying the literature.</w:t>
      </w:r>
      <w:r w:rsidRPr="00420B54">
        <w:t xml:space="preserve"> </w:t>
      </w:r>
    </w:p>
    <w:p w:rsidR="009A00B2" w:rsidRDefault="009A00B2" w:rsidP="00234693">
      <w:pPr>
        <w:pStyle w:val="Caption"/>
      </w:pPr>
      <w:bookmarkStart w:id="60" w:name="_Ref337129569"/>
      <w:r>
        <w:t xml:space="preserve">Figure </w:t>
      </w:r>
      <w:r w:rsidR="00E729BA">
        <w:fldChar w:fldCharType="begin"/>
      </w:r>
      <w:r w:rsidR="000B0EDB">
        <w:instrText xml:space="preserve"> SEQ Figure \* ARABIC </w:instrText>
      </w:r>
      <w:r w:rsidR="00E729BA">
        <w:fldChar w:fldCharType="separate"/>
      </w:r>
      <w:r w:rsidR="004911B7">
        <w:rPr>
          <w:noProof/>
        </w:rPr>
        <w:t>3</w:t>
      </w:r>
      <w:r w:rsidR="00E729BA">
        <w:fldChar w:fldCharType="end"/>
      </w:r>
      <w:bookmarkEnd w:id="60"/>
      <w:r>
        <w:rPr>
          <w:noProof/>
        </w:rPr>
        <w:t>: CONSORT diagram for identification of RCT trials in SLE</w:t>
      </w:r>
    </w:p>
    <w:p w:rsidR="009A00B2" w:rsidRDefault="00C67DD2" w:rsidP="00C67DD2">
      <w:r w:rsidRPr="00C67DD2">
        <w:rPr>
          <w:noProof/>
          <w:lang w:eastAsia="zh-CN" w:bidi="ar-SA"/>
        </w:rPr>
        <w:drawing>
          <wp:inline distT="0" distB="0" distL="0" distR="0">
            <wp:extent cx="4238625" cy="3229429"/>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238625" cy="3229429"/>
                    </a:xfrm>
                    <a:prstGeom prst="rect">
                      <a:avLst/>
                    </a:prstGeom>
                    <a:noFill/>
                    <a:ln w="9525">
                      <a:noFill/>
                      <a:miter lim="800000"/>
                      <a:headEnd/>
                      <a:tailEnd/>
                    </a:ln>
                  </pic:spPr>
                </pic:pic>
              </a:graphicData>
            </a:graphic>
          </wp:inline>
        </w:drawing>
      </w:r>
    </w:p>
    <w:p w:rsidR="009A00B2" w:rsidRDefault="009A00B2" w:rsidP="000F6DFC">
      <w:r>
        <w:t>The trial characteristics are summarised in</w:t>
      </w:r>
      <w:r w:rsidR="000F6DFC">
        <w:t xml:space="preserve"> </w:t>
      </w:r>
      <w:r w:rsidR="00E729BA">
        <w:fldChar w:fldCharType="begin"/>
      </w:r>
      <w:r w:rsidR="000F6DFC">
        <w:instrText xml:space="preserve"> REF _Ref364923716 \h </w:instrText>
      </w:r>
      <w:r w:rsidR="00E729BA">
        <w:fldChar w:fldCharType="separate"/>
      </w:r>
      <w:r w:rsidR="004911B7">
        <w:t xml:space="preserve">Table </w:t>
      </w:r>
      <w:r w:rsidR="004911B7">
        <w:rPr>
          <w:noProof/>
        </w:rPr>
        <w:t>2</w:t>
      </w:r>
      <w:r w:rsidR="00E729BA">
        <w:fldChar w:fldCharType="end"/>
      </w:r>
      <w:r>
        <w:t xml:space="preserve">. The search identified clinical trials from different stages of treatment development. Four of the studies were Phase III, one Phase II/III, and three Phase II trials. </w:t>
      </w:r>
      <w:r w:rsidR="00117265">
        <w:t>Eight</w:t>
      </w:r>
      <w:r>
        <w:t xml:space="preserve"> were exploratory studies with small sample sizes.  </w:t>
      </w:r>
    </w:p>
    <w:p w:rsidR="009A00B2" w:rsidRDefault="009A00B2" w:rsidP="009A00B2">
      <w:pPr>
        <w:sectPr w:rsidR="009A00B2" w:rsidSect="00B97965">
          <w:pgSz w:w="11906" w:h="16838"/>
          <w:pgMar w:top="1440" w:right="1440" w:bottom="1440" w:left="2268" w:header="708" w:footer="708" w:gutter="0"/>
          <w:pgNumType w:start="1"/>
          <w:cols w:space="708"/>
          <w:docGrid w:linePitch="360"/>
        </w:sectPr>
      </w:pPr>
    </w:p>
    <w:p w:rsidR="008731E8" w:rsidRDefault="008731E8" w:rsidP="00234693">
      <w:pPr>
        <w:pStyle w:val="Caption"/>
      </w:pPr>
      <w:bookmarkStart w:id="61" w:name="_Ref345089206"/>
    </w:p>
    <w:p w:rsidR="009A00B2" w:rsidRDefault="009A00B2" w:rsidP="00234693">
      <w:pPr>
        <w:pStyle w:val="Caption"/>
      </w:pPr>
      <w:bookmarkStart w:id="62" w:name="_Ref364923716"/>
      <w:r>
        <w:t xml:space="preserve">Table </w:t>
      </w:r>
      <w:fldSimple w:instr=" SEQ Table \* ARABIC ">
        <w:r w:rsidR="004911B7">
          <w:rPr>
            <w:noProof/>
          </w:rPr>
          <w:t>2</w:t>
        </w:r>
      </w:fldSimple>
      <w:bookmarkEnd w:id="61"/>
      <w:bookmarkEnd w:id="62"/>
      <w:r>
        <w:t>: Summary of trial design in disease activity trials</w:t>
      </w:r>
    </w:p>
    <w:tbl>
      <w:tblPr>
        <w:tblW w:w="13818" w:type="dxa"/>
        <w:tblBorders>
          <w:top w:val="single" w:sz="12" w:space="0" w:color="auto"/>
          <w:bottom w:val="single" w:sz="12" w:space="0" w:color="auto"/>
        </w:tblBorders>
        <w:tblLayout w:type="fixed"/>
        <w:tblCellMar>
          <w:left w:w="28" w:type="dxa"/>
          <w:right w:w="28" w:type="dxa"/>
        </w:tblCellMar>
        <w:tblLook w:val="04A0"/>
      </w:tblPr>
      <w:tblGrid>
        <w:gridCol w:w="759"/>
        <w:gridCol w:w="403"/>
        <w:gridCol w:w="709"/>
        <w:gridCol w:w="567"/>
        <w:gridCol w:w="1559"/>
        <w:gridCol w:w="3119"/>
        <w:gridCol w:w="2693"/>
        <w:gridCol w:w="2324"/>
        <w:gridCol w:w="842"/>
        <w:gridCol w:w="378"/>
        <w:gridCol w:w="465"/>
      </w:tblGrid>
      <w:tr w:rsidR="002E1550" w:rsidRPr="00EB6B44" w:rsidTr="002E1550">
        <w:trPr>
          <w:trHeight w:val="20"/>
        </w:trPr>
        <w:tc>
          <w:tcPr>
            <w:tcW w:w="759"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Author</w:t>
            </w:r>
          </w:p>
        </w:tc>
        <w:tc>
          <w:tcPr>
            <w:tcW w:w="403"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Date</w:t>
            </w:r>
          </w:p>
        </w:tc>
        <w:tc>
          <w:tcPr>
            <w:tcW w:w="709"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aps w:val="0"/>
                <w:color w:val="auto"/>
                <w:sz w:val="16"/>
                <w:szCs w:val="16"/>
              </w:rPr>
            </w:pPr>
            <w:r>
              <w:rPr>
                <w:rStyle w:val="IntenseEmphasis"/>
                <w:b w:val="0"/>
                <w:bCs w:val="0"/>
                <w:caps w:val="0"/>
                <w:color w:val="auto"/>
                <w:sz w:val="16"/>
                <w:szCs w:val="16"/>
              </w:rPr>
              <w:t>Funding</w:t>
            </w:r>
          </w:p>
        </w:tc>
        <w:tc>
          <w:tcPr>
            <w:tcW w:w="567"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aps w:val="0"/>
                <w:color w:val="auto"/>
                <w:sz w:val="16"/>
                <w:szCs w:val="16"/>
              </w:rPr>
            </w:pPr>
            <w:r>
              <w:rPr>
                <w:rStyle w:val="IntenseEmphasis"/>
                <w:b w:val="0"/>
                <w:bCs w:val="0"/>
                <w:caps w:val="0"/>
                <w:color w:val="auto"/>
                <w:sz w:val="16"/>
                <w:szCs w:val="16"/>
              </w:rPr>
              <w:t>Phase</w:t>
            </w:r>
          </w:p>
        </w:tc>
        <w:tc>
          <w:tcPr>
            <w:tcW w:w="1559"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Treatments</w:t>
            </w:r>
          </w:p>
        </w:tc>
        <w:tc>
          <w:tcPr>
            <w:tcW w:w="3119"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Pr>
                <w:rStyle w:val="IntenseEmphasis"/>
                <w:b w:val="0"/>
                <w:bCs w:val="0"/>
                <w:caps w:val="0"/>
                <w:color w:val="auto"/>
                <w:sz w:val="16"/>
                <w:szCs w:val="16"/>
              </w:rPr>
              <w:t>Inclusion criteria</w:t>
            </w:r>
          </w:p>
        </w:tc>
        <w:tc>
          <w:tcPr>
            <w:tcW w:w="2693"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Primary endpoint</w:t>
            </w:r>
          </w:p>
        </w:tc>
        <w:tc>
          <w:tcPr>
            <w:tcW w:w="2324"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aps w:val="0"/>
                <w:color w:val="auto"/>
                <w:sz w:val="16"/>
                <w:szCs w:val="16"/>
              </w:rPr>
            </w:pPr>
            <w:r w:rsidRPr="00EB6B44">
              <w:rPr>
                <w:rStyle w:val="IntenseEmphasis"/>
                <w:b w:val="0"/>
                <w:bCs w:val="0"/>
                <w:caps w:val="0"/>
                <w:color w:val="auto"/>
                <w:sz w:val="16"/>
                <w:szCs w:val="16"/>
              </w:rPr>
              <w:t>Conmeds</w:t>
            </w:r>
          </w:p>
        </w:tc>
        <w:tc>
          <w:tcPr>
            <w:tcW w:w="842" w:type="dxa"/>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Sample size</w:t>
            </w:r>
          </w:p>
        </w:tc>
        <w:tc>
          <w:tcPr>
            <w:tcW w:w="843" w:type="dxa"/>
            <w:gridSpan w:val="2"/>
            <w:tcBorders>
              <w:top w:val="single" w:sz="12" w:space="0" w:color="auto"/>
              <w:bottom w:val="single" w:sz="4" w:space="0" w:color="auto"/>
            </w:tcBorders>
          </w:tcPr>
          <w:p w:rsidR="002E1550" w:rsidRPr="00EB6B44" w:rsidRDefault="002E1550" w:rsidP="003E7038">
            <w:pPr>
              <w:pStyle w:val="ListParagraph1"/>
              <w:rPr>
                <w:rStyle w:val="IntenseEmphasis"/>
                <w:b w:val="0"/>
                <w:bCs w:val="0"/>
                <w:color w:val="auto"/>
                <w:sz w:val="16"/>
                <w:szCs w:val="16"/>
              </w:rPr>
            </w:pPr>
            <w:r w:rsidRPr="00EB6B44">
              <w:rPr>
                <w:rStyle w:val="IntenseEmphasis"/>
                <w:b w:val="0"/>
                <w:bCs w:val="0"/>
                <w:caps w:val="0"/>
                <w:color w:val="auto"/>
                <w:sz w:val="16"/>
                <w:szCs w:val="16"/>
              </w:rPr>
              <w:t>Duration</w:t>
            </w:r>
          </w:p>
        </w:tc>
      </w:tr>
      <w:tr w:rsidR="002E1550" w:rsidRPr="00EB6B44" w:rsidTr="002E1550">
        <w:trPr>
          <w:trHeight w:val="20"/>
        </w:trPr>
        <w:tc>
          <w:tcPr>
            <w:tcW w:w="759" w:type="dxa"/>
            <w:tcBorders>
              <w:top w:val="single" w:sz="4" w:space="0" w:color="auto"/>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Hackshaw</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&lt;Refman&gt;&lt;Cite&gt;&lt;Author&gt;Hackshaw&lt;/Author&gt;&lt;Year&gt;1995&lt;/Year&gt;&lt;RecNum&gt;99&lt;/RecNum&gt;&lt;IDText&gt;A pilot study of zileuton, a novel selective 5-lipoxygenase inhibitor, in patients with systemic lupus-erythematosus&lt;/IDText&gt;&lt;MDL Ref_Type="Journal"&gt;&lt;Ref_Type&gt;Journal&lt;/Ref_Type&gt;&lt;Ref_ID&gt;99&lt;/Ref_ID&gt;&lt;Title_Primary&gt;A pilot study of zileuton, a novel selective 5-lipoxygenase inhibitor, in patients with systemic lupus-erythematosus&lt;/Title_Primary&gt;&lt;Authors_Primary&gt;Hackshaw,K.V.&lt;/Authors_Primary&gt;&lt;Authors_Primary&gt;Shi,Y.&lt;/Authors_Primary&gt;&lt;Authors_Primary&gt;Brandwein,S.R.&lt;/Authors_Primary&gt;&lt;Authors_Primary&gt;Jones,K.&lt;/Authors_Primary&gt;&lt;Authors_Primary&gt;Westcott,J.Y.&lt;/Authors_Primary&gt;&lt;Date_Primary&gt;1995&lt;/Date_Primary&gt;&lt;Keywords&gt;Adult&lt;/Keywords&gt;&lt;Keywords&gt;Antimalarials&lt;/Keywords&gt;&lt;Keywords&gt;Arthritis&lt;/Keywords&gt;&lt;Keywords&gt;article&lt;/Keywords&gt;&lt;Keywords&gt;Autoantibodies&lt;/Keywords&gt;&lt;Keywords&gt;Autoimmunity&lt;/Keywords&gt;&lt;Keywords&gt;clinical article&lt;/Keywords&gt;&lt;Keywords&gt;clinical trial&lt;/Keywords&gt;&lt;Keywords&gt;controlled study&lt;/Keywords&gt;&lt;Keywords&gt;depression&lt;/Keywords&gt;&lt;Keywords&gt;si [Side Effect]&lt;/Keywords&gt;&lt;Keywords&gt;diarrhea&lt;/Keywords&gt;&lt;Keywords&gt;si [Side Effect]&lt;/Keywords&gt;&lt;Keywords&gt;Disease&lt;/Keywords&gt;&lt;Keywords&gt;disease activity&lt;/Keywords&gt;&lt;Keywords&gt;double blind procedure&lt;/Keywords&gt;&lt;Keywords&gt;dyspepsia&lt;/Keywords&gt;&lt;Keywords&gt;si [Side Effect]&lt;/Keywords&gt;&lt;Keywords&gt;erythematosus&lt;/Keywords&gt;&lt;Keywords&gt;Female&lt;/Keywords&gt;&lt;Keywords&gt;human&lt;/Keywords&gt;&lt;Keywords&gt;lipoxygenase inhibitor&lt;/Keywords&gt;&lt;Keywords&gt;lupus erythematosus&lt;/Keywords&gt;&lt;Keywords&gt;Male&lt;/Keywords&gt;&lt;Keywords&gt;medical research&lt;/Keywords&gt;&lt;Keywords&gt;methods&lt;/Keywords&gt;&lt;Keywords&gt;nausea&lt;/Keywords&gt;&lt;Keywords&gt;si [Side Effect]&lt;/Keywords&gt;&lt;Keywords&gt;oral drug administration&lt;/Keywords&gt;&lt;Keywords&gt;patient&lt;/Keywords&gt;&lt;Keywords&gt;Patients&lt;/Keywords&gt;&lt;Keywords&gt;pilot study&lt;/Keywords&gt;&lt;Keywords&gt;placebo&lt;/Keywords&gt;&lt;Keywords&gt;priority journal&lt;/Keywords&gt;&lt;Keywords&gt;randomized controlled trial&lt;/Keywords&gt;&lt;Keywords&gt;Research&lt;/Keywords&gt;&lt;Keywords&gt;Skin&lt;/Keywords&gt;&lt;Keywords&gt;statistical significance&lt;/Keywords&gt;&lt;Keywords&gt;systemic lupus erythematosus&lt;/Keywords&gt;&lt;Keywords&gt;systemic lupus erythematosus&lt;/Keywords&gt;&lt;Keywords&gt;dt [Drug Therapy]&lt;/Keywords&gt;&lt;Keywords&gt;trends&lt;/Keywords&gt;&lt;Keywords&gt;United States&lt;/Keywords&gt;&lt;Keywords&gt;urine&lt;/Keywords&gt;&lt;Keywords&gt;zileuton&lt;/Keywords&gt;&lt;Keywords&gt;ae [Adverse Drug Reaction]&lt;/Keywords&gt;&lt;Keywords&gt;zileuton&lt;/Keywords&gt;&lt;Keywords&gt;ct [Clinical Trial]&lt;/Keywords&gt;&lt;Keywords&gt;zileuton&lt;/Keywords&gt;&lt;Keywords&gt;dt [Drug Therapy]&lt;/Keywords&gt;&lt;Reprint&gt;Not in File&lt;/Reprint&gt;&lt;Start_Page&gt;1995&lt;/Start_Page&gt;&lt;Periodical&gt;Journal of Rheumatology 1994; 22(3)(pp 462-468),&lt;/Periodical&gt;&lt;User_Def_1&gt;y&lt;/User_Def_1&gt;&lt;ISSN_ISBN&gt;0315-162X&lt;/ISSN_ISBN&gt;&lt;Address&gt;(Hackshaw, Shi, Brandwein, Jones, Westcott) Ohio State University, Davis Medical Research Center, Div. Immunology/Rheumatology/Allergy, 480 West 9th Avenue, Columbus, OH 43210-1228, United States&lt;/Address&gt;&lt;ZZ_JournalFull&gt;&lt;f name="System"&gt;Journal of Rheumatology 1994; 22(3)(pp 462-468),&lt;/f&gt;&lt;/ZZ_JournalFull&gt;&lt;ZZ_WorkformID&gt;1&lt;/ZZ_WorkformID&gt;&lt;/MDL&gt;&lt;/Cite&gt;&lt;/Refman&gt;</w:instrText>
            </w:r>
            <w:r>
              <w:rPr>
                <w:color w:val="000000"/>
                <w:sz w:val="16"/>
                <w:szCs w:val="16"/>
              </w:rPr>
              <w:fldChar w:fldCharType="separate"/>
            </w:r>
            <w:r w:rsidR="00F12F58">
              <w:rPr>
                <w:color w:val="000000"/>
                <w:sz w:val="16"/>
                <w:szCs w:val="16"/>
              </w:rPr>
              <w:t>(64)</w:t>
            </w:r>
            <w:r>
              <w:rPr>
                <w:color w:val="000000"/>
                <w:sz w:val="16"/>
                <w:szCs w:val="16"/>
              </w:rPr>
              <w:fldChar w:fldCharType="end"/>
            </w:r>
          </w:p>
        </w:tc>
        <w:tc>
          <w:tcPr>
            <w:tcW w:w="403" w:type="dxa"/>
            <w:tcBorders>
              <w:top w:val="single" w:sz="4" w:space="0" w:color="auto"/>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1995</w:t>
            </w:r>
          </w:p>
        </w:tc>
        <w:tc>
          <w:tcPr>
            <w:tcW w:w="709"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w:t>
            </w:r>
          </w:p>
        </w:tc>
        <w:tc>
          <w:tcPr>
            <w:tcW w:w="1559"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Zileuton</w:t>
            </w:r>
            <w:r w:rsidRPr="00EB6B44">
              <w:rPr>
                <w:color w:val="000000"/>
                <w:sz w:val="16"/>
                <w:szCs w:val="16"/>
              </w:rPr>
              <w:br/>
              <w:t xml:space="preserve">Placebo        </w:t>
            </w:r>
          </w:p>
        </w:tc>
        <w:tc>
          <w:tcPr>
            <w:tcW w:w="3119"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 xml:space="preserve">18, ACR diagnosis </w:t>
            </w:r>
          </w:p>
        </w:tc>
        <w:tc>
          <w:tcPr>
            <w:tcW w:w="2693"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SLAM</w:t>
            </w:r>
          </w:p>
        </w:tc>
        <w:tc>
          <w:tcPr>
            <w:tcW w:w="2324"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Acetaminophen allowed</w:t>
            </w:r>
          </w:p>
        </w:tc>
        <w:tc>
          <w:tcPr>
            <w:tcW w:w="842" w:type="dxa"/>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40</w:t>
            </w:r>
            <w:r w:rsidRPr="00EB6B44">
              <w:rPr>
                <w:color w:val="000000"/>
                <w:sz w:val="16"/>
                <w:szCs w:val="16"/>
              </w:rPr>
              <w:br/>
              <w:t>(20; 20)</w:t>
            </w:r>
          </w:p>
        </w:tc>
        <w:tc>
          <w:tcPr>
            <w:tcW w:w="843" w:type="dxa"/>
            <w:gridSpan w:val="2"/>
            <w:tcBorders>
              <w:top w:val="single" w:sz="4" w:space="0" w:color="auto"/>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Carneiro</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&lt;Refman&gt;&lt;Cite&gt;&lt;Author&gt;Carneiro&lt;/Author&gt;&lt;Year&gt;1999&lt;/Year&gt;&lt;RecNum&gt;83&lt;/RecNum&gt;&lt;IDText&gt;Double blind, randomized, placebo controlled clinical trial of methotrexate in systemic lupus erythematosus&lt;/IDText&gt;&lt;MDL Ref_Type="Journal"&gt;&lt;Ref_Type&gt;Journal&lt;/Ref_Type&gt;&lt;Ref_ID&gt;83&lt;/Ref_ID&gt;&lt;Title_Primary&gt;Double blind, randomized, placebo controlled clinical trial of methotrexate in systemic lupus erythematosus&lt;/Title_Primary&gt;&lt;Authors_Primary&gt;Carneiro,J.R.M.&lt;/Authors_Primary&gt;&lt;Authors_Primary&gt;Sato,E.I.&lt;/Authors_Primary&gt;&lt;Date_Primary&gt;1999&lt;/Date_Primary&gt;&lt;Keywords&gt;Adult&lt;/Keywords&gt;&lt;Keywords&gt;article&lt;/Keywords&gt;&lt;Keywords&gt;Brazil&lt;/Keywords&gt;&lt;Keywords&gt;clinical article&lt;/Keywords&gt;&lt;Keywords&gt;clinical trial&lt;/Keywords&gt;&lt;Keywords&gt;controlled clinical trial&lt;/Keywords&gt;&lt;Keywords&gt;controlled study&lt;/Keywords&gt;&lt;Keywords&gt;Disease&lt;/Keywords&gt;&lt;Keywords&gt;disease activity&lt;/Keywords&gt;&lt;Keywords&gt;disease activity index&lt;/Keywords&gt;&lt;Keywords&gt;disease duration&lt;/Keywords&gt;&lt;Keywords&gt;disease severity&lt;/Keywords&gt;&lt;Keywords&gt;dose response&lt;/Keywords&gt;&lt;Keywords&gt;double blind procedure&lt;/Keywords&gt;&lt;Keywords&gt;drug efficacy&lt;/Keywords&gt;&lt;Keywords&gt;dyspepsia&lt;/Keywords&gt;&lt;Keywords&gt;si [Side Effect]&lt;/Keywords&gt;&lt;Keywords&gt;erythematosus&lt;/Keywords&gt;&lt;Keywords&gt;evaluation&lt;/Keywords&gt;&lt;Keywords&gt;Female&lt;/Keywords&gt;&lt;Keywords&gt;Hospitalization&lt;/Keywords&gt;&lt;Keywords&gt;human&lt;/Keywords&gt;&lt;Keywords&gt;hypocomplementemia&lt;/Keywords&gt;&lt;Keywords&gt;si [Side Effect]&lt;/Keywords&gt;&lt;Keywords&gt;liver disease&lt;/Keywords&gt;&lt;Keywords&gt;si [Side Effect]&lt;/Keywords&gt;&lt;Keywords&gt;lupus erythematosus&lt;/Keywords&gt;&lt;Keywords&gt;Male&lt;/Keywords&gt;&lt;Keywords&gt;methods&lt;/Keywords&gt;&lt;Keywords&gt;methotrexate&lt;/Keywords&gt;&lt;Keywords&gt;methotrexate&lt;/Keywords&gt;&lt;Keywords&gt;ae [Adverse Drug Reaction]&lt;/Keywords&gt;&lt;Keywords&gt;methotrexate&lt;/Keywords&gt;&lt;Keywords&gt;ct [Clinical Trial]&lt;/Keywords&gt;&lt;Keywords&gt;methotrexate&lt;/Keywords&gt;&lt;Keywords&gt;dt [Drug Therapy]&lt;/Keywords&gt;&lt;Keywords&gt;nausea&lt;/Keywords&gt;&lt;Keywords&gt;si [Side Effect]&lt;/Keywords&gt;&lt;Keywords&gt;oral drug administration&lt;/Keywords&gt;&lt;Keywords&gt;Pain&lt;/Keywords&gt;&lt;Keywords&gt;patient&lt;/Keywords&gt;&lt;Keywords&gt;Patients&lt;/Keywords&gt;&lt;Keywords&gt;placebo&lt;/Keywords&gt;&lt;Keywords&gt;Prednisone&lt;/Keywords&gt;&lt;Keywords&gt;prednisone&lt;/Keywords&gt;&lt;Keywords&gt;do [Drug Dose]&lt;/Keywords&gt;&lt;Keywords&gt;prednisone&lt;/Keywords&gt;&lt;Keywords&gt;dt [Drug Therapy]&lt;/Keywords&gt;&lt;Keywords&gt;priority journal&lt;/Keywords&gt;&lt;Keywords&gt;randomized controlled trial&lt;/Keywords&gt;&lt;Keywords&gt;Rheumatology&lt;/Keywords&gt;&lt;Keywords&gt;Serum&lt;/Keywords&gt;&lt;Keywords&gt;steroid therapy&lt;/Keywords&gt;&lt;Keywords&gt;systemic lupus erythematosus&lt;/Keywords&gt;&lt;Keywords&gt;systemic lupus erythematosus&lt;/Keywords&gt;&lt;Keywords&gt;dt [Drug Therapy]&lt;/Keywords&gt;&lt;Keywords&gt;Tuberculosis&lt;/Keywords&gt;&lt;Keywords&gt;urticaria&lt;/Keywords&gt;&lt;Keywords&gt;si [Side Effect]&lt;/Keywords&gt;&lt;Reprint&gt;Not in File&lt;/Reprint&gt;&lt;Start_Page&gt;1999&lt;/Start_Page&gt;&lt;Periodical&gt;Journal of Rheumatology 1994; 26(6)(pp 1275-1279),&lt;/Periodical&gt;&lt;User_Def_1&gt;y&lt;/User_Def_1&gt;&lt;ISSN_ISBN&gt;0315-162X&lt;/ISSN_ISBN&gt;&lt;Address&gt;(Carneiro, Sato) Rheumatology Department, Univ. Federal de Sao Paulo, Sao Paulo, Brazil. (Sato) Univ. Federal de Sao Paulo, Disciplina de Reumatologia, Rua Botucatu 740, CEP 04023-062, Sao Paulo, Brazil&lt;/Address&gt;&lt;ZZ_JournalFull&gt;&lt;f name="System"&gt;Journal of Rheumatology 1994; 26(6)(pp 1275-1279),&lt;/f&gt;&lt;/ZZ_JournalFull&gt;&lt;ZZ_WorkformID&gt;1&lt;/ZZ_WorkformID&gt;&lt;/MDL&gt;&lt;/Cite&gt;&lt;/Refman&gt;</w:instrText>
            </w:r>
            <w:r>
              <w:rPr>
                <w:color w:val="000000"/>
                <w:sz w:val="16"/>
                <w:szCs w:val="16"/>
              </w:rPr>
              <w:fldChar w:fldCharType="separate"/>
            </w:r>
            <w:r w:rsidR="00F12F58">
              <w:rPr>
                <w:color w:val="000000"/>
                <w:sz w:val="16"/>
                <w:szCs w:val="16"/>
              </w:rPr>
              <w:t>(65)</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1999</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Public</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N/A</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Methotrexate</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ACR diagnosis, low dose prednisone.</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SLEDAI</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Prednisone dose stable for 1 month</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41</w:t>
            </w:r>
            <w:r w:rsidRPr="00EB6B44">
              <w:rPr>
                <w:color w:val="000000"/>
                <w:sz w:val="16"/>
                <w:szCs w:val="16"/>
              </w:rPr>
              <w:br/>
              <w:t>(20; 21)</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6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Kalunian</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&lt;Refman&gt;&lt;Cite&gt;&lt;Author&gt;Kalunian&lt;/Author&gt;&lt;Year&gt;2002&lt;/Year&gt;&lt;RecNum&gt;163&lt;/RecNum&gt;&lt;IDText&gt;Treatment of systemic lupus erythematosus by inhibition of T cell costimulation with anti-CD154: a randomized, double-blind, placebo-controlled trial&lt;/IDText&gt;&lt;MDL Ref_Type="Journal"&gt;&lt;Ref_Type&gt;Journal&lt;/Ref_Type&gt;&lt;Ref_ID&gt;163&lt;/Ref_ID&gt;&lt;Title_Primary&gt;Treatment of systemic lupus erythematosus by inhibition of T cell costimulation with anti-CD154: a randomized, double-blind, placebo-controlled trial&lt;/Title_Primary&gt;&lt;Authors_Primary&gt;Kalunian,K.C.&lt;/Authors_Primary&gt;&lt;Authors_Primary&gt;Davis,J.C.,Jr.&lt;/Authors_Primary&gt;&lt;Authors_Primary&gt;Merrill,J.T.&lt;/Authors_Primary&gt;&lt;Authors_Primary&gt;Totoritis,M.C.&lt;/Authors_Primary&gt;&lt;Authors_Primary&gt;Wofsy,D.&lt;/Authors_Primary&gt;&lt;Date_Primary&gt;2002/12&lt;/Date_Primary&gt;&lt;Keywords&gt;administration &amp;amp; dosage&lt;/Keywords&gt;&lt;Keywords&gt;Adult&lt;/Keywords&gt;&lt;Keywords&gt;Aged&lt;/Keywords&gt;&lt;Keywords&gt;Antibodies&lt;/Keywords&gt;&lt;Keywords&gt;Antibodies,Monoclonal&lt;/Keywords&gt;&lt;Keywords&gt;California&lt;/Keywords&gt;&lt;Keywords&gt;CD40 ligand&lt;/Keywords&gt;&lt;Keywords&gt;Disease&lt;/Keywords&gt;&lt;Keywords&gt;disease activity&lt;/Keywords&gt;&lt;Keywords&gt;disease activity index&lt;/Keywords&gt;&lt;Keywords&gt;Dose-Response Relationship,Drug&lt;/Keywords&gt;&lt;Keywords&gt;Double-Blind Method&lt;/Keywords&gt;&lt;Keywords&gt;drug therapy&lt;/Keywords&gt;&lt;Keywords&gt;erythematosus&lt;/Keywords&gt;&lt;Keywords&gt;evaluation&lt;/Keywords&gt;&lt;Keywords&gt;Female&lt;/Keywords&gt;&lt;Keywords&gt;Humans&lt;/Keywords&gt;&lt;Keywords&gt;immunogenicity&lt;/Keywords&gt;&lt;Keywords&gt;immunology&lt;/Keywords&gt;&lt;Keywords&gt;lupus erythematosus&lt;/Keywords&gt;&lt;Keywords&gt;Lupus Erythematosus,Systemic&lt;/Keywords&gt;&lt;Keywords&gt;Male&lt;/Keywords&gt;&lt;Keywords&gt;methods&lt;/Keywords&gt;&lt;Keywords&gt;Middle Aged&lt;/Keywords&gt;&lt;Keywords&gt;patient&lt;/Keywords&gt;&lt;Keywords&gt;Patients&lt;/Keywords&gt;&lt;Keywords&gt;physiology&lt;/Keywords&gt;&lt;Keywords&gt;physiopathology&lt;/Keywords&gt;&lt;Keywords&gt;placebo&lt;/Keywords&gt;&lt;Keywords&gt;Placebos&lt;/Keywords&gt;&lt;Keywords&gt;safety&lt;/Keywords&gt;&lt;Keywords&gt;systemic lupus erythematosus&lt;/Keywords&gt;&lt;Keywords&gt;systemic lupus erythematosus disease activity index&lt;/Keywords&gt;&lt;Keywords&gt;T-Lymphocytes&lt;/Keywords&gt;&lt;Keywords&gt;therapeutic use&lt;/Keywords&gt;&lt;Keywords&gt;Treatment Outcome&lt;/Keywords&gt;&lt;Reprint&gt;Not in File&lt;/Reprint&gt;&lt;Start_Page&gt;3251&lt;/Start_Page&gt;&lt;End_Page&gt;3258&lt;/End_Page&gt;&lt;Periodical&gt;Arthritis Rheum.&lt;/Periodical&gt;&lt;Volume&gt;46&lt;/Volume&gt;&lt;Issue&gt;12&lt;/Issue&gt;&lt;User_Def_1&gt;y&lt;/User_Def_1&gt;&lt;ZZ_JournalStdAbbrev&gt;&lt;f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(66)</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2002</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IDEC 131</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18, ACR diagnosis</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Mean change in SELENA SLEDAI</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None stated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85</w:t>
            </w:r>
            <w:r w:rsidRPr="00EB6B44">
              <w:rPr>
                <w:color w:val="000000"/>
                <w:sz w:val="16"/>
                <w:szCs w:val="16"/>
              </w:rPr>
              <w:br/>
              <w:t>(65; 20)</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5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 xml:space="preserve">Petri </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(67)</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2004</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Prasterone</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18, ACR diagnosis</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Response (SLEDAI+ SLAM Quality of life)</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Conmed doses remained stable from baseline</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191</w:t>
            </w:r>
            <w:r w:rsidRPr="00EB6B44">
              <w:rPr>
                <w:color w:val="000000"/>
                <w:sz w:val="16"/>
                <w:szCs w:val="16"/>
              </w:rPr>
              <w:br/>
              <w:t>(127; 64)</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 xml:space="preserve">Tam </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&lt;Refman&gt;&lt;Cite&gt;&lt;Author&gt;Tam&lt;/Author&gt;&lt;Year&gt;2004&lt;/Year&gt;&lt;RecNum&gt;57&lt;/RecNum&gt;&lt;IDText&gt;Double-blind, randomized, placebo-controlled pilot study of leflunomide in systemic lupus erythematosus&lt;/IDText&gt;&lt;MDL Ref_Type="Journal"&gt;&lt;Ref_Type&gt;Journal&lt;/Ref_Type&gt;&lt;Ref_ID&gt;57&lt;/Ref_ID&gt;&lt;Title_Primary&gt;Double-blind, randomized, placebo-controlled pilot study of leflunomide in systemic lupus erythematosus&lt;/Title_Primary&gt;&lt;Authors_Primary&gt;Tam,L.-S.&lt;/Authors_Primary&gt;&lt;Authors_Primary&gt;Li,E.K.&lt;/Authors_Primary&gt;&lt;Authors_Primary&gt;Wong,C.-K.&lt;/Authors_Primary&gt;&lt;Authors_Primary&gt;Lam,C.W.K.&lt;/Authors_Primary&gt;&lt;Authors_Primary&gt;Szeto,C.-C.&lt;/Authors_Primary&gt;&lt;Date_Primary&gt;2004&lt;/Date_Primary&gt;&lt;Keywords&gt;Adult&lt;/Keywords&gt;&lt;Keywords&gt;age&lt;/Keywords&gt;&lt;Keywords&gt;aminotransferase&lt;/Keywords&gt;&lt;Keywords&gt;ec [Endogenous Compound]&lt;/Keywords&gt;&lt;Keywords&gt;article&lt;/Keywords&gt;&lt;Keywords&gt;blood toxicity&lt;/Keywords&gt;&lt;Keywords&gt;si [Side Effect]&lt;/Keywords&gt;&lt;Keywords&gt;Chinese&lt;/Keywords&gt;&lt;Keywords&gt;clinical article&lt;/Keywords&gt;&lt;Keywords&gt;clinical trial&lt;/Keywords&gt;&lt;Keywords&gt;controlled study&lt;/Keywords&gt;&lt;Keywords&gt;diarrhea&lt;/Keywords&gt;&lt;Keywords&gt;si [Side Effect]&lt;/Keywords&gt;&lt;Keywords&gt;Disease&lt;/Keywords&gt;&lt;Keywords&gt;disease activity&lt;/Keywords&gt;&lt;Keywords&gt;disease duration&lt;/Keywords&gt;&lt;Keywords&gt;double blind procedure&lt;/Keywords&gt;&lt;Keywords&gt;double stranded DNA&lt;/Keywords&gt;&lt;Keywords&gt;ec [Endogenous Compound]&lt;/Keywords&gt;&lt;Keywords&gt;erythematosus&lt;/Keywords&gt;&lt;Keywords&gt;Female&lt;/Keywords&gt;&lt;Keywords&gt;Hong Kong&lt;/Keywords&gt;&lt;Keywords&gt;hospital&lt;/Keywords&gt;&lt;Keywords&gt;human&lt;/Keywords&gt;&lt;Keywords&gt;hydroxychloroquine&lt;/Keywords&gt;&lt;Keywords&gt;dt [Drug Therapy]&lt;/Keywords&gt;&lt;Keywords&gt;Hypertension&lt;/Keywords&gt;&lt;Keywords&gt;hypertension&lt;/Keywords&gt;&lt;Keywords&gt;si [Side Effect]&lt;/Keywords&gt;&lt;Keywords&gt;leflunomide&lt;/Keywords&gt;&lt;Keywords&gt;leflunomide&lt;/Keywords&gt;&lt;Keywords&gt;ae [Adverse Drug Reaction]&lt;/Keywords&gt;&lt;Keywords&gt;leflunomide&lt;/Keywords&gt;&lt;Keywords&gt;ct [Clinical Trial]&lt;/Keywords&gt;&lt;Keywords&gt;leflunomide&lt;/Keywords&gt;&lt;Keywords&gt;do [Drug Dose]&lt;/Keywords&gt;&lt;Keywords&gt;leflunomide&lt;/Keywords&gt;&lt;Keywords&gt;dt [Drug Therapy]&lt;/Keywords&gt;&lt;Keywords&gt;leflunomide&lt;/Keywords&gt;&lt;Keywords&gt;pd [Pharmacology]&lt;/Keywords&gt;&lt;Keywords&gt;leflunomide&lt;/Keywords&gt;&lt;Keywords&gt;po [Oral Drug Administration]&lt;/Keywords&gt;&lt;Keywords&gt;Leukopenia&lt;/Keywords&gt;&lt;Keywords&gt;liver dysfunction&lt;/Keywords&gt;&lt;Keywords&gt;si [Side Effect]&lt;/Keywords&gt;&lt;Keywords&gt;lupus erythematosus&lt;/Keywords&gt;&lt;Keywords&gt;Male&lt;/Keywords&gt;&lt;Keywords&gt;methotrexate&lt;/Keywords&gt;&lt;Keywords&gt;nephrotoxicity&lt;/Keywords&gt;&lt;Keywords&gt;si [Side Effect]&lt;/Keywords&gt;&lt;Keywords&gt;nonsteroid antiinflammatory agent&lt;/Keywords&gt;&lt;Keywords&gt;pathology&lt;/Keywords&gt;&lt;Keywords&gt;patient&lt;/Keywords&gt;&lt;Keywords&gt;Patients&lt;/Keywords&gt;&lt;Keywords&gt;pilot study&lt;/Keywords&gt;&lt;Keywords&gt;placebo&lt;/Keywords&gt;&lt;Keywords&gt;Prednisolone&lt;/Keywords&gt;&lt;Keywords&gt;prednisolone&lt;/Keywords&gt;&lt;Keywords&gt;do [Drug Dose]&lt;/Keywords&gt;&lt;Keywords&gt;prednisolone&lt;/Keywords&gt;&lt;Keywords&gt;dt [Drug Therapy]&lt;/Keywords&gt;&lt;Keywords&gt;priority journal&lt;/Keywords&gt;&lt;Keywords&gt;Proteinuria&lt;/Keywords&gt;&lt;Keywords&gt;randomized controlled trial&lt;/Keywords&gt;&lt;Keywords&gt;salazosulfapyridine&lt;/Keywords&gt;&lt;Keywords&gt;systemic lupus erythematosus&lt;/Keywords&gt;&lt;Keywords&gt;systemic lupus erythematosus&lt;/Keywords&gt;&lt;Keywords&gt;dt [Drug Therapy]&lt;/Keywords&gt;&lt;Reprint&gt;Not in File&lt;/Reprint&gt;&lt;Start_Page&gt;2004&lt;/Start_Page&gt;&lt;Periodical&gt;Lupus 1994; 13(8)(pp 601-604),&lt;/Periodical&gt;&lt;User_Def_1&gt;y&lt;/User_Def_1&gt;&lt;ISSN_ISBN&gt;0961-2033&lt;/ISSN_ISBN&gt;&lt;Address&gt;(Tam, Li, Szeto) Dept. of Medicine and Therapeutics, Prince of Wales Hospital, Chinese University of Hong Kong, Shatin, Hong Kong. (Wong, Lam) Department of Chemical Pathology, Prince of Wales Hospital, Chinese University of Hong Kong, Shatin, Hong Kong&lt;/Address&gt;&lt;ZZ_JournalFull&gt;&lt;f name="System"&gt;Lupus 1994; 13(8)(pp 601-604),&lt;/f&gt;&lt;/ZZ_JournalFull&gt;&lt;ZZ_WorkformID&gt;1&lt;/ZZ_WorkformID&gt;&lt;/MDL&gt;&lt;/Cite&gt;&lt;/Refman&gt;</w:instrText>
            </w:r>
            <w:r>
              <w:rPr>
                <w:color w:val="000000"/>
                <w:sz w:val="16"/>
                <w:szCs w:val="16"/>
              </w:rPr>
              <w:fldChar w:fldCharType="separate"/>
            </w:r>
            <w:r w:rsidR="00F12F58">
              <w:rPr>
                <w:color w:val="000000"/>
                <w:sz w:val="16"/>
                <w:szCs w:val="16"/>
              </w:rPr>
              <w:t>(68)</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2004</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Public</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N/A</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Leflunomide</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ACR diagnosis, SLEDAI </w:t>
            </w:r>
            <w:r>
              <w:rPr>
                <w:rFonts w:cs="Times New Roman"/>
                <w:color w:val="000000"/>
                <w:sz w:val="16"/>
                <w:szCs w:val="16"/>
              </w:rPr>
              <w:t>≥</w:t>
            </w:r>
            <w:r>
              <w:rPr>
                <w:color w:val="000000"/>
                <w:sz w:val="16"/>
                <w:szCs w:val="16"/>
              </w:rPr>
              <w:t>6, low dose prednisone</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Mean change in SLEDAI</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Prednisone tapered. Antimalarials and NSAIDs allowed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w:t>
            </w:r>
            <w:r w:rsidRPr="00EB6B44">
              <w:rPr>
                <w:color w:val="000000"/>
                <w:sz w:val="16"/>
                <w:szCs w:val="16"/>
              </w:rPr>
              <w:br/>
              <w:t>(6; 6)</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2.5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Fortin</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&lt;Refman&gt;&lt;Cite&gt;&lt;Author&gt;Fortin&lt;/Author&gt;&lt;Year&gt;2008&lt;/Year&gt;&lt;RecNum&gt;1432&lt;/RecNum&gt;&lt;IDText&gt;Steroid-sparing effects of methotrexate in systemic lupus erythematosus: A double-blind, randomized, placebo-controlled trial&lt;/IDText&gt;&lt;MDL Ref_Type="Journal"&gt;&lt;Ref_Type&gt;Journal&lt;/Ref_Type&gt;&lt;Ref_ID&gt;1432&lt;/Ref_ID&gt;&lt;Title_Primary&gt;Steroid-sparing effects of methotrexate in systemic lupus erythematosus: A double-blind, randomized, placebo-controlled trial&lt;/Title_Primary&gt;&lt;Authors_Primary&gt;Fortin,P.R.&lt;/Authors_Primary&gt;&lt;Authors_Primary&gt;Abrahamowicz,M.&lt;/Authors_Primary&gt;&lt;Authors_Primary&gt;Ferland,D.&lt;/Authors_Primary&gt;&lt;Authors_Primary&gt;Lacaille,D.&lt;/Authors_Primary&gt;&lt;Authors_Primary&gt;Smith,C.D.&lt;/Authors_Primary&gt;&lt;Authors_Primary&gt;Zummer,M.&lt;/Authors_Primary&gt;&lt;Date_Primary&gt;2008&lt;/Date_Primary&gt;&lt;Keywords&gt;analysis&lt;/Keywords&gt;&lt;Keywords&gt;antimalarial agent&lt;/Keywords&gt;&lt;Keywords&gt;Arthritis&lt;/Keywords&gt;&lt;Keywords&gt;article&lt;/Keywords&gt;&lt;Keywords&gt;Canada&lt;/Keywords&gt;&lt;Keywords&gt;cardiovascular symptom&lt;/Keywords&gt;&lt;Keywords&gt;si [Side Effect]&lt;/Keywords&gt;&lt;Keywords&gt;clinical article&lt;/Keywords&gt;&lt;Keywords&gt;clinical trial&lt;/Keywords&gt;&lt;Keywords&gt;confidence interval&lt;/Keywords&gt;&lt;Keywords&gt;controlled clinical trial&lt;/Keywords&gt;&lt;Keywords&gt;controlled study&lt;/Keywords&gt;&lt;Keywords&gt;Disease&lt;/Keywords&gt;&lt;Keywords&gt;disease activity&lt;/Keywords&gt;&lt;Keywords&gt;drug dose escalation&lt;/Keywords&gt;&lt;Keywords&gt;drug dose reduction&lt;/Keywords&gt;&lt;Keywords&gt;drug effect&lt;/Keywords&gt;&lt;Keywords&gt;erythematosus&lt;/Keywords&gt;&lt;Keywords&gt;Female&lt;/Keywords&gt;&lt;Keywords&gt;folic acid&lt;/Keywords&gt;&lt;Keywords&gt;cb [Drug Combination]&lt;/Keywords&gt;&lt;Keywords&gt;folic acid&lt;/Keywords&gt;&lt;Keywords&gt;ct [Clinical Trial]&lt;/Keywords&gt;&lt;Keywords&gt;folic acid&lt;/Keywords&gt;&lt;Keywords&gt;dt [Drug Therapy]&lt;/Keywords&gt;&lt;Keywords&gt;gastrointestinal symptom&lt;/Keywords&gt;&lt;Keywords&gt;si [Side Effect]&lt;/Keywords&gt;&lt;Keywords&gt;Health&lt;/Keywords&gt;&lt;Keywords&gt;hematologic disease&lt;/Keywords&gt;&lt;Keywords&gt;si [Side Effect]&lt;/Keywords&gt;&lt;Keywords&gt;hospital&lt;/Keywords&gt;&lt;Keywords&gt;human&lt;/Keywords&gt;&lt;Keywords&gt;infection&lt;/Keywords&gt;&lt;Keywords&gt;si [Side Effect]&lt;/Keywords&gt;&lt;Keywords&gt;kidney disease&lt;/Keywords&gt;&lt;Keywords&gt;si [Side Effect]&lt;/Keywords&gt;&lt;Keywords&gt;Linear Models&lt;/Keywords&gt;&lt;Keywords&gt;longitudinal study&lt;/Keywords&gt;&lt;Keywords&gt;lupus erythematosus&lt;/Keywords&gt;&lt;Keywords&gt;Male&lt;/Keywords&gt;&lt;Keywords&gt;mental disease&lt;/Keywords&gt;&lt;Keywords&gt;si [Side Effect]&lt;/Keywords&gt;&lt;Keywords&gt;metabolic disorder&lt;/Keywords&gt;&lt;Keywords&gt;si [Side Effect]&lt;/Keywords&gt;&lt;Keywords&gt;methods&lt;/Keywords&gt;&lt;Keywords&gt;methotrexate&lt;/Keywords&gt;&lt;Keywords&gt;ae [Adverse Drug Reaction]&lt;/Keywords&gt;&lt;Keywords&gt;methotrexate&lt;/Keywords&gt;&lt;Keywords&gt;cb [Drug Combination]&lt;/Keywords&gt;&lt;Keywords&gt;methotrexate&lt;/Keywords&gt;&lt;Keywords&gt;ct [Clinical Trial]&lt;/Keywords&gt;&lt;Keywords&gt;methotrexate&lt;/Keywords&gt;&lt;Keywords&gt;do [Drug Dose]&lt;/Keywords&gt;&lt;Keywords&gt;methotrexate&lt;/Keywords&gt;&lt;Keywords&gt;dt [Drug Therapy]&lt;/Keywords&gt;&lt;Keywords&gt;neurologic disease&lt;/Keywords&gt;&lt;Keywords&gt;si [Side Effect]&lt;/Keywords&gt;&lt;Keywords&gt;patient&lt;/Keywords&gt;&lt;Keywords&gt;patient selection&lt;/Keywords&gt;&lt;Keywords&gt;Patients&lt;/Keywords&gt;&lt;Keywords&gt;placebo&lt;/Keywords&gt;&lt;Keywords&gt;Prednisone&lt;/Keywords&gt;&lt;Keywords&gt;prednisone&lt;/Keywords&gt;&lt;Keywords&gt;ct [Clinical Trial]&lt;/Keywords&gt;&lt;Keywords&gt;prednisone&lt;/Keywords&gt;&lt;Keywords&gt;do [Drug Dose]&lt;/Keywords&gt;&lt;Keywords&gt;prednisone&lt;/Keywords&gt;&lt;Keywords&gt;dt [Drug Therapy]&lt;/Keywords&gt;&lt;Keywords&gt;randomized controlled trial&lt;/Keywords&gt;&lt;Keywords&gt;Research&lt;/Keywords&gt;&lt;Keywords&gt;respiratory tract disease&lt;/Keywords&gt;&lt;Keywords&gt;si [Side Effect]&lt;/Keywords&gt;&lt;Keywords&gt;revised Systemic Lupus Activity Measure&lt;/Keywords&gt;&lt;Keywords&gt;Rheumatology&lt;/Keywords&gt;&lt;Keywords&gt;scoring system&lt;/Keywords&gt;&lt;Keywords&gt;skin disease&lt;/Keywords&gt;&lt;Keywords&gt;si [Side Effect]&lt;/Keywords&gt;&lt;Keywords&gt;systemic lupus erythematosus&lt;/Keywords&gt;&lt;Keywords&gt;systemic lupus erythematosus&lt;/Keywords&gt;&lt;Keywords&gt;dt [Drug Therapy]&lt;/Keywords&gt;&lt;Keywords&gt;Treatment Outcome&lt;/Keywords&gt;&lt;Keywords&gt;unspecified side effect&lt;/Keywords&gt;&lt;Keywords&gt;si [Side Effect]&lt;/Keywords&gt;&lt;Keywords&gt;urogenital tract disease&lt;/Keywords&gt;&lt;Keywords&gt;si [Side Effect]&lt;/Keywords&gt;&lt;Reprint&gt;Not in File&lt;/Reprint&gt;&lt;Start_Page&gt;15&lt;/Start_Page&gt;&lt;Periodical&gt;Arthritis Care and Research 1994; 59(12)(pp 1796-1804),&lt;/Periodical&gt;&lt;User_Def_1&gt;y&lt;/User_Def_1&gt;&lt;ISSN_ISBN&gt;0004-3591&lt;/ISSN_ISBN&gt;&lt;Address&gt;(Fortin) University Health Network, Toronto Western Hospital, Toronto, ON, Canada. (Abrahamowicz) McGill University, Montreal, QC, Canada. (Ferland) University Health Network, Toronto Western Research Institute, Toronto, ON, Canada. (Lacaille) Arthritis Research Centre of Canada, Vancouver, BC, Canada. (Smith) Arthritis Centre, Ottawa Hospital, Ottawa, ON, Canada. (Zummer) Hopital Maisonneuve-Rosemont, Montreal, QC, Canada. (Fortin) MP-10-304, 399 Bathurst Street, Toronto, ON M5T 2S8, Canada&lt;/Address&gt;&lt;ZZ_JournalFull&gt;&lt;f name="System"&gt;Arthritis Care and Research 1994; 59(12)(pp 1796-1804),&lt;/f&gt;&lt;/ZZ_JournalFull&gt;&lt;ZZ_WorkformID&gt;1&lt;/ZZ_WorkformID&gt;&lt;/MDL&gt;&lt;/Cite&gt;&lt;/Refman&gt;</w:instrText>
            </w:r>
            <w:r>
              <w:rPr>
                <w:color w:val="000000"/>
                <w:sz w:val="16"/>
                <w:szCs w:val="16"/>
              </w:rPr>
              <w:fldChar w:fldCharType="separate"/>
            </w:r>
            <w:r w:rsidR="00F12F58">
              <w:rPr>
                <w:color w:val="000000"/>
                <w:sz w:val="16"/>
                <w:szCs w:val="16"/>
              </w:rPr>
              <w:t>(69)</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2008</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Public</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N/A</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Methotrexate</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18, ACR diagnosis, SLAM</w:t>
            </w:r>
            <w:r>
              <w:rPr>
                <w:rFonts w:cs="Times New Roman"/>
                <w:color w:val="000000"/>
                <w:sz w:val="16"/>
                <w:szCs w:val="16"/>
              </w:rPr>
              <w:t xml:space="preserve">≥8, </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Mean change in SLAM</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None stated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86</w:t>
            </w:r>
            <w:r w:rsidRPr="00EB6B44">
              <w:rPr>
                <w:color w:val="000000"/>
                <w:sz w:val="16"/>
                <w:szCs w:val="16"/>
              </w:rPr>
              <w:br/>
              <w:t>(41; 45)</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Abdou</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&lt;Refman&gt;&lt;Cite&gt;&lt;Author&gt;Abdou&lt;/Author&gt;&lt;Year&gt;2008&lt;/Year&gt;&lt;RecNum&gt;120&lt;/RecNum&gt;&lt;IDText&gt;Fulvestrant (Faslodex), an estrogen selective receptor downregulator, in therapy of women with systemic lupus erythematosus. clinical, serologic, bone density, and T cell activation marker studies: a double-blind placebo-controlled trial&lt;/IDText&gt;&lt;MDL Ref_Type="Journal"&gt;&lt;Ref_Type&gt;Journal&lt;/Ref_Type&gt;&lt;Ref_ID&gt;120&lt;/Ref_ID&gt;&lt;Title_Primary&gt;Fulvestrant (Faslodex), an estrogen selective receptor downregulator, in therapy of women with systemic lupus erythematosus. clinical, serologic, bone density, and T cell activation marker studies: a double-blind placebo-controlled trial&lt;/Title_Primary&gt;&lt;Authors_Primary&gt;Abdou,N.I.&lt;/Authors_Primary&gt;&lt;Authors_Primary&gt;Rider,V.&lt;/Authors_Primary&gt;&lt;Authors_Primary&gt;Greenwell,C.&lt;/Authors_Primary&gt;&lt;Authors_Primary&gt;Li,X.&lt;/Authors_Primary&gt;&lt;Authors_Primary&gt;Kimler,B.F.&lt;/Authors_Primary&gt;&lt;Date_Primary&gt;2008/5&lt;/Date_Primary&gt;&lt;Keywords&gt;Adult&lt;/Keywords&gt;&lt;Keywords&gt;analogs &amp;amp; derivatives&lt;/Keywords&gt;&lt;Keywords&gt;Antibodies,Antinuclear&lt;/Keywords&gt;&lt;Keywords&gt;Biological Markers&lt;/Keywords&gt;&lt;Keywords&gt;blood&lt;/Keywords&gt;&lt;Keywords&gt;bone density&lt;/Keywords&gt;&lt;Keywords&gt;Calcineurin&lt;/Keywords&gt;&lt;Keywords&gt;CD40 ligand&lt;/Keywords&gt;&lt;Keywords&gt;Disease&lt;/Keywords&gt;&lt;Keywords&gt;disease activity&lt;/Keywords&gt;&lt;Keywords&gt;disease activity index&lt;/Keywords&gt;&lt;Keywords&gt;Disease Progression&lt;/Keywords&gt;&lt;Keywords&gt;Double-Blind Method&lt;/Keywords&gt;&lt;Keywords&gt;Down-Regulation&lt;/Keywords&gt;&lt;Keywords&gt;drug effects&lt;/Keywords&gt;&lt;Keywords&gt;drug therapy&lt;/Keywords&gt;&lt;Keywords&gt;erythematosus&lt;/Keywords&gt;&lt;Keywords&gt;estradiol&lt;/Keywords&gt;&lt;Keywords&gt;estrogen&lt;/Keywords&gt;&lt;Keywords&gt;Estrogen Antagonists&lt;/Keywords&gt;&lt;Keywords&gt;Estrogens&lt;/Keywords&gt;&lt;Keywords&gt;Female&lt;/Keywords&gt;&lt;Keywords&gt;hormone&lt;/Keywords&gt;&lt;Keywords&gt;hospital&lt;/Keywords&gt;&lt;Keywords&gt;Humans&lt;/Keywords&gt;&lt;Keywords&gt;lupus erythematosus&lt;/Keywords&gt;&lt;Keywords&gt;Lupus Erythematosus,Systemic&lt;/Keywords&gt;&lt;Keywords&gt;metabolism&lt;/Keywords&gt;&lt;Keywords&gt;methods&lt;/Keywords&gt;&lt;Keywords&gt;Middle Aged&lt;/Keywords&gt;&lt;Keywords&gt;patient&lt;/Keywords&gt;&lt;Keywords&gt;Patients&lt;/Keywords&gt;&lt;Keywords&gt;pharmacology&lt;/Keywords&gt;&lt;Keywords&gt;physiology&lt;/Keywords&gt;&lt;Keywords&gt;physiopathology&lt;/Keywords&gt;&lt;Keywords&gt;placebo&lt;/Keywords&gt;&lt;Keywords&gt;Quality of Life&lt;/Keywords&gt;&lt;Keywords&gt;Receptors,Estrogen&lt;/Keywords&gt;&lt;Keywords&gt;RNA,Messenger&lt;/Keywords&gt;&lt;Keywords&gt;Serum&lt;/Keywords&gt;&lt;Keywords&gt;Severity of Illness Index&lt;/Keywords&gt;&lt;Keywords&gt;systemic lupus erythematosus&lt;/Keywords&gt;&lt;Keywords&gt;T-Lymphocytes&lt;/Keywords&gt;&lt;Keywords&gt;therapeutic use&lt;/Keywords&gt;&lt;Keywords&gt;therapy&lt;/Keywords&gt;&lt;Keywords&gt;Women&lt;/Keywords&gt;&lt;Reprint&gt;Not in File&lt;/Reprint&gt;&lt;Start_Page&gt;797&lt;/Start_Page&gt;&lt;Periodical&gt;J.Rheumatol.&lt;/Periodical&gt;&lt;Volume&gt;35&lt;/Volume&gt;&lt;Issue&gt;5&lt;/Issue&gt;&lt;User_Def_1&gt;y&lt;/User_Def_1&gt;&lt;ZZ_JournalStdAbbrev&gt;&lt;f name="System"&gt;J.Rheumatol.&lt;/f&gt;&lt;/ZZ_JournalStdAbbrev&gt;&lt;ZZ_WorkformID&gt;1&lt;/ZZ_WorkformID&gt;&lt;/MDL&gt;&lt;/Cite&gt;&lt;/Refman&gt;</w:instrText>
            </w:r>
            <w:r>
              <w:rPr>
                <w:color w:val="000000"/>
                <w:sz w:val="16"/>
                <w:szCs w:val="16"/>
              </w:rPr>
              <w:fldChar w:fldCharType="separate"/>
            </w:r>
            <w:r w:rsidR="00F12F58">
              <w:rPr>
                <w:color w:val="000000"/>
                <w:sz w:val="16"/>
                <w:szCs w:val="16"/>
              </w:rPr>
              <w:t>(70)</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2008</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Fulvestrant group</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ACR diagnosis</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Change in SLEDAI from baseline</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None stated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20</w:t>
            </w:r>
            <w:r w:rsidRPr="00EB6B44">
              <w:rPr>
                <w:color w:val="000000"/>
                <w:sz w:val="16"/>
                <w:szCs w:val="16"/>
              </w:rPr>
              <w:br/>
              <w:t>(10; 10)</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Uppal</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&lt;Refman&gt;&lt;Cite&gt;&lt;Author&gt;Uppal&lt;/Author&gt;&lt;Year&gt;2009&lt;/Year&gt;&lt;RecNum&gt;108&lt;/RecNum&gt;&lt;IDText&gt;Efficacy and safety of infliximab in active SLE: a pilot study&lt;/IDText&gt;&lt;MDL Ref_Type="Journal"&gt;&lt;Ref_Type&gt;Journal&lt;/Ref_Type&gt;&lt;Ref_ID&gt;108&lt;/Ref_ID&gt;&lt;Title_Primary&gt;Efficacy and safety of infliximab in active SLE: a pilot study&lt;/Title_Primary&gt;&lt;Authors_Primary&gt;Uppal,S.S.&lt;/Authors_Primary&gt;&lt;Authors_Primary&gt;Hayat,S.J.&lt;/Authors_Primary&gt;&lt;Authors_Primary&gt;Raghupathy,R.&lt;/Authors_Primary&gt;&lt;Date_Primary&gt;2009/7&lt;/Date_Primary&gt;&lt;Keywords&gt;Adolescent&lt;/Keywords&gt;&lt;Keywords&gt;Adult&lt;/Keywords&gt;&lt;Keywords&gt;antagonists &amp;amp; inhibitors&lt;/Keywords&gt;&lt;Keywords&gt;Anti-Inflammatory Agents&lt;/Keywords&gt;&lt;Keywords&gt;Antibodies&lt;/Keywords&gt;&lt;Keywords&gt;Antibodies,Monoclonal&lt;/Keywords&gt;&lt;Keywords&gt;body weight&lt;/Keywords&gt;&lt;Keywords&gt;Disease&lt;/Keywords&gt;&lt;Keywords&gt;disease activity&lt;/Keywords&gt;&lt;Keywords&gt;disease activity index&lt;/Keywords&gt;&lt;Keywords&gt;drug therapy&lt;/Keywords&gt;&lt;Keywords&gt;erythematosus&lt;/Keywords&gt;&lt;Keywords&gt;Female&lt;/Keywords&gt;&lt;Keywords&gt;Health&lt;/Keywords&gt;&lt;Keywords&gt;Health Status&lt;/Keywords&gt;&lt;Keywords&gt;hospital&lt;/Keywords&gt;&lt;Keywords&gt;Humans&lt;/Keywords&gt;&lt;Keywords&gt;immunology&lt;/Keywords&gt;&lt;Keywords&gt;Infection&lt;/Keywords&gt;&lt;Keywords&gt;lupus erythematosus&lt;/Keywords&gt;&lt;Keywords&gt;Lupus Erythematosus,Systemic&lt;/Keywords&gt;&lt;Keywords&gt;Necrosis&lt;/Keywords&gt;&lt;Keywords&gt;patient&lt;/Keywords&gt;&lt;Keywords&gt;Patients&lt;/Keywords&gt;&lt;Keywords&gt;physiopathology&lt;/Keywords&gt;&lt;Keywords&gt;Pilot Projects&lt;/Keywords&gt;&lt;Keywords&gt;pilot study&lt;/Keywords&gt;&lt;Keywords&gt;Rheumatology&lt;/Keywords&gt;&lt;Keywords&gt;safety&lt;/Keywords&gt;&lt;Keywords&gt;Serum&lt;/Keywords&gt;&lt;Keywords&gt;statistical significance&lt;/Keywords&gt;&lt;Keywords&gt;systemic lupus erythematosus&lt;/Keywords&gt;&lt;Keywords&gt;systemic lupus erythematosus disease activity index&lt;/Keywords&gt;&lt;Keywords&gt;therapeutic use&lt;/Keywords&gt;&lt;Keywords&gt;therapy&lt;/Keywords&gt;&lt;Keywords&gt;Treatment Outcome&lt;/Keywords&gt;&lt;Keywords&gt;Tumor Necrosis Factor-alpha&lt;/Keywords&gt;&lt;Keywords&gt;Young Adult&lt;/Keywords&gt;&lt;Reprint&gt;Not in File&lt;/Reprint&gt;&lt;Start_Page&gt;690&lt;/Start_Page&gt;&lt;End_Page&gt;697&lt;/End_Page&gt;&lt;Periodical&gt;Lupus.&lt;/Periodical&gt;&lt;Volume&gt;18&lt;/Volume&gt;&lt;Issue&gt;8&lt;/Issue&gt;&lt;User_Def_1&gt;y&lt;/User_Def_1&gt;&lt;ZZ_JournalStdAbbrev&gt;&lt;f name="System"&gt;Lupus.&lt;/f&gt;&lt;/ZZ_JournalStdAbbrev&gt;&lt;ZZ_WorkformID&gt;1&lt;/ZZ_WorkformID&gt;&lt;/MDL&gt;&lt;/Cite&gt;&lt;/Refman&gt;</w:instrText>
            </w:r>
            <w:r>
              <w:rPr>
                <w:color w:val="000000"/>
                <w:sz w:val="16"/>
                <w:szCs w:val="16"/>
              </w:rPr>
              <w:fldChar w:fldCharType="separate"/>
            </w:r>
            <w:r w:rsidR="00F12F58">
              <w:rPr>
                <w:color w:val="000000"/>
                <w:sz w:val="16"/>
                <w:szCs w:val="16"/>
              </w:rPr>
              <w:t>(71)</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2009</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Public</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N/A</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Infliximab</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ACR diagnosis</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None specified</w:t>
            </w:r>
            <w:r w:rsidRPr="00EB6B44">
              <w:rPr>
                <w:color w:val="000000"/>
                <w:sz w:val="16"/>
                <w:szCs w:val="16"/>
                <w:vertAlign w:val="superscript"/>
              </w:rPr>
              <w:t>1</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Standard treatments allowed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27</w:t>
            </w:r>
            <w:r w:rsidRPr="00EB6B44">
              <w:rPr>
                <w:color w:val="000000"/>
                <w:sz w:val="16"/>
                <w:szCs w:val="16"/>
              </w:rPr>
              <w:br/>
              <w:t>(9; 18)</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 Variable</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Wallace</w:t>
            </w:r>
            <w:r>
              <w:rPr>
                <w:color w:val="000000"/>
                <w:sz w:val="16"/>
                <w:szCs w:val="16"/>
              </w:rPr>
              <w:t>/ Furie</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(72;73)</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2009</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II</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Belimumab (3 doses)</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 xml:space="preserve">18, ACR diagnosis, SELENA SLEDAI </w:t>
            </w:r>
            <w:r>
              <w:rPr>
                <w:rFonts w:cs="Times New Roman"/>
                <w:color w:val="000000"/>
                <w:sz w:val="16"/>
                <w:szCs w:val="16"/>
              </w:rPr>
              <w:t>≥</w:t>
            </w:r>
            <w:r>
              <w:rPr>
                <w:color w:val="000000"/>
                <w:sz w:val="16"/>
                <w:szCs w:val="16"/>
              </w:rPr>
              <w:t>4, history of autoantibodies, stable prednisone.</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Mean change in SELENA SLEDAI</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Changes in other therapy permitted as indicated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449</w:t>
            </w:r>
            <w:r w:rsidRPr="00EB6B44">
              <w:rPr>
                <w:color w:val="000000"/>
                <w:sz w:val="16"/>
                <w:szCs w:val="16"/>
              </w:rPr>
              <w:br/>
              <w:t>(336; 113)</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 xml:space="preserve">Merril </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Pr>
                <w:color w:val="000000"/>
                <w:sz w:val="16"/>
                <w:szCs w:val="16"/>
              </w:rPr>
              <w:fldChar w:fldCharType="separate"/>
            </w:r>
            <w:r w:rsidR="00F12F58">
              <w:rPr>
                <w:color w:val="000000"/>
                <w:sz w:val="16"/>
                <w:szCs w:val="16"/>
              </w:rPr>
              <w:t>(61)</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2010</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IIb</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Abatacept</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16, ACR diagnosis, ANA+,  BILAG A or 2 B score, 1 immunosuppressant.</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New BILAG A or 2 B scores</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Prednisone was given for one month then tapered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175</w:t>
            </w:r>
            <w:r w:rsidRPr="00EB6B44">
              <w:rPr>
                <w:color w:val="000000"/>
                <w:sz w:val="16"/>
                <w:szCs w:val="16"/>
              </w:rPr>
              <w:br/>
              <w:t>(118;57)</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Griffiths</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&lt;Refman&gt;&lt;Cite&gt;&lt;Author&gt;Griffiths&lt;/Author&gt;&lt;Year&gt;2005&lt;/Year&gt;&lt;RecNum&gt;18&lt;/RecNum&gt;&lt;IDText&gt;Assessment of patients with systemic lupus erythematosus and the use of lupus disease activity indices&lt;/IDText&gt;&lt;MDL Ref_Type="Journal"&gt;&lt;Ref_Type&gt;Journal&lt;/Ref_Type&gt;&lt;Ref_ID&gt;18&lt;/Ref_ID&gt;&lt;Title_Primary&gt;Assessment of patients with systemic lupus erythematosus and the use of lupus disease activity indices&lt;/Title_Primary&gt;&lt;Authors_Primary&gt;Griffiths,B.&lt;/Authors_Primary&gt;&lt;Authors_Primary&gt;Mosca,M.&lt;/Authors_Primary&gt;&lt;Authors_Primary&gt;Gordon,C.&lt;/Authors_Primary&gt;&lt;Date_Primary&gt;2005/10&lt;/Date_Primary&gt;&lt;Keywords&gt;Disease Progression&lt;/Keywords&gt;&lt;Keywords&gt;Humans&lt;/Keywords&gt;&lt;Keywords&gt;Lupus Erythematosus,Systemic&lt;/Keywords&gt;&lt;Keywords&gt;physiopathology&lt;/Keywords&gt;&lt;Keywords&gt;psychology&lt;/Keywords&gt;&lt;Keywords&gt;Quality of Life&lt;/Keywords&gt;&lt;Keywords&gt;Severity of Illness Index&lt;/Keywords&gt;&lt;Keywords&gt;Sickness Impact Profile&lt;/Keywords&gt;&lt;Reprint&gt;Not in File&lt;/Reprint&gt;&lt;Start_Page&gt;685&lt;/Start_Page&gt;&lt;End_Page&gt;708&lt;/End_Page&gt;&lt;Periodical&gt;Best.Pract.Res.Clin.Rheumatol.&lt;/Periodical&gt;&lt;Volume&gt;19&lt;/Volume&gt;&lt;Issue&gt;5&lt;/Issue&gt;&lt;User_Def_1&gt;SLEDAI&lt;/User_Def_1&gt;&lt;User_Def_2&gt;BILAG&lt;/User_Def_2&gt;&lt;ZZ_JournalStdAbbrev&gt;&lt;f name="System"&gt;Best.Pract.Res.Clin.Rheumatol.&lt;/f&gt;&lt;/ZZ_JournalStdAbbrev&gt;&lt;ZZ_WorkformID&gt;1&lt;/ZZ_WorkformID&gt;&lt;/MDL&gt;&lt;/Cite&gt;&lt;/Refman&gt;</w:instrText>
            </w:r>
            <w:r>
              <w:rPr>
                <w:color w:val="000000"/>
                <w:sz w:val="16"/>
                <w:szCs w:val="16"/>
              </w:rPr>
              <w:fldChar w:fldCharType="separate"/>
            </w:r>
            <w:r w:rsidR="00F12F58">
              <w:rPr>
                <w:color w:val="000000"/>
                <w:sz w:val="16"/>
                <w:szCs w:val="16"/>
              </w:rPr>
              <w:t>(46)</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2010</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Public</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N/A</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Ciclosporin</w:t>
            </w:r>
            <w:r w:rsidRPr="00EB6B44">
              <w:rPr>
                <w:color w:val="000000"/>
                <w:sz w:val="16"/>
                <w:szCs w:val="16"/>
              </w:rPr>
              <w:br/>
              <w:t>Azathioprine</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ACR diagnosis, severe disease defined by 15mg  prednisone, stable dose.</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Absolute mean change in predniso</w:t>
            </w:r>
            <w:r>
              <w:rPr>
                <w:color w:val="000000"/>
                <w:sz w:val="16"/>
                <w:szCs w:val="16"/>
              </w:rPr>
              <w:t>ne</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HCQ permitted but held stable over trial. NSAIDs avoided.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89</w:t>
            </w:r>
            <w:r w:rsidRPr="00EB6B44">
              <w:rPr>
                <w:color w:val="000000"/>
                <w:sz w:val="16"/>
                <w:szCs w:val="16"/>
              </w:rPr>
              <w:br/>
              <w:t>(47;42)</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 xml:space="preserve">Merril  </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(62)</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2010</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2E1550">
            <w:pPr>
              <w:spacing w:after="0" w:afterAutospacing="0" w:line="240" w:lineRule="auto"/>
              <w:rPr>
                <w:color w:val="000000"/>
                <w:sz w:val="16"/>
                <w:szCs w:val="16"/>
              </w:rPr>
            </w:pPr>
            <w:r>
              <w:rPr>
                <w:color w:val="000000"/>
                <w:sz w:val="16"/>
                <w:szCs w:val="16"/>
              </w:rPr>
              <w:t>IIb</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Rituximab</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18, ACR diagnosis, msk, skin or serositis manifestation,  BILAG A or B score</w:t>
            </w:r>
          </w:p>
        </w:tc>
        <w:tc>
          <w:tcPr>
            <w:tcW w:w="2693"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BILAG response</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Prednisone was added for all patients then tapered</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227</w:t>
            </w:r>
            <w:r w:rsidRPr="00EB6B44">
              <w:rPr>
                <w:color w:val="000000"/>
                <w:sz w:val="16"/>
                <w:szCs w:val="16"/>
              </w:rPr>
              <w:br/>
              <w:t>(169;88)</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Navarra</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Pr>
                <w:color w:val="000000"/>
                <w:sz w:val="16"/>
                <w:szCs w:val="16"/>
              </w:rPr>
              <w:fldChar w:fldCharType="separate"/>
            </w:r>
            <w:r w:rsidR="00F12F58">
              <w:rPr>
                <w:color w:val="000000"/>
                <w:sz w:val="16"/>
                <w:szCs w:val="16"/>
              </w:rPr>
              <w:t>(74)</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2011</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III</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Belimumab 1mg</w:t>
            </w:r>
            <w:r w:rsidRPr="00EB6B44">
              <w:rPr>
                <w:color w:val="000000"/>
                <w:sz w:val="16"/>
                <w:szCs w:val="16"/>
              </w:rPr>
              <w:br/>
              <w:t>Belimumab 10mg</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 xml:space="preserve">18, ACR diagnosis, SELENA SLEDAI </w:t>
            </w:r>
            <w:r>
              <w:rPr>
                <w:rFonts w:cs="Times New Roman"/>
                <w:color w:val="000000"/>
                <w:sz w:val="16"/>
                <w:szCs w:val="16"/>
              </w:rPr>
              <w:t>≥</w:t>
            </w:r>
            <w:r>
              <w:rPr>
                <w:color w:val="000000"/>
                <w:sz w:val="16"/>
                <w:szCs w:val="16"/>
              </w:rPr>
              <w:t>6, ANA+, stable prednisone or immunosuppressants.</w:t>
            </w:r>
          </w:p>
        </w:tc>
        <w:tc>
          <w:tcPr>
            <w:tcW w:w="2693" w:type="dxa"/>
            <w:tcBorders>
              <w:top w:val="nil"/>
              <w:bottom w:val="nil"/>
            </w:tcBorders>
          </w:tcPr>
          <w:p w:rsidR="002E1550" w:rsidRPr="00EB6B44" w:rsidRDefault="002E1550" w:rsidP="003E7038">
            <w:pPr>
              <w:spacing w:after="0" w:afterAutospacing="0" w:line="240" w:lineRule="auto"/>
              <w:rPr>
                <w:rFonts w:ascii="Calibri" w:hAnsi="Calibri"/>
                <w:color w:val="000000"/>
                <w:sz w:val="16"/>
                <w:szCs w:val="16"/>
              </w:rPr>
            </w:pPr>
            <w:r w:rsidRPr="00EB6B44">
              <w:rPr>
                <w:rFonts w:ascii="Calibri" w:hAnsi="Calibri"/>
                <w:color w:val="000000"/>
                <w:sz w:val="16"/>
                <w:szCs w:val="16"/>
              </w:rPr>
              <w:t>SLE Responder Index: ≥</w:t>
            </w:r>
            <w:r w:rsidRPr="00EB6B44">
              <w:rPr>
                <w:color w:val="000000"/>
                <w:sz w:val="16"/>
                <w:szCs w:val="16"/>
              </w:rPr>
              <w:t>4 decrease in SSLEDAI, no new  BILAG, no worsening in PGA</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w:t>
            </w:r>
            <w:r w:rsidRPr="00EB6B44">
              <w:rPr>
                <w:color w:val="000000"/>
                <w:sz w:val="16"/>
                <w:szCs w:val="16"/>
              </w:rPr>
              <w:t>mmun</w:t>
            </w:r>
            <w:r>
              <w:rPr>
                <w:color w:val="000000"/>
                <w:sz w:val="16"/>
                <w:szCs w:val="16"/>
              </w:rPr>
              <w:t>osuppressant dose increases allowed</w:t>
            </w:r>
            <w:r w:rsidRPr="00EB6B44">
              <w:rPr>
                <w:color w:val="000000"/>
                <w:sz w:val="16"/>
                <w:szCs w:val="16"/>
              </w:rPr>
              <w:t xml:space="preserve">. </w:t>
            </w:r>
            <w:r>
              <w:rPr>
                <w:color w:val="000000"/>
                <w:sz w:val="16"/>
                <w:szCs w:val="16"/>
              </w:rPr>
              <w:t>Unrestricted steroid dose up to week 24</w:t>
            </w:r>
            <w:r w:rsidRPr="00EB6B44">
              <w:rPr>
                <w:color w:val="000000"/>
                <w:sz w:val="16"/>
                <w:szCs w:val="16"/>
              </w:rPr>
              <w:t>.</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865</w:t>
            </w:r>
            <w:r w:rsidRPr="00EB6B44">
              <w:rPr>
                <w:color w:val="000000"/>
                <w:sz w:val="16"/>
                <w:szCs w:val="16"/>
              </w:rPr>
              <w:br/>
              <w:t>(288;290;287)</w:t>
            </w:r>
          </w:p>
        </w:tc>
        <w:tc>
          <w:tcPr>
            <w:tcW w:w="843" w:type="dxa"/>
            <w:gridSpan w:val="2"/>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12 months</w:t>
            </w:r>
          </w:p>
        </w:tc>
      </w:tr>
      <w:tr w:rsidR="002E1550" w:rsidRPr="00EB6B44" w:rsidTr="002E1550">
        <w:trPr>
          <w:trHeight w:val="20"/>
        </w:trPr>
        <w:tc>
          <w:tcPr>
            <w:tcW w:w="759" w:type="dxa"/>
            <w:tcBorders>
              <w:top w:val="nil"/>
              <w:bottom w:val="nil"/>
            </w:tcBorders>
          </w:tcPr>
          <w:p w:rsidR="002E1550" w:rsidRDefault="002E1550" w:rsidP="00470169">
            <w:pPr>
              <w:spacing w:after="0" w:afterAutospacing="0" w:line="240" w:lineRule="auto"/>
              <w:rPr>
                <w:color w:val="000000"/>
                <w:sz w:val="16"/>
                <w:szCs w:val="16"/>
              </w:rPr>
            </w:pPr>
            <w:r w:rsidRPr="004F678A">
              <w:rPr>
                <w:color w:val="000000"/>
                <w:sz w:val="16"/>
                <w:szCs w:val="16"/>
              </w:rPr>
              <w:t>Furie</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(75)</w:t>
            </w:r>
            <w:r>
              <w:rPr>
                <w:color w:val="000000"/>
                <w:sz w:val="16"/>
                <w:szCs w:val="16"/>
              </w:rPr>
              <w:fldChar w:fldCharType="end"/>
            </w:r>
          </w:p>
        </w:tc>
        <w:tc>
          <w:tcPr>
            <w:tcW w:w="403" w:type="dxa"/>
            <w:tcBorders>
              <w:top w:val="nil"/>
              <w:bottom w:val="nil"/>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2011</w:t>
            </w:r>
          </w:p>
        </w:tc>
        <w:tc>
          <w:tcPr>
            <w:tcW w:w="70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III</w:t>
            </w:r>
          </w:p>
        </w:tc>
        <w:tc>
          <w:tcPr>
            <w:tcW w:w="1559"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Belimumab 1mg</w:t>
            </w:r>
            <w:r w:rsidRPr="00EB6B44">
              <w:rPr>
                <w:color w:val="000000"/>
                <w:sz w:val="16"/>
                <w:szCs w:val="16"/>
              </w:rPr>
              <w:br/>
              <w:t>Belimumab 10mg</w:t>
            </w:r>
            <w:r w:rsidRPr="00EB6B44">
              <w:rPr>
                <w:color w:val="000000"/>
                <w:sz w:val="16"/>
                <w:szCs w:val="16"/>
              </w:rPr>
              <w:br/>
              <w:t>Placebo</w:t>
            </w:r>
          </w:p>
        </w:tc>
        <w:tc>
          <w:tcPr>
            <w:tcW w:w="3119"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 xml:space="preserve">18, ACR diagnosis, SELENA SLEDAI </w:t>
            </w:r>
            <w:r>
              <w:rPr>
                <w:rFonts w:cs="Times New Roman"/>
                <w:color w:val="000000"/>
                <w:sz w:val="16"/>
                <w:szCs w:val="16"/>
              </w:rPr>
              <w:t>≥</w:t>
            </w:r>
            <w:r>
              <w:rPr>
                <w:color w:val="000000"/>
                <w:sz w:val="16"/>
                <w:szCs w:val="16"/>
              </w:rPr>
              <w:t>6, ANA+, stable prednisone or immunosuppressants.</w:t>
            </w:r>
          </w:p>
        </w:tc>
        <w:tc>
          <w:tcPr>
            <w:tcW w:w="2693" w:type="dxa"/>
            <w:tcBorders>
              <w:top w:val="nil"/>
              <w:bottom w:val="nil"/>
            </w:tcBorders>
          </w:tcPr>
          <w:p w:rsidR="002E1550" w:rsidRPr="00EB6B44" w:rsidRDefault="002E1550" w:rsidP="003E7038">
            <w:pPr>
              <w:spacing w:after="0" w:afterAutospacing="0" w:line="240" w:lineRule="auto"/>
              <w:rPr>
                <w:rFonts w:ascii="Calibri" w:hAnsi="Calibri"/>
                <w:color w:val="000000"/>
                <w:sz w:val="16"/>
                <w:szCs w:val="16"/>
              </w:rPr>
            </w:pPr>
            <w:r w:rsidRPr="00EB6B44">
              <w:rPr>
                <w:rFonts w:ascii="Calibri" w:hAnsi="Calibri"/>
                <w:color w:val="000000"/>
                <w:sz w:val="16"/>
                <w:szCs w:val="16"/>
              </w:rPr>
              <w:t>SLE Responder Index: ≥</w:t>
            </w:r>
            <w:r w:rsidRPr="00EB6B44">
              <w:rPr>
                <w:color w:val="000000"/>
                <w:sz w:val="16"/>
                <w:szCs w:val="16"/>
              </w:rPr>
              <w:t>4 decrease in SSLEDAI, no new  BILAG, no worsening in PGA</w:t>
            </w:r>
          </w:p>
        </w:tc>
        <w:tc>
          <w:tcPr>
            <w:tcW w:w="2324" w:type="dxa"/>
            <w:tcBorders>
              <w:top w:val="nil"/>
              <w:bottom w:val="nil"/>
            </w:tcBorders>
          </w:tcPr>
          <w:p w:rsidR="002E1550" w:rsidRPr="00EB6B44" w:rsidRDefault="002E1550" w:rsidP="003E7038">
            <w:pPr>
              <w:spacing w:after="0" w:afterAutospacing="0" w:line="240" w:lineRule="auto"/>
              <w:rPr>
                <w:color w:val="000000"/>
                <w:sz w:val="16"/>
                <w:szCs w:val="16"/>
              </w:rPr>
            </w:pPr>
            <w:r>
              <w:rPr>
                <w:color w:val="000000"/>
                <w:sz w:val="16"/>
                <w:szCs w:val="16"/>
              </w:rPr>
              <w:t>I</w:t>
            </w:r>
            <w:r w:rsidRPr="00EB6B44">
              <w:rPr>
                <w:color w:val="000000"/>
                <w:sz w:val="16"/>
                <w:szCs w:val="16"/>
              </w:rPr>
              <w:t>mmun</w:t>
            </w:r>
            <w:r>
              <w:rPr>
                <w:color w:val="000000"/>
                <w:sz w:val="16"/>
                <w:szCs w:val="16"/>
              </w:rPr>
              <w:t>osuppressant dose increases allowed</w:t>
            </w:r>
            <w:r w:rsidRPr="00EB6B44">
              <w:rPr>
                <w:color w:val="000000"/>
                <w:sz w:val="16"/>
                <w:szCs w:val="16"/>
              </w:rPr>
              <w:t xml:space="preserve">. </w:t>
            </w:r>
            <w:r>
              <w:rPr>
                <w:color w:val="000000"/>
                <w:sz w:val="16"/>
                <w:szCs w:val="16"/>
              </w:rPr>
              <w:t>Unrestricted steroid dose up to week 24</w:t>
            </w:r>
            <w:r w:rsidRPr="00EB6B44">
              <w:rPr>
                <w:color w:val="000000"/>
                <w:sz w:val="16"/>
                <w:szCs w:val="16"/>
              </w:rPr>
              <w:t>.</w:t>
            </w:r>
          </w:p>
        </w:tc>
        <w:tc>
          <w:tcPr>
            <w:tcW w:w="842" w:type="dxa"/>
            <w:tcBorders>
              <w:top w:val="nil"/>
              <w:bottom w:val="nil"/>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819</w:t>
            </w:r>
            <w:r w:rsidRPr="00EB6B44">
              <w:rPr>
                <w:color w:val="000000"/>
                <w:sz w:val="16"/>
                <w:szCs w:val="16"/>
              </w:rPr>
              <w:br/>
              <w:t>(275;271;273)</w:t>
            </w:r>
          </w:p>
        </w:tc>
        <w:tc>
          <w:tcPr>
            <w:tcW w:w="843" w:type="dxa"/>
            <w:gridSpan w:val="2"/>
            <w:tcBorders>
              <w:top w:val="nil"/>
              <w:bottom w:val="nil"/>
            </w:tcBorders>
          </w:tcPr>
          <w:p w:rsidR="002E1550" w:rsidRPr="00EB6B44" w:rsidRDefault="002E1550" w:rsidP="00B9358A">
            <w:pPr>
              <w:spacing w:after="0" w:afterAutospacing="0" w:line="240" w:lineRule="auto"/>
              <w:rPr>
                <w:color w:val="000000"/>
                <w:sz w:val="16"/>
                <w:szCs w:val="16"/>
              </w:rPr>
            </w:pPr>
            <w:r w:rsidRPr="00EB6B44">
              <w:rPr>
                <w:color w:val="000000"/>
                <w:sz w:val="16"/>
                <w:szCs w:val="16"/>
              </w:rPr>
              <w:t>1</w:t>
            </w:r>
            <w:r>
              <w:rPr>
                <w:color w:val="000000"/>
                <w:sz w:val="16"/>
                <w:szCs w:val="16"/>
              </w:rPr>
              <w:t>8</w:t>
            </w:r>
            <w:r w:rsidRPr="00EB6B44">
              <w:rPr>
                <w:color w:val="000000"/>
                <w:sz w:val="16"/>
                <w:szCs w:val="16"/>
              </w:rPr>
              <w:t xml:space="preserve"> months</w:t>
            </w:r>
          </w:p>
        </w:tc>
      </w:tr>
      <w:tr w:rsidR="002E1550" w:rsidRPr="00EB6B44" w:rsidTr="002E1550">
        <w:trPr>
          <w:trHeight w:val="20"/>
        </w:trPr>
        <w:tc>
          <w:tcPr>
            <w:tcW w:w="759" w:type="dxa"/>
            <w:tcBorders>
              <w:top w:val="nil"/>
              <w:bottom w:val="single" w:sz="4" w:space="0" w:color="auto"/>
            </w:tcBorders>
          </w:tcPr>
          <w:p w:rsidR="002E1550" w:rsidRDefault="002E1550" w:rsidP="00470169">
            <w:pPr>
              <w:spacing w:after="0" w:afterAutospacing="0" w:line="240" w:lineRule="auto"/>
              <w:rPr>
                <w:color w:val="000000"/>
                <w:sz w:val="16"/>
                <w:szCs w:val="16"/>
              </w:rPr>
            </w:pPr>
            <w:r w:rsidRPr="004F678A">
              <w:rPr>
                <w:color w:val="000000"/>
                <w:sz w:val="16"/>
                <w:szCs w:val="16"/>
              </w:rPr>
              <w:t>Merrill</w:t>
            </w:r>
          </w:p>
          <w:p w:rsidR="002E1550"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&lt;Refman&gt;&lt;Cite&gt;&lt;Author&gt;Merrill&lt;/Author&gt;&lt;Year&gt;2011&lt;/Year&gt;&lt;RecNum&gt;1640&lt;/RecNum&gt;&lt;IDText&gt;Safety profile and clinical activity of sifalimumab, a fully human anti-interferon alpha monoclonal antibody, in systemic lupus erythematosus: a phase I, multicentre, double-blind randomised study&lt;/IDText&gt;&lt;MDL Ref_Type="Journal"&gt;&lt;Ref_Type&gt;Journal&lt;/Ref_Type&gt;&lt;Ref_ID&gt;1640&lt;/Ref_ID&gt;&lt;Title_Primary&gt;Safety profile and clinical activity of sifalimumab, a fully human anti-interferon alpha monoclonal antibody, in systemic lupus erythematosus: a phase I, multicentre, double-blind randomised study&lt;/Title_Primary&gt;&lt;Authors_Primary&gt;Merrill,J.T.&lt;/Authors_Primary&gt;&lt;Authors_Primary&gt;Wallace,D.J.&lt;/Authors_Primary&gt;&lt;Authors_Primary&gt;Petri,M.&lt;/Authors_Primary&gt;&lt;Authors_Primary&gt;Kirou,K.A.&lt;/Authors_Primary&gt;&lt;Authors_Primary&gt;Yao,Y.&lt;/Authors_Primary&gt;&lt;Authors_Primary&gt;White,W.I.&lt;/Authors_Primary&gt;&lt;Authors_Primary&gt;Robbie,G.&lt;/Authors_Primary&gt;&lt;Authors_Primary&gt;Levin,R.&lt;/Authors_Primary&gt;&lt;Authors_Primary&gt;Berney,S.M.&lt;/Authors_Primary&gt;&lt;Authors_Primary&gt;Chindalore,V.&lt;/Authors_Primary&gt;&lt;Authors_Primary&gt;Olsen,N.&lt;/Authors_Primary&gt;&lt;Authors_Primary&gt;Richman,L.&lt;/Authors_Primary&gt;&lt;Authors_Primary&gt;Le,C.&lt;/Authors_Primary&gt;&lt;Authors_Primary&gt;Jallal,B.&lt;/Authors_Primary&gt;&lt;Authors_Primary&gt;White,B.&lt;/Authors_Primary&gt;&lt;Date_Primary&gt;2011/11&lt;/Date_Primary&gt;&lt;Keywords&gt;administration &amp;amp; dosage&lt;/Keywords&gt;&lt;Keywords&gt;Adult&lt;/Keywords&gt;&lt;Keywords&gt;adverse effects&lt;/Keywords&gt;&lt;Keywords&gt;Aged&lt;/Keywords&gt;&lt;Keywords&gt;Aged,80 and over&lt;/Keywords&gt;&lt;Keywords&gt;antagonists &amp;amp; inhibitors&lt;/Keywords&gt;&lt;Keywords&gt;Antibodies&lt;/Keywords&gt;&lt;Keywords&gt;Antibodies,Monoclonal&lt;/Keywords&gt;&lt;Keywords&gt;biosynthesis&lt;/Keywords&gt;&lt;Keywords&gt;blood&lt;/Keywords&gt;&lt;Keywords&gt;Disease&lt;/Keywords&gt;&lt;Keywords&gt;disease activity&lt;/Keywords&gt;&lt;Keywords&gt;disease activity index&lt;/Keywords&gt;&lt;Keywords&gt;Dose-Response Relationship,Drug&lt;/Keywords&gt;&lt;Keywords&gt;Double-Blind Method&lt;/Keywords&gt;&lt;Keywords&gt;drug effects&lt;/Keywords&gt;&lt;Keywords&gt;drug therapy&lt;/Keywords&gt;&lt;Keywords&gt;erythematosus&lt;/Keywords&gt;&lt;Keywords&gt;Female&lt;/Keywords&gt;&lt;Keywords&gt;Gene Expression Regulation&lt;/Keywords&gt;&lt;Keywords&gt;genetics&lt;/Keywords&gt;&lt;Keywords&gt;human&lt;/Keywords&gt;&lt;Keywords&gt;Humans&lt;/Keywords&gt;&lt;Keywords&gt;immunogenicity&lt;/Keywords&gt;&lt;Keywords&gt;immunology&lt;/Keywords&gt;&lt;Keywords&gt;Immunosuppressive Agents&lt;/Keywords&gt;&lt;Keywords&gt;Infection&lt;/Keywords&gt;&lt;Keywords&gt;Injections,Intravenous&lt;/Keywords&gt;&lt;Keywords&gt;Interferon Type I&lt;/Keywords&gt;&lt;Keywords&gt;Interferon-alpha&lt;/Keywords&gt;&lt;Keywords&gt;lupus erythematosus&lt;/Keywords&gt;&lt;Keywords&gt;Lupus Erythematosus,Systemic&lt;/Keywords&gt;&lt;Keywords&gt;Male&lt;/Keywords&gt;&lt;Keywords&gt;medical research&lt;/Keywords&gt;&lt;Keywords&gt;methods&lt;/Keywords&gt;&lt;Keywords&gt;Middle Aged&lt;/Keywords&gt;&lt;Keywords&gt;pathogenesis&lt;/Keywords&gt;&lt;Keywords&gt;pharmacology&lt;/Keywords&gt;&lt;Keywords&gt;placebo&lt;/Keywords&gt;&lt;Keywords&gt;Research&lt;/Keywords&gt;&lt;Keywords&gt;RNA,Messenger&lt;/Keywords&gt;&lt;Keywords&gt;safety&lt;/Keywords&gt;&lt;Keywords&gt;Severity of Illness Index&lt;/Keywords&gt;&lt;Keywords&gt;Skin&lt;/Keywords&gt;&lt;Keywords&gt;systemic lupus erythematosus&lt;/Keywords&gt;&lt;Keywords&gt;systemic lupus erythematosus disease activity index&lt;/Keywords&gt;&lt;Keywords&gt;therapeutic use&lt;/Keywords&gt;&lt;Keywords&gt;Treatment Outcome&lt;/Keywords&gt;&lt;Keywords&gt;trends&lt;/Keywords&gt;&lt;Keywords&gt;Young Adult&lt;/Keywords&gt;&lt;Reprint&gt;Not in File&lt;/Reprint&gt;&lt;Start_Page&gt;1905&lt;/Start_Page&gt;&lt;End_Page&gt;1913&lt;/End_Page&gt;&lt;Periodical&gt;Ann.Rheum.Dis.&lt;/Periodical&gt;&lt;Volume&gt;70&lt;/Volume&gt;&lt;Issue&gt;11&lt;/Issue&gt;&lt;ZZ_JournalStdAbbrev&gt;&lt;f name="System"&gt;Ann.Rheum.Dis.&lt;/f&gt;&lt;/ZZ_JournalStdAbbrev&gt;&lt;ZZ_WorkformID&gt;1&lt;/ZZ_WorkformID&gt;&lt;/MDL&gt;&lt;/Cite&gt;&lt;/Refman&gt;</w:instrText>
            </w:r>
            <w:r>
              <w:rPr>
                <w:color w:val="000000"/>
                <w:sz w:val="16"/>
                <w:szCs w:val="16"/>
              </w:rPr>
              <w:fldChar w:fldCharType="separate"/>
            </w:r>
            <w:r w:rsidR="00F12F58">
              <w:rPr>
                <w:color w:val="000000"/>
                <w:sz w:val="16"/>
                <w:szCs w:val="16"/>
              </w:rPr>
              <w:t>(76)</w:t>
            </w:r>
            <w:r>
              <w:rPr>
                <w:color w:val="000000"/>
                <w:sz w:val="16"/>
                <w:szCs w:val="16"/>
              </w:rPr>
              <w:fldChar w:fldCharType="end"/>
            </w:r>
          </w:p>
        </w:tc>
        <w:tc>
          <w:tcPr>
            <w:tcW w:w="403" w:type="dxa"/>
            <w:tcBorders>
              <w:top w:val="nil"/>
              <w:bottom w:val="single" w:sz="4" w:space="0" w:color="auto"/>
            </w:tcBorders>
          </w:tcPr>
          <w:p w:rsidR="002E1550" w:rsidRPr="00EB6B44" w:rsidRDefault="002E1550" w:rsidP="003E7038">
            <w:pPr>
              <w:spacing w:after="0" w:afterAutospacing="0" w:line="240" w:lineRule="auto"/>
              <w:jc w:val="right"/>
              <w:rPr>
                <w:color w:val="000000"/>
                <w:sz w:val="16"/>
                <w:szCs w:val="16"/>
              </w:rPr>
            </w:pPr>
            <w:r w:rsidRPr="00EB6B44">
              <w:rPr>
                <w:color w:val="000000"/>
                <w:sz w:val="16"/>
                <w:szCs w:val="16"/>
              </w:rPr>
              <w:t>2011</w:t>
            </w:r>
          </w:p>
        </w:tc>
        <w:tc>
          <w:tcPr>
            <w:tcW w:w="709"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Pr>
                <w:color w:val="000000"/>
                <w:sz w:val="16"/>
                <w:szCs w:val="16"/>
              </w:rPr>
              <w:t>Pharma</w:t>
            </w:r>
          </w:p>
        </w:tc>
        <w:tc>
          <w:tcPr>
            <w:tcW w:w="567"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Pr>
                <w:color w:val="000000"/>
                <w:sz w:val="16"/>
                <w:szCs w:val="16"/>
              </w:rPr>
              <w:t>I</w:t>
            </w:r>
          </w:p>
        </w:tc>
        <w:tc>
          <w:tcPr>
            <w:tcW w:w="1559"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Sifalimumab</w:t>
            </w:r>
            <w:r w:rsidRPr="00EB6B44">
              <w:rPr>
                <w:color w:val="000000"/>
                <w:sz w:val="16"/>
                <w:szCs w:val="16"/>
              </w:rPr>
              <w:br/>
              <w:t>Placebo</w:t>
            </w:r>
          </w:p>
        </w:tc>
        <w:tc>
          <w:tcPr>
            <w:tcW w:w="3119"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Pr>
                <w:color w:val="000000"/>
                <w:sz w:val="16"/>
                <w:szCs w:val="16"/>
              </w:rPr>
              <w:t xml:space="preserve">Age </w:t>
            </w:r>
            <w:r>
              <w:rPr>
                <w:rFonts w:cs="Times New Roman"/>
                <w:color w:val="000000"/>
                <w:sz w:val="16"/>
                <w:szCs w:val="16"/>
              </w:rPr>
              <w:t>≥</w:t>
            </w:r>
            <w:r>
              <w:rPr>
                <w:color w:val="000000"/>
                <w:sz w:val="16"/>
                <w:szCs w:val="16"/>
              </w:rPr>
              <w:t>18, ACR diagnosis</w:t>
            </w:r>
          </w:p>
        </w:tc>
        <w:tc>
          <w:tcPr>
            <w:tcW w:w="2693"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SLE Responder Index: ≥4 decrease in SSLEDAI, no new  BILAG, no worsening in PGA</w:t>
            </w:r>
          </w:p>
        </w:tc>
        <w:tc>
          <w:tcPr>
            <w:tcW w:w="2324"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Other treatments were permitted if the regimen was unchanged during the 28 days before randomisation.</w:t>
            </w:r>
          </w:p>
        </w:tc>
        <w:tc>
          <w:tcPr>
            <w:tcW w:w="842" w:type="dxa"/>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sidRPr="00EB6B44">
              <w:rPr>
                <w:color w:val="000000"/>
                <w:sz w:val="16"/>
                <w:szCs w:val="16"/>
              </w:rPr>
              <w:t>50</w:t>
            </w:r>
            <w:r w:rsidRPr="00EB6B44">
              <w:rPr>
                <w:color w:val="000000"/>
                <w:sz w:val="16"/>
                <w:szCs w:val="16"/>
              </w:rPr>
              <w:br/>
              <w:t>(33:17)</w:t>
            </w:r>
          </w:p>
        </w:tc>
        <w:tc>
          <w:tcPr>
            <w:tcW w:w="843" w:type="dxa"/>
            <w:gridSpan w:val="2"/>
            <w:tcBorders>
              <w:top w:val="nil"/>
              <w:bottom w:val="single" w:sz="4" w:space="0" w:color="auto"/>
            </w:tcBorders>
          </w:tcPr>
          <w:p w:rsidR="002E1550" w:rsidRPr="00EB6B44" w:rsidRDefault="002E1550" w:rsidP="003E7038">
            <w:pPr>
              <w:spacing w:after="0" w:afterAutospacing="0" w:line="240" w:lineRule="auto"/>
              <w:rPr>
                <w:color w:val="000000"/>
                <w:sz w:val="16"/>
                <w:szCs w:val="16"/>
              </w:rPr>
            </w:pPr>
            <w:r>
              <w:rPr>
                <w:color w:val="000000"/>
                <w:sz w:val="16"/>
                <w:szCs w:val="16"/>
              </w:rPr>
              <w:t>3 months</w:t>
            </w:r>
          </w:p>
        </w:tc>
      </w:tr>
      <w:tr w:rsidR="002E1550" w:rsidRPr="00EB6B44" w:rsidTr="002E1550">
        <w:trPr>
          <w:gridAfter w:val="1"/>
          <w:wAfter w:w="465" w:type="dxa"/>
          <w:trHeight w:val="20"/>
        </w:trPr>
        <w:tc>
          <w:tcPr>
            <w:tcW w:w="13353" w:type="dxa"/>
            <w:gridSpan w:val="10"/>
            <w:tcBorders>
              <w:top w:val="single" w:sz="4" w:space="0" w:color="auto"/>
              <w:bottom w:val="single" w:sz="12" w:space="0" w:color="auto"/>
            </w:tcBorders>
          </w:tcPr>
          <w:p w:rsidR="002E1550" w:rsidRPr="00EB6B44" w:rsidRDefault="002E1550" w:rsidP="008912D1">
            <w:pPr>
              <w:pStyle w:val="ListParagraph1"/>
              <w:jc w:val="both"/>
              <w:rPr>
                <w:rStyle w:val="IntenseEmphasis"/>
                <w:b w:val="0"/>
                <w:bCs w:val="0"/>
                <w:caps w:val="0"/>
                <w:color w:val="auto"/>
                <w:spacing w:val="0"/>
                <w:sz w:val="16"/>
                <w:szCs w:val="16"/>
              </w:rPr>
            </w:pPr>
            <w:r w:rsidRPr="00EB6B44">
              <w:rPr>
                <w:rStyle w:val="IntenseEmphasis"/>
                <w:b w:val="0"/>
                <w:bCs w:val="0"/>
                <w:caps w:val="0"/>
                <w:color w:val="auto"/>
                <w:spacing w:val="0"/>
                <w:sz w:val="16"/>
                <w:szCs w:val="16"/>
              </w:rPr>
              <w:t xml:space="preserve">ACR=American College of Rheumatology; SLE= Systemic Lupus Erythematosus. 1 assumed to be mean change in SLEDAI. </w:t>
            </w:r>
            <w:r>
              <w:rPr>
                <w:rStyle w:val="IntenseEmphasis"/>
                <w:b w:val="0"/>
                <w:bCs w:val="0"/>
                <w:caps w:val="0"/>
                <w:color w:val="auto"/>
                <w:spacing w:val="0"/>
                <w:sz w:val="16"/>
                <w:szCs w:val="16"/>
              </w:rPr>
              <w:t>AZA azathioprine; SLAM Systemic Lupus Activity Measure records</w:t>
            </w:r>
            <w:r w:rsidRPr="005613E7">
              <w:rPr>
                <w:rStyle w:val="IntenseEmphasis"/>
                <w:b w:val="0"/>
                <w:bCs w:val="0"/>
                <w:caps w:val="0"/>
                <w:color w:val="auto"/>
                <w:spacing w:val="0"/>
                <w:sz w:val="16"/>
                <w:szCs w:val="16"/>
              </w:rPr>
              <w:t xml:space="preserve"> disease activity</w:t>
            </w:r>
            <w:r>
              <w:rPr>
                <w:rStyle w:val="IntenseEmphasis"/>
                <w:b w:val="0"/>
                <w:bCs w:val="0"/>
                <w:caps w:val="0"/>
                <w:color w:val="auto"/>
                <w:spacing w:val="0"/>
                <w:sz w:val="16"/>
                <w:szCs w:val="16"/>
              </w:rPr>
              <w:t xml:space="preserve"> in </w:t>
            </w:r>
            <w:r w:rsidRPr="005613E7">
              <w:rPr>
                <w:rStyle w:val="IntenseEmphasis"/>
                <w:b w:val="0"/>
                <w:bCs w:val="0"/>
                <w:caps w:val="0"/>
                <w:color w:val="auto"/>
                <w:spacing w:val="0"/>
                <w:sz w:val="16"/>
                <w:szCs w:val="16"/>
              </w:rPr>
              <w:t xml:space="preserve">11 organ </w:t>
            </w:r>
            <w:r>
              <w:rPr>
                <w:rStyle w:val="IntenseEmphasis"/>
                <w:b w:val="0"/>
                <w:bCs w:val="0"/>
                <w:caps w:val="0"/>
                <w:color w:val="auto"/>
                <w:spacing w:val="0"/>
                <w:sz w:val="16"/>
                <w:szCs w:val="16"/>
              </w:rPr>
              <w:t xml:space="preserve">systems and 8 laboratory tests </w:t>
            </w:r>
            <w:r w:rsidRPr="005613E7">
              <w:rPr>
                <w:rStyle w:val="IntenseEmphasis"/>
                <w:b w:val="0"/>
                <w:bCs w:val="0"/>
                <w:caps w:val="0"/>
                <w:color w:val="auto"/>
                <w:spacing w:val="0"/>
                <w:sz w:val="16"/>
                <w:szCs w:val="16"/>
              </w:rPr>
              <w:t>in the last month. Each symptom is weighted by severity.</w:t>
            </w:r>
          </w:p>
        </w:tc>
      </w:tr>
    </w:tbl>
    <w:p w:rsidR="009A00B2" w:rsidRDefault="009A00B2" w:rsidP="009A00B2"/>
    <w:p w:rsidR="009A00B2" w:rsidRDefault="009A00B2" w:rsidP="009A00B2">
      <w:pPr>
        <w:sectPr w:rsidR="009A00B2" w:rsidSect="006A3B1E">
          <w:pgSz w:w="16838" w:h="11906" w:orient="landscape"/>
          <w:pgMar w:top="1440" w:right="1440" w:bottom="1440" w:left="2268" w:header="708" w:footer="708" w:gutter="0"/>
          <w:cols w:space="708"/>
          <w:docGrid w:linePitch="360"/>
        </w:sectPr>
      </w:pPr>
    </w:p>
    <w:p w:rsidR="009A00B2" w:rsidRDefault="006B33E3" w:rsidP="002E1550">
      <w:r>
        <w:t>Eight clinical trial guidelines for SLE were identified</w:t>
      </w:r>
      <w:r w:rsidR="002E1550">
        <w:t xml:space="preserve"> using the search strategy described in Section </w:t>
      </w:r>
      <w:r w:rsidR="00E729BA">
        <w:fldChar w:fldCharType="begin"/>
      </w:r>
      <w:r w:rsidR="002E1550">
        <w:instrText xml:space="preserve"> REF _Ref376257669 \n \h </w:instrText>
      </w:r>
      <w:r w:rsidR="00E729BA">
        <w:fldChar w:fldCharType="separate"/>
      </w:r>
      <w:r w:rsidR="004911B7">
        <w:rPr>
          <w:cs/>
        </w:rPr>
        <w:t>‎</w:t>
      </w:r>
      <w:r w:rsidR="004911B7">
        <w:t>2.1.1</w:t>
      </w:r>
      <w:r w:rsidR="00E729BA">
        <w:fldChar w:fldCharType="end"/>
      </w:r>
      <w:r w:rsidR="009A00B2">
        <w:t xml:space="preserve">. </w:t>
      </w:r>
      <w:r w:rsidR="00E729BA">
        <w:fldChar w:fldCharType="begin"/>
      </w:r>
      <w:r w:rsidR="003E7038">
        <w:instrText xml:space="preserve"> REF _Ref337130847 \h </w:instrText>
      </w:r>
      <w:r w:rsidR="00E729BA">
        <w:fldChar w:fldCharType="separate"/>
      </w:r>
      <w:r w:rsidR="004911B7">
        <w:t xml:space="preserve">Table </w:t>
      </w:r>
      <w:r w:rsidR="004911B7">
        <w:rPr>
          <w:noProof/>
        </w:rPr>
        <w:t>3</w:t>
      </w:r>
      <w:r w:rsidR="00E729BA">
        <w:fldChar w:fldCharType="end"/>
      </w:r>
      <w:r w:rsidR="003E7038">
        <w:t xml:space="preserve"> describes the title and organisations responsible for the guidelines. </w:t>
      </w:r>
      <w:r w:rsidR="002E1550">
        <w:t xml:space="preserve">The guidelines varied in scope of clinical trial design features. Most covered a broad range of design features, whereas others focussed on trial endpoints only </w:t>
      </w:r>
      <w:r w:rsidR="00E729BA">
        <w:fldChar w:fldCharType="begin"/>
      </w:r>
      <w:r w:rsidR="00FC61FD">
        <w:instrText xml:space="preserve"> ADDIN REFMGR.CITE &lt;Refman&gt;&lt;Cite&gt;&lt;Author&gt;Bertsias&lt;/Author&gt;&lt;Year&gt;2008&lt;/Year&gt;&lt;RecNum&gt;2&lt;/RecNum&gt;&lt;IDText&gt;Clinical trials in systemic lupus erythematosus (SLE): lessons from the past as we proceed to the future--the EULAR recommendations for the management of SLE and the use of end-points in clinical trials&lt;/IDText&gt;&lt;MDL Ref_Type="Journal"&gt;&lt;Ref_Type&gt;Journal&lt;/Ref_Type&gt;&lt;Ref_ID&gt;2&lt;/Ref_ID&gt;&lt;Title_Primary&gt;Clinical trials in systemic lupus erythematosus (SLE): lessons from the past as we proceed to the future--the EULAR recommendations for the management of SLE and the use of end-points in clinical trials&lt;/Title_Primary&gt;&lt;Authors_Primary&gt;Bertsias,G.&lt;/Authors_Primary&gt;&lt;Authors_Primary&gt;Gordon,C.&lt;/Authors_Primary&gt;&lt;Authors_Primary&gt;Boumpas,D.T.&lt;/Authors_Primary&gt;&lt;Date_Primary&gt;2008&lt;/Date_Primary&gt;&lt;Keywords&gt;Arthritis,Rheumatoid&lt;/Keywords&gt;&lt;Keywords&gt;Clinical Trials as Topic&lt;/Keywords&gt;&lt;Keywords&gt;Europe&lt;/Keywords&gt;&lt;Keywords&gt;genetics&lt;/Keywords&gt;&lt;Keywords&gt;Health Planning Guidelines&lt;/Keywords&gt;&lt;Keywords&gt;Humans&lt;/Keywords&gt;&lt;Keywords&gt;immunology&lt;/Keywords&gt;&lt;Keywords&gt;Lupus Erythematosus,Systemic&lt;/Keywords&gt;&lt;Keywords&gt;metabolism&lt;/Keywords&gt;&lt;Keywords&gt;Quality of Life&lt;/Keywords&gt;&lt;Keywords&gt;Societies,Medical&lt;/Keywords&gt;&lt;Keywords&gt;therapy&lt;/Keywords&gt;&lt;Reprint&gt;Not in File&lt;/Reprint&gt;&lt;Start_Page&gt;437&lt;/Start_Page&gt;&lt;End_Page&gt;442&lt;/End_Page&gt;&lt;Periodical&gt;Lupus.&lt;/Periodical&gt;&lt;Volume&gt;17&lt;/Volume&gt;&lt;Issue&gt;5&lt;/Issue&gt;&lt;ZZ_JournalStdAbbrev&gt;&lt;f name="System"&gt;Lupus.&lt;/f&gt;&lt;/ZZ_JournalStdAbbrev&gt;&lt;ZZ_WorkformID&gt;1&lt;/ZZ_WorkformID&gt;&lt;/MDL&gt;&lt;/Cite&gt;&lt;Cite&gt;&lt;Author&gt;Strand&lt;/Author&gt;&lt;Year&gt;2000&lt;/Year&gt;&lt;RecNum&gt;6&lt;/RecNum&gt;&lt;IDText&gt;Endpoints: consensus recommendations from OMERACT IV. Outcome Measures in Rheumatology&lt;/IDText&gt;&lt;MDL Ref_Type="Journal"&gt;&lt;Ref_Type&gt;Journal&lt;/Ref_Type&gt;&lt;Ref_ID&gt;6&lt;/Ref_ID&gt;&lt;Title_Primary&gt;Endpoints: consensus recommendations from OMERACT IV. Outcome Measures in Rheumatology&lt;/Title_Primary&gt;&lt;Authors_Primary&gt;Strand,V.&lt;/Authors_Primary&gt;&lt;Authors_Primary&gt;Gladman,D.&lt;/Authors_Primary&gt;&lt;Authors_Primary&gt;Isenberg,D.&lt;/Authors_Primary&gt;&lt;Authors_Primary&gt;Petri,M.&lt;/Authors_Primary&gt;&lt;Authors_Primary&gt;Smolen,J.&lt;/Authors_Primary&gt;&lt;Authors_Primary&gt;Tugwell,P.&lt;/Authors_Primary&gt;&lt;Date_Primary&gt;2000&lt;/Date_Primary&gt;&lt;Keywords&gt;Clinical Trials as Topic&lt;/Keywords&gt;&lt;Keywords&gt;Humans&lt;/Keywords&gt;&lt;Keywords&gt;immunology&lt;/Keywords&gt;&lt;Keywords&gt;Lupus Erythematosus,Systemic&lt;/Keywords&gt;&lt;Keywords&gt;physiopathology&lt;/Keywords&gt;&lt;Keywords&gt;Quality of Life&lt;/Keywords&gt;&lt;Keywords&gt;standards&lt;/Keywords&gt;&lt;Keywords&gt;therapy&lt;/Keywords&gt;&lt;Reprint&gt;Not in File&lt;/Reprint&gt;&lt;Start_Page&gt;322&lt;/Start_Page&gt;&lt;End_Page&gt;327&lt;/End_Page&gt;&lt;Periodical&gt;Lupus.&lt;/Periodical&gt;&lt;Volume&gt;9&lt;/Volume&gt;&lt;Issue&gt;5&lt;/Issue&gt;&lt;ZZ_JournalStdAbbrev&gt;&lt;f name="System"&gt;Lupus.&lt;/f&gt;&lt;/ZZ_JournalStdAbbrev&gt;&lt;ZZ_WorkformID&gt;1&lt;/ZZ_WorkformID&gt;&lt;/MDL&gt;&lt;/Cite&gt;&lt;Cite&gt;&lt;Author&gt;Bertsias&lt;/Author&gt;&lt;Year&gt;2009&lt;/Year&gt;&lt;RecNum&gt;1&lt;/RecNum&gt;&lt;IDText&gt;EULAR points to consider for conducting clinical trials in systemic lupus erythematosus: literature based evidence for the selection of endpoints&lt;/IDText&gt;&lt;MDL Ref_Type="Journal"&gt;&lt;Ref_Type&gt;Journal&lt;/Ref_Type&gt;&lt;Ref_ID&gt;1&lt;/Ref_ID&gt;&lt;Title_Primary&gt;EULAR points to consider for conducting clinical trials in systemic lupus erythematosus: literature based evidence for the selection of endpoints&lt;/Title_Primary&gt;&lt;Authors_Primary&gt;Bertsias,G.K.&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lt;/Authors_Primary&gt;&lt;Authors_Primary&gt;Isenberg,D.&lt;/Authors_Primary&gt;&lt;Authors_Primary&gt;Kallenberg,C.G.&lt;/Authors_Primary&gt;&lt;Authors_Primary&gt;Khamashta,M.&lt;/Authors_Primary&gt;&lt;Authors_Primary&gt;Piette,J.C.&lt;/Authors_Primary&gt;&lt;Authors_Primary&gt;Schneider,M.&lt;/Authors_Primary&gt;&lt;Authors_Primary&gt;Smolen,J.&lt;/Authors_Primary&gt;&lt;Authors_Primary&gt;Sturfelt,G.&lt;/Authors_Primary&gt;&lt;Authors_Primary&gt;Tincani,A.&lt;/Authors_Primary&gt;&lt;Authors_Primary&gt;van,Vollenhoven R.&lt;/Authors_Primary&gt;&lt;Authors_Primary&gt;Boumpas,D.T.&lt;/Authors_Primary&gt;&lt;Authors_Primary&gt;Gordon,C.&lt;/Authors_Primary&gt;&lt;Date_Primary&gt;2009/4&lt;/Date_Primary&gt;&lt;Keywords&gt;Antirheumatic Agents&lt;/Keywords&gt;&lt;Keywords&gt;Clinical Trials as Topic&lt;/Keywords&gt;&lt;Keywords&gt;drug therapy&lt;/Keywords&gt;&lt;Keywords&gt;Humans&lt;/Keywords&gt;&lt;Keywords&gt;Information Storage and Retrieval&lt;/Keywords&gt;&lt;Keywords&gt;Lupus Erythematosus,Systemic&lt;/Keywords&gt;&lt;Keywords&gt;methods&lt;/Keywords&gt;&lt;Keywords&gt;Research Design&lt;/Keywords&gt;&lt;Keywords&gt;standards&lt;/Keywords&gt;&lt;Keywords&gt;therapeutic use&lt;/Keywords&gt;&lt;Keywords&gt;Treatment Outcome&lt;/Keywords&gt;&lt;Reprint&gt;Not in File&lt;/Reprint&gt;&lt;Start_Page&gt;477&lt;/Start_Page&gt;&lt;End_Page&gt;483&lt;/End_Page&gt;&lt;Periodical&gt;Ann.Rheum.Dis.&lt;/Periodical&gt;&lt;Volume&gt;68&lt;/Volume&gt;&lt;Issue&gt;4&lt;/Issue&gt;&lt;ZZ_JournalStdAbbrev&gt;&lt;f name="System"&gt;Ann.Rheum.Dis.&lt;/f&gt;&lt;/ZZ_JournalStdAbbrev&gt;&lt;ZZ_WorkformID&gt;1&lt;/ZZ_WorkformID&gt;&lt;/MDL&gt;&lt;/Cite&gt;&lt;Cite&gt;&lt;Author&gt;American College of Rheumatology&lt;/Author&gt;&lt;Year&gt;2004&lt;/Year&gt;&lt;RecNum&gt;16&lt;/RecNum&gt;&lt;IDText&gt;The American College of Rheumatology response criteria for systemic lupus erythematosus clinical trials: measures of overall disease activity&lt;/IDText&gt;&lt;MDL Ref_Type="Journal"&gt;&lt;Ref_Type&gt;Journal&lt;/Ref_Type&gt;&lt;Ref_ID&gt;16&lt;/Ref_ID&gt;&lt;Title_Primary&gt;The American College of Rheumatology response criteria for systemic lupus erythematosus clinical trials: measures of overall disease activity&lt;/Title_Primary&gt;&lt;Authors_Primary&gt;American College of Rheumatology&lt;/Authors_Primary&gt;&lt;Date_Primary&gt;2004/11&lt;/Date_Primary&gt;&lt;Keywords&gt;Clinical Trials as Topic&lt;/Keywords&gt;&lt;Keywords&gt;Humans&lt;/Keywords&gt;&lt;Keywords&gt;Lupus Erythematosus,Systemic&lt;/Keywords&gt;&lt;Keywords&gt;methods&lt;/Keywords&gt;&lt;Keywords&gt;Outcome Assessment (Health Care)&lt;/Keywords&gt;&lt;Keywords&gt;Research Design&lt;/Keywords&gt;&lt;Keywords&gt;Rheumatology&lt;/Keywords&gt;&lt;Keywords&gt;Sample Size&lt;/Keywords&gt;&lt;Keywords&gt;Societies,Medical&lt;/Keywords&gt;&lt;Keywords&gt;standards&lt;/Keywords&gt;&lt;Keywords&gt;therapy&lt;/Keywords&gt;&lt;Keywords&gt;United States&lt;/Keywords&gt;&lt;Reprint&gt;Not in File&lt;/Reprint&gt;&lt;Start_Page&gt;3418&lt;/Start_Page&gt;&lt;End_Page&gt;3426&lt;/End_Page&gt;&lt;Periodical&gt;Arthritis Rheum.&lt;/Periodical&gt;&lt;Volume&gt;50&lt;/Volume&gt;&lt;Issue&gt;11&lt;/Issue&gt;&lt;ZZ_JournalStdAbbrev&gt;&lt;f name="System"&gt;Arthritis Rheum.&lt;/f&gt;&lt;/ZZ_JournalStdAbbrev&gt;&lt;ZZ_WorkformID&gt;1&lt;/ZZ_WorkformID&gt;&lt;/MDL&gt;&lt;/Cite&gt;&lt;/Refman&gt;</w:instrText>
      </w:r>
      <w:r w:rsidR="00E729BA">
        <w:fldChar w:fldCharType="separate"/>
      </w:r>
      <w:r w:rsidR="00F12F58">
        <w:t>(77-80)</w:t>
      </w:r>
      <w:r w:rsidR="00E729BA">
        <w:fldChar w:fldCharType="end"/>
      </w:r>
      <w:r w:rsidR="002E1550">
        <w:t xml:space="preserve">. </w:t>
      </w:r>
    </w:p>
    <w:p w:rsidR="003E7038" w:rsidRDefault="003E7038" w:rsidP="00234693">
      <w:pPr>
        <w:pStyle w:val="Caption"/>
      </w:pPr>
      <w:bookmarkStart w:id="63" w:name="_Ref337130847"/>
      <w:r>
        <w:t xml:space="preserve">Table </w:t>
      </w:r>
      <w:fldSimple w:instr=" SEQ Table \* ARABIC ">
        <w:r w:rsidR="004911B7">
          <w:rPr>
            <w:noProof/>
          </w:rPr>
          <w:t>3</w:t>
        </w:r>
      </w:fldSimple>
      <w:bookmarkEnd w:id="63"/>
      <w:r>
        <w:rPr>
          <w:noProof/>
        </w:rPr>
        <w:t>: Summary of SLE clinical trial guidelines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047"/>
        <w:gridCol w:w="717"/>
        <w:gridCol w:w="4704"/>
        <w:gridCol w:w="946"/>
      </w:tblGrid>
      <w:tr w:rsidR="00AE0160" w:rsidRPr="003E7038" w:rsidTr="00AE0160">
        <w:tc>
          <w:tcPr>
            <w:tcW w:w="2198" w:type="dxa"/>
            <w:tcBorders>
              <w:top w:val="single" w:sz="12" w:space="0" w:color="auto"/>
              <w:bottom w:val="single" w:sz="6" w:space="0" w:color="auto"/>
            </w:tcBorders>
          </w:tcPr>
          <w:p w:rsidR="00AE0160" w:rsidRPr="003E7038" w:rsidRDefault="00AE0160" w:rsidP="003E7038">
            <w:pPr>
              <w:rPr>
                <w:sz w:val="18"/>
                <w:szCs w:val="18"/>
              </w:rPr>
            </w:pPr>
            <w:r w:rsidRPr="003E7038">
              <w:rPr>
                <w:sz w:val="18"/>
                <w:szCs w:val="18"/>
              </w:rPr>
              <w:t>Name of Organisation</w:t>
            </w:r>
          </w:p>
        </w:tc>
        <w:tc>
          <w:tcPr>
            <w:tcW w:w="745" w:type="dxa"/>
            <w:tcBorders>
              <w:top w:val="single" w:sz="12" w:space="0" w:color="auto"/>
              <w:bottom w:val="single" w:sz="6" w:space="0" w:color="auto"/>
            </w:tcBorders>
          </w:tcPr>
          <w:p w:rsidR="00AE0160" w:rsidRPr="003E7038" w:rsidRDefault="00AE0160" w:rsidP="003E7038">
            <w:pPr>
              <w:rPr>
                <w:sz w:val="18"/>
                <w:szCs w:val="18"/>
              </w:rPr>
            </w:pPr>
            <w:r>
              <w:rPr>
                <w:sz w:val="18"/>
                <w:szCs w:val="18"/>
              </w:rPr>
              <w:t>Date</w:t>
            </w:r>
          </w:p>
        </w:tc>
        <w:tc>
          <w:tcPr>
            <w:tcW w:w="5353" w:type="dxa"/>
            <w:tcBorders>
              <w:top w:val="single" w:sz="12" w:space="0" w:color="auto"/>
              <w:bottom w:val="single" w:sz="6" w:space="0" w:color="auto"/>
            </w:tcBorders>
          </w:tcPr>
          <w:p w:rsidR="00AE0160" w:rsidRPr="003E7038" w:rsidRDefault="00AE0160" w:rsidP="003E7038">
            <w:pPr>
              <w:rPr>
                <w:sz w:val="18"/>
                <w:szCs w:val="18"/>
              </w:rPr>
            </w:pPr>
            <w:r w:rsidRPr="003E7038">
              <w:rPr>
                <w:sz w:val="18"/>
                <w:szCs w:val="18"/>
              </w:rPr>
              <w:t>Title of guidelines</w:t>
            </w:r>
          </w:p>
        </w:tc>
        <w:tc>
          <w:tcPr>
            <w:tcW w:w="946" w:type="dxa"/>
            <w:tcBorders>
              <w:top w:val="single" w:sz="12" w:space="0" w:color="auto"/>
              <w:bottom w:val="single" w:sz="6" w:space="0" w:color="auto"/>
            </w:tcBorders>
          </w:tcPr>
          <w:p w:rsidR="00AE0160" w:rsidRPr="003E7038" w:rsidRDefault="00AE0160" w:rsidP="003E7038">
            <w:pPr>
              <w:rPr>
                <w:sz w:val="18"/>
                <w:szCs w:val="18"/>
              </w:rPr>
            </w:pPr>
            <w:r w:rsidRPr="003E7038">
              <w:rPr>
                <w:sz w:val="18"/>
                <w:szCs w:val="18"/>
              </w:rPr>
              <w:t>Reference</w:t>
            </w:r>
          </w:p>
        </w:tc>
      </w:tr>
      <w:tr w:rsidR="00AE0160" w:rsidRPr="003E7038" w:rsidTr="00AE0160">
        <w:tc>
          <w:tcPr>
            <w:tcW w:w="2198" w:type="dxa"/>
            <w:tcBorders>
              <w:top w:val="single" w:sz="6" w:space="0" w:color="auto"/>
            </w:tcBorders>
          </w:tcPr>
          <w:p w:rsidR="00AE0160" w:rsidRPr="003E7038" w:rsidRDefault="00AE0160" w:rsidP="003E7038">
            <w:pPr>
              <w:rPr>
                <w:sz w:val="18"/>
                <w:szCs w:val="18"/>
              </w:rPr>
            </w:pPr>
            <w:r w:rsidRPr="003E7038">
              <w:rPr>
                <w:sz w:val="18"/>
                <w:szCs w:val="18"/>
              </w:rPr>
              <w:t>Food and Drugs Administration</w:t>
            </w:r>
          </w:p>
        </w:tc>
        <w:tc>
          <w:tcPr>
            <w:tcW w:w="745" w:type="dxa"/>
            <w:tcBorders>
              <w:top w:val="single" w:sz="6" w:space="0" w:color="auto"/>
            </w:tcBorders>
          </w:tcPr>
          <w:p w:rsidR="00AE0160" w:rsidRPr="003E7038" w:rsidRDefault="00AE0160" w:rsidP="003E7038">
            <w:pPr>
              <w:rPr>
                <w:sz w:val="18"/>
                <w:szCs w:val="18"/>
              </w:rPr>
            </w:pPr>
            <w:r>
              <w:rPr>
                <w:sz w:val="18"/>
                <w:szCs w:val="18"/>
              </w:rPr>
              <w:t>2010</w:t>
            </w:r>
          </w:p>
        </w:tc>
        <w:tc>
          <w:tcPr>
            <w:tcW w:w="5353" w:type="dxa"/>
            <w:tcBorders>
              <w:top w:val="single" w:sz="6" w:space="0" w:color="auto"/>
            </w:tcBorders>
          </w:tcPr>
          <w:p w:rsidR="00AE0160" w:rsidRPr="003E7038" w:rsidRDefault="00AE0160" w:rsidP="003E7038">
            <w:pPr>
              <w:rPr>
                <w:sz w:val="18"/>
                <w:szCs w:val="18"/>
              </w:rPr>
            </w:pPr>
            <w:r w:rsidRPr="003E7038">
              <w:rPr>
                <w:sz w:val="18"/>
                <w:szCs w:val="18"/>
              </w:rPr>
              <w:t>Guidance for Industry: Systemic Lupus Erythematosus - Developing Drugs for Treatment</w:t>
            </w:r>
          </w:p>
        </w:tc>
        <w:tc>
          <w:tcPr>
            <w:tcW w:w="946" w:type="dxa"/>
            <w:tcBorders>
              <w:top w:val="single" w:sz="6" w:space="0" w:color="auto"/>
            </w:tcBorders>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Pr="003E7038">
              <w:rPr>
                <w:sz w:val="18"/>
                <w:szCs w:val="18"/>
              </w:rPr>
              <w:fldChar w:fldCharType="separate"/>
            </w:r>
            <w:r w:rsidR="00F12F58">
              <w:rPr>
                <w:sz w:val="18"/>
                <w:szCs w:val="18"/>
              </w:rPr>
              <w:t>(81)</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The European Medicines Agency</w:t>
            </w:r>
          </w:p>
        </w:tc>
        <w:tc>
          <w:tcPr>
            <w:tcW w:w="745" w:type="dxa"/>
          </w:tcPr>
          <w:p w:rsidR="00AE0160" w:rsidRPr="003E7038" w:rsidRDefault="00AE0160" w:rsidP="003E7038">
            <w:pPr>
              <w:rPr>
                <w:sz w:val="18"/>
                <w:szCs w:val="18"/>
              </w:rPr>
            </w:pPr>
            <w:r>
              <w:rPr>
                <w:sz w:val="18"/>
                <w:szCs w:val="18"/>
              </w:rPr>
              <w:t>2009</w:t>
            </w:r>
          </w:p>
        </w:tc>
        <w:tc>
          <w:tcPr>
            <w:tcW w:w="5353" w:type="dxa"/>
          </w:tcPr>
          <w:p w:rsidR="00AE0160" w:rsidRPr="003E7038" w:rsidRDefault="00AE0160" w:rsidP="003E7038">
            <w:pPr>
              <w:rPr>
                <w:sz w:val="18"/>
                <w:szCs w:val="18"/>
              </w:rPr>
            </w:pPr>
            <w:r w:rsidRPr="003E7038">
              <w:rPr>
                <w:sz w:val="18"/>
                <w:szCs w:val="18"/>
              </w:rPr>
              <w:t>Concept paper on the need for a guideline on the clinical investigation of medical products intended for treatment of systemic and cutaneous lupus erythematosus.</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&lt;Refman&gt;&lt;Cite&gt;&lt;Author&gt;European Medicines Agency&lt;/Author&gt;&lt;Year&gt;2009&lt;/Year&gt;&lt;RecNum&gt;1443&lt;/RecNum&gt;&lt;IDText&gt;Concept paper on the need for a guideline on the clinical investigation of medical products intended for treatment of systemic and cutaneous lupus erythematosus&lt;/IDText&gt;&lt;MDL Ref_Type="Electronic Citation"&gt;&lt;Ref_Type&gt;Electronic Citation&lt;/Ref_Type&gt;&lt;Ref_ID&gt;1443&lt;/Ref_ID&gt;&lt;Title_Primary&gt;Concept paper on the need for a guideline on the clinical investigation of medical products intended for treatment of systemic and cutaneous lupus erythematosus&lt;/Title_Primary&gt;&lt;Date_Primary&gt;2009&lt;/Date_Primary&gt;&lt;Keywords&gt;lupus erythematosus&lt;/Keywords&gt;&lt;Keywords&gt;erythematosus&lt;/Keywords&gt;&lt;Reprint&gt;Not in File&lt;/Reprint&gt;&lt;Periodical&gt;European Medicines Agency&lt;/Periodical&gt;&lt;Web_URL&gt;&lt;u&gt;http://www.ema.europa.eu/pdfs/human/ewp/60404009en.pdf&lt;/u&gt;&lt;/Web_URL&gt;&lt;ZZ_JournalFull&gt;&lt;f name="System"&gt;European Medicines Agency&lt;/f&gt;&lt;/ZZ_JournalFull&gt;&lt;ZZ_WorkformID&gt;34&lt;/ZZ_WorkformID&gt;&lt;/MDL&gt;&lt;/Cite&gt;&lt;/Refman&gt;</w:instrText>
            </w:r>
            <w:r w:rsidRPr="003E7038">
              <w:rPr>
                <w:sz w:val="18"/>
                <w:szCs w:val="18"/>
              </w:rPr>
              <w:fldChar w:fldCharType="separate"/>
            </w:r>
            <w:r w:rsidR="00F12F58">
              <w:rPr>
                <w:sz w:val="18"/>
                <w:szCs w:val="18"/>
              </w:rPr>
              <w:t>(82)</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The European League Against Rheumatism</w:t>
            </w:r>
            <w:r>
              <w:rPr>
                <w:sz w:val="18"/>
                <w:szCs w:val="18"/>
              </w:rPr>
              <w:t xml:space="preserve"> (EULAR)</w:t>
            </w:r>
          </w:p>
        </w:tc>
        <w:tc>
          <w:tcPr>
            <w:tcW w:w="745" w:type="dxa"/>
          </w:tcPr>
          <w:p w:rsidR="00AE0160" w:rsidRPr="003E7038" w:rsidRDefault="00AE0160" w:rsidP="009A00B2">
            <w:pPr>
              <w:rPr>
                <w:sz w:val="18"/>
                <w:szCs w:val="18"/>
              </w:rPr>
            </w:pPr>
            <w:r>
              <w:rPr>
                <w:sz w:val="18"/>
                <w:szCs w:val="18"/>
              </w:rPr>
              <w:t>2008</w:t>
            </w:r>
          </w:p>
        </w:tc>
        <w:tc>
          <w:tcPr>
            <w:tcW w:w="5353" w:type="dxa"/>
          </w:tcPr>
          <w:p w:rsidR="00AE0160" w:rsidRPr="003E7038" w:rsidRDefault="00AE0160" w:rsidP="009A00B2">
            <w:pPr>
              <w:rPr>
                <w:sz w:val="18"/>
                <w:szCs w:val="18"/>
              </w:rPr>
            </w:pPr>
            <w:r w:rsidRPr="003E7038">
              <w:rPr>
                <w:sz w:val="18"/>
                <w:szCs w:val="18"/>
              </w:rPr>
              <w:t>Clinical trials in systemic lupus erythematosus (SLE): lessons from the past as we proceed to the future--the EULAR recommendations for the management of SLE and the use of endpoints in clinical trials</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&lt;Refman&gt;&lt;Cite&gt;&lt;Author&gt;Bertsias&lt;/Author&gt;&lt;Year&gt;2008&lt;/Year&gt;&lt;RecNum&gt;2&lt;/RecNum&gt;&lt;IDText&gt;Clinical trials in systemic lupus erythematosus (SLE): lessons from the past as we proceed to the future--the EULAR recommendations for the management of SLE and the use of end-points in clinical trials&lt;/IDText&gt;&lt;MDL Ref_Type="Journal"&gt;&lt;Ref_Type&gt;Journal&lt;/Ref_Type&gt;&lt;Ref_ID&gt;2&lt;/Ref_ID&gt;&lt;Title_Primary&gt;Clinical trials in systemic lupus erythematosus (SLE): lessons from the past as we proceed to the future--the EULAR recommendations for the management of SLE and the use of end-points in clinical trials&lt;/Title_Primary&gt;&lt;Authors_Primary&gt;Bertsias,G.&lt;/Authors_Primary&gt;&lt;Authors_Primary&gt;Gordon,C.&lt;/Authors_Primary&gt;&lt;Authors_Primary&gt;Boumpas,D.T.&lt;/Authors_Primary&gt;&lt;Date_Primary&gt;2008&lt;/Date_Primary&gt;&lt;Keywords&gt;Arthritis,Rheumatoid&lt;/Keywords&gt;&lt;Keywords&gt;Clinical Trials as Topic&lt;/Keywords&gt;&lt;Keywords&gt;Europe&lt;/Keywords&gt;&lt;Keywords&gt;genetics&lt;/Keywords&gt;&lt;Keywords&gt;Health Planning Guidelines&lt;/Keywords&gt;&lt;Keywords&gt;Humans&lt;/Keywords&gt;&lt;Keywords&gt;immunology&lt;/Keywords&gt;&lt;Keywords&gt;Lupus Erythematosus,Systemic&lt;/Keywords&gt;&lt;Keywords&gt;metabolism&lt;/Keywords&gt;&lt;Keywords&gt;Quality of Life&lt;/Keywords&gt;&lt;Keywords&gt;Societies,Medical&lt;/Keywords&gt;&lt;Keywords&gt;therapy&lt;/Keywords&gt;&lt;Reprint&gt;Not in File&lt;/Reprint&gt;&lt;Start_Page&gt;437&lt;/Start_Page&gt;&lt;End_Page&gt;442&lt;/End_Page&gt;&lt;Periodical&gt;Lupus.&lt;/Periodical&gt;&lt;Volume&gt;17&lt;/Volume&gt;&lt;Issue&gt;5&lt;/Issue&gt;&lt;ZZ_JournalStdAbbrev&gt;&lt;f name="System"&gt;Lupus.&lt;/f&gt;&lt;/ZZ_JournalStdAbbrev&gt;&lt;ZZ_WorkformID&gt;1&lt;/ZZ_WorkformID&gt;&lt;/MDL&gt;&lt;/Cite&gt;&lt;/Refman&gt;</w:instrText>
            </w:r>
            <w:r w:rsidRPr="003E7038">
              <w:rPr>
                <w:sz w:val="18"/>
                <w:szCs w:val="18"/>
              </w:rPr>
              <w:fldChar w:fldCharType="separate"/>
            </w:r>
            <w:r w:rsidR="00F12F58">
              <w:rPr>
                <w:sz w:val="18"/>
                <w:szCs w:val="18"/>
              </w:rPr>
              <w:t>(77)</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The European League Against Rheumatism</w:t>
            </w:r>
            <w:r>
              <w:rPr>
                <w:sz w:val="18"/>
                <w:szCs w:val="18"/>
              </w:rPr>
              <w:t xml:space="preserve"> (EULAR)</w:t>
            </w:r>
          </w:p>
        </w:tc>
        <w:tc>
          <w:tcPr>
            <w:tcW w:w="745" w:type="dxa"/>
          </w:tcPr>
          <w:p w:rsidR="00AE0160" w:rsidRPr="003E7038" w:rsidRDefault="00AE0160" w:rsidP="003E7038">
            <w:pPr>
              <w:rPr>
                <w:sz w:val="18"/>
                <w:szCs w:val="18"/>
              </w:rPr>
            </w:pPr>
            <w:r>
              <w:rPr>
                <w:sz w:val="18"/>
                <w:szCs w:val="18"/>
              </w:rPr>
              <w:t>2009</w:t>
            </w:r>
          </w:p>
        </w:tc>
        <w:tc>
          <w:tcPr>
            <w:tcW w:w="5353" w:type="dxa"/>
          </w:tcPr>
          <w:p w:rsidR="00AE0160" w:rsidRPr="003E7038" w:rsidRDefault="00AE0160" w:rsidP="003E7038">
            <w:pPr>
              <w:rPr>
                <w:sz w:val="18"/>
                <w:szCs w:val="18"/>
              </w:rPr>
            </w:pPr>
            <w:r w:rsidRPr="003E7038">
              <w:rPr>
                <w:sz w:val="18"/>
                <w:szCs w:val="18"/>
              </w:rPr>
              <w:t>EULAR points to consider for conducting clinical trials in systemic lupus erythematosus: literature based evidence for the selection of endpoints</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&lt;Refman&gt;&lt;Cite&gt;&lt;Author&gt;Bertsias&lt;/Author&gt;&lt;Year&gt;2009&lt;/Year&gt;&lt;RecNum&gt;1&lt;/RecNum&gt;&lt;IDText&gt;EULAR points to consider for conducting clinical trials in systemic lupus erythematosus: literature based evidence for the selection of endpoints&lt;/IDText&gt;&lt;MDL Ref_Type="Journal"&gt;&lt;Ref_Type&gt;Journal&lt;/Ref_Type&gt;&lt;Ref_ID&gt;1&lt;/Ref_ID&gt;&lt;Title_Primary&gt;EULAR points to consider for conducting clinical trials in systemic lupus erythematosus: literature based evidence for the selection of endpoints&lt;/Title_Primary&gt;&lt;Authors_Primary&gt;Bertsias,G.K.&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lt;/Authors_Primary&gt;&lt;Authors_Primary&gt;Isenberg,D.&lt;/Authors_Primary&gt;&lt;Authors_Primary&gt;Kallenberg,C.G.&lt;/Authors_Primary&gt;&lt;Authors_Primary&gt;Khamashta,M.&lt;/Authors_Primary&gt;&lt;Authors_Primary&gt;Piette,J.C.&lt;/Authors_Primary&gt;&lt;Authors_Primary&gt;Schneider,M.&lt;/Authors_Primary&gt;&lt;Authors_Primary&gt;Smolen,J.&lt;/Authors_Primary&gt;&lt;Authors_Primary&gt;Sturfelt,G.&lt;/Authors_Primary&gt;&lt;Authors_Primary&gt;Tincani,A.&lt;/Authors_Primary&gt;&lt;Authors_Primary&gt;van,Vollenhoven R.&lt;/Authors_Primary&gt;&lt;Authors_Primary&gt;Boumpas,D.T.&lt;/Authors_Primary&gt;&lt;Authors_Primary&gt;Gordon,C.&lt;/Authors_Primary&gt;&lt;Date_Primary&gt;2009/4&lt;/Date_Primary&gt;&lt;Keywords&gt;Antirheumatic Agents&lt;/Keywords&gt;&lt;Keywords&gt;Clinical Trials as Topic&lt;/Keywords&gt;&lt;Keywords&gt;drug therapy&lt;/Keywords&gt;&lt;Keywords&gt;Humans&lt;/Keywords&gt;&lt;Keywords&gt;Information Storage and Retrieval&lt;/Keywords&gt;&lt;Keywords&gt;Lupus Erythematosus,Systemic&lt;/Keywords&gt;&lt;Keywords&gt;methods&lt;/Keywords&gt;&lt;Keywords&gt;Research Design&lt;/Keywords&gt;&lt;Keywords&gt;standards&lt;/Keywords&gt;&lt;Keywords&gt;therapeutic use&lt;/Keywords&gt;&lt;Keywords&gt;Treatment Outcome&lt;/Keywords&gt;&lt;Reprint&gt;Not in File&lt;/Reprint&gt;&lt;Start_Page&gt;477&lt;/Start_Page&gt;&lt;End_Page&gt;483&lt;/End_Page&gt;&lt;Periodical&gt;Ann.Rheum.Dis.&lt;/Periodical&gt;&lt;Volume&gt;68&lt;/Volume&gt;&lt;Issue&gt;4&lt;/Issue&gt;&lt;ZZ_JournalStdAbbrev&gt;&lt;f name="System"&gt;Ann.Rheum.Dis.&lt;/f&gt;&lt;/ZZ_JournalStdAbbrev&gt;&lt;ZZ_WorkformID&gt;1&lt;/ZZ_WorkformID&gt;&lt;/MDL&gt;&lt;/Cite&gt;&lt;/Refman&gt;</w:instrText>
            </w:r>
            <w:r w:rsidRPr="003E7038">
              <w:rPr>
                <w:sz w:val="18"/>
                <w:szCs w:val="18"/>
              </w:rPr>
              <w:fldChar w:fldCharType="separate"/>
            </w:r>
            <w:r w:rsidR="00F12F58">
              <w:rPr>
                <w:sz w:val="18"/>
                <w:szCs w:val="18"/>
              </w:rPr>
              <w:t>(79)</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The European League Against Rheumatism</w:t>
            </w:r>
            <w:r>
              <w:rPr>
                <w:sz w:val="18"/>
                <w:szCs w:val="18"/>
              </w:rPr>
              <w:t xml:space="preserve"> (EULAR)</w:t>
            </w:r>
          </w:p>
        </w:tc>
        <w:tc>
          <w:tcPr>
            <w:tcW w:w="745" w:type="dxa"/>
          </w:tcPr>
          <w:p w:rsidR="00AE0160" w:rsidRPr="003E7038" w:rsidRDefault="00AE0160" w:rsidP="003E7038">
            <w:pPr>
              <w:rPr>
                <w:sz w:val="18"/>
                <w:szCs w:val="18"/>
              </w:rPr>
            </w:pPr>
            <w:r>
              <w:rPr>
                <w:sz w:val="18"/>
                <w:szCs w:val="18"/>
              </w:rPr>
              <w:t>2009</w:t>
            </w:r>
          </w:p>
        </w:tc>
        <w:tc>
          <w:tcPr>
            <w:tcW w:w="5353" w:type="dxa"/>
          </w:tcPr>
          <w:p w:rsidR="00AE0160" w:rsidRPr="003E7038" w:rsidRDefault="00AE0160" w:rsidP="003E7038">
            <w:pPr>
              <w:rPr>
                <w:sz w:val="18"/>
                <w:szCs w:val="18"/>
              </w:rPr>
            </w:pPr>
            <w:r w:rsidRPr="003E7038">
              <w:rPr>
                <w:sz w:val="18"/>
                <w:szCs w:val="18"/>
              </w:rPr>
              <w:t>EULAR points to consider for conducting clinical trials in systemic lupus erythematosus</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&lt;Refman&gt;&lt;Cite&gt;&lt;Author&gt;Gordon&lt;/Author&gt;&lt;Year&gt;2009&lt;/Year&gt;&lt;RecNum&gt;3&lt;/RecNum&gt;&lt;IDText&gt;EULAR points to consider for conducting clinical trials in systemic lupus erythematosus&lt;/IDText&gt;&lt;MDL Ref_Type="Journal"&gt;&lt;Ref_Type&gt;Journal&lt;/Ref_Type&gt;&lt;Ref_ID&gt;3&lt;/Ref_ID&gt;&lt;Title_Primary&gt;EULAR points to consider for conducting clinical trials in systemic lupus erythematosus&lt;/Title_Primary&gt;&lt;Authors_Primary&gt;Gordon,C.&lt;/Authors_Primary&gt;&lt;Authors_Primary&gt;Bertsias,G.&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W.&lt;/Authors_Primary&gt;&lt;Authors_Primary&gt;Isenberg,D.&lt;/Authors_Primary&gt;&lt;Authors_Primary&gt;Kallenberg,C.G.&lt;/Authors_Primary&gt;&lt;Authors_Primary&gt;Khamashta,M.A.&lt;/Authors_Primary&gt;&lt;Authors_Primary&gt;Piette,J.C.&lt;/Authors_Primary&gt;&lt;Authors_Primary&gt;Schneider,M.&lt;/Authors_Primary&gt;&lt;Authors_Primary&gt;Smolen,J.S.&lt;/Authors_Primary&gt;&lt;Authors_Primary&gt;Sturfelt,G.&lt;/Authors_Primary&gt;&lt;Authors_Primary&gt;Tincani,A.&lt;/Authors_Primary&gt;&lt;Authors_Primary&gt;van,Vollenhoven R.&lt;/Authors_Primary&gt;&lt;Authors_Primary&gt;Boumpas,D.T.&lt;/Authors_Primary&gt;&lt;Date_Primary&gt;2009/4&lt;/Date_Primary&gt;&lt;Keywords&gt;Antirheumatic Agents&lt;/Keywords&gt;&lt;Keywords&gt;Clinical Trials as Topic&lt;/Keywords&gt;&lt;Keywords&gt;drug therapy&lt;/Keywords&gt;&lt;Keywords&gt;Humans&lt;/Keywords&gt;&lt;Keywords&gt;Lupus Erythematosus,Systemic&lt;/Keywords&gt;&lt;Keywords&gt;methods&lt;/Keywords&gt;&lt;Keywords&gt;Outcome Assessment (Health Care)&lt;/Keywords&gt;&lt;Keywords&gt;Research Design&lt;/Keywords&gt;&lt;Keywords&gt;standards&lt;/Keywords&gt;&lt;Keywords&gt;therapeutic use&lt;/Keywords&gt;&lt;Keywords&gt;therapy&lt;/Keywords&gt;&lt;Reprint&gt;Not in File&lt;/Reprint&gt;&lt;Start_Page&gt;470&lt;/Start_Page&gt;&lt;End_Page&gt;476&lt;/End_Page&gt;&lt;Periodical&gt;Ann.Rheum.Dis.&lt;/Periodical&gt;&lt;Volume&gt;68&lt;/Volume&gt;&lt;Issue&gt;4&lt;/Issue&gt;&lt;ZZ_JournalStdAbbrev&gt;&lt;f name="System"&gt;Ann.Rheum.Dis.&lt;/f&gt;&lt;/ZZ_JournalStdAbbrev&gt;&lt;ZZ_WorkformID&gt;1&lt;/ZZ_WorkformID&gt;&lt;/MDL&gt;&lt;/Cite&gt;&lt;/Refman&gt;</w:instrText>
            </w:r>
            <w:r w:rsidRPr="003E7038">
              <w:rPr>
                <w:sz w:val="18"/>
                <w:szCs w:val="18"/>
              </w:rPr>
              <w:fldChar w:fldCharType="separate"/>
            </w:r>
            <w:r w:rsidR="00F12F58">
              <w:rPr>
                <w:sz w:val="18"/>
                <w:szCs w:val="18"/>
              </w:rPr>
              <w:t>(83)</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Outcomes Measure in Rheumatoid Arthritis Clinical Trials</w:t>
            </w:r>
          </w:p>
        </w:tc>
        <w:tc>
          <w:tcPr>
            <w:tcW w:w="745" w:type="dxa"/>
          </w:tcPr>
          <w:p w:rsidR="00AE0160" w:rsidRPr="003E7038" w:rsidRDefault="00AE0160" w:rsidP="003E7038">
            <w:pPr>
              <w:rPr>
                <w:sz w:val="18"/>
                <w:szCs w:val="18"/>
              </w:rPr>
            </w:pPr>
            <w:r>
              <w:rPr>
                <w:sz w:val="18"/>
                <w:szCs w:val="18"/>
              </w:rPr>
              <w:t>2000</w:t>
            </w:r>
          </w:p>
        </w:tc>
        <w:tc>
          <w:tcPr>
            <w:tcW w:w="5353" w:type="dxa"/>
          </w:tcPr>
          <w:p w:rsidR="00AE0160" w:rsidRPr="003E7038" w:rsidRDefault="00AE0160" w:rsidP="003E7038">
            <w:pPr>
              <w:rPr>
                <w:sz w:val="18"/>
                <w:szCs w:val="18"/>
              </w:rPr>
            </w:pPr>
            <w:r w:rsidRPr="003E7038">
              <w:rPr>
                <w:sz w:val="18"/>
                <w:szCs w:val="18"/>
              </w:rPr>
              <w:t>Endpoints: consensus recommendations from OMERACT IV. Outcome Measures in Rheumatology</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&lt;Refman&gt;&lt;Cite&gt;&lt;Author&gt;Strand&lt;/Author&gt;&lt;Year&gt;2000&lt;/Year&gt;&lt;RecNum&gt;6&lt;/RecNum&gt;&lt;IDText&gt;Endpoints: consensus recommendations from OMERACT IV. Outcome Measures in Rheumatology&lt;/IDText&gt;&lt;MDL Ref_Type="Journal"&gt;&lt;Ref_Type&gt;Journal&lt;/Ref_Type&gt;&lt;Ref_ID&gt;6&lt;/Ref_ID&gt;&lt;Title_Primary&gt;Endpoints: consensus recommendations from OMERACT IV. Outcome Measures in Rheumatology&lt;/Title_Primary&gt;&lt;Authors_Primary&gt;Strand,V.&lt;/Authors_Primary&gt;&lt;Authors_Primary&gt;Gladman,D.&lt;/Authors_Primary&gt;&lt;Authors_Primary&gt;Isenberg,D.&lt;/Authors_Primary&gt;&lt;Authors_Primary&gt;Petri,M.&lt;/Authors_Primary&gt;&lt;Authors_Primary&gt;Smolen,J.&lt;/Authors_Primary&gt;&lt;Authors_Primary&gt;Tugwell,P.&lt;/Authors_Primary&gt;&lt;Date_Primary&gt;2000&lt;/Date_Primary&gt;&lt;Keywords&gt;Clinical Trials as Topic&lt;/Keywords&gt;&lt;Keywords&gt;Humans&lt;/Keywords&gt;&lt;Keywords&gt;immunology&lt;/Keywords&gt;&lt;Keywords&gt;Lupus Erythematosus,Systemic&lt;/Keywords&gt;&lt;Keywords&gt;physiopathology&lt;/Keywords&gt;&lt;Keywords&gt;Quality of Life&lt;/Keywords&gt;&lt;Keywords&gt;standards&lt;/Keywords&gt;&lt;Keywords&gt;therapy&lt;/Keywords&gt;&lt;Reprint&gt;Not in File&lt;/Reprint&gt;&lt;Start_Page&gt;322&lt;/Start_Page&gt;&lt;End_Page&gt;327&lt;/End_Page&gt;&lt;Periodical&gt;Lupus.&lt;/Periodical&gt;&lt;Volume&gt;9&lt;/Volume&gt;&lt;Issue&gt;5&lt;/Issue&gt;&lt;ZZ_JournalStdAbbrev&gt;&lt;f name="System"&gt;Lupus.&lt;/f&gt;&lt;/ZZ_JournalStdAbbrev&gt;&lt;ZZ_WorkformID&gt;1&lt;/ZZ_WorkformID&gt;&lt;/MDL&gt;&lt;/Cite&gt;&lt;/Refman&gt;</w:instrText>
            </w:r>
            <w:r w:rsidRPr="003E7038">
              <w:rPr>
                <w:sz w:val="18"/>
                <w:szCs w:val="18"/>
              </w:rPr>
              <w:fldChar w:fldCharType="separate"/>
            </w:r>
            <w:r w:rsidR="00F12F58">
              <w:rPr>
                <w:sz w:val="18"/>
                <w:szCs w:val="18"/>
              </w:rPr>
              <w:t>(78)</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American College of Rheumatology</w:t>
            </w:r>
          </w:p>
        </w:tc>
        <w:tc>
          <w:tcPr>
            <w:tcW w:w="745" w:type="dxa"/>
          </w:tcPr>
          <w:p w:rsidR="00AE0160" w:rsidRPr="003E7038" w:rsidRDefault="00E51A68" w:rsidP="003E7038">
            <w:pPr>
              <w:rPr>
                <w:sz w:val="18"/>
                <w:szCs w:val="18"/>
              </w:rPr>
            </w:pPr>
            <w:r>
              <w:rPr>
                <w:sz w:val="18"/>
                <w:szCs w:val="18"/>
              </w:rPr>
              <w:t>2004</w:t>
            </w:r>
          </w:p>
        </w:tc>
        <w:tc>
          <w:tcPr>
            <w:tcW w:w="5353" w:type="dxa"/>
          </w:tcPr>
          <w:p w:rsidR="00AE0160" w:rsidRPr="003E7038" w:rsidRDefault="00AE0160" w:rsidP="003E7038">
            <w:pPr>
              <w:rPr>
                <w:sz w:val="18"/>
                <w:szCs w:val="18"/>
              </w:rPr>
            </w:pPr>
            <w:r w:rsidRPr="003E7038">
              <w:rPr>
                <w:sz w:val="18"/>
                <w:szCs w:val="18"/>
              </w:rPr>
              <w:t>The American College of Rheumatology response criteria for systemic lupus erythematosus clinical trials: measures of overall disease activity</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&lt;Refman&gt;&lt;Cite&gt;&lt;Author&gt;American College of Rheumatology&lt;/Author&gt;&lt;Year&gt;2004&lt;/Year&gt;&lt;RecNum&gt;16&lt;/RecNum&gt;&lt;IDText&gt;The American College of Rheumatology response criteria for systemic lupus erythematosus clinical trials: measures of overall disease activity&lt;/IDText&gt;&lt;MDL Ref_Type="Journal"&gt;&lt;Ref_Type&gt;Journal&lt;/Ref_Type&gt;&lt;Ref_ID&gt;16&lt;/Ref_ID&gt;&lt;Title_Primary&gt;The American College of Rheumatology response criteria for systemic lupus erythematosus clinical trials: measures of overall disease activity&lt;/Title_Primary&gt;&lt;Authors_Primary&gt;American College of Rheumatology&lt;/Authors_Primary&gt;&lt;Date_Primary&gt;2004/11&lt;/Date_Primary&gt;&lt;Keywords&gt;Clinical Trials as Topic&lt;/Keywords&gt;&lt;Keywords&gt;Humans&lt;/Keywords&gt;&lt;Keywords&gt;Lupus Erythematosus,Systemic&lt;/Keywords&gt;&lt;Keywords&gt;methods&lt;/Keywords&gt;&lt;Keywords&gt;Outcome Assessment (Health Care)&lt;/Keywords&gt;&lt;Keywords&gt;Research Design&lt;/Keywords&gt;&lt;Keywords&gt;Rheumatology&lt;/Keywords&gt;&lt;Keywords&gt;Sample Size&lt;/Keywords&gt;&lt;Keywords&gt;Societies,Medical&lt;/Keywords&gt;&lt;Keywords&gt;standards&lt;/Keywords&gt;&lt;Keywords&gt;therapy&lt;/Keywords&gt;&lt;Keywords&gt;United States&lt;/Keywords&gt;&lt;Reprint&gt;Not in File&lt;/Reprint&gt;&lt;Start_Page&gt;3418&lt;/Start_Page&gt;&lt;End_Page&gt;3426&lt;/End_Page&gt;&lt;Periodical&gt;Arthritis Rheum.&lt;/Periodical&gt;&lt;Volume&gt;50&lt;/Volume&gt;&lt;Issue&gt;11&lt;/Issue&gt;&lt;ZZ_JournalStdAbbrev&gt;&lt;f name="System"&gt;Arthritis Rheum.&lt;/f&gt;&lt;/ZZ_JournalStdAbbrev&gt;&lt;ZZ_WorkformID&gt;1&lt;/ZZ_WorkformID&gt;&lt;/MDL&gt;&lt;/Cite&gt;&lt;/Refman&gt;</w:instrText>
            </w:r>
            <w:r w:rsidRPr="003E7038">
              <w:rPr>
                <w:sz w:val="18"/>
                <w:szCs w:val="18"/>
              </w:rPr>
              <w:fldChar w:fldCharType="separate"/>
            </w:r>
            <w:r w:rsidR="00F12F58">
              <w:rPr>
                <w:sz w:val="18"/>
                <w:szCs w:val="18"/>
              </w:rPr>
              <w:t>(80)</w:t>
            </w:r>
            <w:r w:rsidRPr="003E7038">
              <w:rPr>
                <w:sz w:val="18"/>
                <w:szCs w:val="18"/>
              </w:rPr>
              <w:fldChar w:fldCharType="end"/>
            </w:r>
          </w:p>
        </w:tc>
      </w:tr>
      <w:tr w:rsidR="00AE0160" w:rsidRPr="003E7038" w:rsidTr="00AE0160">
        <w:tc>
          <w:tcPr>
            <w:tcW w:w="2198" w:type="dxa"/>
          </w:tcPr>
          <w:p w:rsidR="00AE0160" w:rsidRPr="003E7038" w:rsidRDefault="00AE0160" w:rsidP="003E7038">
            <w:pPr>
              <w:rPr>
                <w:sz w:val="18"/>
                <w:szCs w:val="18"/>
              </w:rPr>
            </w:pPr>
            <w:r w:rsidRPr="003E7038">
              <w:rPr>
                <w:sz w:val="18"/>
                <w:szCs w:val="18"/>
              </w:rPr>
              <w:t>American College of Rheumatology</w:t>
            </w:r>
          </w:p>
        </w:tc>
        <w:tc>
          <w:tcPr>
            <w:tcW w:w="745" w:type="dxa"/>
          </w:tcPr>
          <w:p w:rsidR="00AE0160" w:rsidRPr="003E7038" w:rsidRDefault="00E51A68" w:rsidP="003E7038">
            <w:pPr>
              <w:rPr>
                <w:sz w:val="18"/>
                <w:szCs w:val="18"/>
              </w:rPr>
            </w:pPr>
            <w:r>
              <w:rPr>
                <w:sz w:val="18"/>
                <w:szCs w:val="18"/>
              </w:rPr>
              <w:t>2006</w:t>
            </w:r>
          </w:p>
        </w:tc>
        <w:tc>
          <w:tcPr>
            <w:tcW w:w="5353" w:type="dxa"/>
          </w:tcPr>
          <w:p w:rsidR="00AE0160" w:rsidRPr="003E7038" w:rsidRDefault="00AE0160" w:rsidP="003E7038">
            <w:pPr>
              <w:rPr>
                <w:sz w:val="18"/>
                <w:szCs w:val="18"/>
              </w:rPr>
            </w:pPr>
            <w:r w:rsidRPr="003E7038">
              <w:rPr>
                <w:sz w:val="18"/>
                <w:szCs w:val="18"/>
              </w:rPr>
              <w:t>Endpoints: consensus recommendations from OMERACT IV. Outcome Measures in Rheumatology</w:t>
            </w:r>
          </w:p>
        </w:tc>
        <w:tc>
          <w:tcPr>
            <w:tcW w:w="946" w:type="dxa"/>
          </w:tcPr>
          <w:p w:rsidR="00AE0160" w:rsidRPr="003E7038" w:rsidRDefault="00E729BA" w:rsidP="00143E52">
            <w:pPr>
              <w:jc w:val="center"/>
              <w:rPr>
                <w:sz w:val="18"/>
                <w:szCs w:val="18"/>
              </w:rPr>
            </w:pPr>
            <w:r w:rsidRPr="003E7038">
              <w:rPr>
                <w:sz w:val="18"/>
                <w:szCs w:val="18"/>
              </w:rPr>
              <w:fldChar w:fldCharType="begin"/>
            </w:r>
            <w:r w:rsidR="00FC61FD">
              <w:rPr>
                <w:sz w:val="18"/>
                <w:szCs w:val="18"/>
              </w:rPr>
              <w:instrText xml:space="preserve"> ADDIN REFMGR.CITE &lt;Refman&gt;&lt;Cite&gt;&lt;Author&gt;American College of Rheumatology&lt;/Author&gt;&lt;Year&gt;2006&lt;/Year&gt;&lt;RecNum&gt;19&lt;/RecNum&gt;&lt;IDText&gt;The American College of Rheumatology response criteria for proliferative and membranous renal disease in systemic lupus erythematosus clinical trials&lt;/IDText&gt;&lt;MDL Ref_Type="Journal"&gt;&lt;Ref_Type&gt;Journal&lt;/Ref_Type&gt;&lt;Ref_ID&gt;19&lt;/Ref_ID&gt;&lt;Title_Primary&gt;The American College of Rheumatology response criteria for proliferative and membranous renal disease in systemic lupus erythematosus clinical trials&lt;/Title_Primary&gt;&lt;Authors_Primary&gt;American College of Rheumatology&lt;/Authors_Primary&gt;&lt;Date_Primary&gt;2006/2&lt;/Date_Primary&gt;&lt;Keywords&gt;Americas&lt;/Keywords&gt;&lt;Keywords&gt;Clinical Trials as Topic&lt;/Keywords&gt;&lt;Keywords&gt;diagnosis&lt;/Keywords&gt;&lt;Keywords&gt;drug therapy&lt;/Keywords&gt;&lt;Keywords&gt;Endpoint Determination&lt;/Keywords&gt;&lt;Keywords&gt;Humans&lt;/Keywords&gt;&lt;Keywords&gt;Lupus Nephritis&lt;/Keywords&gt;&lt;Keywords&gt;Medline&lt;/Keywords&gt;&lt;Keywords&gt;methods&lt;/Keywords&gt;&lt;Keywords&gt;physiopathology&lt;/Keywords&gt;&lt;Keywords&gt;Rheumatology&lt;/Keywords&gt;&lt;Keywords&gt;Societies,Medical&lt;/Keywords&gt;&lt;Keywords&gt;Treatment Outcome&lt;/Keywords&gt;&lt;Reprint&gt;Not in File&lt;/Reprint&gt;&lt;Start_Page&gt;421&lt;/Start_Page&gt;&lt;End_Page&gt;432&lt;/End_Page&gt;&lt;Periodical&gt;Arthritis Rheum.&lt;/Periodical&gt;&lt;Volume&gt;54&lt;/Volume&gt;&lt;Issue&gt;2&lt;/Issue&gt;&lt;ZZ_JournalStdAbbrev&gt;&lt;f name="System"&gt;Arthritis Rheum.&lt;/f&gt;&lt;/ZZ_JournalStdAbbrev&gt;&lt;ZZ_WorkformID&gt;1&lt;/ZZ_WorkformID&gt;&lt;/MDL&gt;&lt;/Cite&gt;&lt;/Refman&gt;</w:instrText>
            </w:r>
            <w:r w:rsidRPr="003E7038">
              <w:rPr>
                <w:sz w:val="18"/>
                <w:szCs w:val="18"/>
              </w:rPr>
              <w:fldChar w:fldCharType="separate"/>
            </w:r>
            <w:r w:rsidR="00F12F58">
              <w:rPr>
                <w:sz w:val="18"/>
                <w:szCs w:val="18"/>
              </w:rPr>
              <w:t>(84)</w:t>
            </w:r>
            <w:r w:rsidRPr="003E7038">
              <w:rPr>
                <w:sz w:val="18"/>
                <w:szCs w:val="18"/>
              </w:rPr>
              <w:fldChar w:fldCharType="end"/>
            </w:r>
          </w:p>
        </w:tc>
      </w:tr>
    </w:tbl>
    <w:p w:rsidR="002D772C" w:rsidRPr="00A65471" w:rsidRDefault="002D772C" w:rsidP="002D772C">
      <w:pPr>
        <w:pStyle w:val="Heading3"/>
        <w:rPr>
          <w:lang w:eastAsia="zh-CN"/>
        </w:rPr>
      </w:pPr>
      <w:bookmarkStart w:id="64" w:name="_Toc332720563"/>
      <w:bookmarkStart w:id="65" w:name="_Toc379467554"/>
      <w:r>
        <w:rPr>
          <w:lang w:eastAsia="zh-CN"/>
        </w:rPr>
        <w:t>Trial Duration</w:t>
      </w:r>
      <w:bookmarkEnd w:id="64"/>
      <w:bookmarkEnd w:id="65"/>
    </w:p>
    <w:p w:rsidR="002D772C" w:rsidRDefault="002D772C" w:rsidP="000F6DFC">
      <w:r>
        <w:t>The FDA states that clinical trials in SLE should be at least 1 year in duration</w:t>
      </w:r>
      <w:r w:rsidR="00117265">
        <w:t xml:space="preserve"> to observe sustained clinical benefit</w:t>
      </w:r>
      <w:r w:rsidR="003E7038">
        <w:t xml:space="preserve"> </w:t>
      </w:r>
      <w:r w:rsidR="00E729BA">
        <w:fldChar w:fldCharType="begin"/>
      </w:r>
      <w:r w:rsidR="00FC61FD">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fldChar w:fldCharType="separate"/>
      </w:r>
      <w:r w:rsidR="00F12F58">
        <w:t>(81)</w:t>
      </w:r>
      <w:r w:rsidR="00E729BA">
        <w:fldChar w:fldCharType="end"/>
      </w:r>
      <w:r w:rsidR="003E7038">
        <w:t>.</w:t>
      </w:r>
      <w:r>
        <w:t xml:space="preserve"> The EULAR guidelines stipulate that the trial should be of sufficient duration that immunosuppressive drugs </w:t>
      </w:r>
      <w:r w:rsidR="00D6514A">
        <w:t>to be tapered</w:t>
      </w:r>
      <w:r>
        <w:t xml:space="preserve"> during the study. </w:t>
      </w:r>
      <w:r w:rsidR="00B9358A">
        <w:t xml:space="preserve">Nine </w:t>
      </w:r>
      <w:r>
        <w:t>trials followed patients for</w:t>
      </w:r>
      <w:r w:rsidR="00B9358A">
        <w:t xml:space="preserve"> at least</w:t>
      </w:r>
      <w:r>
        <w:t xml:space="preserve"> 12 months </w:t>
      </w:r>
      <w:r w:rsidR="000F6DFC">
        <w:t>(</w:t>
      </w:r>
      <w:r w:rsidR="00E729BA">
        <w:fldChar w:fldCharType="begin"/>
      </w:r>
      <w:r w:rsidR="000F6DFC">
        <w:instrText xml:space="preserve"> REF _Ref364923716 \h </w:instrText>
      </w:r>
      <w:r w:rsidR="00E729BA">
        <w:fldChar w:fldCharType="separate"/>
      </w:r>
      <w:r w:rsidR="004911B7">
        <w:t xml:space="preserve">Table </w:t>
      </w:r>
      <w:r w:rsidR="004911B7">
        <w:rPr>
          <w:noProof/>
        </w:rPr>
        <w:t>2</w:t>
      </w:r>
      <w:r w:rsidR="00E729BA">
        <w:fldChar w:fldCharType="end"/>
      </w:r>
      <w:r>
        <w:t xml:space="preserve">). </w:t>
      </w:r>
      <w:r w:rsidR="00B9358A">
        <w:t xml:space="preserve">The shortest trial duration was 2 months, and the longest 18 months. </w:t>
      </w:r>
    </w:p>
    <w:p w:rsidR="004E70E9" w:rsidRDefault="004E70E9" w:rsidP="00D6514A"/>
    <w:p w:rsidR="004E70E9" w:rsidRDefault="004E70E9" w:rsidP="00D6514A"/>
    <w:p w:rsidR="002D772C" w:rsidRDefault="002D772C" w:rsidP="00236C8F">
      <w:pPr>
        <w:pStyle w:val="Heading3"/>
      </w:pPr>
      <w:bookmarkStart w:id="66" w:name="_Toc332720564"/>
      <w:bookmarkStart w:id="67" w:name="_Toc379467555"/>
      <w:r>
        <w:t xml:space="preserve">Sample </w:t>
      </w:r>
      <w:r w:rsidR="00236C8F">
        <w:t>S</w:t>
      </w:r>
      <w:r>
        <w:t>ize</w:t>
      </w:r>
      <w:bookmarkEnd w:id="66"/>
      <w:bookmarkEnd w:id="67"/>
    </w:p>
    <w:p w:rsidR="005E31CE" w:rsidRDefault="001B4DC5" w:rsidP="002E1550">
      <w:r>
        <w:t>The sample sizes</w:t>
      </w:r>
      <w:r w:rsidR="002D772C">
        <w:t xml:space="preserve"> </w:t>
      </w:r>
      <w:r w:rsidR="001C72E7">
        <w:t xml:space="preserve">from the clinical trials </w:t>
      </w:r>
      <w:r w:rsidR="002D772C">
        <w:t>are reported in</w:t>
      </w:r>
      <w:r w:rsidR="000F6DFC">
        <w:t xml:space="preserve"> </w:t>
      </w:r>
      <w:r w:rsidR="00E729BA">
        <w:fldChar w:fldCharType="begin"/>
      </w:r>
      <w:r w:rsidR="000F6DFC">
        <w:instrText xml:space="preserve"> REF _Ref364923716 \h </w:instrText>
      </w:r>
      <w:r w:rsidR="00E729BA">
        <w:fldChar w:fldCharType="separate"/>
      </w:r>
      <w:r w:rsidR="004911B7">
        <w:t xml:space="preserve">Table </w:t>
      </w:r>
      <w:r w:rsidR="004911B7">
        <w:rPr>
          <w:noProof/>
        </w:rPr>
        <w:t>2</w:t>
      </w:r>
      <w:r w:rsidR="00E729BA">
        <w:fldChar w:fldCharType="end"/>
      </w:r>
      <w:r w:rsidR="002D772C">
        <w:t xml:space="preserve">. Six out of fifteen of the trials could be considered very small </w:t>
      </w:r>
      <w:r w:rsidR="00E5556D">
        <w:t>with less than 50 patients</w:t>
      </w:r>
      <w:r w:rsidR="002D772C">
        <w:t>. Six of the trials had a large sample size (greater than 100 patients</w:t>
      </w:r>
      <w:r w:rsidR="00274DBD">
        <w:t xml:space="preserve"> in total</w:t>
      </w:r>
      <w:r w:rsidR="002D772C">
        <w:t xml:space="preserve">). </w:t>
      </w:r>
      <w:r w:rsidR="002E1550">
        <w:t xml:space="preserve">Six studies reported a sample size calculation based on 80% power </w:t>
      </w:r>
      <w:r w:rsidR="00E729BA">
        <w:fldChar w:fldCharType="begin"/>
      </w:r>
      <w:r w:rsidR="00FC61FD">
        <w:instrText xml:space="preserve"> ADDIN REFMGR.CITE &lt;Refman&gt;&lt;Cite&gt;&lt;Author&gt;Fortin&lt;/Author&gt;&lt;Year&gt;2008&lt;/Year&gt;&lt;RecNum&gt;1432&lt;/RecNum&gt;&lt;IDText&gt;Steroid-sparing effects of methotrexate in systemic lupus erythematosus: A double-blind, randomized, placebo-controlled trial&lt;/IDText&gt;&lt;MDL Ref_Type="Journal"&gt;&lt;Ref_Type&gt;Journal&lt;/Ref_Type&gt;&lt;Ref_ID&gt;1432&lt;/Ref_ID&gt;&lt;Title_Primary&gt;Steroid-sparing effects of methotrexate in systemic lupus erythematosus: A double-blind, randomized, placebo-controlled trial&lt;/Title_Primary&gt;&lt;Authors_Primary&gt;Fortin,P.R.&lt;/Authors_Primary&gt;&lt;Authors_Primary&gt;Abrahamowicz,M.&lt;/Authors_Primary&gt;&lt;Authors_Primary&gt;Ferland,D.&lt;/Authors_Primary&gt;&lt;Authors_Primary&gt;Lacaille,D.&lt;/Authors_Primary&gt;&lt;Authors_Primary&gt;Smith,C.D.&lt;/Authors_Primary&gt;&lt;Authors_Primary&gt;Zummer,M.&lt;/Authors_Primary&gt;&lt;Date_Primary&gt;2008&lt;/Date_Primary&gt;&lt;Keywords&gt;analysis&lt;/Keywords&gt;&lt;Keywords&gt;antimalarial agent&lt;/Keywords&gt;&lt;Keywords&gt;Arthritis&lt;/Keywords&gt;&lt;Keywords&gt;article&lt;/Keywords&gt;&lt;Keywords&gt;Canada&lt;/Keywords&gt;&lt;Keywords&gt;cardiovascular symptom&lt;/Keywords&gt;&lt;Keywords&gt;si [Side Effect]&lt;/Keywords&gt;&lt;Keywords&gt;clinical article&lt;/Keywords&gt;&lt;Keywords&gt;clinical trial&lt;/Keywords&gt;&lt;Keywords&gt;confidence interval&lt;/Keywords&gt;&lt;Keywords&gt;controlled clinical trial&lt;/Keywords&gt;&lt;Keywords&gt;controlled study&lt;/Keywords&gt;&lt;Keywords&gt;Disease&lt;/Keywords&gt;&lt;Keywords&gt;disease activity&lt;/Keywords&gt;&lt;Keywords&gt;drug dose escalation&lt;/Keywords&gt;&lt;Keywords&gt;drug dose reduction&lt;/Keywords&gt;&lt;Keywords&gt;drug effect&lt;/Keywords&gt;&lt;Keywords&gt;erythematosus&lt;/Keywords&gt;&lt;Keywords&gt;Female&lt;/Keywords&gt;&lt;Keywords&gt;folic acid&lt;/Keywords&gt;&lt;Keywords&gt;cb [Drug Combination]&lt;/Keywords&gt;&lt;Keywords&gt;folic acid&lt;/Keywords&gt;&lt;Keywords&gt;ct [Clinical Trial]&lt;/Keywords&gt;&lt;Keywords&gt;folic acid&lt;/Keywords&gt;&lt;Keywords&gt;dt [Drug Therapy]&lt;/Keywords&gt;&lt;Keywords&gt;gastrointestinal symptom&lt;/Keywords&gt;&lt;Keywords&gt;si [Side Effect]&lt;/Keywords&gt;&lt;Keywords&gt;Health&lt;/Keywords&gt;&lt;Keywords&gt;hematologic disease&lt;/Keywords&gt;&lt;Keywords&gt;si [Side Effect]&lt;/Keywords&gt;&lt;Keywords&gt;hospital&lt;/Keywords&gt;&lt;Keywords&gt;human&lt;/Keywords&gt;&lt;Keywords&gt;infection&lt;/Keywords&gt;&lt;Keywords&gt;si [Side Effect]&lt;/Keywords&gt;&lt;Keywords&gt;kidney disease&lt;/Keywords&gt;&lt;Keywords&gt;si [Side Effect]&lt;/Keywords&gt;&lt;Keywords&gt;Linear Models&lt;/Keywords&gt;&lt;Keywords&gt;longitudinal study&lt;/Keywords&gt;&lt;Keywords&gt;lupus erythematosus&lt;/Keywords&gt;&lt;Keywords&gt;Male&lt;/Keywords&gt;&lt;Keywords&gt;mental disease&lt;/Keywords&gt;&lt;Keywords&gt;si [Side Effect]&lt;/Keywords&gt;&lt;Keywords&gt;metabolic disorder&lt;/Keywords&gt;&lt;Keywords&gt;si [Side Effect]&lt;/Keywords&gt;&lt;Keywords&gt;methods&lt;/Keywords&gt;&lt;Keywords&gt;methotrexate&lt;/Keywords&gt;&lt;Keywords&gt;ae [Adverse Drug Reaction]&lt;/Keywords&gt;&lt;Keywords&gt;methotrexate&lt;/Keywords&gt;&lt;Keywords&gt;cb [Drug Combination]&lt;/Keywords&gt;&lt;Keywords&gt;methotrexate&lt;/Keywords&gt;&lt;Keywords&gt;ct [Clinical Trial]&lt;/Keywords&gt;&lt;Keywords&gt;methotrexate&lt;/Keywords&gt;&lt;Keywords&gt;do [Drug Dose]&lt;/Keywords&gt;&lt;Keywords&gt;methotrexate&lt;/Keywords&gt;&lt;Keywords&gt;dt [Drug Therapy]&lt;/Keywords&gt;&lt;Keywords&gt;neurologic disease&lt;/Keywords&gt;&lt;Keywords&gt;si [Side Effect]&lt;/Keywords&gt;&lt;Keywords&gt;patient&lt;/Keywords&gt;&lt;Keywords&gt;patient selection&lt;/Keywords&gt;&lt;Keywords&gt;Patients&lt;/Keywords&gt;&lt;Keywords&gt;placebo&lt;/Keywords&gt;&lt;Keywords&gt;Prednisone&lt;/Keywords&gt;&lt;Keywords&gt;prednisone&lt;/Keywords&gt;&lt;Keywords&gt;ct [Clinical Trial]&lt;/Keywords&gt;&lt;Keywords&gt;prednisone&lt;/Keywords&gt;&lt;Keywords&gt;do [Drug Dose]&lt;/Keywords&gt;&lt;Keywords&gt;prednisone&lt;/Keywords&gt;&lt;Keywords&gt;dt [Drug Therapy]&lt;/Keywords&gt;&lt;Keywords&gt;randomized controlled trial&lt;/Keywords&gt;&lt;Keywords&gt;Research&lt;/Keywords&gt;&lt;Keywords&gt;respiratory tract disease&lt;/Keywords&gt;&lt;Keywords&gt;si [Side Effect]&lt;/Keywords&gt;&lt;Keywords&gt;revised Systemic Lupus Activity Measure&lt;/Keywords&gt;&lt;Keywords&gt;Rheumatology&lt;/Keywords&gt;&lt;Keywords&gt;scoring system&lt;/Keywords&gt;&lt;Keywords&gt;skin disease&lt;/Keywords&gt;&lt;Keywords&gt;si [Side Effect]&lt;/Keywords&gt;&lt;Keywords&gt;systemic lupus erythematosus&lt;/Keywords&gt;&lt;Keywords&gt;systemic lupus erythematosus&lt;/Keywords&gt;&lt;Keywords&gt;dt [Drug Therapy]&lt;/Keywords&gt;&lt;Keywords&gt;Treatment Outcome&lt;/Keywords&gt;&lt;Keywords&gt;unspecified side effect&lt;/Keywords&gt;&lt;Keywords&gt;si [Side Effect]&lt;/Keywords&gt;&lt;Keywords&gt;urogenital tract disease&lt;/Keywords&gt;&lt;Keywords&gt;si [Side Effect]&lt;/Keywords&gt;&lt;Reprint&gt;Not in File&lt;/Reprint&gt;&lt;Start_Page&gt;15&lt;/Start_Page&gt;&lt;Periodical&gt;Arthritis Care and Research 1994; 59(12)(pp 1796-1804),&lt;/Periodical&gt;&lt;User_Def_1&gt;y&lt;/User_Def_1&gt;&lt;ISSN_ISBN&gt;0004-3591&lt;/ISSN_ISBN&gt;&lt;Address&gt;(Fortin) University Health Network, Toronto Western Hospital, Toronto, ON, Canada. (Abrahamowicz) McGill University, Montreal, QC, Canada. (Ferland) University Health Network, Toronto Western Research Institute, Toronto, ON, Canada. (Lacaille) Arthritis Research Centre of Canada, Vancouver, BC, Canada. (Smith) Arthritis Centre, Ottawa Hospital, Ottawa, ON, Canada. (Zummer) Hopital Maisonneuve-Rosemont, Montreal, QC, Canada. (Fortin) MP-10-304, 399 Bathurst Street, Toronto, ON M5T 2S8, Canada&lt;/Address&gt;&lt;ZZ_JournalFull&gt;&lt;f name="System"&gt;Arthritis Care and Research 1994; 59(12)(pp 1796-1804),&lt;/f&gt;&lt;/ZZ_JournalFull&gt;&lt;ZZ_WorkformID&gt;1&lt;/ZZ_WorkformID&gt;&lt;/MDL&gt;&lt;/Cite&gt;&lt;Cite&gt;&lt;Author&gt;Furie&lt;/Author&gt;&lt;Year&gt;2011&lt;/Year&gt;&lt;RecNum&gt;1639&lt;/RecNum&gt;&lt;IDText&gt;A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Rheum.&lt;/f&gt;&lt;/ZZ_JournalStdAbbrev&gt;&lt;ZZ_WorkformID&gt;1&lt;/ZZ_WorkformID&gt;&lt;/MDL&gt;&lt;/Cite&gt;&lt;Cite&gt;&lt;Author&gt;Griffiths&lt;/Author&gt;&lt;Year&gt;2005&lt;/Year&gt;&lt;RecNum&gt;18&lt;/RecNum&gt;&lt;IDText&gt;Assessment of patients with systemic lupus erythematosus and the use of lupus disease activity indices&lt;/IDText&gt;&lt;MDL Ref_Type="Journal"&gt;&lt;Ref_Type&gt;Journal&lt;/Ref_Type&gt;&lt;Ref_ID&gt;18&lt;/Ref_ID&gt;&lt;Title_Primary&gt;Assessment of patients with systemic lupus erythematosus and the use of lupus disease activity indices&lt;/Title_Primary&gt;&lt;Authors_Primary&gt;Griffiths,B.&lt;/Authors_Primary&gt;&lt;Authors_Primary&gt;Mosca,M.&lt;/Authors_Primary&gt;&lt;Authors_Primary&gt;Gordon,C.&lt;/Authors_Primary&gt;&lt;Date_Primary&gt;2005/10&lt;/Date_Primary&gt;&lt;Keywords&gt;Disease Progression&lt;/Keywords&gt;&lt;Keywords&gt;Humans&lt;/Keywords&gt;&lt;Keywords&gt;Lupus Erythematosus,Systemic&lt;/Keywords&gt;&lt;Keywords&gt;physiopathology&lt;/Keywords&gt;&lt;Keywords&gt;psychology&lt;/Keywords&gt;&lt;Keywords&gt;Quality of Life&lt;/Keywords&gt;&lt;Keywords&gt;Severity of Illness Index&lt;/Keywords&gt;&lt;Keywords&gt;Sickness Impact Profile&lt;/Keywords&gt;&lt;Reprint&gt;Not in File&lt;/Reprint&gt;&lt;Start_Page&gt;685&lt;/Start_Page&gt;&lt;End_Page&gt;708&lt;/End_Page&gt;&lt;Periodical&gt;Best.Pract.Res.Clin.Rheumatol.&lt;/Periodical&gt;&lt;Volume&gt;19&lt;/Volume&gt;&lt;Issue&gt;5&lt;/Issue&gt;&lt;User_Def_1&gt;SLEDAI&lt;/User_Def_1&gt;&lt;User_Def_2&gt;BILAG&lt;/User_Def_2&gt;&lt;ZZ_JournalStdAbbrev&gt;&lt;f name="System"&gt;Best.Pract.Res.Clin.Rheumatol.&lt;/f&gt;&lt;/ZZ_JournalStdAbbrev&gt;&lt;ZZ_WorkformID&gt;1&lt;/ZZ_WorkformID&gt;&lt;/MDL&gt;&lt;/Cite&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sidR="00E729BA">
        <w:fldChar w:fldCharType="separate"/>
      </w:r>
      <w:r w:rsidR="00F12F58">
        <w:t>(46;62;69;72;74;75)</w:t>
      </w:r>
      <w:r w:rsidR="00E729BA">
        <w:fldChar w:fldCharType="end"/>
      </w:r>
      <w:r w:rsidR="002E1550">
        <w:t>.</w:t>
      </w:r>
    </w:p>
    <w:p w:rsidR="002D772C" w:rsidRDefault="002D772C" w:rsidP="002D772C">
      <w:pPr>
        <w:pStyle w:val="Heading3"/>
        <w:rPr>
          <w:lang w:eastAsia="zh-CN"/>
        </w:rPr>
      </w:pPr>
      <w:bookmarkStart w:id="68" w:name="_Toc332720565"/>
      <w:bookmarkStart w:id="69" w:name="_Toc379467556"/>
      <w:r>
        <w:rPr>
          <w:lang w:eastAsia="zh-CN"/>
        </w:rPr>
        <w:t>Concomitant Medications</w:t>
      </w:r>
      <w:bookmarkEnd w:id="68"/>
      <w:bookmarkEnd w:id="69"/>
    </w:p>
    <w:p w:rsidR="002D772C" w:rsidRDefault="001C72E7" w:rsidP="001C72E7">
      <w:r>
        <w:t>T</w:t>
      </w:r>
      <w:r w:rsidR="00623F38">
        <w:t xml:space="preserve">he </w:t>
      </w:r>
      <w:r w:rsidR="002D772C">
        <w:t>FDA guidelines</w:t>
      </w:r>
      <w:r w:rsidR="00623F38">
        <w:t xml:space="preserve"> </w:t>
      </w:r>
      <w:r>
        <w:t>recommend that patient</w:t>
      </w:r>
      <w:r w:rsidR="002D772C">
        <w:t xml:space="preserve">s </w:t>
      </w:r>
      <w:r>
        <w:t>are not</w:t>
      </w:r>
      <w:r w:rsidR="002D772C">
        <w:t xml:space="preserve"> denied essential treatment during an SLE clinical trial</w:t>
      </w:r>
      <w:r w:rsidR="00117265">
        <w:t xml:space="preserve"> </w:t>
      </w:r>
      <w:r w:rsidR="00E729BA">
        <w:fldChar w:fldCharType="begin"/>
      </w:r>
      <w:r w:rsidR="00FC61FD">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fldChar w:fldCharType="separate"/>
      </w:r>
      <w:r w:rsidR="00F12F58">
        <w:t>(81)</w:t>
      </w:r>
      <w:r w:rsidR="00E729BA">
        <w:fldChar w:fldCharType="end"/>
      </w:r>
      <w:r w:rsidR="002D772C">
        <w:t xml:space="preserve">. </w:t>
      </w:r>
      <w:r w:rsidR="00117265">
        <w:t xml:space="preserve">It would be unethical to restrict patient access to effective treatment because </w:t>
      </w:r>
      <w:r w:rsidR="00623F38">
        <w:t xml:space="preserve">SLE flares can be severe, </w:t>
      </w:r>
      <w:r w:rsidR="004D7951">
        <w:t xml:space="preserve">and can </w:t>
      </w:r>
      <w:r w:rsidR="00623F38">
        <w:t>cause perm</w:t>
      </w:r>
      <w:r w:rsidR="00117265">
        <w:t>anent damage and even mortality</w:t>
      </w:r>
      <w:r w:rsidR="00623F38">
        <w:t xml:space="preserve">. </w:t>
      </w:r>
      <w:r w:rsidR="00117265">
        <w:t>None of the</w:t>
      </w:r>
      <w:r w:rsidR="002D772C">
        <w:t xml:space="preserve"> guidelines make specific recommendations on how concomitant medications should be regulated in a clinical trial. </w:t>
      </w:r>
    </w:p>
    <w:p w:rsidR="001F709F" w:rsidRDefault="001F709F" w:rsidP="000F6DFC">
      <w:r>
        <w:t>Details of the concomitant medication protocols are reported in</w:t>
      </w:r>
      <w:r w:rsidR="000F6DFC">
        <w:t xml:space="preserve"> </w:t>
      </w:r>
      <w:r w:rsidR="00E729BA">
        <w:fldChar w:fldCharType="begin"/>
      </w:r>
      <w:r w:rsidR="000F6DFC">
        <w:instrText xml:space="preserve"> REF _Ref364923716 \h </w:instrText>
      </w:r>
      <w:r w:rsidR="00E729BA">
        <w:fldChar w:fldCharType="separate"/>
      </w:r>
      <w:r w:rsidR="004911B7">
        <w:t xml:space="preserve">Table </w:t>
      </w:r>
      <w:r w:rsidR="004911B7">
        <w:rPr>
          <w:noProof/>
        </w:rPr>
        <w:t>2</w:t>
      </w:r>
      <w:r w:rsidR="00E729BA">
        <w:fldChar w:fldCharType="end"/>
      </w:r>
      <w:r>
        <w:t>. T</w:t>
      </w:r>
      <w:r w:rsidR="001C72E7">
        <w:t>hree</w:t>
      </w:r>
      <w:r w:rsidR="001B4DC5">
        <w:t xml:space="preserve"> </w:t>
      </w:r>
      <w:r w:rsidR="001C72E7">
        <w:t>articles</w:t>
      </w:r>
      <w:r>
        <w:t xml:space="preserve"> did not report</w:t>
      </w:r>
      <w:r w:rsidR="001C72E7">
        <w:t xml:space="preserve"> </w:t>
      </w:r>
      <w:r w:rsidR="001B4DC5">
        <w:t>the protocol for</w:t>
      </w:r>
      <w:r w:rsidR="002D772C">
        <w:t xml:space="preserve"> concomitant medications. </w:t>
      </w:r>
      <w:r w:rsidR="00623F38">
        <w:t xml:space="preserve">The concomitant medications that are listed are consistent with standard treatments </w:t>
      </w:r>
      <w:r>
        <w:t xml:space="preserve">for SLE </w:t>
      </w:r>
      <w:r w:rsidR="00623F38">
        <w:t xml:space="preserve">described in Section </w:t>
      </w:r>
      <w:fldSimple w:instr=" REF _Ref349216141 \n \h  \* MERGEFORMAT ">
        <w:r w:rsidR="004911B7">
          <w:rPr>
            <w:cs/>
          </w:rPr>
          <w:t>‎</w:t>
        </w:r>
        <w:r w:rsidR="004911B7">
          <w:t>1.3.4</w:t>
        </w:r>
      </w:fldSimple>
      <w:r w:rsidR="008912D1">
        <w:t xml:space="preserve"> </w:t>
      </w:r>
      <w:r w:rsidR="00623F38">
        <w:t xml:space="preserve">of Chapter 1. </w:t>
      </w:r>
    </w:p>
    <w:p w:rsidR="002D772C" w:rsidRPr="00420B54" w:rsidRDefault="002D772C" w:rsidP="00D6514A">
      <w:pPr>
        <w:rPr>
          <w:lang w:eastAsia="zh-CN"/>
        </w:rPr>
      </w:pPr>
      <w:r>
        <w:t xml:space="preserve">Four trials </w:t>
      </w:r>
      <w:r w:rsidR="00117265">
        <w:t>employ</w:t>
      </w:r>
      <w:r w:rsidR="002A0788">
        <w:t>ed</w:t>
      </w:r>
      <w:r w:rsidR="00117265">
        <w:t xml:space="preserve"> a strategy</w:t>
      </w:r>
      <w:r>
        <w:t xml:space="preserve"> to </w:t>
      </w:r>
      <w:r w:rsidR="00623F38">
        <w:t>reduce</w:t>
      </w:r>
      <w:r>
        <w:t xml:space="preserve"> steroid dose during the study </w:t>
      </w:r>
      <w:r w:rsidR="00623F38">
        <w:t xml:space="preserve">to observe the steroid sparing effects of treatment </w:t>
      </w:r>
      <w:r w:rsidR="00E729BA">
        <w:fldChar w:fldCharType="begin"/>
      </w:r>
      <w:r w:rsidR="00FC61FD">
        <w:instrText xml:space="preserve"> ADDIN REFMGR.CITE &lt;Refman&gt;&lt;Cite&gt;&lt;Author&gt;Carneiro&lt;/Author&gt;&lt;Year&gt;1999&lt;/Year&gt;&lt;RecNum&gt;83&lt;/RecNum&gt;&lt;IDText&gt;Double blind, randomized, placebo controlled clinical trial of methotrexate in systemic lupus erythematosus&lt;/IDText&gt;&lt;MDL Ref_Type="Journal"&gt;&lt;Ref_Type&gt;Journal&lt;/Ref_Type&gt;&lt;Ref_ID&gt;83&lt;/Ref_ID&gt;&lt;Title_Primary&gt;Double blind, randomized, placebo controlled clinical trial of methotrexate in systemic lupus erythematosus&lt;/Title_Primary&gt;&lt;Authors_Primary&gt;Carneiro,J.R.M.&lt;/Authors_Primary&gt;&lt;Authors_Primary&gt;Sato,E.I.&lt;/Authors_Primary&gt;&lt;Date_Primary&gt;1999&lt;/Date_Primary&gt;&lt;Keywords&gt;Adult&lt;/Keywords&gt;&lt;Keywords&gt;article&lt;/Keywords&gt;&lt;Keywords&gt;Brazil&lt;/Keywords&gt;&lt;Keywords&gt;clinical article&lt;/Keywords&gt;&lt;Keywords&gt;clinical trial&lt;/Keywords&gt;&lt;Keywords&gt;controlled clinical trial&lt;/Keywords&gt;&lt;Keywords&gt;controlled study&lt;/Keywords&gt;&lt;Keywords&gt;Disease&lt;/Keywords&gt;&lt;Keywords&gt;disease activity&lt;/Keywords&gt;&lt;Keywords&gt;disease activity index&lt;/Keywords&gt;&lt;Keywords&gt;disease duration&lt;/Keywords&gt;&lt;Keywords&gt;disease severity&lt;/Keywords&gt;&lt;Keywords&gt;dose response&lt;/Keywords&gt;&lt;Keywords&gt;double blind procedure&lt;/Keywords&gt;&lt;Keywords&gt;drug efficacy&lt;/Keywords&gt;&lt;Keywords&gt;dyspepsia&lt;/Keywords&gt;&lt;Keywords&gt;si [Side Effect]&lt;/Keywords&gt;&lt;Keywords&gt;erythematosus&lt;/Keywords&gt;&lt;Keywords&gt;evaluation&lt;/Keywords&gt;&lt;Keywords&gt;Female&lt;/Keywords&gt;&lt;Keywords&gt;Hospitalization&lt;/Keywords&gt;&lt;Keywords&gt;human&lt;/Keywords&gt;&lt;Keywords&gt;hypocomplementemia&lt;/Keywords&gt;&lt;Keywords&gt;si [Side Effect]&lt;/Keywords&gt;&lt;Keywords&gt;liver disease&lt;/Keywords&gt;&lt;Keywords&gt;si [Side Effect]&lt;/Keywords&gt;&lt;Keywords&gt;lupus erythematosus&lt;/Keywords&gt;&lt;Keywords&gt;Male&lt;/Keywords&gt;&lt;Keywords&gt;methods&lt;/Keywords&gt;&lt;Keywords&gt;methotrexate&lt;/Keywords&gt;&lt;Keywords&gt;methotrexate&lt;/Keywords&gt;&lt;Keywords&gt;ae [Adverse Drug Reaction]&lt;/Keywords&gt;&lt;Keywords&gt;methotrexate&lt;/Keywords&gt;&lt;Keywords&gt;ct [Clinical Trial]&lt;/Keywords&gt;&lt;Keywords&gt;methotrexate&lt;/Keywords&gt;&lt;Keywords&gt;dt [Drug Therapy]&lt;/Keywords&gt;&lt;Keywords&gt;nausea&lt;/Keywords&gt;&lt;Keywords&gt;si [Side Effect]&lt;/Keywords&gt;&lt;Keywords&gt;oral drug administration&lt;/Keywords&gt;&lt;Keywords&gt;Pain&lt;/Keywords&gt;&lt;Keywords&gt;patient&lt;/Keywords&gt;&lt;Keywords&gt;Patients&lt;/Keywords&gt;&lt;Keywords&gt;placebo&lt;/Keywords&gt;&lt;Keywords&gt;Prednisone&lt;/Keywords&gt;&lt;Keywords&gt;prednisone&lt;/Keywords&gt;&lt;Keywords&gt;do [Drug Dose]&lt;/Keywords&gt;&lt;Keywords&gt;prednisone&lt;/Keywords&gt;&lt;Keywords&gt;dt [Drug Therapy]&lt;/Keywords&gt;&lt;Keywords&gt;priority journal&lt;/Keywords&gt;&lt;Keywords&gt;randomized controlled trial&lt;/Keywords&gt;&lt;Keywords&gt;Rheumatology&lt;/Keywords&gt;&lt;Keywords&gt;Serum&lt;/Keywords&gt;&lt;Keywords&gt;steroid therapy&lt;/Keywords&gt;&lt;Keywords&gt;systemic lupus erythematosus&lt;/Keywords&gt;&lt;Keywords&gt;systemic lupus erythematosus&lt;/Keywords&gt;&lt;Keywords&gt;dt [Drug Therapy]&lt;/Keywords&gt;&lt;Keywords&gt;Tuberculosis&lt;/Keywords&gt;&lt;Keywords&gt;urticaria&lt;/Keywords&gt;&lt;Keywords&gt;si [Side Effect]&lt;/Keywords&gt;&lt;Reprint&gt;Not in File&lt;/Reprint&gt;&lt;Start_Page&gt;1999&lt;/Start_Page&gt;&lt;Periodical&gt;Journal of Rheumatology 1994; 26(6)(pp 1275-1279),&lt;/Periodical&gt;&lt;User_Def_1&gt;y&lt;/User_Def_1&gt;&lt;ISSN_ISBN&gt;0315-162X&lt;/ISSN_ISBN&gt;&lt;Address&gt;(Carneiro, Sato) Rheumatology Department, Univ. Federal de Sao Paulo, Sao Paulo, Brazil. (Sato) Univ. Federal de Sao Paulo, Disciplina de Reumatologia, Rua Botucatu 740, CEP 04023-062, Sao Paulo, Brazil&lt;/Address&gt;&lt;ZZ_JournalFull&gt;&lt;f name="System"&gt;Journal of Rheumatology 1994; 26(6)(pp 1275-1279),&lt;/f&gt;&lt;/ZZ_JournalFull&gt;&lt;ZZ_WorkformID&gt;1&lt;/ZZ_WorkformID&gt;&lt;/MDL&gt;&lt;/Cite&gt;&lt;Cite&gt;&lt;Author&gt;Fortin&lt;/Author&gt;&lt;Year&gt;2008&lt;/Year&gt;&lt;RecNum&gt;1432&lt;/RecNum&gt;&lt;IDText&gt;Steroid-sparing effects of methotrexate in systemic lupus erythematosus: A double-blind, randomized, placebo-controlled trial&lt;/IDText&gt;&lt;MDL Ref_Type="Journal"&gt;&lt;Ref_Type&gt;Journal&lt;/Ref_Type&gt;&lt;Ref_ID&gt;1432&lt;/Ref_ID&gt;&lt;Title_Primary&gt;Steroid-sparing effects of methotrexate in systemic lupus erythematosus: A double-blind, randomized, placebo-controlled trial&lt;/Title_Primary&gt;&lt;Authors_Primary&gt;Fortin,P.R.&lt;/Authors_Primary&gt;&lt;Authors_Primary&gt;Abrahamowicz,M.&lt;/Authors_Primary&gt;&lt;Authors_Primary&gt;Ferland,D.&lt;/Authors_Primary&gt;&lt;Authors_Primary&gt;Lacaille,D.&lt;/Authors_Primary&gt;&lt;Authors_Primary&gt;Smith,C.D.&lt;/Authors_Primary&gt;&lt;Authors_Primary&gt;Zummer,M.&lt;/Authors_Primary&gt;&lt;Date_Primary&gt;2008&lt;/Date_Primary&gt;&lt;Keywords&gt;analysis&lt;/Keywords&gt;&lt;Keywords&gt;antimalarial agent&lt;/Keywords&gt;&lt;Keywords&gt;Arthritis&lt;/Keywords&gt;&lt;Keywords&gt;article&lt;/Keywords&gt;&lt;Keywords&gt;Canada&lt;/Keywords&gt;&lt;Keywords&gt;cardiovascular symptom&lt;/Keywords&gt;&lt;Keywords&gt;si [Side Effect]&lt;/Keywords&gt;&lt;Keywords&gt;clinical article&lt;/Keywords&gt;&lt;Keywords&gt;clinical trial&lt;/Keywords&gt;&lt;Keywords&gt;confidence interval&lt;/Keywords&gt;&lt;Keywords&gt;controlled clinical trial&lt;/Keywords&gt;&lt;Keywords&gt;controlled study&lt;/Keywords&gt;&lt;Keywords&gt;Disease&lt;/Keywords&gt;&lt;Keywords&gt;disease activity&lt;/Keywords&gt;&lt;Keywords&gt;drug dose escalation&lt;/Keywords&gt;&lt;Keywords&gt;drug dose reduction&lt;/Keywords&gt;&lt;Keywords&gt;drug effect&lt;/Keywords&gt;&lt;Keywords&gt;erythematosus&lt;/Keywords&gt;&lt;Keywords&gt;Female&lt;/Keywords&gt;&lt;Keywords&gt;folic acid&lt;/Keywords&gt;&lt;Keywords&gt;cb [Drug Combination]&lt;/Keywords&gt;&lt;Keywords&gt;folic acid&lt;/Keywords&gt;&lt;Keywords&gt;ct [Clinical Trial]&lt;/Keywords&gt;&lt;Keywords&gt;folic acid&lt;/Keywords&gt;&lt;Keywords&gt;dt [Drug Therapy]&lt;/Keywords&gt;&lt;Keywords&gt;gastrointestinal symptom&lt;/Keywords&gt;&lt;Keywords&gt;si [Side Effect]&lt;/Keywords&gt;&lt;Keywords&gt;Health&lt;/Keywords&gt;&lt;Keywords&gt;hematologic disease&lt;/Keywords&gt;&lt;Keywords&gt;si [Side Effect]&lt;/Keywords&gt;&lt;Keywords&gt;hospital&lt;/Keywords&gt;&lt;Keywords&gt;human&lt;/Keywords&gt;&lt;Keywords&gt;infection&lt;/Keywords&gt;&lt;Keywords&gt;si [Side Effect]&lt;/Keywords&gt;&lt;Keywords&gt;kidney disease&lt;/Keywords&gt;&lt;Keywords&gt;si [Side Effect]&lt;/Keywords&gt;&lt;Keywords&gt;Linear Models&lt;/Keywords&gt;&lt;Keywords&gt;longitudinal study&lt;/Keywords&gt;&lt;Keywords&gt;lupus erythematosus&lt;/Keywords&gt;&lt;Keywords&gt;Male&lt;/Keywords&gt;&lt;Keywords&gt;mental disease&lt;/Keywords&gt;&lt;Keywords&gt;si [Side Effect]&lt;/Keywords&gt;&lt;Keywords&gt;metabolic disorder&lt;/Keywords&gt;&lt;Keywords&gt;si [Side Effect]&lt;/Keywords&gt;&lt;Keywords&gt;methods&lt;/Keywords&gt;&lt;Keywords&gt;methotrexate&lt;/Keywords&gt;&lt;Keywords&gt;ae [Adverse Drug Reaction]&lt;/Keywords&gt;&lt;Keywords&gt;methotrexate&lt;/Keywords&gt;&lt;Keywords&gt;cb [Drug Combination]&lt;/Keywords&gt;&lt;Keywords&gt;methotrexate&lt;/Keywords&gt;&lt;Keywords&gt;ct [Clinical Trial]&lt;/Keywords&gt;&lt;Keywords&gt;methotrexate&lt;/Keywords&gt;&lt;Keywords&gt;do [Drug Dose]&lt;/Keywords&gt;&lt;Keywords&gt;methotrexate&lt;/Keywords&gt;&lt;Keywords&gt;dt [Drug Therapy]&lt;/Keywords&gt;&lt;Keywords&gt;neurologic disease&lt;/Keywords&gt;&lt;Keywords&gt;si [Side Effect]&lt;/Keywords&gt;&lt;Keywords&gt;patient&lt;/Keywords&gt;&lt;Keywords&gt;patient selection&lt;/Keywords&gt;&lt;Keywords&gt;Patients&lt;/Keywords&gt;&lt;Keywords&gt;placebo&lt;/Keywords&gt;&lt;Keywords&gt;Prednisone&lt;/Keywords&gt;&lt;Keywords&gt;prednisone&lt;/Keywords&gt;&lt;Keywords&gt;ct [Clinical Trial]&lt;/Keywords&gt;&lt;Keywords&gt;prednisone&lt;/Keywords&gt;&lt;Keywords&gt;do [Drug Dose]&lt;/Keywords&gt;&lt;Keywords&gt;prednisone&lt;/Keywords&gt;&lt;Keywords&gt;dt [Drug Therapy]&lt;/Keywords&gt;&lt;Keywords&gt;randomized controlled trial&lt;/Keywords&gt;&lt;Keywords&gt;Research&lt;/Keywords&gt;&lt;Keywords&gt;respiratory tract disease&lt;/Keywords&gt;&lt;Keywords&gt;si [Side Effect]&lt;/Keywords&gt;&lt;Keywords&gt;revised Systemic Lupus Activity Measure&lt;/Keywords&gt;&lt;Keywords&gt;Rheumatology&lt;/Keywords&gt;&lt;Keywords&gt;scoring system&lt;/Keywords&gt;&lt;Keywords&gt;skin disease&lt;/Keywords&gt;&lt;Keywords&gt;si [Side Effect]&lt;/Keywords&gt;&lt;Keywords&gt;systemic lupus erythematosus&lt;/Keywords&gt;&lt;Keywords&gt;systemic lupus erythematosus&lt;/Keywords&gt;&lt;Keywords&gt;dt [Drug Therapy]&lt;/Keywords&gt;&lt;Keywords&gt;Treatment Outcome&lt;/Keywords&gt;&lt;Keywords&gt;unspecified side effect&lt;/Keywords&gt;&lt;Keywords&gt;si [Side Effect]&lt;/Keywords&gt;&lt;Keywords&gt;urogenital tract disease&lt;/Keywords&gt;&lt;Keywords&gt;si [Side Effect]&lt;/Keywords&gt;&lt;Reprint&gt;Not in File&lt;/Reprint&gt;&lt;Start_Page&gt;15&lt;/Start_Page&gt;&lt;Periodical&gt;Arthritis Care and Research 1994; 59(12)(pp 1796-1804),&lt;/Periodical&gt;&lt;User_Def_1&gt;y&lt;/User_Def_1&gt;&lt;ISSN_ISBN&gt;0004-3591&lt;/ISSN_ISBN&gt;&lt;Address&gt;(Fortin) University Health Network, Toronto Western Hospital, Toronto, ON, Canada. (Abrahamowicz) McGill University, Montreal, QC, Canada. (Ferland) University Health Network, Toronto Western Research Institute, Toronto, ON, Canada. (Lacaille) Arthritis Research Centre of Canada, Vancouver, BC, Canada. (Smith) Arthritis Centre, Ottawa Hospital, Ottawa, ON, Canada. (Zummer) Hopital Maisonneuve-Rosemont, Montreal, QC, Canada. (Fortin) MP-10-304, 399 Bathurst Street, Toronto, ON M5T 2S8, Canada&lt;/Address&gt;&lt;ZZ_JournalFull&gt;&lt;f name="System"&gt;Arthritis Care and Research 1994; 59(12)(pp 1796-1804),&lt;/f&gt;&lt;/ZZ_JournalFull&gt;&lt;ZZ_WorkformID&gt;1&lt;/ZZ_WorkformID&gt;&lt;/MDL&gt;&lt;/Cite&gt;&lt;Cite&gt;&lt;Author&gt;Li&lt;/Author&gt;&lt;Year&gt;2009&lt;/Year&gt;&lt;RecNum&gt;110&lt;/RecNum&gt;&lt;IDText&gt;Is combination rituximab with cyclophosphamide better than rituximab alone in the treatment of lupus nephritis?&lt;/IDText&gt;&lt;MDL Ref_Type="Journal"&gt;&lt;Ref_Type&gt;Journal&lt;/Ref_Type&gt;&lt;Ref_ID&gt;110&lt;/Ref_ID&gt;&lt;Title_Primary&gt;Is combination rituximab with cyclophosphamide better than rituximab alone in the treatment of lupus nephritis?&lt;/Title_Primary&gt;&lt;Authors_Primary&gt;Li,E.K.&lt;/Authors_Primary&gt;&lt;Authors_Primary&gt;Tam,L.S.&lt;/Authors_Primary&gt;&lt;Authors_Primary&gt;Zhu,T.Y.&lt;/Authors_Primary&gt;&lt;Authors_Primary&gt;Li,M.&lt;/Authors_Primary&gt;&lt;Authors_Primary&gt;Kwok,C.L.&lt;/Authors_Primary&gt;&lt;Authors_Primary&gt;Li,T.K.&lt;/Authors_Primary&gt;&lt;Authors_Primary&gt;Leung,Y.Y.&lt;/Authors_Primary&gt;&lt;Authors_Primary&gt;Wong,K.C.&lt;/Authors_Primary&gt;&lt;Authors_Primary&gt;Szeto,C.C.&lt;/Authors_Primary&gt;&lt;Date_Primary&gt;2009/8&lt;/Date_Primary&gt;&lt;Keywords&gt;Adult&lt;/Keywords&gt;&lt;Keywords&gt;Antibodies,Monoclonal&lt;/Keywords&gt;&lt;Keywords&gt;B-Lymphocytes&lt;/Keywords&gt;&lt;Keywords&gt;Biological Markers&lt;/Keywords&gt;&lt;Keywords&gt;Biopsy&lt;/Keywords&gt;&lt;Keywords&gt;Chi-Square Distribution&lt;/Keywords&gt;&lt;Keywords&gt;Chinese&lt;/Keywords&gt;&lt;Keywords&gt;Creatinine&lt;/Keywords&gt;&lt;Keywords&gt;Cyclophosphamide&lt;/Keywords&gt;&lt;Keywords&gt;drug therapy&lt;/Keywords&gt;&lt;Keywords&gt;Drug Therapy,Combination&lt;/Keywords&gt;&lt;Keywords&gt;Female&lt;/Keywords&gt;&lt;Keywords&gt;Follow-Up Studies&lt;/Keywords&gt;&lt;Keywords&gt;Hong Kong&lt;/Keywords&gt;&lt;Keywords&gt;hospital&lt;/Keywords&gt;&lt;Keywords&gt;Humans&lt;/Keywords&gt;&lt;Keywords&gt;immunology&lt;/Keywords&gt;&lt;Keywords&gt;Immunosuppressive Agents&lt;/Keywords&gt;&lt;Keywords&gt;Lupus Nephritis&lt;/Keywords&gt;&lt;Keywords&gt;lymphocyte count&lt;/Keywords&gt;&lt;Keywords&gt;Male&lt;/Keywords&gt;&lt;Keywords&gt;methods&lt;/Keywords&gt;&lt;Keywords&gt;Methylprednisolone&lt;/Keywords&gt;&lt;Keywords&gt;Middle Aged&lt;/Keywords&gt;&lt;Keywords&gt;monotherapy&lt;/Keywords&gt;&lt;Keywords&gt;Nephritis&lt;/Keywords&gt;&lt;Keywords&gt;patient&lt;/Keywords&gt;&lt;Keywords&gt;Patients&lt;/Keywords&gt;&lt;Keywords&gt;pilot study&lt;/Keywords&gt;&lt;Keywords&gt;Remission Induction&lt;/Keywords&gt;&lt;Keywords&gt;Statistics,Nonparametric&lt;/Keywords&gt;&lt;Keywords&gt;therapeutic use&lt;/Keywords&gt;&lt;Keywords&gt;therapy&lt;/Keywords&gt;&lt;Keywords&gt;Time Factors&lt;/Keywords&gt;&lt;Keywords&gt;Treatment Outcome&lt;/Keywords&gt;&lt;Keywords&gt;urine&lt;/Keywords&gt;&lt;Keywords&gt;Young Adult&lt;/Keywords&gt;&lt;Reprint&gt;Not in File&lt;/Reprint&gt;&lt;Start_Page&gt;892&lt;/Start_Page&gt;&lt;End_Page&gt;898&lt;/End_Page&gt;&lt;Periodical&gt;Rheumatology (Oxford).&lt;/Periodical&gt;&lt;Volume&gt;48&lt;/Volume&gt;&lt;Issue&gt;8&lt;/Issue&gt;&lt;User_Def_1&gt;y&lt;/User_Def_1&gt;&lt;ZZ_JournalStdAbbrev&gt;&lt;f name="System"&gt;Rheumatology (Oxford).&lt;/f&gt;&lt;/ZZ_JournalStdAbbrev&gt;&lt;ZZ_WorkformID&gt;1&lt;/ZZ_WorkformID&gt;&lt;/MDL&gt;&lt;/Cite&gt;&lt;Cite&gt;&lt;Author&gt;Tam&lt;/Author&gt;&lt;Year&gt;2004&lt;/Year&gt;&lt;RecNum&gt;57&lt;/RecNum&gt;&lt;IDText&gt;Double-blind, randomized, placebo-controlled pilot study of leflunomide in systemic lupus erythematosus&lt;/IDText&gt;&lt;MDL Ref_Type="Journal"&gt;&lt;Ref_Type&gt;Journal&lt;/Ref_Type&gt;&lt;Ref_ID&gt;57&lt;/Ref_ID&gt;&lt;Title_Primary&gt;Double-blind, randomized, placebo-controlled pilot study of leflunomide in systemic lupus erythematosus&lt;/Title_Primary&gt;&lt;Authors_Primary&gt;Tam,L.-S.&lt;/Authors_Primary&gt;&lt;Authors_Primary&gt;Li,E.K.&lt;/Authors_Primary&gt;&lt;Authors_Primary&gt;Wong,C.-K.&lt;/Authors_Primary&gt;&lt;Authors_Primary&gt;Lam,C.W.K.&lt;/Authors_Primary&gt;&lt;Authors_Primary&gt;Szeto,C.-C.&lt;/Authors_Primary&gt;&lt;Date_Primary&gt;2004&lt;/Date_Primary&gt;&lt;Keywords&gt;Adult&lt;/Keywords&gt;&lt;Keywords&gt;age&lt;/Keywords&gt;&lt;Keywords&gt;aminotransferase&lt;/Keywords&gt;&lt;Keywords&gt;ec [Endogenous Compound]&lt;/Keywords&gt;&lt;Keywords&gt;article&lt;/Keywords&gt;&lt;Keywords&gt;blood toxicity&lt;/Keywords&gt;&lt;Keywords&gt;si [Side Effect]&lt;/Keywords&gt;&lt;Keywords&gt;Chinese&lt;/Keywords&gt;&lt;Keywords&gt;clinical article&lt;/Keywords&gt;&lt;Keywords&gt;clinical trial&lt;/Keywords&gt;&lt;Keywords&gt;controlled study&lt;/Keywords&gt;&lt;Keywords&gt;diarrhea&lt;/Keywords&gt;&lt;Keywords&gt;si [Side Effect]&lt;/Keywords&gt;&lt;Keywords&gt;Disease&lt;/Keywords&gt;&lt;Keywords&gt;disease activity&lt;/Keywords&gt;&lt;Keywords&gt;disease duration&lt;/Keywords&gt;&lt;Keywords&gt;double blind procedure&lt;/Keywords&gt;&lt;Keywords&gt;double stranded DNA&lt;/Keywords&gt;&lt;Keywords&gt;ec [Endogenous Compound]&lt;/Keywords&gt;&lt;Keywords&gt;erythematosus&lt;/Keywords&gt;&lt;Keywords&gt;Female&lt;/Keywords&gt;&lt;Keywords&gt;Hong Kong&lt;/Keywords&gt;&lt;Keywords&gt;hospital&lt;/Keywords&gt;&lt;Keywords&gt;human&lt;/Keywords&gt;&lt;Keywords&gt;hydroxychloroquine&lt;/Keywords&gt;&lt;Keywords&gt;dt [Drug Therapy]&lt;/Keywords&gt;&lt;Keywords&gt;Hypertension&lt;/Keywords&gt;&lt;Keywords&gt;hypertension&lt;/Keywords&gt;&lt;Keywords&gt;si [Side Effect]&lt;/Keywords&gt;&lt;Keywords&gt;leflunomide&lt;/Keywords&gt;&lt;Keywords&gt;leflunomide&lt;/Keywords&gt;&lt;Keywords&gt;ae [Adverse Drug Reaction]&lt;/Keywords&gt;&lt;Keywords&gt;leflunomide&lt;/Keywords&gt;&lt;Keywords&gt;ct [Clinical Trial]&lt;/Keywords&gt;&lt;Keywords&gt;leflunomide&lt;/Keywords&gt;&lt;Keywords&gt;do [Drug Dose]&lt;/Keywords&gt;&lt;Keywords&gt;leflunomide&lt;/Keywords&gt;&lt;Keywords&gt;dt [Drug Therapy]&lt;/Keywords&gt;&lt;Keywords&gt;leflunomide&lt;/Keywords&gt;&lt;Keywords&gt;pd [Pharmacology]&lt;/Keywords&gt;&lt;Keywords&gt;leflunomide&lt;/Keywords&gt;&lt;Keywords&gt;po [Oral Drug Administration]&lt;/Keywords&gt;&lt;Keywords&gt;Leukopenia&lt;/Keywords&gt;&lt;Keywords&gt;liver dysfunction&lt;/Keywords&gt;&lt;Keywords&gt;si [Side Effect]&lt;/Keywords&gt;&lt;Keywords&gt;lupus erythematosus&lt;/Keywords&gt;&lt;Keywords&gt;Male&lt;/Keywords&gt;&lt;Keywords&gt;methotrexate&lt;/Keywords&gt;&lt;Keywords&gt;nephrotoxicity&lt;/Keywords&gt;&lt;Keywords&gt;si [Side Effect]&lt;/Keywords&gt;&lt;Keywords&gt;nonsteroid antiinflammatory agent&lt;/Keywords&gt;&lt;Keywords&gt;pathology&lt;/Keywords&gt;&lt;Keywords&gt;patient&lt;/Keywords&gt;&lt;Keywords&gt;Patients&lt;/Keywords&gt;&lt;Keywords&gt;pilot study&lt;/Keywords&gt;&lt;Keywords&gt;placebo&lt;/Keywords&gt;&lt;Keywords&gt;Prednisolone&lt;/Keywords&gt;&lt;Keywords&gt;prednisolone&lt;/Keywords&gt;&lt;Keywords&gt;do [Drug Dose]&lt;/Keywords&gt;&lt;Keywords&gt;prednisolone&lt;/Keywords&gt;&lt;Keywords&gt;dt [Drug Therapy]&lt;/Keywords&gt;&lt;Keywords&gt;priority journal&lt;/Keywords&gt;&lt;Keywords&gt;Proteinuria&lt;/Keywords&gt;&lt;Keywords&gt;randomized controlled trial&lt;/Keywords&gt;&lt;Keywords&gt;salazosulfapyridine&lt;/Keywords&gt;&lt;Keywords&gt;systemic lupus erythematosus&lt;/Keywords&gt;&lt;Keywords&gt;systemic lupus erythematosus&lt;/Keywords&gt;&lt;Keywords&gt;dt [Drug Therapy]&lt;/Keywords&gt;&lt;Reprint&gt;Not in File&lt;/Reprint&gt;&lt;Start_Page&gt;2004&lt;/Start_Page&gt;&lt;Periodical&gt;Lupus 1994; 13(8)(pp 601-604),&lt;/Periodical&gt;&lt;User_Def_1&gt;y&lt;/User_Def_1&gt;&lt;ISSN_ISBN&gt;0961-2033&lt;/ISSN_ISBN&gt;&lt;Address&gt;(Tam, Li, Szeto) Dept. of Medicine and Therapeutics, Prince of Wales Hospital, Chinese University of Hong Kong, Shatin, Hong Kong. (Wong, Lam) Department of Chemical Pathology, Prince of Wales Hospital, Chinese University of Hong Kong, Shatin, Hong Kong&lt;/Address&gt;&lt;ZZ_JournalFull&gt;&lt;f name="System"&gt;Lupus 1994; 13(8)(pp 601-604),&lt;/f&gt;&lt;/ZZ_JournalFull&gt;&lt;ZZ_WorkformID&gt;1&lt;/ZZ_WorkformID&gt;&lt;/MDL&gt;&lt;/Cite&gt;&lt;/Refman&gt;</w:instrText>
      </w:r>
      <w:r w:rsidR="00E729BA">
        <w:fldChar w:fldCharType="separate"/>
      </w:r>
      <w:r w:rsidR="00F12F58">
        <w:t>(65;68;69;85)</w:t>
      </w:r>
      <w:r w:rsidR="00E729BA">
        <w:fldChar w:fldCharType="end"/>
      </w:r>
      <w:r w:rsidRPr="002D772C">
        <w:t xml:space="preserve">. </w:t>
      </w:r>
      <w:r w:rsidR="002A0788">
        <w:t>The belimumab Phase III trials allowed steroid dose changes during the trial as clinically indicated</w:t>
      </w:r>
      <w:r w:rsidR="00E13EF3">
        <w:t xml:space="preserve">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F12F58">
        <w:t>(74;75)</w:t>
      </w:r>
      <w:r w:rsidR="00E729BA">
        <w:fldChar w:fldCharType="end"/>
      </w:r>
      <w:r w:rsidR="002A0788">
        <w:t xml:space="preserve">. </w:t>
      </w:r>
      <w:r>
        <w:t xml:space="preserve">In the rituximab Phase II/III trials a </w:t>
      </w:r>
      <w:r w:rsidR="00623F38">
        <w:t xml:space="preserve">high dose </w:t>
      </w:r>
      <w:r>
        <w:t>pulse methyl</w:t>
      </w:r>
      <w:r w:rsidR="00623F38">
        <w:t>prednisone</w:t>
      </w:r>
      <w:r>
        <w:t xml:space="preserve"> dose was administered with every infusion of rituximab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t>.</w:t>
      </w:r>
      <w:r w:rsidR="00623F38">
        <w:t xml:space="preserve"> This is a high dose intravenous steroid injection intended to treat acute flares in disease activity.</w:t>
      </w:r>
      <w:r w:rsidR="001B4DC5">
        <w:t xml:space="preserve"> T</w:t>
      </w:r>
      <w:r>
        <w:t>he authors reflect</w:t>
      </w:r>
      <w:r w:rsidR="001F709F">
        <w:t>ed</w:t>
      </w:r>
      <w:r>
        <w:t xml:space="preserve"> that the pulse methyl</w:t>
      </w:r>
      <w:r w:rsidR="00C52096">
        <w:t>prednisone</w:t>
      </w:r>
      <w:r>
        <w:t xml:space="preserve"> dose may have masked the effect of rituximab</w:t>
      </w:r>
      <w:r w:rsidR="00117265">
        <w:t xml:space="preserve"> because </w:t>
      </w:r>
      <w:r w:rsidR="00D6514A">
        <w:t>it is believed to be</w:t>
      </w:r>
      <w:r w:rsidR="00623F38">
        <w:t xml:space="preserve"> an effective method of controlling disease activity.</w:t>
      </w:r>
    </w:p>
    <w:p w:rsidR="002D772C" w:rsidRDefault="002D772C" w:rsidP="002D772C">
      <w:pPr>
        <w:pStyle w:val="Heading3"/>
        <w:rPr>
          <w:lang w:eastAsia="zh-CN"/>
        </w:rPr>
      </w:pPr>
      <w:bookmarkStart w:id="70" w:name="_Toc332720566"/>
      <w:bookmarkStart w:id="71" w:name="_Toc379467557"/>
      <w:r>
        <w:rPr>
          <w:lang w:eastAsia="zh-CN"/>
        </w:rPr>
        <w:t>Inclusion Criteria</w:t>
      </w:r>
      <w:bookmarkEnd w:id="70"/>
      <w:bookmarkEnd w:id="71"/>
    </w:p>
    <w:p w:rsidR="002D772C" w:rsidRPr="00A65471" w:rsidRDefault="002D772C" w:rsidP="00117265">
      <w:r>
        <w:t>The FDA and EULAR guidelines recommend that patients recruited into the clinical trials match with the patients</w:t>
      </w:r>
      <w:r w:rsidRPr="00A65471">
        <w:t xml:space="preserve"> who would reasonably be considered for this treatme</w:t>
      </w:r>
      <w:r>
        <w:t>nt. However, no other recommendations are made for the inclusion criteria.</w:t>
      </w:r>
    </w:p>
    <w:p w:rsidR="002D772C" w:rsidRDefault="00C52096" w:rsidP="000F6DFC">
      <w:r>
        <w:t>Eight</w:t>
      </w:r>
      <w:r w:rsidR="002D772C">
        <w:t xml:space="preserve"> studies set inclusion criteria to recruit patients with disease activity</w:t>
      </w:r>
      <w:r w:rsidR="00274DBD">
        <w:t xml:space="preserve"> index scores above a threshold</w:t>
      </w:r>
      <w:r w:rsidR="004D7951">
        <w:t xml:space="preserve"> ranging from very mild to moderate activity</w:t>
      </w:r>
      <w:r w:rsidR="00117265">
        <w:t>. One study</w:t>
      </w:r>
      <w:r w:rsidR="002D772C">
        <w:t xml:space="preserve"> required di</w:t>
      </w:r>
      <w:r w:rsidR="008912D1">
        <w:t xml:space="preserve">sease activity to be present in </w:t>
      </w:r>
      <w:r>
        <w:t>the musculoskeletal system, skin system or serositis</w:t>
      </w:r>
      <w:r w:rsidR="002D772C">
        <w:t xml:space="preserve">. </w:t>
      </w:r>
      <w:fldSimple w:instr=" REF _Ref364923803 \h  \* MERGEFORMAT ">
        <w:r w:rsidR="004911B7">
          <w:t xml:space="preserve">Table </w:t>
        </w:r>
        <w:r w:rsidR="004911B7">
          <w:rPr>
            <w:noProof/>
          </w:rPr>
          <w:t>4</w:t>
        </w:r>
      </w:fldSimple>
      <w:r w:rsidR="000F6DFC">
        <w:t xml:space="preserve"> </w:t>
      </w:r>
      <w:r w:rsidR="00E5556D">
        <w:t>details the participant characteristics of the trials</w:t>
      </w:r>
      <w:r w:rsidR="001F709F">
        <w:t>. The majority of subjects enrolled in the trials were women, which was consistent with the population demographics. The mean age of patients was between 30 and 45 years. The mean disease duration tends to be over 5 years, suggesting that the trials have not targeted a newly diagnosed patient group.</w:t>
      </w:r>
    </w:p>
    <w:p w:rsidR="00275114" w:rsidRDefault="00274DBD" w:rsidP="00274DBD">
      <w:r>
        <w:t>Early trial analyses</w:t>
      </w:r>
      <w:r w:rsidR="001F709F">
        <w:t xml:space="preserve"> have identified patient sub-groups for whom the treatment may be more effective</w:t>
      </w:r>
      <w:r>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sidR="00E729BA">
        <w:fldChar w:fldCharType="separate"/>
      </w:r>
      <w:r w:rsidR="00F12F58">
        <w:t>(67;73)</w:t>
      </w:r>
      <w:r w:rsidR="00E729BA">
        <w:fldChar w:fldCharType="end"/>
      </w:r>
      <w:r w:rsidR="001F709F">
        <w:t>.</w:t>
      </w:r>
      <w:r w:rsidR="00F611E7">
        <w:t xml:space="preserve"> </w:t>
      </w:r>
      <w:r w:rsidR="00275114">
        <w:t xml:space="preserve">The Phase II trial for belimumab and Phase III trial for prasterone identified a subgroup of patients </w:t>
      </w:r>
      <w:r w:rsidR="00117265">
        <w:t xml:space="preserve">based on </w:t>
      </w:r>
      <w:r w:rsidR="00D6514A">
        <w:t xml:space="preserve">disease </w:t>
      </w:r>
      <w:r w:rsidR="00117265">
        <w:t xml:space="preserve">severity </w:t>
      </w:r>
      <w:r w:rsidR="00275114">
        <w:t xml:space="preserve">for which a statistically significant result was attained. </w:t>
      </w:r>
      <w:r w:rsidR="001F709F">
        <w:t>As a consequence, t</w:t>
      </w:r>
      <w:r w:rsidR="00275114">
        <w:t>he Phase III belimumab studies require that patients test positive for antinuclear antib</w:t>
      </w:r>
      <w:r w:rsidR="00D6514A">
        <w:t>odies (ANA+). The ANA+ is</w:t>
      </w:r>
      <w:r w:rsidR="00275114">
        <w:t xml:space="preserve"> a test </w:t>
      </w:r>
      <w:r w:rsidR="001B4DC5">
        <w:t xml:space="preserve">for </w:t>
      </w:r>
      <w:r w:rsidR="00D6514A">
        <w:t>SLE and</w:t>
      </w:r>
      <w:r w:rsidR="001B4DC5">
        <w:t xml:space="preserve"> reflect</w:t>
      </w:r>
      <w:r w:rsidR="00D6514A">
        <w:t>s</w:t>
      </w:r>
      <w:r w:rsidR="00275114">
        <w:t xml:space="preserve"> a more stringent requirement for SLE diagnosis than the ACR diagnostic criteria. </w:t>
      </w:r>
      <w:r w:rsidR="008912D1">
        <w:t>A</w:t>
      </w:r>
      <w:r w:rsidR="00275114">
        <w:t xml:space="preserve"> statistically significant result </w:t>
      </w:r>
      <w:r w:rsidR="008912D1">
        <w:t xml:space="preserve">in the prasterone trial </w:t>
      </w:r>
      <w:r w:rsidR="00275114">
        <w:t>was observed in patients with a SLEDAI score &gt;2 at baseline</w:t>
      </w:r>
      <w:r>
        <w:t xml:space="preserve"> </w:t>
      </w:r>
      <w:r w:rsidR="00E729BA">
        <w:fldChar w:fldCharType="begin"/>
      </w:r>
      <w:r w:rsidR="00FC61FD">
        <w:instrText xml:space="preserve"> ADDIN REFMGR.CITE &lt;Refman&gt;&lt;Cite&gt;&lt;Author&gt;Petri&lt;/Author&gt;&lt;Year&gt;2004&lt;/Year&gt;&lt;RecNum&gt;21&lt;/RecNum&gt;&lt;IDText&gt;Effects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sidR="00E729BA">
        <w:fldChar w:fldCharType="separate"/>
      </w:r>
      <w:r w:rsidR="00F12F58">
        <w:t>(67)</w:t>
      </w:r>
      <w:r w:rsidR="00E729BA">
        <w:fldChar w:fldCharType="end"/>
      </w:r>
      <w:r w:rsidR="00275114">
        <w:t xml:space="preserve">. These findings highlight </w:t>
      </w:r>
      <w:r w:rsidR="001F709F">
        <w:t>that</w:t>
      </w:r>
      <w:r w:rsidR="00275114">
        <w:t xml:space="preserve"> inclusion criteria </w:t>
      </w:r>
      <w:r w:rsidR="001F709F">
        <w:t>can influence the outcomes if a sub-group of patients are more likely to respond</w:t>
      </w:r>
      <w:r w:rsidR="00275114">
        <w:t>. It suggests that patients with disease activity, at baseline were a good target population for new treatments.</w:t>
      </w:r>
    </w:p>
    <w:p w:rsidR="002D772C" w:rsidRDefault="002D772C" w:rsidP="002D772C">
      <w:pPr>
        <w:sectPr w:rsidR="002D772C" w:rsidSect="006A3B1E">
          <w:footerReference w:type="default" r:id="rId13"/>
          <w:pgSz w:w="11906" w:h="16838"/>
          <w:pgMar w:top="1440" w:right="1440" w:bottom="1440" w:left="2268" w:header="708" w:footer="708" w:gutter="0"/>
          <w:cols w:space="708"/>
          <w:docGrid w:linePitch="360"/>
        </w:sectPr>
      </w:pPr>
    </w:p>
    <w:p w:rsidR="008731E8" w:rsidRDefault="008731E8" w:rsidP="00234693">
      <w:pPr>
        <w:pStyle w:val="Caption"/>
      </w:pPr>
      <w:bookmarkStart w:id="72" w:name="_Ref253490376"/>
      <w:bookmarkStart w:id="73" w:name="_Ref259097966"/>
    </w:p>
    <w:p w:rsidR="002D772C" w:rsidRDefault="002D772C" w:rsidP="00234693">
      <w:pPr>
        <w:pStyle w:val="Caption"/>
      </w:pPr>
      <w:bookmarkStart w:id="74" w:name="_Ref364923803"/>
      <w:r>
        <w:t xml:space="preserve">Table </w:t>
      </w:r>
      <w:fldSimple w:instr=" SEQ Table \* ARABIC ">
        <w:r w:rsidR="004911B7">
          <w:rPr>
            <w:noProof/>
          </w:rPr>
          <w:t>4</w:t>
        </w:r>
      </w:fldSimple>
      <w:bookmarkEnd w:id="72"/>
      <w:bookmarkEnd w:id="73"/>
      <w:bookmarkEnd w:id="74"/>
      <w:r>
        <w:t xml:space="preserve">: Results from all organ clinical trials </w:t>
      </w:r>
    </w:p>
    <w:tbl>
      <w:tblPr>
        <w:tblW w:w="0" w:type="auto"/>
        <w:tblInd w:w="250" w:type="dxa"/>
        <w:tblBorders>
          <w:top w:val="single" w:sz="12" w:space="0" w:color="auto"/>
          <w:bottom w:val="single" w:sz="12" w:space="0" w:color="auto"/>
        </w:tblBorders>
        <w:tblLayout w:type="fixed"/>
        <w:tblCellMar>
          <w:left w:w="57" w:type="dxa"/>
          <w:right w:w="57" w:type="dxa"/>
        </w:tblCellMar>
        <w:tblLook w:val="04A0"/>
      </w:tblPr>
      <w:tblGrid>
        <w:gridCol w:w="954"/>
        <w:gridCol w:w="477"/>
        <w:gridCol w:w="1353"/>
        <w:gridCol w:w="851"/>
        <w:gridCol w:w="1030"/>
        <w:gridCol w:w="637"/>
        <w:gridCol w:w="613"/>
        <w:gridCol w:w="714"/>
        <w:gridCol w:w="1922"/>
        <w:gridCol w:w="816"/>
        <w:gridCol w:w="705"/>
        <w:gridCol w:w="2209"/>
        <w:gridCol w:w="851"/>
        <w:gridCol w:w="690"/>
      </w:tblGrid>
      <w:tr w:rsidR="002D772C" w:rsidRPr="004F678A" w:rsidTr="00C52096">
        <w:tc>
          <w:tcPr>
            <w:tcW w:w="954"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Author</w:t>
            </w:r>
          </w:p>
        </w:tc>
        <w:tc>
          <w:tcPr>
            <w:tcW w:w="477"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Date</w:t>
            </w:r>
          </w:p>
        </w:tc>
        <w:tc>
          <w:tcPr>
            <w:tcW w:w="1353"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Treatment arm</w:t>
            </w:r>
          </w:p>
        </w:tc>
        <w:tc>
          <w:tcPr>
            <w:tcW w:w="851"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olor w:val="auto"/>
                <w:sz w:val="16"/>
                <w:szCs w:val="16"/>
              </w:rPr>
            </w:pPr>
            <w:r w:rsidRPr="004F678A">
              <w:rPr>
                <w:rStyle w:val="IntenseEmphasis"/>
                <w:b w:val="0"/>
                <w:bCs w:val="0"/>
                <w:caps w:val="0"/>
                <w:color w:val="auto"/>
                <w:sz w:val="16"/>
                <w:szCs w:val="16"/>
              </w:rPr>
              <w:t>Sample size</w:t>
            </w:r>
          </w:p>
        </w:tc>
        <w:tc>
          <w:tcPr>
            <w:tcW w:w="1030"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olor w:val="auto"/>
                <w:sz w:val="16"/>
                <w:szCs w:val="16"/>
              </w:rPr>
            </w:pPr>
            <w:r w:rsidRPr="004F678A">
              <w:rPr>
                <w:rStyle w:val="IntenseEmphasis"/>
                <w:b w:val="0"/>
                <w:bCs w:val="0"/>
                <w:caps w:val="0"/>
                <w:color w:val="auto"/>
                <w:sz w:val="16"/>
                <w:szCs w:val="16"/>
              </w:rPr>
              <w:t>Duration</w:t>
            </w:r>
          </w:p>
        </w:tc>
        <w:tc>
          <w:tcPr>
            <w:tcW w:w="637"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age (</w:t>
            </w:r>
            <w:r w:rsidR="00C52096">
              <w:rPr>
                <w:rStyle w:val="IntenseEmphasis"/>
                <w:b w:val="0"/>
                <w:bCs w:val="0"/>
                <w:caps w:val="0"/>
                <w:color w:val="auto"/>
                <w:spacing w:val="0"/>
                <w:sz w:val="16"/>
                <w:szCs w:val="16"/>
              </w:rPr>
              <w:t>mean years)</w:t>
            </w:r>
          </w:p>
        </w:tc>
        <w:tc>
          <w:tcPr>
            <w:tcW w:w="613"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female</w:t>
            </w:r>
            <w:r w:rsidR="00C52096">
              <w:rPr>
                <w:rStyle w:val="IntenseEmphasis"/>
                <w:b w:val="0"/>
                <w:bCs w:val="0"/>
                <w:caps w:val="0"/>
                <w:color w:val="auto"/>
                <w:spacing w:val="0"/>
                <w:sz w:val="16"/>
                <w:szCs w:val="16"/>
              </w:rPr>
              <w:t xml:space="preserve"> (%)</w:t>
            </w:r>
          </w:p>
        </w:tc>
        <w:tc>
          <w:tcPr>
            <w:tcW w:w="714"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disease duration (</w:t>
            </w:r>
            <w:r w:rsidR="00C52096">
              <w:rPr>
                <w:rStyle w:val="IntenseEmphasis"/>
                <w:b w:val="0"/>
                <w:bCs w:val="0"/>
                <w:caps w:val="0"/>
                <w:color w:val="auto"/>
                <w:spacing w:val="0"/>
                <w:sz w:val="16"/>
                <w:szCs w:val="16"/>
              </w:rPr>
              <w:t xml:space="preserve">mean </w:t>
            </w:r>
            <w:r w:rsidRPr="004F678A">
              <w:rPr>
                <w:rStyle w:val="IntenseEmphasis"/>
                <w:b w:val="0"/>
                <w:bCs w:val="0"/>
                <w:caps w:val="0"/>
                <w:color w:val="auto"/>
                <w:spacing w:val="0"/>
                <w:sz w:val="16"/>
                <w:szCs w:val="16"/>
              </w:rPr>
              <w:t>years)</w:t>
            </w:r>
          </w:p>
        </w:tc>
        <w:tc>
          <w:tcPr>
            <w:tcW w:w="1922"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Trial endpoint (1)</w:t>
            </w:r>
          </w:p>
        </w:tc>
        <w:tc>
          <w:tcPr>
            <w:tcW w:w="816"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Outcome</w:t>
            </w:r>
          </w:p>
        </w:tc>
        <w:tc>
          <w:tcPr>
            <w:tcW w:w="705"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p-value</w:t>
            </w:r>
          </w:p>
        </w:tc>
        <w:tc>
          <w:tcPr>
            <w:tcW w:w="2209"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Trial endpoint (2)</w:t>
            </w:r>
          </w:p>
        </w:tc>
        <w:tc>
          <w:tcPr>
            <w:tcW w:w="851"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Outcome</w:t>
            </w:r>
          </w:p>
        </w:tc>
        <w:tc>
          <w:tcPr>
            <w:tcW w:w="690" w:type="dxa"/>
            <w:tcBorders>
              <w:top w:val="single" w:sz="12" w:space="0" w:color="auto"/>
              <w:bottom w:val="single" w:sz="8" w:space="0" w:color="auto"/>
            </w:tcBorders>
          </w:tcPr>
          <w:p w:rsidR="002D772C" w:rsidRPr="004F678A" w:rsidRDefault="002D772C"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p-value</w:t>
            </w:r>
          </w:p>
        </w:tc>
      </w:tr>
      <w:tr w:rsidR="002D772C" w:rsidRPr="004F678A" w:rsidTr="00C52096">
        <w:tc>
          <w:tcPr>
            <w:tcW w:w="954" w:type="dxa"/>
            <w:tcBorders>
              <w:top w:val="single" w:sz="8" w:space="0" w:color="auto"/>
              <w:bottom w:val="nil"/>
            </w:tcBorders>
          </w:tcPr>
          <w:p w:rsidR="00E13EF3" w:rsidRDefault="002D772C" w:rsidP="00E13EF3">
            <w:pPr>
              <w:spacing w:after="0" w:afterAutospacing="0" w:line="240" w:lineRule="auto"/>
              <w:rPr>
                <w:color w:val="000000"/>
                <w:sz w:val="16"/>
                <w:szCs w:val="16"/>
              </w:rPr>
            </w:pPr>
            <w:r w:rsidRPr="004F678A">
              <w:rPr>
                <w:color w:val="000000"/>
                <w:sz w:val="16"/>
                <w:szCs w:val="16"/>
              </w:rPr>
              <w:t>Hackshaw</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&lt;Refman&gt;&lt;Cite&gt;&lt;Author&gt;Hackshaw&lt;/Author&gt;&lt;Year&gt;1995&lt;/Year&gt;&lt;RecNum&gt;99&lt;/RecNum&gt;&lt;IDText&gt;A pilot study of zileuton, a novel selective 5-lipoxygenase inhibitor, in patients with systemic lupus-erythematosus&lt;/IDText&gt;&lt;MDL Ref_Type="Journal"&gt;&lt;Ref_Type&gt;Journal&lt;/Ref_Type&gt;&lt;Ref_ID&gt;99&lt;/Ref_ID&gt;&lt;Title_Primary&gt;A pilot study of zileuton, a novel selective 5-lipoxygenase inhibitor, in patients with systemic lupus-erythematosus&lt;/Title_Primary&gt;&lt;Authors_Primary&gt;Hackshaw,K.V.&lt;/Authors_Primary&gt;&lt;Authors_Primary&gt;Shi,Y.&lt;/Authors_Primary&gt;&lt;Authors_Primary&gt;Brandwein,S.R.&lt;/Authors_Primary&gt;&lt;Authors_Primary&gt;Jones,K.&lt;/Authors_Primary&gt;&lt;Authors_Primary&gt;Westcott,J.Y.&lt;/Authors_Primary&gt;&lt;Date_Primary&gt;1995&lt;/Date_Primary&gt;&lt;Keywords&gt;Adult&lt;/Keywords&gt;&lt;Keywords&gt;Antimalarials&lt;/Keywords&gt;&lt;Keywords&gt;Arthritis&lt;/Keywords&gt;&lt;Keywords&gt;article&lt;/Keywords&gt;&lt;Keywords&gt;Autoantibodies&lt;/Keywords&gt;&lt;Keywords&gt;Autoimmunity&lt;/Keywords&gt;&lt;Keywords&gt;clinical article&lt;/Keywords&gt;&lt;Keywords&gt;clinical trial&lt;/Keywords&gt;&lt;Keywords&gt;controlled study&lt;/Keywords&gt;&lt;Keywords&gt;depression&lt;/Keywords&gt;&lt;Keywords&gt;si [Side Effect]&lt;/Keywords&gt;&lt;Keywords&gt;diarrhea&lt;/Keywords&gt;&lt;Keywords&gt;si [Side Effect]&lt;/Keywords&gt;&lt;Keywords&gt;Disease&lt;/Keywords&gt;&lt;Keywords&gt;disease activity&lt;/Keywords&gt;&lt;Keywords&gt;double blind procedure&lt;/Keywords&gt;&lt;Keywords&gt;dyspepsia&lt;/Keywords&gt;&lt;Keywords&gt;si [Side Effect]&lt;/Keywords&gt;&lt;Keywords&gt;erythematosus&lt;/Keywords&gt;&lt;Keywords&gt;Female&lt;/Keywords&gt;&lt;Keywords&gt;human&lt;/Keywords&gt;&lt;Keywords&gt;lipoxygenase inhibitor&lt;/Keywords&gt;&lt;Keywords&gt;lupus erythematosus&lt;/Keywords&gt;&lt;Keywords&gt;Male&lt;/Keywords&gt;&lt;Keywords&gt;medical research&lt;/Keywords&gt;&lt;Keywords&gt;methods&lt;/Keywords&gt;&lt;Keywords&gt;nausea&lt;/Keywords&gt;&lt;Keywords&gt;si [Side Effect]&lt;/Keywords&gt;&lt;Keywords&gt;oral drug administration&lt;/Keywords&gt;&lt;Keywords&gt;patient&lt;/Keywords&gt;&lt;Keywords&gt;Patients&lt;/Keywords&gt;&lt;Keywords&gt;pilot study&lt;/Keywords&gt;&lt;Keywords&gt;placebo&lt;/Keywords&gt;&lt;Keywords&gt;priority journal&lt;/Keywords&gt;&lt;Keywords&gt;randomized controlled trial&lt;/Keywords&gt;&lt;Keywords&gt;Research&lt;/Keywords&gt;&lt;Keywords&gt;Skin&lt;/Keywords&gt;&lt;Keywords&gt;statistical significance&lt;/Keywords&gt;&lt;Keywords&gt;systemic lupus erythematosus&lt;/Keywords&gt;&lt;Keywords&gt;systemic lupus erythematosus&lt;/Keywords&gt;&lt;Keywords&gt;dt [Drug Therapy]&lt;/Keywords&gt;&lt;Keywords&gt;trends&lt;/Keywords&gt;&lt;Keywords&gt;United States&lt;/Keywords&gt;&lt;Keywords&gt;urine&lt;/Keywords&gt;&lt;Keywords&gt;zileuton&lt;/Keywords&gt;&lt;Keywords&gt;ae [Adverse Drug Reaction]&lt;/Keywords&gt;&lt;Keywords&gt;zileuton&lt;/Keywords&gt;&lt;Keywords&gt;ct [Clinical Trial]&lt;/Keywords&gt;&lt;Keywords&gt;zileuton&lt;/Keywords&gt;&lt;Keywords&gt;dt [Drug Therapy]&lt;/Keywords&gt;&lt;Reprint&gt;Not in File&lt;/Reprint&gt;&lt;Start_Page&gt;1995&lt;/Start_Page&gt;&lt;Periodical&gt;Journal of Rheumatology 1994; 22(3)(pp 462-468),&lt;/Periodical&gt;&lt;User_Def_1&gt;y&lt;/User_Def_1&gt;&lt;ISSN_ISBN&gt;0315-162X&lt;/ISSN_ISBN&gt;&lt;Address&gt;(Hackshaw, Shi, Brandwein, Jones, Westcott) Ohio State University, Davis Medical Research Center, Div. Immunology/Rheumatology/Allergy, 480 West 9th Avenue, Columbus, OH 43210-1228, United States&lt;/Address&gt;&lt;ZZ_JournalFull&gt;&lt;f name="System"&gt;Journal of Rheumatology 1994; 22(3)(pp 462-468),&lt;/f&gt;&lt;/ZZ_JournalFull&gt;&lt;ZZ_WorkformID&gt;1&lt;/ZZ_WorkformID&gt;&lt;/MDL&gt;&lt;/Cite&gt;&lt;/Refman&gt;</w:instrText>
            </w:r>
            <w:r>
              <w:rPr>
                <w:color w:val="000000"/>
                <w:sz w:val="16"/>
                <w:szCs w:val="16"/>
              </w:rPr>
              <w:fldChar w:fldCharType="separate"/>
            </w:r>
            <w:r w:rsidR="00F12F58">
              <w:rPr>
                <w:color w:val="000000"/>
                <w:sz w:val="16"/>
                <w:szCs w:val="16"/>
              </w:rPr>
              <w:t>(64)</w:t>
            </w:r>
            <w:r>
              <w:rPr>
                <w:color w:val="000000"/>
                <w:sz w:val="16"/>
                <w:szCs w:val="16"/>
              </w:rPr>
              <w:fldChar w:fldCharType="end"/>
            </w:r>
          </w:p>
        </w:tc>
        <w:tc>
          <w:tcPr>
            <w:tcW w:w="477" w:type="dxa"/>
            <w:tcBorders>
              <w:top w:val="single" w:sz="8" w:space="0" w:color="auto"/>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1995</w:t>
            </w:r>
          </w:p>
        </w:tc>
        <w:tc>
          <w:tcPr>
            <w:tcW w:w="1353"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zileuton</w:t>
            </w:r>
            <w:r w:rsidRPr="004F678A">
              <w:rPr>
                <w:color w:val="000000"/>
                <w:sz w:val="16"/>
                <w:szCs w:val="16"/>
              </w:rPr>
              <w:br/>
              <w:t>Placebo</w:t>
            </w:r>
          </w:p>
        </w:tc>
        <w:tc>
          <w:tcPr>
            <w:tcW w:w="851"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w:t>
            </w:r>
            <w:r w:rsidRPr="004F678A">
              <w:rPr>
                <w:color w:val="000000"/>
                <w:sz w:val="16"/>
                <w:szCs w:val="16"/>
              </w:rPr>
              <w:br/>
              <w:t>(20; 20)</w:t>
            </w:r>
          </w:p>
        </w:tc>
        <w:tc>
          <w:tcPr>
            <w:tcW w:w="1030"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 months</w:t>
            </w:r>
          </w:p>
        </w:tc>
        <w:tc>
          <w:tcPr>
            <w:tcW w:w="637"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46.6</w:t>
            </w:r>
            <w:r w:rsidRPr="004F678A">
              <w:rPr>
                <w:color w:val="000000"/>
                <w:sz w:val="16"/>
                <w:szCs w:val="16"/>
              </w:rPr>
              <w:br/>
              <w:t>42</w:t>
            </w:r>
          </w:p>
        </w:tc>
        <w:tc>
          <w:tcPr>
            <w:tcW w:w="613"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90%</w:t>
            </w:r>
            <w:r w:rsidRPr="004F678A">
              <w:rPr>
                <w:color w:val="000000"/>
                <w:sz w:val="16"/>
                <w:szCs w:val="16"/>
              </w:rPr>
              <w:br/>
              <w:t>85%</w:t>
            </w:r>
          </w:p>
        </w:tc>
        <w:tc>
          <w:tcPr>
            <w:tcW w:w="714"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p>
        </w:tc>
        <w:tc>
          <w:tcPr>
            <w:tcW w:w="1922"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SLAM</w:t>
            </w:r>
          </w:p>
        </w:tc>
        <w:tc>
          <w:tcPr>
            <w:tcW w:w="816"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-2.1</w:t>
            </w:r>
            <w:r w:rsidRPr="004F678A">
              <w:rPr>
                <w:color w:val="000000"/>
                <w:sz w:val="16"/>
                <w:szCs w:val="16"/>
              </w:rPr>
              <w:br/>
              <w:t>-2.3</w:t>
            </w:r>
          </w:p>
        </w:tc>
        <w:tc>
          <w:tcPr>
            <w:tcW w:w="705"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0.048†</w:t>
            </w:r>
          </w:p>
        </w:tc>
        <w:tc>
          <w:tcPr>
            <w:tcW w:w="2209"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single" w:sz="8" w:space="0" w:color="auto"/>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Carneiro</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&lt;Refman&gt;&lt;Cite&gt;&lt;Author&gt;Carneiro&lt;/Author&gt;&lt;Year&gt;1999&lt;/Year&gt;&lt;RecNum&gt;83&lt;/RecNum&gt;&lt;IDText&gt;Double blind, randomized, placebo controlled clinical trial of methotrexate in systemic lupus erythematosus&lt;/IDText&gt;&lt;MDL Ref_Type="Journal"&gt;&lt;Ref_Type&gt;Journal&lt;/Ref_Type&gt;&lt;Ref_ID&gt;83&lt;/Ref_ID&gt;&lt;Title_Primary&gt;Double blind, randomized, placebo controlled clinical trial of methotrexate in systemic lupus erythematosus&lt;/Title_Primary&gt;&lt;Authors_Primary&gt;Carneiro,J.R.M.&lt;/Authors_Primary&gt;&lt;Authors_Primary&gt;Sato,E.I.&lt;/Authors_Primary&gt;&lt;Date_Primary&gt;1999&lt;/Date_Primary&gt;&lt;Keywords&gt;Adult&lt;/Keywords&gt;&lt;Keywords&gt;article&lt;/Keywords&gt;&lt;Keywords&gt;Brazil&lt;/Keywords&gt;&lt;Keywords&gt;clinical article&lt;/Keywords&gt;&lt;Keywords&gt;clinical trial&lt;/Keywords&gt;&lt;Keywords&gt;controlled clinical trial&lt;/Keywords&gt;&lt;Keywords&gt;controlled study&lt;/Keywords&gt;&lt;Keywords&gt;Disease&lt;/Keywords&gt;&lt;Keywords&gt;disease activity&lt;/Keywords&gt;&lt;Keywords&gt;disease activity index&lt;/Keywords&gt;&lt;Keywords&gt;disease duration&lt;/Keywords&gt;&lt;Keywords&gt;disease severity&lt;/Keywords&gt;&lt;Keywords&gt;dose response&lt;/Keywords&gt;&lt;Keywords&gt;double blind procedure&lt;/Keywords&gt;&lt;Keywords&gt;drug efficacy&lt;/Keywords&gt;&lt;Keywords&gt;dyspepsia&lt;/Keywords&gt;&lt;Keywords&gt;si [Side Effect]&lt;/Keywords&gt;&lt;Keywords&gt;erythematosus&lt;/Keywords&gt;&lt;Keywords&gt;evaluation&lt;/Keywords&gt;&lt;Keywords&gt;Female&lt;/Keywords&gt;&lt;Keywords&gt;Hospitalization&lt;/Keywords&gt;&lt;Keywords&gt;human&lt;/Keywords&gt;&lt;Keywords&gt;hypocomplementemia&lt;/Keywords&gt;&lt;Keywords&gt;si [Side Effect]&lt;/Keywords&gt;&lt;Keywords&gt;liver disease&lt;/Keywords&gt;&lt;Keywords&gt;si [Side Effect]&lt;/Keywords&gt;&lt;Keywords&gt;lupus erythematosus&lt;/Keywords&gt;&lt;Keywords&gt;Male&lt;/Keywords&gt;&lt;Keywords&gt;methods&lt;/Keywords&gt;&lt;Keywords&gt;methotrexate&lt;/Keywords&gt;&lt;Keywords&gt;methotrexate&lt;/Keywords&gt;&lt;Keywords&gt;ae [Adverse Drug Reaction]&lt;/Keywords&gt;&lt;Keywords&gt;methotrexate&lt;/Keywords&gt;&lt;Keywords&gt;ct [Clinical Trial]&lt;/Keywords&gt;&lt;Keywords&gt;methotrexate&lt;/Keywords&gt;&lt;Keywords&gt;dt [Drug Therapy]&lt;/Keywords&gt;&lt;Keywords&gt;nausea&lt;/Keywords&gt;&lt;Keywords&gt;si [Side Effect]&lt;/Keywords&gt;&lt;Keywords&gt;oral drug administration&lt;/Keywords&gt;&lt;Keywords&gt;Pain&lt;/Keywords&gt;&lt;Keywords&gt;patient&lt;/Keywords&gt;&lt;Keywords&gt;Patients&lt;/Keywords&gt;&lt;Keywords&gt;placebo&lt;/Keywords&gt;&lt;Keywords&gt;Prednisone&lt;/Keywords&gt;&lt;Keywords&gt;prednisone&lt;/Keywords&gt;&lt;Keywords&gt;do [Drug Dose]&lt;/Keywords&gt;&lt;Keywords&gt;prednisone&lt;/Keywords&gt;&lt;Keywords&gt;dt [Drug Therapy]&lt;/Keywords&gt;&lt;Keywords&gt;priority journal&lt;/Keywords&gt;&lt;Keywords&gt;randomized controlled trial&lt;/Keywords&gt;&lt;Keywords&gt;Rheumatology&lt;/Keywords&gt;&lt;Keywords&gt;Serum&lt;/Keywords&gt;&lt;Keywords&gt;steroid therapy&lt;/Keywords&gt;&lt;Keywords&gt;systemic lupus erythematosus&lt;/Keywords&gt;&lt;Keywords&gt;systemic lupus erythematosus&lt;/Keywords&gt;&lt;Keywords&gt;dt [Drug Therapy]&lt;/Keywords&gt;&lt;Keywords&gt;Tuberculosis&lt;/Keywords&gt;&lt;Keywords&gt;urticaria&lt;/Keywords&gt;&lt;Keywords&gt;si [Side Effect]&lt;/Keywords&gt;&lt;Reprint&gt;Not in File&lt;/Reprint&gt;&lt;Start_Page&gt;1999&lt;/Start_Page&gt;&lt;Periodical&gt;Journal of Rheumatology 1994; 26(6)(pp 1275-1279),&lt;/Periodical&gt;&lt;User_Def_1&gt;y&lt;/User_Def_1&gt;&lt;ISSN_ISBN&gt;0315-162X&lt;/ISSN_ISBN&gt;&lt;Address&gt;(Carneiro, Sato) Rheumatology Department, Univ. Federal de Sao Paulo, Sao Paulo, Brazil. (Sato) Univ. Federal de Sao Paulo, Disciplina de Reumatologia, Rua Botucatu 740, CEP 04023-062, Sao Paulo, Brazil&lt;/Address&gt;&lt;ZZ_JournalFull&gt;&lt;f name="System"&gt;Journal of Rheumatology 1994; 26(6)(pp 1275-1279),&lt;/f&gt;&lt;/ZZ_JournalFull&gt;&lt;ZZ_WorkformID&gt;1&lt;/ZZ_WorkformID&gt;&lt;/MDL&gt;&lt;/Cite&gt;&lt;/Refman&gt;</w:instrText>
            </w:r>
            <w:r>
              <w:rPr>
                <w:color w:val="000000"/>
                <w:sz w:val="16"/>
                <w:szCs w:val="16"/>
              </w:rPr>
              <w:fldChar w:fldCharType="separate"/>
            </w:r>
            <w:r w:rsidR="00F12F58">
              <w:rPr>
                <w:color w:val="000000"/>
                <w:sz w:val="16"/>
                <w:szCs w:val="16"/>
              </w:rPr>
              <w:t>(65)</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1999</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methotrexate</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41</w:t>
            </w:r>
            <w:r w:rsidRPr="004F678A">
              <w:rPr>
                <w:color w:val="000000"/>
                <w:sz w:val="16"/>
                <w:szCs w:val="16"/>
              </w:rPr>
              <w:br/>
              <w:t>(20; 21)</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6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32.2</w:t>
            </w:r>
            <w:r w:rsidRPr="004F678A">
              <w:rPr>
                <w:color w:val="000000"/>
                <w:sz w:val="16"/>
                <w:szCs w:val="16"/>
              </w:rPr>
              <w:br/>
              <w:t>30.3</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90%</w:t>
            </w:r>
            <w:r w:rsidRPr="004F678A">
              <w:rPr>
                <w:color w:val="000000"/>
                <w:sz w:val="16"/>
                <w:szCs w:val="16"/>
              </w:rPr>
              <w:br/>
              <w:t>100%</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7.1</w:t>
            </w:r>
            <w:r w:rsidRPr="004F678A">
              <w:rPr>
                <w:color w:val="000000"/>
                <w:sz w:val="16"/>
                <w:szCs w:val="16"/>
              </w:rPr>
              <w:br/>
              <w:t>6.7</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Difference in SLEDAI score at 6 months</w:t>
            </w:r>
          </w:p>
        </w:tc>
        <w:tc>
          <w:tcPr>
            <w:tcW w:w="816" w:type="dxa"/>
            <w:tcBorders>
              <w:top w:val="nil"/>
              <w:bottom w:val="nil"/>
            </w:tcBorders>
          </w:tcPr>
          <w:p w:rsidR="002D772C" w:rsidRPr="004F678A" w:rsidRDefault="00C52096" w:rsidP="00E13EF3">
            <w:pPr>
              <w:spacing w:after="0" w:afterAutospacing="0" w:line="240" w:lineRule="auto"/>
              <w:rPr>
                <w:color w:val="000000"/>
                <w:sz w:val="16"/>
                <w:szCs w:val="16"/>
              </w:rPr>
            </w:pPr>
            <w:r>
              <w:rPr>
                <w:color w:val="000000"/>
                <w:sz w:val="16"/>
                <w:szCs w:val="16"/>
              </w:rPr>
              <w:t>NR</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0.05†</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 xml:space="preserve">Proportion with 50% reduction in </w:t>
            </w:r>
            <w:r w:rsidR="00433502">
              <w:rPr>
                <w:color w:val="000000"/>
                <w:sz w:val="16"/>
                <w:szCs w:val="16"/>
              </w:rPr>
              <w:t>steroid</w:t>
            </w:r>
            <w:r w:rsidRPr="004F678A">
              <w:rPr>
                <w:color w:val="000000"/>
                <w:sz w:val="16"/>
                <w:szCs w:val="16"/>
              </w:rPr>
              <w:t xml:space="preserve"> dose</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72.2%</w:t>
            </w:r>
            <w:r w:rsidRPr="004F678A">
              <w:rPr>
                <w:color w:val="000000"/>
                <w:sz w:val="16"/>
                <w:szCs w:val="16"/>
              </w:rPr>
              <w:br/>
              <w:t>5%</w:t>
            </w: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&lt;0.0001†</w:t>
            </w: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Kalunian</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&lt;Refman&gt;&lt;Cite&gt;&lt;Author&gt;Kalunian&lt;/Author&gt;&lt;Year&gt;2002&lt;/Year&gt;&lt;RecNum&gt;163&lt;/RecNum&gt;&lt;IDText&gt;Treatment of systemic lupus erythematosus by inhibition of T cell costimulation with anti-CD154: a randomized, double-blind, placebo-controlled trial&lt;/IDText&gt;&lt;MDL Ref_Type="Journal"&gt;&lt;Ref_Type&gt;Journal&lt;/Ref_Type&gt;&lt;Ref_ID&gt;163&lt;/Ref_ID&gt;&lt;Title_Primary&gt;Treatment of systemic lupus erythematosus by inhibition of T cell costimulation with anti-CD154: a randomized, double-blind, placebo-controlled trial&lt;/Title_Primary&gt;&lt;Authors_Primary&gt;Kalunian,K.C.&lt;/Authors_Primary&gt;&lt;Authors_Primary&gt;Davis,J.C.,Jr.&lt;/Authors_Primary&gt;&lt;Authors_Primary&gt;Merrill,J.T.&lt;/Authors_Primary&gt;&lt;Authors_Primary&gt;Totoritis,M.C.&lt;/Authors_Primary&gt;&lt;Authors_Primary&gt;Wofsy,D.&lt;/Authors_Primary&gt;&lt;Date_Primary&gt;2002/12&lt;/Date_Primary&gt;&lt;Keywords&gt;administration &amp;amp; dosage&lt;/Keywords&gt;&lt;Keywords&gt;Adult&lt;/Keywords&gt;&lt;Keywords&gt;Aged&lt;/Keywords&gt;&lt;Keywords&gt;Antibodies&lt;/Keywords&gt;&lt;Keywords&gt;Antibodies,Monoclonal&lt;/Keywords&gt;&lt;Keywords&gt;California&lt;/Keywords&gt;&lt;Keywords&gt;CD40 ligand&lt;/Keywords&gt;&lt;Keywords&gt;Disease&lt;/Keywords&gt;&lt;Keywords&gt;disease activity&lt;/Keywords&gt;&lt;Keywords&gt;disease activity index&lt;/Keywords&gt;&lt;Keywords&gt;Dose-Response Relationship,Drug&lt;/Keywords&gt;&lt;Keywords&gt;Double-Blind Method&lt;/Keywords&gt;&lt;Keywords&gt;drug therapy&lt;/Keywords&gt;&lt;Keywords&gt;erythematosus&lt;/Keywords&gt;&lt;Keywords&gt;evaluation&lt;/Keywords&gt;&lt;Keywords&gt;Female&lt;/Keywords&gt;&lt;Keywords&gt;Humans&lt;/Keywords&gt;&lt;Keywords&gt;immunogenicity&lt;/Keywords&gt;&lt;Keywords&gt;immunology&lt;/Keywords&gt;&lt;Keywords&gt;lupus erythematosus&lt;/Keywords&gt;&lt;Keywords&gt;Lupus Erythematosus,Systemic&lt;/Keywords&gt;&lt;Keywords&gt;Male&lt;/Keywords&gt;&lt;Keywords&gt;methods&lt;/Keywords&gt;&lt;Keywords&gt;Middle Aged&lt;/Keywords&gt;&lt;Keywords&gt;patient&lt;/Keywords&gt;&lt;Keywords&gt;Patients&lt;/Keywords&gt;&lt;Keywords&gt;physiology&lt;/Keywords&gt;&lt;Keywords&gt;physiopathology&lt;/Keywords&gt;&lt;Keywords&gt;placebo&lt;/Keywords&gt;&lt;Keywords&gt;Placebos&lt;/Keywords&gt;&lt;Keywords&gt;safety&lt;/Keywords&gt;&lt;Keywords&gt;systemic lupus erythematosus&lt;/Keywords&gt;&lt;Keywords&gt;systemic lupus erythematosus disease activity index&lt;/Keywords&gt;&lt;Keywords&gt;T-Lymphocytes&lt;/Keywords&gt;&lt;Keywords&gt;therapeutic use&lt;/Keywords&gt;&lt;Keywords&gt;Treatment Outcome&lt;/Keywords&gt;&lt;Reprint&gt;Not in File&lt;/Reprint&gt;&lt;Start_Page&gt;3251&lt;/Start_Page&gt;&lt;End_Page&gt;3258&lt;/End_Page&gt;&lt;Periodical&gt;Arthritis Rheum.&lt;/Periodical&gt;&lt;Volume&gt;46&lt;/Volume&gt;&lt;Issue&gt;12&lt;/Issue&gt;&lt;User_Def_1&gt;y&lt;/User_Def_1&gt;&lt;ZZ_JournalStdAbbrev&gt;&lt;f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(66)</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2002</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IDEC 2.5</w:t>
            </w:r>
            <w:r w:rsidRPr="004F678A">
              <w:rPr>
                <w:color w:val="000000"/>
                <w:sz w:val="16"/>
                <w:szCs w:val="16"/>
              </w:rPr>
              <w:br/>
              <w:t>IDEC 5</w:t>
            </w:r>
            <w:r w:rsidRPr="004F678A">
              <w:rPr>
                <w:color w:val="000000"/>
                <w:sz w:val="16"/>
                <w:szCs w:val="16"/>
              </w:rPr>
              <w:br/>
              <w:t>IDEC 10</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85</w:t>
            </w:r>
            <w:r w:rsidRPr="004F678A">
              <w:rPr>
                <w:color w:val="000000"/>
                <w:sz w:val="16"/>
                <w:szCs w:val="16"/>
              </w:rPr>
              <w:br/>
              <w:t>(65; 20)</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43.1</w:t>
            </w:r>
            <w:r w:rsidRPr="004F678A">
              <w:rPr>
                <w:color w:val="000000"/>
                <w:sz w:val="16"/>
                <w:szCs w:val="16"/>
              </w:rPr>
              <w:br/>
              <w:t>45.4</w:t>
            </w:r>
            <w:r w:rsidRPr="004F678A">
              <w:rPr>
                <w:color w:val="000000"/>
                <w:sz w:val="16"/>
                <w:szCs w:val="16"/>
              </w:rPr>
              <w:br/>
              <w:t>43.8</w:t>
            </w:r>
            <w:r w:rsidRPr="004F678A">
              <w:rPr>
                <w:color w:val="000000"/>
                <w:sz w:val="16"/>
                <w:szCs w:val="16"/>
              </w:rPr>
              <w:br/>
              <w:t>41.7</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100%</w:t>
            </w:r>
            <w:r w:rsidRPr="004F678A">
              <w:rPr>
                <w:color w:val="000000"/>
                <w:sz w:val="16"/>
                <w:szCs w:val="16"/>
              </w:rPr>
              <w:br/>
              <w:t>100%</w:t>
            </w:r>
            <w:r w:rsidRPr="004F678A">
              <w:rPr>
                <w:color w:val="000000"/>
                <w:sz w:val="16"/>
                <w:szCs w:val="16"/>
              </w:rPr>
              <w:br/>
              <w:t>92%</w:t>
            </w:r>
            <w:r w:rsidRPr="004F678A">
              <w:rPr>
                <w:color w:val="000000"/>
                <w:sz w:val="16"/>
                <w:szCs w:val="16"/>
              </w:rPr>
              <w:br/>
              <w:t>95%</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9.22</w:t>
            </w:r>
            <w:r w:rsidRPr="004F678A">
              <w:rPr>
                <w:color w:val="000000"/>
                <w:sz w:val="16"/>
                <w:szCs w:val="16"/>
              </w:rPr>
              <w:br/>
              <w:t>9.53</w:t>
            </w:r>
            <w:r w:rsidRPr="004F678A">
              <w:rPr>
                <w:color w:val="000000"/>
                <w:sz w:val="16"/>
                <w:szCs w:val="16"/>
              </w:rPr>
              <w:br/>
              <w:t>9.49</w:t>
            </w:r>
            <w:r w:rsidRPr="004F678A">
              <w:rPr>
                <w:color w:val="000000"/>
                <w:sz w:val="16"/>
                <w:szCs w:val="16"/>
              </w:rPr>
              <w:br/>
              <w:t>9.78</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SLEDAI from baseline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-2.6</w:t>
            </w:r>
            <w:r w:rsidRPr="004F678A">
              <w:rPr>
                <w:color w:val="000000"/>
                <w:sz w:val="16"/>
                <w:szCs w:val="16"/>
              </w:rPr>
              <w:br/>
              <w:t>-2.2</w:t>
            </w:r>
            <w:r w:rsidRPr="004F678A">
              <w:rPr>
                <w:color w:val="000000"/>
                <w:sz w:val="16"/>
                <w:szCs w:val="16"/>
              </w:rPr>
              <w:br/>
              <w:t>-1.8</w:t>
            </w:r>
            <w:r w:rsidRPr="004F678A">
              <w:rPr>
                <w:color w:val="000000"/>
                <w:sz w:val="16"/>
                <w:szCs w:val="16"/>
              </w:rPr>
              <w:br/>
              <w:t>-2</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0.003‡</w:t>
            </w:r>
            <w:r w:rsidRPr="004F678A">
              <w:rPr>
                <w:color w:val="000000"/>
                <w:sz w:val="16"/>
                <w:szCs w:val="16"/>
              </w:rPr>
              <w:br/>
              <w:t>0.001‡</w:t>
            </w:r>
            <w:r w:rsidRPr="004F678A">
              <w:rPr>
                <w:color w:val="000000"/>
                <w:sz w:val="16"/>
                <w:szCs w:val="16"/>
              </w:rPr>
              <w:br/>
              <w:t>0.054‡</w:t>
            </w:r>
            <w:r w:rsidRPr="004F678A">
              <w:rPr>
                <w:color w:val="000000"/>
                <w:sz w:val="16"/>
                <w:szCs w:val="16"/>
              </w:rPr>
              <w:br/>
              <w:t>0.034‡</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rPr>
          <w:trHeight w:val="507"/>
        </w:trPr>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 xml:space="preserve">Petri </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(67)</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2004</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Prasterone</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191</w:t>
            </w:r>
            <w:r w:rsidRPr="004F678A">
              <w:rPr>
                <w:color w:val="000000"/>
                <w:sz w:val="16"/>
                <w:szCs w:val="16"/>
              </w:rPr>
              <w:br/>
              <w:t>(127; 64)</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43.8</w:t>
            </w:r>
            <w:r w:rsidRPr="004F678A">
              <w:rPr>
                <w:color w:val="000000"/>
                <w:sz w:val="16"/>
                <w:szCs w:val="16"/>
              </w:rPr>
              <w:br/>
              <w:t>44.4</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1922" w:type="dxa"/>
            <w:tcBorders>
              <w:top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Response in SLAM, SLEDAI and HRQOL</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51.3%</w:t>
            </w:r>
            <w:r w:rsidRPr="004F678A">
              <w:rPr>
                <w:color w:val="000000"/>
                <w:sz w:val="16"/>
                <w:szCs w:val="16"/>
              </w:rPr>
              <w:br/>
              <w:t>42.2%</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0.074†</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 xml:space="preserve">Tam </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&lt;Refman&gt;&lt;Cite&gt;&lt;Author&gt;Tam&lt;/Author&gt;&lt;Year&gt;2004&lt;/Year&gt;&lt;RecNum&gt;57&lt;/RecNum&gt;&lt;IDText&gt;Double-blind, randomized, placebo-controlled pilot study of leflunomide in systemic lupus erythematosus&lt;/IDText&gt;&lt;MDL Ref_Type="Journal"&gt;&lt;Ref_Type&gt;Journal&lt;/Ref_Type&gt;&lt;Ref_ID&gt;57&lt;/Ref_ID&gt;&lt;Title_Primary&gt;Double-blind, randomized, placebo-controlled pilot study of leflunomide in systemic lupus erythematosus&lt;/Title_Primary&gt;&lt;Authors_Primary&gt;Tam,L.-S.&lt;/Authors_Primary&gt;&lt;Authors_Primary&gt;Li,E.K.&lt;/Authors_Primary&gt;&lt;Authors_Primary&gt;Wong,C.-K.&lt;/Authors_Primary&gt;&lt;Authors_Primary&gt;Lam,C.W.K.&lt;/Authors_Primary&gt;&lt;Authors_Primary&gt;Szeto,C.-C.&lt;/Authors_Primary&gt;&lt;Date_Primary&gt;2004&lt;/Date_Primary&gt;&lt;Keywords&gt;Adult&lt;/Keywords&gt;&lt;Keywords&gt;age&lt;/Keywords&gt;&lt;Keywords&gt;aminotransferase&lt;/Keywords&gt;&lt;Keywords&gt;ec [Endogenous Compound]&lt;/Keywords&gt;&lt;Keywords&gt;article&lt;/Keywords&gt;&lt;Keywords&gt;blood toxicity&lt;/Keywords&gt;&lt;Keywords&gt;si [Side Effect]&lt;/Keywords&gt;&lt;Keywords&gt;Chinese&lt;/Keywords&gt;&lt;Keywords&gt;clinical article&lt;/Keywords&gt;&lt;Keywords&gt;clinical trial&lt;/Keywords&gt;&lt;Keywords&gt;controlled study&lt;/Keywords&gt;&lt;Keywords&gt;diarrhea&lt;/Keywords&gt;&lt;Keywords&gt;si [Side Effect]&lt;/Keywords&gt;&lt;Keywords&gt;Disease&lt;/Keywords&gt;&lt;Keywords&gt;disease activity&lt;/Keywords&gt;&lt;Keywords&gt;disease duration&lt;/Keywords&gt;&lt;Keywords&gt;double blind procedure&lt;/Keywords&gt;&lt;Keywords&gt;double stranded DNA&lt;/Keywords&gt;&lt;Keywords&gt;ec [Endogenous Compound]&lt;/Keywords&gt;&lt;Keywords&gt;erythematosus&lt;/Keywords&gt;&lt;Keywords&gt;Female&lt;/Keywords&gt;&lt;Keywords&gt;Hong Kong&lt;/Keywords&gt;&lt;Keywords&gt;hospital&lt;/Keywords&gt;&lt;Keywords&gt;human&lt;/Keywords&gt;&lt;Keywords&gt;hydroxychloroquine&lt;/Keywords&gt;&lt;Keywords&gt;dt [Drug Therapy]&lt;/Keywords&gt;&lt;Keywords&gt;Hypertension&lt;/Keywords&gt;&lt;Keywords&gt;hypertension&lt;/Keywords&gt;&lt;Keywords&gt;si [Side Effect]&lt;/Keywords&gt;&lt;Keywords&gt;leflunomide&lt;/Keywords&gt;&lt;Keywords&gt;leflunomide&lt;/Keywords&gt;&lt;Keywords&gt;ae [Adverse Drug Reaction]&lt;/Keywords&gt;&lt;Keywords&gt;leflunomide&lt;/Keywords&gt;&lt;Keywords&gt;ct [Clinical Trial]&lt;/Keywords&gt;&lt;Keywords&gt;leflunomide&lt;/Keywords&gt;&lt;Keywords&gt;do [Drug Dose]&lt;/Keywords&gt;&lt;Keywords&gt;leflunomide&lt;/Keywords&gt;&lt;Keywords&gt;dt [Drug Therapy]&lt;/Keywords&gt;&lt;Keywords&gt;leflunomide&lt;/Keywords&gt;&lt;Keywords&gt;pd [Pharmacology]&lt;/Keywords&gt;&lt;Keywords&gt;leflunomide&lt;/Keywords&gt;&lt;Keywords&gt;po [Oral Drug Administration]&lt;/Keywords&gt;&lt;Keywords&gt;Leukopenia&lt;/Keywords&gt;&lt;Keywords&gt;liver dysfunction&lt;/Keywords&gt;&lt;Keywords&gt;si [Side Effect]&lt;/Keywords&gt;&lt;Keywords&gt;lupus erythematosus&lt;/Keywords&gt;&lt;Keywords&gt;Male&lt;/Keywords&gt;&lt;Keywords&gt;methotrexate&lt;/Keywords&gt;&lt;Keywords&gt;nephrotoxicity&lt;/Keywords&gt;&lt;Keywords&gt;si [Side Effect]&lt;/Keywords&gt;&lt;Keywords&gt;nonsteroid antiinflammatory agent&lt;/Keywords&gt;&lt;Keywords&gt;pathology&lt;/Keywords&gt;&lt;Keywords&gt;patient&lt;/Keywords&gt;&lt;Keywords&gt;Patients&lt;/Keywords&gt;&lt;Keywords&gt;pilot study&lt;/Keywords&gt;&lt;Keywords&gt;placebo&lt;/Keywords&gt;&lt;Keywords&gt;Prednisolone&lt;/Keywords&gt;&lt;Keywords&gt;prednisolone&lt;/Keywords&gt;&lt;Keywords&gt;do [Drug Dose]&lt;/Keywords&gt;&lt;Keywords&gt;prednisolone&lt;/Keywords&gt;&lt;Keywords&gt;dt [Drug Therapy]&lt;/Keywords&gt;&lt;Keywords&gt;priority journal&lt;/Keywords&gt;&lt;Keywords&gt;Proteinuria&lt;/Keywords&gt;&lt;Keywords&gt;randomized controlled trial&lt;/Keywords&gt;&lt;Keywords&gt;salazosulfapyridine&lt;/Keywords&gt;&lt;Keywords&gt;systemic lupus erythematosus&lt;/Keywords&gt;&lt;Keywords&gt;systemic lupus erythematosus&lt;/Keywords&gt;&lt;Keywords&gt;dt [Drug Therapy]&lt;/Keywords&gt;&lt;Reprint&gt;Not in File&lt;/Reprint&gt;&lt;Start_Page&gt;2004&lt;/Start_Page&gt;&lt;Periodical&gt;Lupus 1994; 13(8)(pp 601-604),&lt;/Periodical&gt;&lt;User_Def_1&gt;y&lt;/User_Def_1&gt;&lt;ISSN_ISBN&gt;0961-2033&lt;/ISSN_ISBN&gt;&lt;Address&gt;(Tam, Li, Szeto) Dept. of Medicine and Therapeutics, Prince of Wales Hospital, Chinese University of Hong Kong, Shatin, Hong Kong. (Wong, Lam) Department of Chemical Pathology, Prince of Wales Hospital, Chinese University of Hong Kong, Shatin, Hong Kong&lt;/Address&gt;&lt;ZZ_JournalFull&gt;&lt;f name="System"&gt;Lupus 1994; 13(8)(pp 601-604),&lt;/f&gt;&lt;/ZZ_JournalFull&gt;&lt;ZZ_WorkformID&gt;1&lt;/ZZ_WorkformID&gt;&lt;/MDL&gt;&lt;/Cite&gt;&lt;/Refman&gt;</w:instrText>
            </w:r>
            <w:r>
              <w:rPr>
                <w:color w:val="000000"/>
                <w:sz w:val="16"/>
                <w:szCs w:val="16"/>
              </w:rPr>
              <w:fldChar w:fldCharType="separate"/>
            </w:r>
            <w:r w:rsidR="00F12F58">
              <w:rPr>
                <w:color w:val="000000"/>
                <w:sz w:val="16"/>
                <w:szCs w:val="16"/>
              </w:rPr>
              <w:t>(68)</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2004</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leflunomide</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w:t>
            </w:r>
            <w:r w:rsidRPr="004F678A">
              <w:rPr>
                <w:color w:val="000000"/>
                <w:sz w:val="16"/>
                <w:szCs w:val="16"/>
              </w:rPr>
              <w:br/>
              <w:t>(6; 6)</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24 weeks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40.6</w:t>
            </w:r>
            <w:r w:rsidRPr="004F678A">
              <w:rPr>
                <w:color w:val="000000"/>
                <w:sz w:val="16"/>
                <w:szCs w:val="16"/>
              </w:rPr>
              <w:br/>
              <w:t>42.3</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83%</w:t>
            </w:r>
            <w:r w:rsidRPr="004F678A">
              <w:rPr>
                <w:color w:val="000000"/>
                <w:sz w:val="16"/>
                <w:szCs w:val="16"/>
              </w:rPr>
              <w:br/>
              <w:t>100%</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8.2</w:t>
            </w:r>
            <w:r w:rsidRPr="004F678A">
              <w:rPr>
                <w:color w:val="000000"/>
                <w:sz w:val="16"/>
                <w:szCs w:val="16"/>
              </w:rPr>
              <w:br/>
              <w:t>8.7</w:t>
            </w:r>
          </w:p>
        </w:tc>
        <w:tc>
          <w:tcPr>
            <w:tcW w:w="1922" w:type="dxa"/>
            <w:tcBorders>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SLEDAI from baseline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11</w:t>
            </w:r>
            <w:r w:rsidRPr="004F678A">
              <w:rPr>
                <w:color w:val="000000"/>
                <w:sz w:val="16"/>
                <w:szCs w:val="16"/>
              </w:rPr>
              <w:br/>
              <w:t>4.5</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0.026†</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Fortin</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&lt;Refman&gt;&lt;Cite&gt;&lt;Author&gt;Fortin&lt;/Author&gt;&lt;Year&gt;2008&lt;/Year&gt;&lt;RecNum&gt;1432&lt;/RecNum&gt;&lt;IDText&gt;Steroid-sparing effects of methotrexate in systemic lupus erythematosus: A double-blind, randomized, placebo-controlled trial&lt;/IDText&gt;&lt;MDL Ref_Type="Journal"&gt;&lt;Ref_Type&gt;Journal&lt;/Ref_Type&gt;&lt;Ref_ID&gt;1432&lt;/Ref_ID&gt;&lt;Title_Primary&gt;Steroid-sparing effects of methotrexate in systemic lupus erythematosus: A double-blind, randomized, placebo-controlled trial&lt;/Title_Primary&gt;&lt;Authors_Primary&gt;Fortin,P.R.&lt;/Authors_Primary&gt;&lt;Authors_Primary&gt;Abrahamowicz,M.&lt;/Authors_Primary&gt;&lt;Authors_Primary&gt;Ferland,D.&lt;/Authors_Primary&gt;&lt;Authors_Primary&gt;Lacaille,D.&lt;/Authors_Primary&gt;&lt;Authors_Primary&gt;Smith,C.D.&lt;/Authors_Primary&gt;&lt;Authors_Primary&gt;Zummer,M.&lt;/Authors_Primary&gt;&lt;Date_Primary&gt;2008&lt;/Date_Primary&gt;&lt;Keywords&gt;analysis&lt;/Keywords&gt;&lt;Keywords&gt;antimalarial agent&lt;/Keywords&gt;&lt;Keywords&gt;Arthritis&lt;/Keywords&gt;&lt;Keywords&gt;article&lt;/Keywords&gt;&lt;Keywords&gt;Canada&lt;/Keywords&gt;&lt;Keywords&gt;cardiovascular symptom&lt;/Keywords&gt;&lt;Keywords&gt;si [Side Effect]&lt;/Keywords&gt;&lt;Keywords&gt;clinical article&lt;/Keywords&gt;&lt;Keywords&gt;clinical trial&lt;/Keywords&gt;&lt;Keywords&gt;confidence interval&lt;/Keywords&gt;&lt;Keywords&gt;controlled clinical trial&lt;/Keywords&gt;&lt;Keywords&gt;controlled study&lt;/Keywords&gt;&lt;Keywords&gt;Disease&lt;/Keywords&gt;&lt;Keywords&gt;disease activity&lt;/Keywords&gt;&lt;Keywords&gt;drug dose escalation&lt;/Keywords&gt;&lt;Keywords&gt;drug dose reduction&lt;/Keywords&gt;&lt;Keywords&gt;drug effect&lt;/Keywords&gt;&lt;Keywords&gt;erythematosus&lt;/Keywords&gt;&lt;Keywords&gt;Female&lt;/Keywords&gt;&lt;Keywords&gt;folic acid&lt;/Keywords&gt;&lt;Keywords&gt;cb [Drug Combination]&lt;/Keywords&gt;&lt;Keywords&gt;folic acid&lt;/Keywords&gt;&lt;Keywords&gt;ct [Clinical Trial]&lt;/Keywords&gt;&lt;Keywords&gt;folic acid&lt;/Keywords&gt;&lt;Keywords&gt;dt [Drug Therapy]&lt;/Keywords&gt;&lt;Keywords&gt;gastrointestinal symptom&lt;/Keywords&gt;&lt;Keywords&gt;si [Side Effect]&lt;/Keywords&gt;&lt;Keywords&gt;Health&lt;/Keywords&gt;&lt;Keywords&gt;hematologic disease&lt;/Keywords&gt;&lt;Keywords&gt;si [Side Effect]&lt;/Keywords&gt;&lt;Keywords&gt;hospital&lt;/Keywords&gt;&lt;Keywords&gt;human&lt;/Keywords&gt;&lt;Keywords&gt;infection&lt;/Keywords&gt;&lt;Keywords&gt;si [Side Effect]&lt;/Keywords&gt;&lt;Keywords&gt;kidney disease&lt;/Keywords&gt;&lt;Keywords&gt;si [Side Effect]&lt;/Keywords&gt;&lt;Keywords&gt;Linear Models&lt;/Keywords&gt;&lt;Keywords&gt;longitudinal study&lt;/Keywords&gt;&lt;Keywords&gt;lupus erythematosus&lt;/Keywords&gt;&lt;Keywords&gt;Male&lt;/Keywords&gt;&lt;Keywords&gt;mental disease&lt;/Keywords&gt;&lt;Keywords&gt;si [Side Effect]&lt;/Keywords&gt;&lt;Keywords&gt;metabolic disorder&lt;/Keywords&gt;&lt;Keywords&gt;si [Side Effect]&lt;/Keywords&gt;&lt;Keywords&gt;methods&lt;/Keywords&gt;&lt;Keywords&gt;methotrexate&lt;/Keywords&gt;&lt;Keywords&gt;ae [Adverse Drug Reaction]&lt;/Keywords&gt;&lt;Keywords&gt;methotrexate&lt;/Keywords&gt;&lt;Keywords&gt;cb [Drug Combination]&lt;/Keywords&gt;&lt;Keywords&gt;methotrexate&lt;/Keywords&gt;&lt;Keywords&gt;ct [Clinical Trial]&lt;/Keywords&gt;&lt;Keywords&gt;methotrexate&lt;/Keywords&gt;&lt;Keywords&gt;do [Drug Dose]&lt;/Keywords&gt;&lt;Keywords&gt;methotrexate&lt;/Keywords&gt;&lt;Keywords&gt;dt [Drug Therapy]&lt;/Keywords&gt;&lt;Keywords&gt;neurologic disease&lt;/Keywords&gt;&lt;Keywords&gt;si [Side Effect]&lt;/Keywords&gt;&lt;Keywords&gt;patient&lt;/Keywords&gt;&lt;Keywords&gt;patient selection&lt;/Keywords&gt;&lt;Keywords&gt;Patients&lt;/Keywords&gt;&lt;Keywords&gt;placebo&lt;/Keywords&gt;&lt;Keywords&gt;Prednisone&lt;/Keywords&gt;&lt;Keywords&gt;prednisone&lt;/Keywords&gt;&lt;Keywords&gt;ct [Clinical Trial]&lt;/Keywords&gt;&lt;Keywords&gt;prednisone&lt;/Keywords&gt;&lt;Keywords&gt;do [Drug Dose]&lt;/Keywords&gt;&lt;Keywords&gt;prednisone&lt;/Keywords&gt;&lt;Keywords&gt;dt [Drug Therapy]&lt;/Keywords&gt;&lt;Keywords&gt;randomized controlled trial&lt;/Keywords&gt;&lt;Keywords&gt;Research&lt;/Keywords&gt;&lt;Keywords&gt;respiratory tract disease&lt;/Keywords&gt;&lt;Keywords&gt;si [Side Effect]&lt;/Keywords&gt;&lt;Keywords&gt;revised Systemic Lupus Activity Measure&lt;/Keywords&gt;&lt;Keywords&gt;Rheumatology&lt;/Keywords&gt;&lt;Keywords&gt;scoring system&lt;/Keywords&gt;&lt;Keywords&gt;skin disease&lt;/Keywords&gt;&lt;Keywords&gt;si [Side Effect]&lt;/Keywords&gt;&lt;Keywords&gt;systemic lupus erythematosus&lt;/Keywords&gt;&lt;Keywords&gt;systemic lupus erythematosus&lt;/Keywords&gt;&lt;Keywords&gt;dt [Drug Therapy]&lt;/Keywords&gt;&lt;Keywords&gt;Treatment Outcome&lt;/Keywords&gt;&lt;Keywords&gt;unspecified side effect&lt;/Keywords&gt;&lt;Keywords&gt;si [Side Effect]&lt;/Keywords&gt;&lt;Keywords&gt;urogenital tract disease&lt;/Keywords&gt;&lt;Keywords&gt;si [Side Effect]&lt;/Keywords&gt;&lt;Reprint&gt;Not in File&lt;/Reprint&gt;&lt;Start_Page&gt;15&lt;/Start_Page&gt;&lt;Periodical&gt;Arthritis Care and Research 1994; 59(12)(pp 1796-1804),&lt;/Periodical&gt;&lt;User_Def_1&gt;y&lt;/User_Def_1&gt;&lt;ISSN_ISBN&gt;0004-3591&lt;/ISSN_ISBN&gt;&lt;Address&gt;(Fortin) University Health Network, Toronto Western Hospital, Toronto, ON, Canada. (Abrahamowicz) McGill University, Montreal, QC, Canada. (Ferland) University Health Network, Toronto Western Research Institute, Toronto, ON, Canada. (Lacaille) Arthritis Research Centre of Canada, Vancouver, BC, Canada. (Smith) Arthritis Centre, Ottawa Hospital, Ottawa, ON, Canada. (Zummer) Hopital Maisonneuve-Rosemont, Montreal, QC, Canada. (Fortin) MP-10-304, 399 Bathurst Street, Toronto, ON M5T 2S8, Canada&lt;/Address&gt;&lt;ZZ_JournalFull&gt;&lt;f name="System"&gt;Arthritis Care and Research 1994; 59(12)(pp 1796-1804),&lt;/f&gt;&lt;/ZZ_JournalFull&gt;&lt;ZZ_WorkformID&gt;1&lt;/ZZ_WorkformID&gt;&lt;/MDL&gt;&lt;/Cite&gt;&lt;/Refman&gt;</w:instrText>
            </w:r>
            <w:r>
              <w:rPr>
                <w:color w:val="000000"/>
                <w:sz w:val="16"/>
                <w:szCs w:val="16"/>
              </w:rPr>
              <w:fldChar w:fldCharType="separate"/>
            </w:r>
            <w:r w:rsidR="00F12F58">
              <w:rPr>
                <w:color w:val="000000"/>
                <w:sz w:val="16"/>
                <w:szCs w:val="16"/>
              </w:rPr>
              <w:t>(69)</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2008</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methotrexate</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86</w:t>
            </w:r>
            <w:r w:rsidRPr="004F678A">
              <w:rPr>
                <w:color w:val="000000"/>
                <w:sz w:val="16"/>
                <w:szCs w:val="16"/>
              </w:rPr>
              <w:br/>
              <w:t>(41; 45)</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40.2</w:t>
            </w:r>
            <w:r w:rsidRPr="004F678A">
              <w:rPr>
                <w:color w:val="000000"/>
                <w:sz w:val="16"/>
                <w:szCs w:val="16"/>
              </w:rPr>
              <w:br/>
              <w:t>40.2</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90%</w:t>
            </w:r>
            <w:r w:rsidRPr="004F678A">
              <w:rPr>
                <w:color w:val="000000"/>
                <w:sz w:val="16"/>
                <w:szCs w:val="16"/>
              </w:rPr>
              <w:br/>
              <w:t>91%</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5.7</w:t>
            </w:r>
            <w:r w:rsidRPr="004F678A">
              <w:rPr>
                <w:color w:val="000000"/>
                <w:sz w:val="16"/>
                <w:szCs w:val="16"/>
              </w:rPr>
              <w:br/>
              <w:t>4.5</w:t>
            </w:r>
          </w:p>
        </w:tc>
        <w:tc>
          <w:tcPr>
            <w:tcW w:w="1922" w:type="dxa"/>
            <w:tcBorders>
              <w:top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Difference in SLAM during tria</w:t>
            </w:r>
            <w:r w:rsidR="00C52096">
              <w:rPr>
                <w:color w:val="000000"/>
                <w:sz w:val="16"/>
                <w:szCs w:val="16"/>
              </w:rPr>
              <w:t>l</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-0.86</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0.039</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Abdou</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&lt;Refman&gt;&lt;Cite&gt;&lt;Author&gt;Abdou&lt;/Author&gt;&lt;Year&gt;2008&lt;/Year&gt;&lt;RecNum&gt;120&lt;/RecNum&gt;&lt;IDText&gt;Fulvestrant (Faslodex), an estrogen selective receptor downregulator, in therapy of women with systemic lupus erythematosus. clinical, serologic, bone density, and T cell activation marker studies: a double-blind placebo-controlled trial&lt;/IDText&gt;&lt;MDL Ref_Type="Journal"&gt;&lt;Ref_Type&gt;Journal&lt;/Ref_Type&gt;&lt;Ref_ID&gt;120&lt;/Ref_ID&gt;&lt;Title_Primary&gt;Fulvestrant (Faslodex), an estrogen selective receptor downregulator, in therapy of women with systemic lupus erythematosus. clinical, serologic, bone density, and T cell activation marker studies: a double-blind placebo-controlled trial&lt;/Title_Primary&gt;&lt;Authors_Primary&gt;Abdou,N.I.&lt;/Authors_Primary&gt;&lt;Authors_Primary&gt;Rider,V.&lt;/Authors_Primary&gt;&lt;Authors_Primary&gt;Greenwell,C.&lt;/Authors_Primary&gt;&lt;Authors_Primary&gt;Li,X.&lt;/Authors_Primary&gt;&lt;Authors_Primary&gt;Kimler,B.F.&lt;/Authors_Primary&gt;&lt;Date_Primary&gt;2008/5&lt;/Date_Primary&gt;&lt;Keywords&gt;Adult&lt;/Keywords&gt;&lt;Keywords&gt;analogs &amp;amp; derivatives&lt;/Keywords&gt;&lt;Keywords&gt;Antibodies,Antinuclear&lt;/Keywords&gt;&lt;Keywords&gt;Biological Markers&lt;/Keywords&gt;&lt;Keywords&gt;blood&lt;/Keywords&gt;&lt;Keywords&gt;bone density&lt;/Keywords&gt;&lt;Keywords&gt;Calcineurin&lt;/Keywords&gt;&lt;Keywords&gt;CD40 ligand&lt;/Keywords&gt;&lt;Keywords&gt;Disease&lt;/Keywords&gt;&lt;Keywords&gt;disease activity&lt;/Keywords&gt;&lt;Keywords&gt;disease activity index&lt;/Keywords&gt;&lt;Keywords&gt;Disease Progression&lt;/Keywords&gt;&lt;Keywords&gt;Double-Blind Method&lt;/Keywords&gt;&lt;Keywords&gt;Down-Regulation&lt;/Keywords&gt;&lt;Keywords&gt;drug effects&lt;/Keywords&gt;&lt;Keywords&gt;drug therapy&lt;/Keywords&gt;&lt;Keywords&gt;erythematosus&lt;/Keywords&gt;&lt;Keywords&gt;estradiol&lt;/Keywords&gt;&lt;Keywords&gt;estrogen&lt;/Keywords&gt;&lt;Keywords&gt;Estrogen Antagonists&lt;/Keywords&gt;&lt;Keywords&gt;Estrogens&lt;/Keywords&gt;&lt;Keywords&gt;Female&lt;/Keywords&gt;&lt;Keywords&gt;hormone&lt;/Keywords&gt;&lt;Keywords&gt;hospital&lt;/Keywords&gt;&lt;Keywords&gt;Humans&lt;/Keywords&gt;&lt;Keywords&gt;lupus erythematosus&lt;/Keywords&gt;&lt;Keywords&gt;Lupus Erythematosus,Systemic&lt;/Keywords&gt;&lt;Keywords&gt;metabolism&lt;/Keywords&gt;&lt;Keywords&gt;methods&lt;/Keywords&gt;&lt;Keywords&gt;Middle Aged&lt;/Keywords&gt;&lt;Keywords&gt;patient&lt;/Keywords&gt;&lt;Keywords&gt;Patients&lt;/Keywords&gt;&lt;Keywords&gt;pharmacology&lt;/Keywords&gt;&lt;Keywords&gt;physiology&lt;/Keywords&gt;&lt;Keywords&gt;physiopathology&lt;/Keywords&gt;&lt;Keywords&gt;placebo&lt;/Keywords&gt;&lt;Keywords&gt;Quality of Life&lt;/Keywords&gt;&lt;Keywords&gt;Receptors,Estrogen&lt;/Keywords&gt;&lt;Keywords&gt;RNA,Messenger&lt;/Keywords&gt;&lt;Keywords&gt;Serum&lt;/Keywords&gt;&lt;Keywords&gt;Severity of Illness Index&lt;/Keywords&gt;&lt;Keywords&gt;systemic lupus erythematosus&lt;/Keywords&gt;&lt;Keywords&gt;T-Lymphocytes&lt;/Keywords&gt;&lt;Keywords&gt;therapeutic use&lt;/Keywords&gt;&lt;Keywords&gt;therapy&lt;/Keywords&gt;&lt;Keywords&gt;Women&lt;/Keywords&gt;&lt;Reprint&gt;Not in File&lt;/Reprint&gt;&lt;Start_Page&gt;797&lt;/Start_Page&gt;&lt;Periodical&gt;J.Rheumatol.&lt;/Periodical&gt;&lt;Volume&gt;35&lt;/Volume&gt;&lt;Issue&gt;5&lt;/Issue&gt;&lt;User_Def_1&gt;y&lt;/User_Def_1&gt;&lt;ZZ_JournalStdAbbrev&gt;&lt;f name="System"&gt;J.Rheumatol.&lt;/f&gt;&lt;/ZZ_JournalStdAbbrev&gt;&lt;ZZ_WorkformID&gt;1&lt;/ZZ_WorkformID&gt;&lt;/MDL&gt;&lt;/Cite&gt;&lt;/Refman&gt;</w:instrText>
            </w:r>
            <w:r>
              <w:rPr>
                <w:color w:val="000000"/>
                <w:sz w:val="16"/>
                <w:szCs w:val="16"/>
              </w:rPr>
              <w:fldChar w:fldCharType="separate"/>
            </w:r>
            <w:r w:rsidR="00F12F58">
              <w:rPr>
                <w:color w:val="000000"/>
                <w:sz w:val="16"/>
                <w:szCs w:val="16"/>
              </w:rPr>
              <w:t>(70)</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2008</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fulvestrant</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w:t>
            </w:r>
            <w:r w:rsidRPr="004F678A">
              <w:rPr>
                <w:color w:val="000000"/>
                <w:sz w:val="16"/>
                <w:szCs w:val="16"/>
              </w:rPr>
              <w:br/>
              <w:t>(10; 10)</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39</w:t>
            </w:r>
            <w:r w:rsidRPr="004F678A">
              <w:rPr>
                <w:color w:val="000000"/>
                <w:sz w:val="16"/>
                <w:szCs w:val="16"/>
              </w:rPr>
              <w:br/>
              <w:t>38</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100%</w:t>
            </w:r>
            <w:r w:rsidRPr="004F678A">
              <w:rPr>
                <w:color w:val="000000"/>
                <w:sz w:val="16"/>
                <w:szCs w:val="16"/>
              </w:rPr>
              <w:br/>
              <w:t>100%</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11.3</w:t>
            </w:r>
            <w:r w:rsidRPr="004F678A">
              <w:rPr>
                <w:color w:val="000000"/>
                <w:sz w:val="16"/>
                <w:szCs w:val="16"/>
              </w:rPr>
              <w:br/>
              <w:t>9.75</w:t>
            </w:r>
          </w:p>
        </w:tc>
        <w:tc>
          <w:tcPr>
            <w:tcW w:w="1922" w:type="dxa"/>
            <w:tcBorders>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SLEDAI from baseline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4.5</w:t>
            </w:r>
            <w:r w:rsidRPr="004F678A">
              <w:rPr>
                <w:color w:val="000000"/>
                <w:sz w:val="16"/>
                <w:szCs w:val="16"/>
              </w:rPr>
              <w:br/>
              <w:t>0.87</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0.006‡</w:t>
            </w:r>
            <w:r w:rsidRPr="004F678A">
              <w:rPr>
                <w:color w:val="000000"/>
                <w:sz w:val="16"/>
                <w:szCs w:val="16"/>
              </w:rPr>
              <w:br/>
              <w:t>0.87‡</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Difference in SLEDAI at 12 months</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3.25</w:t>
            </w:r>
            <w:r w:rsidRPr="004F678A">
              <w:rPr>
                <w:color w:val="000000"/>
                <w:sz w:val="16"/>
                <w:szCs w:val="16"/>
              </w:rPr>
              <w:br/>
              <w:t>7</w:t>
            </w: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0.0591†</w:t>
            </w: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Uppal</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&lt;Refman&gt;&lt;Cite&gt;&lt;Author&gt;Uppal&lt;/Author&gt;&lt;Year&gt;2009&lt;/Year&gt;&lt;RecNum&gt;108&lt;/RecNum&gt;&lt;IDText&gt;Efficacy and safety of infliximab in active SLE: a pilot study&lt;/IDText&gt;&lt;MDL Ref_Type="Journal"&gt;&lt;Ref_Type&gt;Journal&lt;/Ref_Type&gt;&lt;Ref_ID&gt;108&lt;/Ref_ID&gt;&lt;Title_Primary&gt;Efficacy and safety of infliximab in active SLE: a pilot study&lt;/Title_Primary&gt;&lt;Authors_Primary&gt;Uppal,S.S.&lt;/Authors_Primary&gt;&lt;Authors_Primary&gt;Hayat,S.J.&lt;/Authors_Primary&gt;&lt;Authors_Primary&gt;Raghupathy,R.&lt;/Authors_Primary&gt;&lt;Date_Primary&gt;2009/7&lt;/Date_Primary&gt;&lt;Keywords&gt;Adolescent&lt;/Keywords&gt;&lt;Keywords&gt;Adult&lt;/Keywords&gt;&lt;Keywords&gt;antagonists &amp;amp; inhibitors&lt;/Keywords&gt;&lt;Keywords&gt;Anti-Inflammatory Agents&lt;/Keywords&gt;&lt;Keywords&gt;Antibodies&lt;/Keywords&gt;&lt;Keywords&gt;Antibodies,Monoclonal&lt;/Keywords&gt;&lt;Keywords&gt;body weight&lt;/Keywords&gt;&lt;Keywords&gt;Disease&lt;/Keywords&gt;&lt;Keywords&gt;disease activity&lt;/Keywords&gt;&lt;Keywords&gt;disease activity index&lt;/Keywords&gt;&lt;Keywords&gt;drug therapy&lt;/Keywords&gt;&lt;Keywords&gt;erythematosus&lt;/Keywords&gt;&lt;Keywords&gt;Female&lt;/Keywords&gt;&lt;Keywords&gt;Health&lt;/Keywords&gt;&lt;Keywords&gt;Health Status&lt;/Keywords&gt;&lt;Keywords&gt;hospital&lt;/Keywords&gt;&lt;Keywords&gt;Humans&lt;/Keywords&gt;&lt;Keywords&gt;immunology&lt;/Keywords&gt;&lt;Keywords&gt;Infection&lt;/Keywords&gt;&lt;Keywords&gt;lupus erythematosus&lt;/Keywords&gt;&lt;Keywords&gt;Lupus Erythematosus,Systemic&lt;/Keywords&gt;&lt;Keywords&gt;Necrosis&lt;/Keywords&gt;&lt;Keywords&gt;patient&lt;/Keywords&gt;&lt;Keywords&gt;Patients&lt;/Keywords&gt;&lt;Keywords&gt;physiopathology&lt;/Keywords&gt;&lt;Keywords&gt;Pilot Projects&lt;/Keywords&gt;&lt;Keywords&gt;pilot study&lt;/Keywords&gt;&lt;Keywords&gt;Rheumatology&lt;/Keywords&gt;&lt;Keywords&gt;safety&lt;/Keywords&gt;&lt;Keywords&gt;Serum&lt;/Keywords&gt;&lt;Keywords&gt;statistical significance&lt;/Keywords&gt;&lt;Keywords&gt;systemic lupus erythematosus&lt;/Keywords&gt;&lt;Keywords&gt;systemic lupus erythematosus disease activity index&lt;/Keywords&gt;&lt;Keywords&gt;therapeutic use&lt;/Keywords&gt;&lt;Keywords&gt;therapy&lt;/Keywords&gt;&lt;Keywords&gt;Treatment Outcome&lt;/Keywords&gt;&lt;Keywords&gt;Tumor Necrosis Factor-alpha&lt;/Keywords&gt;&lt;Keywords&gt;Young Adult&lt;/Keywords&gt;&lt;Reprint&gt;Not in File&lt;/Reprint&gt;&lt;Start_Page&gt;690&lt;/Start_Page&gt;&lt;End_Page&gt;697&lt;/End_Page&gt;&lt;Periodical&gt;Lupus.&lt;/Periodical&gt;&lt;Volume&gt;18&lt;/Volume&gt;&lt;Issue&gt;8&lt;/Issue&gt;&lt;User_Def_1&gt;y&lt;/User_Def_1&gt;&lt;ZZ_JournalStdAbbrev&gt;&lt;f name="System"&gt;Lupus.&lt;/f&gt;&lt;/ZZ_JournalStdAbbrev&gt;&lt;ZZ_WorkformID&gt;1&lt;/ZZ_WorkformID&gt;&lt;/MDL&gt;&lt;/Cite&gt;&lt;/Refman&gt;</w:instrText>
            </w:r>
            <w:r>
              <w:rPr>
                <w:color w:val="000000"/>
                <w:sz w:val="16"/>
                <w:szCs w:val="16"/>
              </w:rPr>
              <w:fldChar w:fldCharType="separate"/>
            </w:r>
            <w:r w:rsidR="00F12F58">
              <w:rPr>
                <w:color w:val="000000"/>
                <w:sz w:val="16"/>
                <w:szCs w:val="16"/>
              </w:rPr>
              <w:t>(71)</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2009</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infliximab</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27</w:t>
            </w:r>
            <w:r w:rsidRPr="004F678A">
              <w:rPr>
                <w:color w:val="000000"/>
                <w:sz w:val="16"/>
                <w:szCs w:val="16"/>
              </w:rPr>
              <w:br/>
              <w:t>(9; 18)</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 Variable</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23</w:t>
            </w:r>
            <w:r w:rsidRPr="004F678A">
              <w:rPr>
                <w:color w:val="000000"/>
                <w:sz w:val="16"/>
                <w:szCs w:val="16"/>
              </w:rPr>
              <w:br/>
              <w:t>22.5</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100%</w:t>
            </w:r>
            <w:r w:rsidRPr="004F678A">
              <w:rPr>
                <w:color w:val="000000"/>
                <w:sz w:val="16"/>
                <w:szCs w:val="16"/>
              </w:rPr>
              <w:br/>
              <w:t>60%</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7.15</w:t>
            </w:r>
            <w:r w:rsidRPr="004F678A">
              <w:rPr>
                <w:color w:val="000000"/>
                <w:sz w:val="16"/>
                <w:szCs w:val="16"/>
              </w:rPr>
              <w:br/>
              <w:t>4.79</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SLEDAI from baseline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-27.7</w:t>
            </w:r>
            <w:r w:rsidRPr="004F678A">
              <w:rPr>
                <w:color w:val="000000"/>
                <w:sz w:val="16"/>
                <w:szCs w:val="16"/>
              </w:rPr>
              <w:br/>
              <w:t>-13.3</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0.035†</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Wallace</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(72)</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2009</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belimumab</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449</w:t>
            </w:r>
            <w:r w:rsidRPr="004F678A">
              <w:rPr>
                <w:color w:val="000000"/>
                <w:sz w:val="16"/>
                <w:szCs w:val="16"/>
              </w:rPr>
              <w:br/>
              <w:t>(336; 113)</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42.1</w:t>
            </w:r>
            <w:r w:rsidRPr="004F678A">
              <w:rPr>
                <w:color w:val="000000"/>
                <w:sz w:val="16"/>
                <w:szCs w:val="16"/>
              </w:rPr>
              <w:br/>
              <w:t>42.2</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94%</w:t>
            </w:r>
            <w:r w:rsidRPr="004F678A">
              <w:rPr>
                <w:color w:val="000000"/>
                <w:sz w:val="16"/>
                <w:szCs w:val="16"/>
              </w:rPr>
              <w:br/>
              <w:t>90%</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w:t>
            </w:r>
            <w:r w:rsidRPr="004F678A">
              <w:rPr>
                <w:color w:val="000000"/>
                <w:sz w:val="16"/>
                <w:szCs w:val="16"/>
              </w:rPr>
              <w:br/>
              <w:t>8.1</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Change in SLEDAI from baseline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-47.80%</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 xml:space="preserve">Merril </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Pr>
                <w:color w:val="000000"/>
                <w:sz w:val="16"/>
                <w:szCs w:val="16"/>
              </w:rPr>
              <w:fldChar w:fldCharType="separate"/>
            </w:r>
            <w:r w:rsidR="00F12F58">
              <w:rPr>
                <w:color w:val="000000"/>
                <w:sz w:val="16"/>
                <w:szCs w:val="16"/>
              </w:rPr>
              <w:t>(61)</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2010</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Abatacept</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175</w:t>
            </w:r>
            <w:r w:rsidRPr="004F678A">
              <w:rPr>
                <w:color w:val="000000"/>
                <w:sz w:val="16"/>
                <w:szCs w:val="16"/>
              </w:rPr>
              <w:br/>
              <w:t>(118;57)</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39.1</w:t>
            </w:r>
            <w:r w:rsidRPr="004F678A">
              <w:rPr>
                <w:color w:val="000000"/>
                <w:sz w:val="16"/>
                <w:szCs w:val="16"/>
              </w:rPr>
              <w:br/>
              <w:t>37.6</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88.1</w:t>
            </w:r>
            <w:r w:rsidRPr="004F678A">
              <w:rPr>
                <w:color w:val="000000"/>
                <w:sz w:val="16"/>
                <w:szCs w:val="16"/>
              </w:rPr>
              <w:br/>
              <w:t>96.5</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7.2</w:t>
            </w:r>
            <w:r w:rsidRPr="004F678A">
              <w:rPr>
                <w:color w:val="000000"/>
                <w:sz w:val="16"/>
                <w:szCs w:val="16"/>
              </w:rPr>
              <w:br/>
              <w:t>6.5</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Proportion of patients with a new flare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79.7%</w:t>
            </w:r>
            <w:r w:rsidRPr="004F678A">
              <w:rPr>
                <w:color w:val="000000"/>
                <w:sz w:val="16"/>
                <w:szCs w:val="16"/>
              </w:rPr>
              <w:br/>
              <w:t>82.5%</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Griffiths</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&lt;Refman&gt;&lt;Cite&gt;&lt;Author&gt;Griffiths&lt;/Author&gt;&lt;Year&gt;2005&lt;/Year&gt;&lt;RecNum&gt;18&lt;/RecNum&gt;&lt;IDText&gt;Assessment of patients with systemic lupus erythematosus and the use of lupus disease activity indices&lt;/IDText&gt;&lt;MDL Ref_Type="Journal"&gt;&lt;Ref_Type&gt;Journal&lt;/Ref_Type&gt;&lt;Ref_ID&gt;18&lt;/Ref_ID&gt;&lt;Title_Primary&gt;Assessment of patients with systemic lupus erythematosus and the use of lupus disease activity indices&lt;/Title_Primary&gt;&lt;Authors_Primary&gt;Griffiths,B.&lt;/Authors_Primary&gt;&lt;Authors_Primary&gt;Mosca,M.&lt;/Authors_Primary&gt;&lt;Authors_Primary&gt;Gordon,C.&lt;/Authors_Primary&gt;&lt;Date_Primary&gt;2005/10&lt;/Date_Primary&gt;&lt;Keywords&gt;Disease Progression&lt;/Keywords&gt;&lt;Keywords&gt;Humans&lt;/Keywords&gt;&lt;Keywords&gt;Lupus Erythematosus,Systemic&lt;/Keywords&gt;&lt;Keywords&gt;physiopathology&lt;/Keywords&gt;&lt;Keywords&gt;psychology&lt;/Keywords&gt;&lt;Keywords&gt;Quality of Life&lt;/Keywords&gt;&lt;Keywords&gt;Severity of Illness Index&lt;/Keywords&gt;&lt;Keywords&gt;Sickness Impact Profile&lt;/Keywords&gt;&lt;Reprint&gt;Not in File&lt;/Reprint&gt;&lt;Start_Page&gt;685&lt;/Start_Page&gt;&lt;End_Page&gt;708&lt;/End_Page&gt;&lt;Periodical&gt;Best.Pract.Res.Clin.Rheumatol.&lt;/Periodical&gt;&lt;Volume&gt;19&lt;/Volume&gt;&lt;Issue&gt;5&lt;/Issue&gt;&lt;User_Def_1&gt;SLEDAI&lt;/User_Def_1&gt;&lt;User_Def_2&gt;BILAG&lt;/User_Def_2&gt;&lt;ZZ_JournalStdAbbrev&gt;&lt;f name="System"&gt;Best.Pract.Res.Clin.Rheumatol.&lt;/f&gt;&lt;/ZZ_JournalStdAbbrev&gt;&lt;ZZ_WorkformID&gt;1&lt;/ZZ_WorkformID&gt;&lt;/MDL&gt;&lt;/Cite&gt;&lt;/Refman&gt;</w:instrText>
            </w:r>
            <w:r>
              <w:rPr>
                <w:color w:val="000000"/>
                <w:sz w:val="16"/>
                <w:szCs w:val="16"/>
              </w:rPr>
              <w:fldChar w:fldCharType="separate"/>
            </w:r>
            <w:r w:rsidR="00F12F58">
              <w:rPr>
                <w:color w:val="000000"/>
                <w:sz w:val="16"/>
                <w:szCs w:val="16"/>
              </w:rPr>
              <w:t>(46)</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2010</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Ciclosporin</w:t>
            </w:r>
            <w:r w:rsidRPr="004F678A">
              <w:rPr>
                <w:color w:val="000000"/>
                <w:sz w:val="16"/>
                <w:szCs w:val="16"/>
              </w:rPr>
              <w:br/>
              <w:t>Azathioprine</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89</w:t>
            </w:r>
            <w:r w:rsidRPr="004F678A">
              <w:rPr>
                <w:color w:val="000000"/>
                <w:sz w:val="16"/>
                <w:szCs w:val="16"/>
              </w:rPr>
              <w:br/>
              <w:t>(47;42)</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33</w:t>
            </w:r>
            <w:r w:rsidRPr="004F678A">
              <w:rPr>
                <w:color w:val="000000"/>
                <w:sz w:val="16"/>
                <w:szCs w:val="16"/>
              </w:rPr>
              <w:br/>
              <w:t>39</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96</w:t>
            </w:r>
            <w:r w:rsidRPr="004F678A">
              <w:rPr>
                <w:color w:val="000000"/>
                <w:sz w:val="16"/>
                <w:szCs w:val="16"/>
              </w:rPr>
              <w:br/>
              <w:t>88</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w:t>
            </w:r>
            <w:r w:rsidRPr="004F678A">
              <w:rPr>
                <w:color w:val="000000"/>
                <w:sz w:val="16"/>
                <w:szCs w:val="16"/>
              </w:rPr>
              <w:br/>
              <w:t>4</w:t>
            </w:r>
          </w:p>
        </w:tc>
        <w:tc>
          <w:tcPr>
            <w:tcW w:w="1922"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Corticosteroid sparing effect</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-9.0</w:t>
            </w:r>
            <w:r w:rsidRPr="004F678A">
              <w:rPr>
                <w:color w:val="000000"/>
                <w:sz w:val="16"/>
                <w:szCs w:val="16"/>
              </w:rPr>
              <w:br/>
              <w:t>10.7</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 xml:space="preserve">Merril  </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(62)</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2010</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Rituximab</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227</w:t>
            </w:r>
            <w:r w:rsidRPr="004F678A">
              <w:rPr>
                <w:color w:val="000000"/>
                <w:sz w:val="16"/>
                <w:szCs w:val="16"/>
              </w:rPr>
              <w:br/>
              <w:t>(169;88)</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40.2</w:t>
            </w:r>
            <w:r w:rsidRPr="004F678A">
              <w:rPr>
                <w:color w:val="000000"/>
                <w:sz w:val="16"/>
                <w:szCs w:val="16"/>
              </w:rPr>
              <w:br/>
              <w:t>40.5</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89.9</w:t>
            </w:r>
            <w:r w:rsidRPr="004F678A">
              <w:rPr>
                <w:color w:val="000000"/>
                <w:sz w:val="16"/>
                <w:szCs w:val="16"/>
              </w:rPr>
              <w:br/>
              <w:t>93.2</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8.5</w:t>
            </w:r>
            <w:r w:rsidRPr="004F678A">
              <w:rPr>
                <w:color w:val="000000"/>
                <w:sz w:val="16"/>
                <w:szCs w:val="16"/>
              </w:rPr>
              <w:br/>
              <w:t>8.7</w:t>
            </w:r>
          </w:p>
        </w:tc>
        <w:tc>
          <w:tcPr>
            <w:tcW w:w="1922" w:type="dxa"/>
            <w:tcBorders>
              <w:top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Major clinical response</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12.4%</w:t>
            </w:r>
            <w:r w:rsidRPr="004F678A">
              <w:rPr>
                <w:color w:val="000000"/>
                <w:sz w:val="16"/>
                <w:szCs w:val="16"/>
              </w:rPr>
              <w:br/>
              <w:t>15.90%</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Partial clinical response</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17.2%</w:t>
            </w:r>
            <w:r w:rsidRPr="004F678A">
              <w:rPr>
                <w:color w:val="000000"/>
                <w:sz w:val="16"/>
                <w:szCs w:val="16"/>
              </w:rPr>
              <w:br/>
              <w:t>12.5%</w:t>
            </w: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Navarra</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Pr>
                <w:color w:val="000000"/>
                <w:sz w:val="16"/>
                <w:szCs w:val="16"/>
              </w:rPr>
              <w:fldChar w:fldCharType="separate"/>
            </w:r>
            <w:r w:rsidR="00F12F58">
              <w:rPr>
                <w:color w:val="000000"/>
                <w:sz w:val="16"/>
                <w:szCs w:val="16"/>
              </w:rPr>
              <w:t>(74)</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2011</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Belimumab 1mg</w:t>
            </w:r>
            <w:r w:rsidRPr="004F678A">
              <w:rPr>
                <w:color w:val="000000"/>
                <w:sz w:val="16"/>
                <w:szCs w:val="16"/>
              </w:rPr>
              <w:br/>
              <w:t>Belimumab 10mg</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865</w:t>
            </w:r>
            <w:r w:rsidRPr="004F678A">
              <w:rPr>
                <w:color w:val="000000"/>
                <w:sz w:val="16"/>
                <w:szCs w:val="16"/>
              </w:rPr>
              <w:br/>
              <w:t>(288;290;287)</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35.4</w:t>
            </w:r>
            <w:r w:rsidRPr="004F678A">
              <w:rPr>
                <w:color w:val="000000"/>
                <w:sz w:val="16"/>
                <w:szCs w:val="16"/>
              </w:rPr>
              <w:br/>
              <w:t>36.2</w:t>
            </w:r>
            <w:r w:rsidRPr="004F678A">
              <w:rPr>
                <w:color w:val="000000"/>
                <w:sz w:val="16"/>
                <w:szCs w:val="16"/>
              </w:rPr>
              <w:br/>
              <w:t>35.0</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97%</w:t>
            </w:r>
            <w:r w:rsidRPr="004F678A">
              <w:rPr>
                <w:color w:val="000000"/>
                <w:sz w:val="16"/>
                <w:szCs w:val="16"/>
              </w:rPr>
              <w:br/>
              <w:t>94%</w:t>
            </w:r>
            <w:r w:rsidRPr="004F678A">
              <w:rPr>
                <w:color w:val="000000"/>
                <w:sz w:val="16"/>
                <w:szCs w:val="16"/>
              </w:rPr>
              <w:br/>
              <w:t>94%</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5.0</w:t>
            </w:r>
            <w:r w:rsidRPr="004F678A">
              <w:rPr>
                <w:color w:val="000000"/>
                <w:sz w:val="16"/>
                <w:szCs w:val="16"/>
              </w:rPr>
              <w:br/>
              <w:t>5.9</w:t>
            </w:r>
            <w:r w:rsidRPr="004F678A">
              <w:rPr>
                <w:color w:val="000000"/>
                <w:sz w:val="16"/>
                <w:szCs w:val="16"/>
              </w:rPr>
              <w:br/>
              <w:t>5.0</w:t>
            </w:r>
          </w:p>
        </w:tc>
        <w:tc>
          <w:tcPr>
            <w:tcW w:w="1922" w:type="dxa"/>
            <w:tcBorders>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SRI Responder Index</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51%</w:t>
            </w:r>
            <w:r w:rsidRPr="004F678A">
              <w:rPr>
                <w:color w:val="000000"/>
                <w:sz w:val="16"/>
                <w:szCs w:val="16"/>
              </w:rPr>
              <w:br/>
              <w:t>58%</w:t>
            </w:r>
            <w:r w:rsidRPr="004F678A">
              <w:rPr>
                <w:color w:val="000000"/>
                <w:sz w:val="16"/>
                <w:szCs w:val="16"/>
              </w:rPr>
              <w:br/>
              <w:t>44%</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0.013†</w:t>
            </w:r>
            <w:r w:rsidRPr="004F678A">
              <w:rPr>
                <w:color w:val="000000"/>
                <w:sz w:val="16"/>
                <w:szCs w:val="16"/>
              </w:rPr>
              <w:br/>
              <w:t>0.0006†</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Furie</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(75)</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jc w:val="right"/>
              <w:rPr>
                <w:color w:val="000000"/>
                <w:sz w:val="16"/>
                <w:szCs w:val="16"/>
              </w:rPr>
            </w:pPr>
            <w:r w:rsidRPr="004F678A">
              <w:rPr>
                <w:color w:val="000000"/>
                <w:sz w:val="16"/>
                <w:szCs w:val="16"/>
              </w:rPr>
              <w:t>2011</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Belimumab 1mg</w:t>
            </w:r>
            <w:r w:rsidRPr="004F678A">
              <w:rPr>
                <w:color w:val="000000"/>
                <w:sz w:val="16"/>
                <w:szCs w:val="16"/>
              </w:rPr>
              <w:br/>
              <w:t>Belimumab 10mg</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819</w:t>
            </w:r>
            <w:r w:rsidRPr="004F678A">
              <w:rPr>
                <w:color w:val="000000"/>
                <w:sz w:val="16"/>
                <w:szCs w:val="16"/>
              </w:rPr>
              <w:br/>
              <w:t>(275;271;273)</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12 months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40.0</w:t>
            </w:r>
            <w:r w:rsidRPr="004F678A">
              <w:rPr>
                <w:color w:val="000000"/>
                <w:sz w:val="16"/>
                <w:szCs w:val="16"/>
              </w:rPr>
              <w:br/>
              <w:t>40.5</w:t>
            </w:r>
            <w:r w:rsidRPr="004F678A">
              <w:rPr>
                <w:color w:val="000000"/>
                <w:sz w:val="16"/>
                <w:szCs w:val="16"/>
              </w:rPr>
              <w:br/>
              <w:t>40.0</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93.4</w:t>
            </w:r>
            <w:r w:rsidRPr="004F678A">
              <w:rPr>
                <w:color w:val="000000"/>
                <w:sz w:val="16"/>
                <w:szCs w:val="16"/>
              </w:rPr>
              <w:br/>
              <w:t>94.9</w:t>
            </w:r>
            <w:r w:rsidRPr="004F678A">
              <w:rPr>
                <w:color w:val="000000"/>
                <w:sz w:val="16"/>
                <w:szCs w:val="16"/>
              </w:rPr>
              <w:br/>
              <w:t>91.6</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7.9</w:t>
            </w:r>
            <w:r w:rsidRPr="004F678A">
              <w:rPr>
                <w:color w:val="000000"/>
                <w:sz w:val="16"/>
                <w:szCs w:val="16"/>
              </w:rPr>
              <w:br/>
              <w:t>7.2</w:t>
            </w:r>
            <w:r w:rsidRPr="004F678A">
              <w:rPr>
                <w:color w:val="000000"/>
                <w:sz w:val="16"/>
                <w:szCs w:val="16"/>
              </w:rPr>
              <w:br/>
              <w:t>7.4</w:t>
            </w:r>
          </w:p>
        </w:tc>
        <w:tc>
          <w:tcPr>
            <w:tcW w:w="1922" w:type="dxa"/>
            <w:tcBorders>
              <w:top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SRI Responder Index</w:t>
            </w:r>
          </w:p>
          <w:p w:rsidR="002D772C" w:rsidRPr="004F678A" w:rsidRDefault="002D772C" w:rsidP="00E13EF3">
            <w:pPr>
              <w:spacing w:after="0" w:afterAutospacing="0" w:line="240" w:lineRule="auto"/>
              <w:rPr>
                <w:color w:val="000000"/>
                <w:sz w:val="16"/>
                <w:szCs w:val="16"/>
              </w:rPr>
            </w:pP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40.6%</w:t>
            </w:r>
            <w:r w:rsidRPr="004F678A">
              <w:rPr>
                <w:color w:val="000000"/>
                <w:sz w:val="16"/>
                <w:szCs w:val="16"/>
              </w:rPr>
              <w:br/>
              <w:t>43.2%</w:t>
            </w:r>
            <w:r w:rsidRPr="004F678A">
              <w:rPr>
                <w:color w:val="000000"/>
                <w:sz w:val="16"/>
                <w:szCs w:val="16"/>
              </w:rPr>
              <w:br/>
              <w:t>33.5%</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0.089†</w:t>
            </w:r>
            <w:r w:rsidRPr="004F678A">
              <w:rPr>
                <w:color w:val="000000"/>
                <w:sz w:val="16"/>
                <w:szCs w:val="16"/>
              </w:rPr>
              <w:br/>
              <w:t>0.017†</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2D772C" w:rsidRPr="004F678A" w:rsidTr="00C52096">
        <w:tc>
          <w:tcPr>
            <w:tcW w:w="954" w:type="dxa"/>
            <w:tcBorders>
              <w:top w:val="nil"/>
              <w:bottom w:val="nil"/>
            </w:tcBorders>
          </w:tcPr>
          <w:p w:rsidR="002D772C" w:rsidRDefault="002D772C" w:rsidP="00E13EF3">
            <w:pPr>
              <w:spacing w:after="0" w:afterAutospacing="0" w:line="240" w:lineRule="auto"/>
              <w:rPr>
                <w:color w:val="000000"/>
                <w:sz w:val="16"/>
                <w:szCs w:val="16"/>
              </w:rPr>
            </w:pPr>
            <w:r w:rsidRPr="004F678A">
              <w:rPr>
                <w:color w:val="000000"/>
                <w:sz w:val="16"/>
                <w:szCs w:val="16"/>
              </w:rPr>
              <w:t>Merrill</w:t>
            </w:r>
          </w:p>
          <w:p w:rsidR="00E13EF3" w:rsidRPr="004F678A" w:rsidRDefault="00E729BA" w:rsidP="00E13EF3">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&lt;Refman&gt;&lt;Cite&gt;&lt;Author&gt;Merrill&lt;/Author&gt;&lt;Year&gt;2011&lt;/Year&gt;&lt;RecNum&gt;1640&lt;/RecNum&gt;&lt;IDText&gt;Safety profile and clinical activity of sifalimumab, a fully human anti-interferon alpha monoclonal antibody, in systemic lupus erythematosus: a phase I, multicentre, double-blind randomised study&lt;/IDText&gt;&lt;MDL Ref_Type="Journal"&gt;&lt;Ref_Type&gt;Journal&lt;/Ref_Type&gt;&lt;Ref_ID&gt;1640&lt;/Ref_ID&gt;&lt;Title_Primary&gt;Safety profile and clinical activity of sifalimumab, a fully human anti-interferon alpha monoclonal antibody, in systemic lupus erythematosus: a phase I, multicentre, double-blind randomised study&lt;/Title_Primary&gt;&lt;Authors_Primary&gt;Merrill,J.T.&lt;/Authors_Primary&gt;&lt;Authors_Primary&gt;Wallace,D.J.&lt;/Authors_Primary&gt;&lt;Authors_Primary&gt;Petri,M.&lt;/Authors_Primary&gt;&lt;Authors_Primary&gt;Kirou,K.A.&lt;/Authors_Primary&gt;&lt;Authors_Primary&gt;Yao,Y.&lt;/Authors_Primary&gt;&lt;Authors_Primary&gt;White,W.I.&lt;/Authors_Primary&gt;&lt;Authors_Primary&gt;Robbie,G.&lt;/Authors_Primary&gt;&lt;Authors_Primary&gt;Levin,R.&lt;/Authors_Primary&gt;&lt;Authors_Primary&gt;Berney,S.M.&lt;/Authors_Primary&gt;&lt;Authors_Primary&gt;Chindalore,V.&lt;/Authors_Primary&gt;&lt;Authors_Primary&gt;Olsen,N.&lt;/Authors_Primary&gt;&lt;Authors_Primary&gt;Richman,L.&lt;/Authors_Primary&gt;&lt;Authors_Primary&gt;Le,C.&lt;/Authors_Primary&gt;&lt;Authors_Primary&gt;Jallal,B.&lt;/Authors_Primary&gt;&lt;Authors_Primary&gt;White,B.&lt;/Authors_Primary&gt;&lt;Date_Primary&gt;2011/11&lt;/Date_Primary&gt;&lt;Keywords&gt;administration &amp;amp; dosage&lt;/Keywords&gt;&lt;Keywords&gt;Adult&lt;/Keywords&gt;&lt;Keywords&gt;adverse effects&lt;/Keywords&gt;&lt;Keywords&gt;Aged&lt;/Keywords&gt;&lt;Keywords&gt;Aged,80 and over&lt;/Keywords&gt;&lt;Keywords&gt;antagonists &amp;amp; inhibitors&lt;/Keywords&gt;&lt;Keywords&gt;Antibodies&lt;/Keywords&gt;&lt;Keywords&gt;Antibodies,Monoclonal&lt;/Keywords&gt;&lt;Keywords&gt;biosynthesis&lt;/Keywords&gt;&lt;Keywords&gt;blood&lt;/Keywords&gt;&lt;Keywords&gt;Disease&lt;/Keywords&gt;&lt;Keywords&gt;disease activity&lt;/Keywords&gt;&lt;Keywords&gt;disease activity index&lt;/Keywords&gt;&lt;Keywords&gt;Dose-Response Relationship,Drug&lt;/Keywords&gt;&lt;Keywords&gt;Double-Blind Method&lt;/Keywords&gt;&lt;Keywords&gt;drug effects&lt;/Keywords&gt;&lt;Keywords&gt;drug therapy&lt;/Keywords&gt;&lt;Keywords&gt;erythematosus&lt;/Keywords&gt;&lt;Keywords&gt;Female&lt;/Keywords&gt;&lt;Keywords&gt;Gene Expression Regulation&lt;/Keywords&gt;&lt;Keywords&gt;genetics&lt;/Keywords&gt;&lt;Keywords&gt;human&lt;/Keywords&gt;&lt;Keywords&gt;Humans&lt;/Keywords&gt;&lt;Keywords&gt;immunogenicity&lt;/Keywords&gt;&lt;Keywords&gt;immunology&lt;/Keywords&gt;&lt;Keywords&gt;Immunosuppressive Agents&lt;/Keywords&gt;&lt;Keywords&gt;Infection&lt;/Keywords&gt;&lt;Keywords&gt;Injections,Intravenous&lt;/Keywords&gt;&lt;Keywords&gt;Interferon Type I&lt;/Keywords&gt;&lt;Keywords&gt;Interferon-alpha&lt;/Keywords&gt;&lt;Keywords&gt;lupus erythematosus&lt;/Keywords&gt;&lt;Keywords&gt;Lupus Erythematosus,Systemic&lt;/Keywords&gt;&lt;Keywords&gt;Male&lt;/Keywords&gt;&lt;Keywords&gt;medical research&lt;/Keywords&gt;&lt;Keywords&gt;methods&lt;/Keywords&gt;&lt;Keywords&gt;Middle Aged&lt;/Keywords&gt;&lt;Keywords&gt;pathogenesis&lt;/Keywords&gt;&lt;Keywords&gt;pharmacology&lt;/Keywords&gt;&lt;Keywords&gt;placebo&lt;/Keywords&gt;&lt;Keywords&gt;Research&lt;/Keywords&gt;&lt;Keywords&gt;RNA,Messenger&lt;/Keywords&gt;&lt;Keywords&gt;safety&lt;/Keywords&gt;&lt;Keywords&gt;Severity of Illness Index&lt;/Keywords&gt;&lt;Keywords&gt;Skin&lt;/Keywords&gt;&lt;Keywords&gt;systemic lupus erythematosus&lt;/Keywords&gt;&lt;Keywords&gt;systemic lupus erythematosus disease activity index&lt;/Keywords&gt;&lt;Keywords&gt;therapeutic use&lt;/Keywords&gt;&lt;Keywords&gt;Treatment Outcome&lt;/Keywords&gt;&lt;Keywords&gt;trends&lt;/Keywords&gt;&lt;Keywords&gt;Young Adult&lt;/Keywords&gt;&lt;Reprint&gt;Not in File&lt;/Reprint&gt;&lt;Start_Page&gt;1905&lt;/Start_Page&gt;&lt;End_Page&gt;1913&lt;/End_Page&gt;&lt;Periodical&gt;Ann.Rheum.Dis.&lt;/Periodical&gt;&lt;Volume&gt;70&lt;/Volume&gt;&lt;Issue&gt;11&lt;/Issue&gt;&lt;ZZ_JournalStdAbbrev&gt;&lt;f name="System"&gt;Ann.Rheum.Dis.&lt;/f&gt;&lt;/ZZ_JournalStdAbbrev&gt;&lt;ZZ_WorkformID&gt;1&lt;/ZZ_WorkformID&gt;&lt;/MDL&gt;&lt;/Cite&gt;&lt;/Refman&gt;</w:instrText>
            </w:r>
            <w:r>
              <w:rPr>
                <w:color w:val="000000"/>
                <w:sz w:val="16"/>
                <w:szCs w:val="16"/>
              </w:rPr>
              <w:fldChar w:fldCharType="separate"/>
            </w:r>
            <w:r w:rsidR="00F12F58">
              <w:rPr>
                <w:color w:val="000000"/>
                <w:sz w:val="16"/>
                <w:szCs w:val="16"/>
              </w:rPr>
              <w:t>(76)</w:t>
            </w:r>
            <w:r>
              <w:rPr>
                <w:color w:val="000000"/>
                <w:sz w:val="16"/>
                <w:szCs w:val="16"/>
              </w:rPr>
              <w:fldChar w:fldCharType="end"/>
            </w:r>
          </w:p>
        </w:tc>
        <w:tc>
          <w:tcPr>
            <w:tcW w:w="47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2011</w:t>
            </w:r>
          </w:p>
        </w:tc>
        <w:tc>
          <w:tcPr>
            <w:tcW w:w="135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Sifalimumab</w:t>
            </w:r>
            <w:r w:rsidRPr="004F678A">
              <w:rPr>
                <w:color w:val="000000"/>
                <w:sz w:val="16"/>
                <w:szCs w:val="16"/>
              </w:rPr>
              <w:br/>
              <w:t>Placebo</w:t>
            </w: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50</w:t>
            </w:r>
            <w:r w:rsidRPr="004F678A">
              <w:rPr>
                <w:color w:val="000000"/>
                <w:sz w:val="16"/>
                <w:szCs w:val="16"/>
              </w:rPr>
              <w:br/>
              <w:t>(33:17)</w:t>
            </w:r>
          </w:p>
        </w:tc>
        <w:tc>
          <w:tcPr>
            <w:tcW w:w="1030"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84 days</w:t>
            </w:r>
          </w:p>
        </w:tc>
        <w:tc>
          <w:tcPr>
            <w:tcW w:w="637"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44</w:t>
            </w:r>
            <w:r w:rsidRPr="004F678A">
              <w:rPr>
                <w:color w:val="000000"/>
                <w:sz w:val="16"/>
                <w:szCs w:val="16"/>
              </w:rPr>
              <w:br/>
              <w:t>48</w:t>
            </w:r>
          </w:p>
        </w:tc>
        <w:tc>
          <w:tcPr>
            <w:tcW w:w="613"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97</w:t>
            </w:r>
            <w:r w:rsidRPr="004F678A">
              <w:rPr>
                <w:color w:val="000000"/>
                <w:sz w:val="16"/>
                <w:szCs w:val="16"/>
              </w:rPr>
              <w:br/>
              <w:t>88</w:t>
            </w:r>
          </w:p>
        </w:tc>
        <w:tc>
          <w:tcPr>
            <w:tcW w:w="714"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4.9</w:t>
            </w:r>
            <w:r w:rsidRPr="004F678A">
              <w:rPr>
                <w:color w:val="000000"/>
                <w:sz w:val="16"/>
                <w:szCs w:val="16"/>
              </w:rPr>
              <w:br/>
              <w:t>7.8</w:t>
            </w:r>
          </w:p>
        </w:tc>
        <w:tc>
          <w:tcPr>
            <w:tcW w:w="1922" w:type="dxa"/>
          </w:tcPr>
          <w:p w:rsidR="002D772C" w:rsidRPr="004F678A" w:rsidRDefault="002D772C" w:rsidP="00E13EF3">
            <w:pPr>
              <w:spacing w:after="0" w:afterAutospacing="0" w:line="240" w:lineRule="auto"/>
              <w:rPr>
                <w:color w:val="000000"/>
                <w:sz w:val="16"/>
                <w:szCs w:val="16"/>
              </w:rPr>
            </w:pPr>
            <w:r w:rsidRPr="004F678A">
              <w:rPr>
                <w:color w:val="000000"/>
                <w:sz w:val="16"/>
                <w:szCs w:val="16"/>
              </w:rPr>
              <w:t>SRI Responder Index</w:t>
            </w:r>
          </w:p>
        </w:tc>
        <w:tc>
          <w:tcPr>
            <w:tcW w:w="816"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26%</w:t>
            </w:r>
            <w:r w:rsidRPr="004F678A">
              <w:rPr>
                <w:color w:val="000000"/>
                <w:sz w:val="16"/>
                <w:szCs w:val="16"/>
              </w:rPr>
              <w:br/>
              <w:t>15%</w:t>
            </w:r>
          </w:p>
        </w:tc>
        <w:tc>
          <w:tcPr>
            <w:tcW w:w="705" w:type="dxa"/>
            <w:tcBorders>
              <w:top w:val="nil"/>
              <w:bottom w:val="nil"/>
            </w:tcBorders>
          </w:tcPr>
          <w:p w:rsidR="002D772C" w:rsidRPr="004F678A" w:rsidRDefault="002D772C" w:rsidP="00E13EF3">
            <w:pPr>
              <w:spacing w:after="0" w:afterAutospacing="0" w:line="240" w:lineRule="auto"/>
              <w:rPr>
                <w:color w:val="000000"/>
                <w:sz w:val="16"/>
                <w:szCs w:val="16"/>
              </w:rPr>
            </w:pPr>
            <w:r w:rsidRPr="004F678A">
              <w:rPr>
                <w:color w:val="000000"/>
                <w:sz w:val="16"/>
                <w:szCs w:val="16"/>
              </w:rPr>
              <w:t>NS†</w:t>
            </w:r>
          </w:p>
        </w:tc>
        <w:tc>
          <w:tcPr>
            <w:tcW w:w="2209"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851" w:type="dxa"/>
            <w:tcBorders>
              <w:top w:val="nil"/>
              <w:bottom w:val="nil"/>
            </w:tcBorders>
          </w:tcPr>
          <w:p w:rsidR="002D772C" w:rsidRPr="004F678A" w:rsidRDefault="002D772C" w:rsidP="00E13EF3">
            <w:pPr>
              <w:spacing w:after="0" w:afterAutospacing="0" w:line="240" w:lineRule="auto"/>
              <w:rPr>
                <w:color w:val="000000"/>
                <w:sz w:val="16"/>
                <w:szCs w:val="16"/>
              </w:rPr>
            </w:pPr>
          </w:p>
        </w:tc>
        <w:tc>
          <w:tcPr>
            <w:tcW w:w="690" w:type="dxa"/>
            <w:tcBorders>
              <w:top w:val="nil"/>
              <w:bottom w:val="nil"/>
            </w:tcBorders>
          </w:tcPr>
          <w:p w:rsidR="002D772C" w:rsidRPr="004F678A" w:rsidRDefault="002D772C" w:rsidP="00E13EF3">
            <w:pPr>
              <w:spacing w:after="0" w:afterAutospacing="0" w:line="240" w:lineRule="auto"/>
              <w:rPr>
                <w:color w:val="000000"/>
                <w:sz w:val="16"/>
                <w:szCs w:val="16"/>
              </w:rPr>
            </w:pPr>
          </w:p>
        </w:tc>
      </w:tr>
      <w:tr w:rsidR="005613E7" w:rsidRPr="004F678A" w:rsidTr="005613E7">
        <w:trPr>
          <w:trHeight w:val="259"/>
        </w:trPr>
        <w:tc>
          <w:tcPr>
            <w:tcW w:w="13822" w:type="dxa"/>
            <w:gridSpan w:val="14"/>
            <w:tcBorders>
              <w:top w:val="single" w:sz="8" w:space="0" w:color="auto"/>
              <w:bottom w:val="single" w:sz="12" w:space="0" w:color="auto"/>
            </w:tcBorders>
          </w:tcPr>
          <w:p w:rsidR="005613E7" w:rsidRPr="004F678A" w:rsidRDefault="005613E7" w:rsidP="00E13EF3">
            <w:pPr>
              <w:pStyle w:val="ListParagraph1"/>
              <w:rPr>
                <w:rStyle w:val="IntenseEmphasis"/>
                <w:b w:val="0"/>
                <w:bCs w:val="0"/>
                <w:caps w:val="0"/>
                <w:color w:val="auto"/>
                <w:spacing w:val="0"/>
                <w:sz w:val="16"/>
                <w:szCs w:val="16"/>
              </w:rPr>
            </w:pPr>
            <w:r w:rsidRPr="004F678A">
              <w:rPr>
                <w:rStyle w:val="IntenseEmphasis"/>
                <w:b w:val="0"/>
                <w:bCs w:val="0"/>
                <w:caps w:val="0"/>
                <w:color w:val="auto"/>
                <w:spacing w:val="0"/>
                <w:sz w:val="16"/>
                <w:szCs w:val="16"/>
              </w:rPr>
              <w:t>† compared with placebo; ‡ compared with baseline</w:t>
            </w:r>
            <w:r>
              <w:rPr>
                <w:rStyle w:val="IntenseEmphasis"/>
                <w:b w:val="0"/>
                <w:bCs w:val="0"/>
                <w:caps w:val="0"/>
                <w:color w:val="auto"/>
                <w:spacing w:val="0"/>
                <w:sz w:val="16"/>
                <w:szCs w:val="16"/>
              </w:rPr>
              <w:t>; NR Not Reported; SLAM Systemic Lupus Activity Measure records</w:t>
            </w:r>
            <w:r w:rsidRPr="005613E7">
              <w:rPr>
                <w:rStyle w:val="IntenseEmphasis"/>
                <w:b w:val="0"/>
                <w:bCs w:val="0"/>
                <w:caps w:val="0"/>
                <w:color w:val="auto"/>
                <w:spacing w:val="0"/>
                <w:sz w:val="16"/>
                <w:szCs w:val="16"/>
              </w:rPr>
              <w:t xml:space="preserve"> disease activity</w:t>
            </w:r>
            <w:r>
              <w:rPr>
                <w:rStyle w:val="IntenseEmphasis"/>
                <w:b w:val="0"/>
                <w:bCs w:val="0"/>
                <w:caps w:val="0"/>
                <w:color w:val="auto"/>
                <w:spacing w:val="0"/>
                <w:sz w:val="16"/>
                <w:szCs w:val="16"/>
              </w:rPr>
              <w:t xml:space="preserve"> in</w:t>
            </w:r>
            <w:r w:rsidRPr="005613E7">
              <w:rPr>
                <w:rStyle w:val="IntenseEmphasis"/>
                <w:b w:val="0"/>
                <w:bCs w:val="0"/>
                <w:caps w:val="0"/>
                <w:color w:val="auto"/>
                <w:spacing w:val="0"/>
                <w:sz w:val="16"/>
                <w:szCs w:val="16"/>
              </w:rPr>
              <w:t>11 organ systems and 8 laboratory tests  in the last month. Each symptom is weighted by severity.</w:t>
            </w:r>
          </w:p>
        </w:tc>
      </w:tr>
    </w:tbl>
    <w:p w:rsidR="002D772C" w:rsidRDefault="002D772C" w:rsidP="002D772C">
      <w:pPr>
        <w:rPr>
          <w:rStyle w:val="IntenseEmphasis"/>
        </w:rPr>
        <w:sectPr w:rsidR="002D772C" w:rsidSect="006A3B1E">
          <w:pgSz w:w="16838" w:h="11906" w:orient="landscape"/>
          <w:pgMar w:top="1440" w:right="1440" w:bottom="1440" w:left="2268" w:header="708" w:footer="708" w:gutter="0"/>
          <w:cols w:space="708"/>
          <w:docGrid w:linePitch="360"/>
        </w:sectPr>
      </w:pPr>
    </w:p>
    <w:p w:rsidR="00D0049C" w:rsidRDefault="00EB0286">
      <w:pPr>
        <w:pStyle w:val="Heading3"/>
      </w:pPr>
      <w:bookmarkStart w:id="75" w:name="_Toc379467558"/>
      <w:r>
        <w:t>Trial Endpoints</w:t>
      </w:r>
      <w:bookmarkEnd w:id="75"/>
    </w:p>
    <w:p w:rsidR="00275114" w:rsidRPr="00275114" w:rsidRDefault="00275114" w:rsidP="00275114">
      <w:pPr>
        <w:pStyle w:val="Heading4"/>
      </w:pPr>
      <w:r>
        <w:t>Guideline Recommentations</w:t>
      </w:r>
      <w:r w:rsidR="00274DBD">
        <w:t xml:space="preserve"> ON Trial Endpoints</w:t>
      </w:r>
    </w:p>
    <w:p w:rsidR="002D772C" w:rsidRPr="002A091E" w:rsidRDefault="001F709F" w:rsidP="004D7951">
      <w:r>
        <w:t>There has been discussion about trial endpoints in the guidelines, however very few specific recommendations are provided</w:t>
      </w:r>
      <w:r w:rsidR="002D772C">
        <w:t>.</w:t>
      </w:r>
      <w:r w:rsidR="0068557B">
        <w:t xml:space="preserve"> </w:t>
      </w:r>
      <w:r w:rsidR="00F611E7">
        <w:t xml:space="preserve">The FDA report </w:t>
      </w:r>
      <w:r w:rsidR="00274DBD">
        <w:t>makes</w:t>
      </w:r>
      <w:r w:rsidR="00454A3C">
        <w:t xml:space="preserve"> </w:t>
      </w:r>
      <w:r w:rsidR="00F611E7">
        <w:t>several suggestions for possible endpoints for SLE clinical trials</w:t>
      </w:r>
      <w:r w:rsidR="00D6514A">
        <w:t>, but do</w:t>
      </w:r>
      <w:r w:rsidR="00274DBD">
        <w:t>es not</w:t>
      </w:r>
      <w:r w:rsidR="00D6514A">
        <w:t xml:space="preserve"> impose a single</w:t>
      </w:r>
      <w:r w:rsidR="00F611E7">
        <w:t xml:space="preserve"> criteria </w:t>
      </w:r>
      <w:r w:rsidR="00E729BA">
        <w:fldChar w:fldCharType="begin"/>
      </w:r>
      <w:r w:rsidR="00FC61FD">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fldChar w:fldCharType="separate"/>
      </w:r>
      <w:r w:rsidR="00F12F58">
        <w:t>(81)</w:t>
      </w:r>
      <w:r w:rsidR="00E729BA">
        <w:fldChar w:fldCharType="end"/>
      </w:r>
      <w:r w:rsidR="00F611E7">
        <w:t xml:space="preserve">. </w:t>
      </w:r>
      <w:r w:rsidR="002D772C">
        <w:t xml:space="preserve">Gordon </w:t>
      </w:r>
      <w:r w:rsidR="002D772C" w:rsidRPr="0068557B">
        <w:rPr>
          <w:i/>
          <w:iCs/>
        </w:rPr>
        <w:t>et al.</w:t>
      </w:r>
      <w:r w:rsidR="002D772C">
        <w:t xml:space="preserve"> </w:t>
      </w:r>
      <w:r w:rsidR="00F611E7">
        <w:t>explain that they cannot make any</w:t>
      </w:r>
      <w:r w:rsidR="002D772C">
        <w:t xml:space="preserve"> firm recommendations due to the lack of quality randomised trials on which to base their report </w:t>
      </w:r>
      <w:r w:rsidR="00E729BA">
        <w:fldChar w:fldCharType="begin"/>
      </w:r>
      <w:r w:rsidR="00FC61FD">
        <w:instrText xml:space="preserve"> ADDIN REFMGR.CITE &lt;Refman&gt;&lt;Cite&gt;&lt;Author&gt;Gordon&lt;/Author&gt;&lt;Year&gt;2009&lt;/Year&gt;&lt;RecNum&gt;3&lt;/RecNum&gt;&lt;IDText&gt;EULAR points to consider for conducting clinical trials in systemic lupus erythematosus&lt;/IDText&gt;&lt;MDL Ref_Type="Journal"&gt;&lt;Ref_Type&gt;Journal&lt;/Ref_Type&gt;&lt;Ref_ID&gt;3&lt;/Ref_ID&gt;&lt;Title_Primary&gt;EULAR points to consider for conducting clinical trials in systemic lupus erythematosus&lt;/Title_Primary&gt;&lt;Authors_Primary&gt;Gordon,C.&lt;/Authors_Primary&gt;&lt;Authors_Primary&gt;Bertsias,G.&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W.&lt;/Authors_Primary&gt;&lt;Authors_Primary&gt;Isenberg,D.&lt;/Authors_Primary&gt;&lt;Authors_Primary&gt;Kallenberg,C.G.&lt;/Authors_Primary&gt;&lt;Authors_Primary&gt;Khamashta,M.A.&lt;/Authors_Primary&gt;&lt;Authors_Primary&gt;Piette,J.C.&lt;/Authors_Primary&gt;&lt;Authors_Primary&gt;Schneider,M.&lt;/Authors_Primary&gt;&lt;Authors_Primary&gt;Smolen,J.S.&lt;/Authors_Primary&gt;&lt;Authors_Primary&gt;Sturfelt,G.&lt;/Authors_Primary&gt;&lt;Authors_Primary&gt;Tincani,A.&lt;/Authors_Primary&gt;&lt;Authors_Primary&gt;van,Vollenhoven R.&lt;/Authors_Primary&gt;&lt;Authors_Primary&gt;Boumpas,D.T.&lt;/Authors_Primary&gt;&lt;Date_Primary&gt;2009/4&lt;/Date_Primary&gt;&lt;Keywords&gt;Antirheumatic Agents&lt;/Keywords&gt;&lt;Keywords&gt;Clinical Trials as Topic&lt;/Keywords&gt;&lt;Keywords&gt;drug therapy&lt;/Keywords&gt;&lt;Keywords&gt;Humans&lt;/Keywords&gt;&lt;Keywords&gt;Lupus Erythematosus,Systemic&lt;/Keywords&gt;&lt;Keywords&gt;methods&lt;/Keywords&gt;&lt;Keywords&gt;Outcome Assessment (Health Care)&lt;/Keywords&gt;&lt;Keywords&gt;Research Design&lt;/Keywords&gt;&lt;Keywords&gt;standards&lt;/Keywords&gt;&lt;Keywords&gt;therapeutic use&lt;/Keywords&gt;&lt;Keywords&gt;therapy&lt;/Keywords&gt;&lt;Reprint&gt;Not in File&lt;/Reprint&gt;&lt;Start_Page&gt;470&lt;/Start_Page&gt;&lt;End_Page&gt;476&lt;/End_Page&gt;&lt;Periodical&gt;Ann.Rheum.Dis.&lt;/Periodical&gt;&lt;Volume&gt;68&lt;/Volume&gt;&lt;Issue&gt;4&lt;/Issue&gt;&lt;ZZ_JournalStdAbbrev&gt;&lt;f name="System"&gt;Ann.Rheum.Dis.&lt;/f&gt;&lt;/ZZ_JournalStdAbbrev&gt;&lt;ZZ_WorkformID&gt;1&lt;/ZZ_WorkformID&gt;&lt;/MDL&gt;&lt;/Cite&gt;&lt;/Refman&gt;</w:instrText>
      </w:r>
      <w:r w:rsidR="00E729BA">
        <w:fldChar w:fldCharType="separate"/>
      </w:r>
      <w:r w:rsidR="00F12F58">
        <w:t>(83)</w:t>
      </w:r>
      <w:r w:rsidR="00E729BA">
        <w:fldChar w:fldCharType="end"/>
      </w:r>
      <w:r w:rsidR="002D772C">
        <w:t xml:space="preserve">. </w:t>
      </w:r>
      <w:r w:rsidR="00F611E7">
        <w:t>The guidelines propose a number of alternative ways of assessing therapeutic benefit</w:t>
      </w:r>
      <w:r w:rsidR="000F6DFC">
        <w:t xml:space="preserve">. </w:t>
      </w:r>
      <w:r w:rsidR="00E729BA">
        <w:fldChar w:fldCharType="begin"/>
      </w:r>
      <w:r w:rsidR="000F6DFC">
        <w:instrText xml:space="preserve"> REF _Ref364923844 \h </w:instrText>
      </w:r>
      <w:r w:rsidR="00E729BA">
        <w:fldChar w:fldCharType="separate"/>
      </w:r>
      <w:r w:rsidR="004911B7">
        <w:t xml:space="preserve">Table </w:t>
      </w:r>
      <w:r w:rsidR="004911B7">
        <w:rPr>
          <w:noProof/>
        </w:rPr>
        <w:t>5</w:t>
      </w:r>
      <w:r w:rsidR="00E729BA">
        <w:fldChar w:fldCharType="end"/>
      </w:r>
      <w:r w:rsidR="000F6DFC">
        <w:t xml:space="preserve"> </w:t>
      </w:r>
      <w:r w:rsidR="00F611E7">
        <w:t xml:space="preserve">documents a summary of comments from the guidelines relating to general comments about endpoints, disease activity, steroid dose, </w:t>
      </w:r>
      <w:r w:rsidR="004D7951">
        <w:t>health r</w:t>
      </w:r>
      <w:r w:rsidR="00F611E7">
        <w:t xml:space="preserve">elated </w:t>
      </w:r>
      <w:r w:rsidR="004D7951">
        <w:t>q</w:t>
      </w:r>
      <w:r w:rsidR="00F611E7">
        <w:t xml:space="preserve">uality of </w:t>
      </w:r>
      <w:r w:rsidR="004D7951">
        <w:t>l</w:t>
      </w:r>
      <w:r w:rsidR="00F611E7">
        <w:t>ife (HRQL), and organ damage.</w:t>
      </w:r>
    </w:p>
    <w:p w:rsidR="002D772C" w:rsidRDefault="002D772C" w:rsidP="004D7951">
      <w:r>
        <w:t xml:space="preserve">The major clinical outcomes in SLE </w:t>
      </w:r>
      <w:r w:rsidR="00F611E7">
        <w:t xml:space="preserve">are problematic to measure in a clinical trial because they </w:t>
      </w:r>
      <w:r>
        <w:t xml:space="preserve">include mortality, end-stage renal disease </w:t>
      </w:r>
      <w:r w:rsidR="004D7951">
        <w:t xml:space="preserve">(ESRD) </w:t>
      </w:r>
      <w:r>
        <w:t>and other organ failures</w:t>
      </w:r>
      <w:r w:rsidR="00C52096">
        <w:t xml:space="preserve"> listed in the SLICC/ACR </w:t>
      </w:r>
      <w:r w:rsidR="00E94D16">
        <w:t>Damage Index</w:t>
      </w:r>
      <w:r w:rsidR="001239C9">
        <w:t>.</w:t>
      </w:r>
      <w:r w:rsidR="0068557B">
        <w:t xml:space="preserve"> </w:t>
      </w:r>
      <w:r w:rsidR="00F611E7">
        <w:t>These are not realistic primary endpoints in clinical trials</w:t>
      </w:r>
      <w:r w:rsidR="004D7951">
        <w:t xml:space="preserve"> because they are rare events that would require large sample size or long duration of follow-up to power the study</w:t>
      </w:r>
      <w:r w:rsidR="00F611E7">
        <w:t xml:space="preserve">. </w:t>
      </w:r>
      <w:r w:rsidR="0068557B">
        <w:t xml:space="preserve">The ACR report that the main problem with the SLICC/ACR </w:t>
      </w:r>
      <w:r w:rsidR="00E94D16">
        <w:t xml:space="preserve">Damage Index </w:t>
      </w:r>
      <w:r w:rsidR="0068557B">
        <w:t>was that a clinical trial would need a long period of follow-up to detect treatment effects on organ damage.</w:t>
      </w:r>
      <w:r w:rsidR="0068557B" w:rsidRPr="000B2FB7">
        <w:t xml:space="preserve"> </w:t>
      </w:r>
      <w:r w:rsidR="0068557B">
        <w:t xml:space="preserve">However, the actual duration of follow-up needed is not discussed. </w:t>
      </w:r>
      <w:r w:rsidR="001239C9">
        <w:t>T</w:t>
      </w:r>
      <w:r w:rsidR="00275114">
        <w:t>he EULAR review conclude</w:t>
      </w:r>
      <w:r w:rsidR="004D7951">
        <w:t>d</w:t>
      </w:r>
      <w:r w:rsidR="00275114">
        <w:t xml:space="preserve"> that </w:t>
      </w:r>
      <w:r>
        <w:t xml:space="preserve">there was no validated intermediate outcome measure to act as a surrogate marker for the mortality, end-stage renal disease or organ failure </w:t>
      </w:r>
      <w:r w:rsidR="00E729BA">
        <w:fldChar w:fldCharType="begin"/>
      </w:r>
      <w:r w:rsidR="00FC61FD">
        <w:instrText xml:space="preserve"> ADDIN REFMGR.CITE &lt;Refman&gt;&lt;Cite&gt;&lt;Author&gt;Bertsias&lt;/Author&gt;&lt;Year&gt;2009&lt;/Year&gt;&lt;RecNum&gt;1&lt;/RecNum&gt;&lt;IDText&gt;EULAR points to consider for conducting clinical trials in systemic lupus erythematosus: literature based evidence for the selection of endpoints&lt;/IDText&gt;&lt;MDL Ref_Type="Journal"&gt;&lt;Ref_Type&gt;Journal&lt;/Ref_Type&gt;&lt;Ref_ID&gt;1&lt;/Ref_ID&gt;&lt;Title_Primary&gt;EULAR points to consider for conducting clinical trials in systemic lupus erythematosus: literature based evidence for the selection of endpoints&lt;/Title_Primary&gt;&lt;Authors_Primary&gt;Bertsias,G.K.&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lt;/Authors_Primary&gt;&lt;Authors_Primary&gt;Isenberg,D.&lt;/Authors_Primary&gt;&lt;Authors_Primary&gt;Kallenberg,C.G.&lt;/Authors_Primary&gt;&lt;Authors_Primary&gt;Khamashta,M.&lt;/Authors_Primary&gt;&lt;Authors_Primary&gt;Piette,J.C.&lt;/Authors_Primary&gt;&lt;Authors_Primary&gt;Schneider,M.&lt;/Authors_Primary&gt;&lt;Authors_Primary&gt;Smolen,J.&lt;/Authors_Primary&gt;&lt;Authors_Primary&gt;Sturfelt,G.&lt;/Authors_Primary&gt;&lt;Authors_Primary&gt;Tincani,A.&lt;/Authors_Primary&gt;&lt;Authors_Primary&gt;van,Vollenhoven R.&lt;/Authors_Primary&gt;&lt;Authors_Primary&gt;Boumpas,D.T.&lt;/Authors_Primary&gt;&lt;Authors_Primary&gt;Gordon,C.&lt;/Authors_Primary&gt;&lt;Date_Primary&gt;2009/4&lt;/Date_Primary&gt;&lt;Keywords&gt;Antirheumatic Agents&lt;/Keywords&gt;&lt;Keywords&gt;Clinical Trials as Topic&lt;/Keywords&gt;&lt;Keywords&gt;drug therapy&lt;/Keywords&gt;&lt;Keywords&gt;Humans&lt;/Keywords&gt;&lt;Keywords&gt;Information Storage and Retrieval&lt;/Keywords&gt;&lt;Keywords&gt;Lupus Erythematosus,Systemic&lt;/Keywords&gt;&lt;Keywords&gt;methods&lt;/Keywords&gt;&lt;Keywords&gt;Research Design&lt;/Keywords&gt;&lt;Keywords&gt;standards&lt;/Keywords&gt;&lt;Keywords&gt;therapeutic use&lt;/Keywords&gt;&lt;Keywords&gt;Treatment Outcome&lt;/Keywords&gt;&lt;Reprint&gt;Not in File&lt;/Reprint&gt;&lt;Start_Page&gt;477&lt;/Start_Page&gt;&lt;End_Page&gt;483&lt;/End_Page&gt;&lt;Periodical&gt;Ann.Rheum.Dis.&lt;/Periodical&gt;&lt;Volume&gt;68&lt;/Volume&gt;&lt;Issue&gt;4&lt;/Issue&gt;&lt;ZZ_JournalStdAbbrev&gt;&lt;f name="System"&gt;Ann.Rheum.Dis.&lt;/f&gt;&lt;/ZZ_JournalStdAbbrev&gt;&lt;ZZ_WorkformID&gt;1&lt;/ZZ_WorkformID&gt;&lt;/MDL&gt;&lt;/Cite&gt;&lt;/Refman&gt;</w:instrText>
      </w:r>
      <w:r w:rsidR="00E729BA">
        <w:fldChar w:fldCharType="separate"/>
      </w:r>
      <w:r w:rsidR="00F12F58">
        <w:t>(79)</w:t>
      </w:r>
      <w:r w:rsidR="00E729BA">
        <w:fldChar w:fldCharType="end"/>
      </w:r>
      <w:r>
        <w:t xml:space="preserve">. </w:t>
      </w:r>
    </w:p>
    <w:p w:rsidR="002D772C" w:rsidRDefault="002D772C" w:rsidP="00454A3C">
      <w:r>
        <w:t xml:space="preserve">Disease </w:t>
      </w:r>
      <w:r w:rsidR="003F1032">
        <w:t>a</w:t>
      </w:r>
      <w:r>
        <w:t>ctivity indices w</w:t>
      </w:r>
      <w:r w:rsidR="00275114">
        <w:t>ere</w:t>
      </w:r>
      <w:r>
        <w:t xml:space="preserve"> the predominant measure of efficacy recommended by the guidelines. The ACR express reservations about using composite disease activity scores and suggest that </w:t>
      </w:r>
      <w:r w:rsidR="00275114">
        <w:t xml:space="preserve">they </w:t>
      </w:r>
      <w:r>
        <w:t>should be used in conjunction with organ specific measures</w:t>
      </w:r>
      <w:r w:rsidR="00454A3C">
        <w:t xml:space="preserve"> </w:t>
      </w:r>
      <w:r w:rsidR="00E729BA">
        <w:fldChar w:fldCharType="begin"/>
      </w:r>
      <w:r w:rsidR="00FC61FD">
        <w:instrText xml:space="preserve"> ADDIN REFMGR.CITE &lt;Refman&gt;&lt;Cite&gt;&lt;Author&gt;American College of Rheumatology&lt;/Author&gt;&lt;Year&gt;2004&lt;/Year&gt;&lt;RecNum&gt;16&lt;/RecNum&gt;&lt;IDText&gt;The American College of Rheumatology response criteria for systemic lupus erythematosus clinical trials: measures of overall disease activity&lt;/IDText&gt;&lt;MDL Ref_Type="Journal"&gt;&lt;Ref_Type&gt;Journal&lt;/Ref_Type&gt;&lt;Ref_ID&gt;16&lt;/Ref_ID&gt;&lt;Title_Primary&gt;The American College of Rheumatology response criteria for systemic lupus erythematosus clinical trials: measures of overall disease activity&lt;/Title_Primary&gt;&lt;Authors_Primary&gt;American College of Rheumatology&lt;/Authors_Primary&gt;&lt;Date_Primary&gt;2004/11&lt;/Date_Primary&gt;&lt;Keywords&gt;Clinical Trials as Topic&lt;/Keywords&gt;&lt;Keywords&gt;Humans&lt;/Keywords&gt;&lt;Keywords&gt;Lupus Erythematosus,Systemic&lt;/Keywords&gt;&lt;Keywords&gt;methods&lt;/Keywords&gt;&lt;Keywords&gt;Outcome Assessment (Health Care)&lt;/Keywords&gt;&lt;Keywords&gt;Research Design&lt;/Keywords&gt;&lt;Keywords&gt;Rheumatology&lt;/Keywords&gt;&lt;Keywords&gt;Sample Size&lt;/Keywords&gt;&lt;Keywords&gt;Societies,Medical&lt;/Keywords&gt;&lt;Keywords&gt;standards&lt;/Keywords&gt;&lt;Keywords&gt;therapy&lt;/Keywords&gt;&lt;Keywords&gt;United States&lt;/Keywords&gt;&lt;Reprint&gt;Not in File&lt;/Reprint&gt;&lt;Start_Page&gt;3418&lt;/Start_Page&gt;&lt;End_Page&gt;3426&lt;/End_Page&gt;&lt;Periodical&gt;Arthritis Rheum.&lt;/Periodical&gt;&lt;Volume&gt;50&lt;/Volume&gt;&lt;Issue&gt;11&lt;/Issue&gt;&lt;ZZ_JournalStdAbbrev&gt;&lt;f name="System"&gt;Arthritis Rheum.&lt;/f&gt;&lt;/ZZ_JournalStdAbbrev&gt;&lt;ZZ_WorkformID&gt;1&lt;/ZZ_WorkformID&gt;&lt;/MDL&gt;&lt;/Cite&gt;&lt;/Refman&gt;</w:instrText>
      </w:r>
      <w:r w:rsidR="00E729BA">
        <w:fldChar w:fldCharType="separate"/>
      </w:r>
      <w:r w:rsidR="00F12F58">
        <w:t>(80)</w:t>
      </w:r>
      <w:r w:rsidR="00E729BA">
        <w:fldChar w:fldCharType="end"/>
      </w:r>
      <w:r>
        <w:t xml:space="preserve">. </w:t>
      </w:r>
      <w:r w:rsidRPr="003F794D">
        <w:t xml:space="preserve">The FDA </w:t>
      </w:r>
      <w:r>
        <w:t xml:space="preserve">recommends that HRQL measures are studied in all trials of SLE to ensure that improvement in disease activity was not accompanied by a worsening in quality of life. However, they also state that improvement in HRQL alone would not be sufficient for approval  </w:t>
      </w:r>
      <w:r w:rsidR="00E729BA">
        <w:fldChar w:fldCharType="begin"/>
      </w:r>
      <w:r w:rsidR="00FC61FD">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fldChar w:fldCharType="separate"/>
      </w:r>
      <w:r w:rsidR="00F12F58">
        <w:t>(81)</w:t>
      </w:r>
      <w:r w:rsidR="00E729BA">
        <w:fldChar w:fldCharType="end"/>
      </w:r>
      <w:r>
        <w:t xml:space="preserve">. This sentiment was reiterated by the SLE taskforce who recommend that health status and quality of life be collected as secondary endpoints in clinical trials </w:t>
      </w:r>
      <w:r w:rsidR="00E729BA">
        <w:fldChar w:fldCharType="begin"/>
      </w:r>
      <w:r w:rsidR="00FC61FD">
        <w:instrText xml:space="preserve"> ADDIN REFMGR.CITE &lt;Refman&gt;&lt;Cite&gt;&lt;Author&gt;Bertsias&lt;/Author&gt;&lt;Year&gt;2008&lt;/Year&gt;&lt;RecNum&gt;2&lt;/RecNum&gt;&lt;IDText&gt;Clinical trials in systemic lupus erythematosus (SLE): lessons from the past as we proceed to the future--the EULAR recommendations for the management of SLE and the use of end-points in clinical trials&lt;/IDText&gt;&lt;MDL Ref_Type="Journal"&gt;&lt;Ref_Type&gt;Journal&lt;/Ref_Type&gt;&lt;Ref_ID&gt;2&lt;/Ref_ID&gt;&lt;Title_Primary&gt;Clinical trials in systemic lupus erythematosus (SLE): lessons from the past as we proceed to the future--the EULAR recommendations for the management of SLE and the use of end-points in clinical trials&lt;/Title_Primary&gt;&lt;Authors_Primary&gt;Bertsias,G.&lt;/Authors_Primary&gt;&lt;Authors_Primary&gt;Gordon,C.&lt;/Authors_Primary&gt;&lt;Authors_Primary&gt;Boumpas,D.T.&lt;/Authors_Primary&gt;&lt;Date_Primary&gt;2008&lt;/Date_Primary&gt;&lt;Keywords&gt;Arthritis,Rheumatoid&lt;/Keywords&gt;&lt;Keywords&gt;Clinical Trials as Topic&lt;/Keywords&gt;&lt;Keywords&gt;Europe&lt;/Keywords&gt;&lt;Keywords&gt;genetics&lt;/Keywords&gt;&lt;Keywords&gt;Health Planning Guidelines&lt;/Keywords&gt;&lt;Keywords&gt;Humans&lt;/Keywords&gt;&lt;Keywords&gt;immunology&lt;/Keywords&gt;&lt;Keywords&gt;Lupus Erythematosus,Systemic&lt;/Keywords&gt;&lt;Keywords&gt;metabolism&lt;/Keywords&gt;&lt;Keywords&gt;Quality of Life&lt;/Keywords&gt;&lt;Keywords&gt;Societies,Medical&lt;/Keywords&gt;&lt;Keywords&gt;therapy&lt;/Keywords&gt;&lt;Reprint&gt;Not in File&lt;/Reprint&gt;&lt;Start_Page&gt;437&lt;/Start_Page&gt;&lt;End_Page&gt;442&lt;/End_Page&gt;&lt;Periodical&gt;Lupus.&lt;/Periodical&gt;&lt;Volume&gt;17&lt;/Volume&gt;&lt;Issue&gt;5&lt;/Issue&gt;&lt;ZZ_JournalStdAbbrev&gt;&lt;f name="System"&gt;Lupus.&lt;/f&gt;&lt;/ZZ_JournalStdAbbrev&gt;&lt;ZZ_WorkformID&gt;1&lt;/ZZ_WorkformID&gt;&lt;/MDL&gt;&lt;/Cite&gt;&lt;/Refman&gt;</w:instrText>
      </w:r>
      <w:r w:rsidR="00E729BA">
        <w:fldChar w:fldCharType="separate"/>
      </w:r>
      <w:r w:rsidR="00F12F58">
        <w:t>(77)</w:t>
      </w:r>
      <w:r w:rsidR="00E729BA">
        <w:fldChar w:fldCharType="end"/>
      </w:r>
      <w:r>
        <w:t>.</w:t>
      </w:r>
    </w:p>
    <w:p w:rsidR="00275114" w:rsidRDefault="00275114" w:rsidP="002D772C">
      <w:pPr>
        <w:sectPr w:rsidR="00275114" w:rsidSect="006A3B1E">
          <w:pgSz w:w="11906" w:h="16838"/>
          <w:pgMar w:top="1440" w:right="1440" w:bottom="1440" w:left="2268" w:header="708" w:footer="708" w:gutter="0"/>
          <w:cols w:space="708"/>
          <w:docGrid w:linePitch="360"/>
        </w:sectPr>
      </w:pPr>
    </w:p>
    <w:p w:rsidR="008731E8" w:rsidRPr="008731E8" w:rsidRDefault="008731E8" w:rsidP="00234693">
      <w:pPr>
        <w:pStyle w:val="Caption"/>
        <w:rPr>
          <w:sz w:val="8"/>
          <w:szCs w:val="8"/>
        </w:rPr>
      </w:pPr>
      <w:bookmarkStart w:id="76" w:name="_Ref258926455"/>
    </w:p>
    <w:p w:rsidR="00275114" w:rsidRDefault="00275114" w:rsidP="004D7951">
      <w:pPr>
        <w:pStyle w:val="Caption"/>
      </w:pPr>
      <w:bookmarkStart w:id="77" w:name="_Ref364923844"/>
      <w:r>
        <w:t xml:space="preserve">Table </w:t>
      </w:r>
      <w:fldSimple w:instr=" SEQ Table \* ARABIC ">
        <w:r w:rsidR="004911B7">
          <w:rPr>
            <w:noProof/>
          </w:rPr>
          <w:t>5</w:t>
        </w:r>
      </w:fldSimple>
      <w:bookmarkEnd w:id="76"/>
      <w:bookmarkEnd w:id="77"/>
      <w:r>
        <w:t xml:space="preserve">: Discussion of </w:t>
      </w:r>
      <w:r w:rsidR="004D7951">
        <w:t xml:space="preserve">clinical </w:t>
      </w:r>
      <w:r>
        <w:t>endpoints in SLE trials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tblPr>
      <w:tblGrid>
        <w:gridCol w:w="1050"/>
        <w:gridCol w:w="3089"/>
        <w:gridCol w:w="3827"/>
        <w:gridCol w:w="1843"/>
        <w:gridCol w:w="1985"/>
        <w:gridCol w:w="2206"/>
      </w:tblGrid>
      <w:tr w:rsidR="00275114" w:rsidRPr="004F678A" w:rsidTr="00454A3C">
        <w:trPr>
          <w:trHeight w:val="20"/>
        </w:trPr>
        <w:tc>
          <w:tcPr>
            <w:tcW w:w="1050"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p>
        </w:tc>
        <w:tc>
          <w:tcPr>
            <w:tcW w:w="3089"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r w:rsidRPr="004F678A">
              <w:rPr>
                <w:sz w:val="18"/>
                <w:szCs w:val="18"/>
              </w:rPr>
              <w:t>General</w:t>
            </w:r>
          </w:p>
        </w:tc>
        <w:tc>
          <w:tcPr>
            <w:tcW w:w="3827"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r w:rsidRPr="004F678A">
              <w:rPr>
                <w:sz w:val="18"/>
                <w:szCs w:val="18"/>
              </w:rPr>
              <w:t>Disease Activity</w:t>
            </w:r>
          </w:p>
        </w:tc>
        <w:tc>
          <w:tcPr>
            <w:tcW w:w="1843"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r w:rsidRPr="004F678A">
              <w:rPr>
                <w:sz w:val="18"/>
                <w:szCs w:val="18"/>
              </w:rPr>
              <w:t>Steroid Dose</w:t>
            </w:r>
          </w:p>
        </w:tc>
        <w:tc>
          <w:tcPr>
            <w:tcW w:w="1985"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r w:rsidRPr="004F678A">
              <w:rPr>
                <w:sz w:val="18"/>
                <w:szCs w:val="18"/>
              </w:rPr>
              <w:t>Quality of life</w:t>
            </w:r>
          </w:p>
        </w:tc>
        <w:tc>
          <w:tcPr>
            <w:tcW w:w="2206" w:type="dxa"/>
            <w:tcBorders>
              <w:top w:val="single" w:sz="12" w:space="0" w:color="auto"/>
              <w:bottom w:val="single" w:sz="6" w:space="0" w:color="auto"/>
            </w:tcBorders>
            <w:hideMark/>
          </w:tcPr>
          <w:p w:rsidR="00275114" w:rsidRPr="004F678A" w:rsidRDefault="00275114" w:rsidP="00275114">
            <w:pPr>
              <w:spacing w:line="240" w:lineRule="auto"/>
              <w:rPr>
                <w:sz w:val="18"/>
                <w:szCs w:val="18"/>
              </w:rPr>
            </w:pPr>
            <w:r w:rsidRPr="004F678A">
              <w:rPr>
                <w:sz w:val="18"/>
                <w:szCs w:val="18"/>
              </w:rPr>
              <w:t>Organ damage</w:t>
            </w:r>
          </w:p>
        </w:tc>
      </w:tr>
      <w:tr w:rsidR="00275114" w:rsidRPr="004F678A" w:rsidTr="00454A3C">
        <w:trPr>
          <w:trHeight w:val="20"/>
        </w:trPr>
        <w:tc>
          <w:tcPr>
            <w:tcW w:w="1050" w:type="dxa"/>
            <w:tcBorders>
              <w:top w:val="single" w:sz="6" w:space="0" w:color="auto"/>
            </w:tcBorders>
            <w:hideMark/>
          </w:tcPr>
          <w:p w:rsidR="00275114" w:rsidRPr="004F678A" w:rsidRDefault="00275114" w:rsidP="00275114">
            <w:pPr>
              <w:spacing w:line="240" w:lineRule="auto"/>
              <w:rPr>
                <w:sz w:val="18"/>
                <w:szCs w:val="18"/>
              </w:rPr>
            </w:pPr>
            <w:r w:rsidRPr="004F678A">
              <w:rPr>
                <w:sz w:val="18"/>
                <w:szCs w:val="18"/>
              </w:rPr>
              <w:t>FDA</w:t>
            </w:r>
            <w:r w:rsidR="00454A3C">
              <w:rPr>
                <w:sz w:val="18"/>
                <w:szCs w:val="18"/>
              </w:rPr>
              <w:t xml:space="preserve"> </w:t>
            </w:r>
            <w:r w:rsidR="00E729BA">
              <w:rPr>
                <w:sz w:val="18"/>
                <w:szCs w:val="18"/>
              </w:rPr>
              <w:fldChar w:fldCharType="begin"/>
            </w:r>
            <w:r w:rsidR="00FC61FD">
              <w:rPr>
                <w:sz w:val="18"/>
                <w:szCs w:val="18"/>
              </w:rPr>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rPr>
                <w:sz w:val="18"/>
                <w:szCs w:val="18"/>
              </w:rPr>
              <w:fldChar w:fldCharType="separate"/>
            </w:r>
            <w:r w:rsidR="00F12F58">
              <w:rPr>
                <w:sz w:val="18"/>
                <w:szCs w:val="18"/>
              </w:rPr>
              <w:t>(81)</w:t>
            </w:r>
            <w:r w:rsidR="00E729BA">
              <w:rPr>
                <w:sz w:val="18"/>
                <w:szCs w:val="18"/>
              </w:rPr>
              <w:fldChar w:fldCharType="end"/>
            </w:r>
          </w:p>
        </w:tc>
        <w:tc>
          <w:tcPr>
            <w:tcW w:w="3089" w:type="dxa"/>
            <w:tcBorders>
              <w:top w:val="single" w:sz="6" w:space="0" w:color="auto"/>
            </w:tcBorders>
            <w:hideMark/>
          </w:tcPr>
          <w:p w:rsidR="00275114" w:rsidRPr="004F678A" w:rsidRDefault="00275114" w:rsidP="009B5CAA">
            <w:pPr>
              <w:spacing w:line="240" w:lineRule="auto"/>
              <w:rPr>
                <w:sz w:val="18"/>
                <w:szCs w:val="18"/>
              </w:rPr>
            </w:pPr>
            <w:r w:rsidRPr="004F678A">
              <w:rPr>
                <w:sz w:val="18"/>
                <w:szCs w:val="18"/>
              </w:rPr>
              <w:t>"Clinical trials in SLE generally are expected to collect information about disease activity at all sites</w:t>
            </w:r>
            <w:r w:rsidR="009B5CAA">
              <w:rPr>
                <w:sz w:val="18"/>
                <w:szCs w:val="18"/>
              </w:rPr>
              <w:t xml:space="preserve">* , </w:t>
            </w:r>
            <w:r w:rsidRPr="004F678A">
              <w:rPr>
                <w:sz w:val="18"/>
                <w:szCs w:val="18"/>
              </w:rPr>
              <w:t xml:space="preserve"> irreversible damage due to SLE and its treatment, and valid HRQL measures"</w:t>
            </w:r>
          </w:p>
        </w:tc>
        <w:tc>
          <w:tcPr>
            <w:tcW w:w="3827" w:type="dxa"/>
            <w:tcBorders>
              <w:top w:val="single" w:sz="6" w:space="0" w:color="auto"/>
            </w:tcBorders>
            <w:hideMark/>
          </w:tcPr>
          <w:p w:rsidR="00275114" w:rsidRPr="004F678A" w:rsidRDefault="00275114" w:rsidP="00275114">
            <w:pPr>
              <w:spacing w:line="240" w:lineRule="auto"/>
              <w:rPr>
                <w:sz w:val="18"/>
                <w:szCs w:val="18"/>
              </w:rPr>
            </w:pPr>
            <w:r w:rsidRPr="004F678A">
              <w:rPr>
                <w:sz w:val="18"/>
                <w:szCs w:val="18"/>
              </w:rPr>
              <w:t>"In a randomized clinical trial, the SELENA SLEDAI, the SLAM, the BILAG, the ECLAM, or other established index could be used to measure disease activity"  "We recommend using methods that assess the activity of disease over the duration of the study in conjunction with methods that measure disease activity at the beginning and end."</w:t>
            </w:r>
          </w:p>
        </w:tc>
        <w:tc>
          <w:tcPr>
            <w:tcW w:w="1843" w:type="dxa"/>
            <w:tcBorders>
              <w:top w:val="single" w:sz="6" w:space="0" w:color="auto"/>
            </w:tcBorders>
            <w:hideMark/>
          </w:tcPr>
          <w:p w:rsidR="00275114" w:rsidRPr="004F678A" w:rsidRDefault="00275114" w:rsidP="00275114">
            <w:pPr>
              <w:spacing w:line="240" w:lineRule="auto"/>
              <w:rPr>
                <w:sz w:val="18"/>
                <w:szCs w:val="18"/>
              </w:rPr>
            </w:pPr>
          </w:p>
        </w:tc>
        <w:tc>
          <w:tcPr>
            <w:tcW w:w="1985" w:type="dxa"/>
            <w:tcBorders>
              <w:top w:val="single" w:sz="6" w:space="0" w:color="auto"/>
            </w:tcBorders>
            <w:hideMark/>
          </w:tcPr>
          <w:p w:rsidR="00275114" w:rsidRPr="004F678A" w:rsidRDefault="00275114" w:rsidP="00275114">
            <w:pPr>
              <w:spacing w:line="240" w:lineRule="auto"/>
              <w:rPr>
                <w:sz w:val="18"/>
                <w:szCs w:val="18"/>
              </w:rPr>
            </w:pPr>
            <w:r w:rsidRPr="004F678A">
              <w:rPr>
                <w:sz w:val="18"/>
                <w:szCs w:val="18"/>
              </w:rPr>
              <w:t>"The Agency recommends that HRQL be studied in all trials of SLE" "It is important that (trials) demonstrate no or minimal worsening in measures of HRQL"</w:t>
            </w:r>
          </w:p>
        </w:tc>
        <w:tc>
          <w:tcPr>
            <w:tcW w:w="2206" w:type="dxa"/>
            <w:tcBorders>
              <w:top w:val="single" w:sz="6" w:space="0" w:color="auto"/>
            </w:tcBorders>
            <w:hideMark/>
          </w:tcPr>
          <w:p w:rsidR="00275114" w:rsidRPr="004F678A" w:rsidRDefault="00275114" w:rsidP="00275114">
            <w:pPr>
              <w:spacing w:line="240" w:lineRule="auto"/>
              <w:rPr>
                <w:sz w:val="18"/>
                <w:szCs w:val="18"/>
              </w:rPr>
            </w:pPr>
            <w:r w:rsidRPr="004F678A">
              <w:rPr>
                <w:sz w:val="18"/>
                <w:szCs w:val="18"/>
              </w:rPr>
              <w:t>"The SLICC/ACR Damage Index can be used as an endpoint, but we recommend discussing this with the appropriate reviewing division before beginning trials"</w:t>
            </w:r>
          </w:p>
        </w:tc>
      </w:tr>
      <w:tr w:rsidR="00275114" w:rsidRPr="004F678A" w:rsidTr="00454A3C">
        <w:trPr>
          <w:trHeight w:val="20"/>
        </w:trPr>
        <w:tc>
          <w:tcPr>
            <w:tcW w:w="1050" w:type="dxa"/>
            <w:hideMark/>
          </w:tcPr>
          <w:p w:rsidR="00275114" w:rsidRPr="004F678A" w:rsidRDefault="00275114" w:rsidP="00275114">
            <w:pPr>
              <w:spacing w:line="240" w:lineRule="auto"/>
              <w:rPr>
                <w:sz w:val="18"/>
                <w:szCs w:val="18"/>
              </w:rPr>
            </w:pPr>
            <w:r w:rsidRPr="004F678A">
              <w:rPr>
                <w:sz w:val="18"/>
                <w:szCs w:val="18"/>
              </w:rPr>
              <w:t xml:space="preserve">EULAR </w:t>
            </w:r>
            <w:r w:rsidR="00E729BA">
              <w:rPr>
                <w:sz w:val="18"/>
                <w:szCs w:val="18"/>
              </w:rPr>
              <w:fldChar w:fldCharType="begin"/>
            </w:r>
            <w:r w:rsidR="00FC61FD">
              <w:rPr>
                <w:sz w:val="18"/>
                <w:szCs w:val="18"/>
              </w:rPr>
              <w:instrText xml:space="preserve"> ADDIN REFMGR.CITE &lt;Refman&gt;&lt;Cite&gt;&lt;Author&gt;Gordon&lt;/Author&gt;&lt;Year&gt;2009&lt;/Year&gt;&lt;RecNum&gt;3&lt;/RecNum&gt;&lt;IDText&gt;EULAR points to consider for conducting clinical trials in systemic lupus erythematosus&lt;/IDText&gt;&lt;MDL Ref_Type="Journal"&gt;&lt;Ref_Type&gt;Journal&lt;/Ref_Type&gt;&lt;Ref_ID&gt;3&lt;/Ref_ID&gt;&lt;Title_Primary&gt;EULAR points to consider for conducting clinical trials in systemic lupus erythematosus&lt;/Title_Primary&gt;&lt;Authors_Primary&gt;Gordon,C.&lt;/Authors_Primary&gt;&lt;Authors_Primary&gt;Bertsias,G.&lt;/Authors_Primary&gt;&lt;Authors_Primary&gt;Ioannidis,J.P.&lt;/Authors_Primary&gt;&lt;Authors_Primary&gt;Boletis,J.&lt;/Authors_Primary&gt;&lt;Authors_Primary&gt;Bombardieri,S.&lt;/Authors_Primary&gt;&lt;Authors_Primary&gt;Cervera,R.&lt;/Authors_Primary&gt;&lt;Authors_Primary&gt;Dostal,C.&lt;/Authors_Primary&gt;&lt;Authors_Primary&gt;Font,J.&lt;/Authors_Primary&gt;&lt;Authors_Primary&gt;Gilboe,I.M.&lt;/Authors_Primary&gt;&lt;Authors_Primary&gt;Houssiau,F.&lt;/Authors_Primary&gt;&lt;Authors_Primary&gt;Huizinga,T.W.&lt;/Authors_Primary&gt;&lt;Authors_Primary&gt;Isenberg,D.&lt;/Authors_Primary&gt;&lt;Authors_Primary&gt;Kallenberg,C.G.&lt;/Authors_Primary&gt;&lt;Authors_Primary&gt;Khamashta,M.A.&lt;/Authors_Primary&gt;&lt;Authors_Primary&gt;Piette,J.C.&lt;/Authors_Primary&gt;&lt;Authors_Primary&gt;Schneider,M.&lt;/Authors_Primary&gt;&lt;Authors_Primary&gt;Smolen,J.S.&lt;/Authors_Primary&gt;&lt;Authors_Primary&gt;Sturfelt,G.&lt;/Authors_Primary&gt;&lt;Authors_Primary&gt;Tincani,A.&lt;/Authors_Primary&gt;&lt;Authors_Primary&gt;van,Vollenhoven R.&lt;/Authors_Primary&gt;&lt;Authors_Primary&gt;Boumpas,D.T.&lt;/Authors_Primary&gt;&lt;Date_Primary&gt;2009/4&lt;/Date_Primary&gt;&lt;Keywords&gt;Antirheumatic Agents&lt;/Keywords&gt;&lt;Keywords&gt;Clinical Trials as Topic&lt;/Keywords&gt;&lt;Keywords&gt;drug therapy&lt;/Keywords&gt;&lt;Keywords&gt;Humans&lt;/Keywords&gt;&lt;Keywords&gt;Lupus Erythematosus,Systemic&lt;/Keywords&gt;&lt;Keywords&gt;methods&lt;/Keywords&gt;&lt;Keywords&gt;Outcome Assessment (Health Care)&lt;/Keywords&gt;&lt;Keywords&gt;Research Design&lt;/Keywords&gt;&lt;Keywords&gt;standards&lt;/Keywords&gt;&lt;Keywords&gt;therapeutic use&lt;/Keywords&gt;&lt;Keywords&gt;therapy&lt;/Keywords&gt;&lt;Reprint&gt;Not in File&lt;/Reprint&gt;&lt;Start_Page&gt;470&lt;/Start_Page&gt;&lt;End_Page&gt;476&lt;/End_Page&gt;&lt;Periodical&gt;Ann.Rheum.Dis.&lt;/Periodical&gt;&lt;Volume&gt;68&lt;/Volume&gt;&lt;Issue&gt;4&lt;/Issue&gt;&lt;ZZ_JournalStdAbbrev&gt;&lt;f name="System"&gt;Ann.Rheum.Dis.&lt;/f&gt;&lt;/ZZ_JournalStdAbbrev&gt;&lt;ZZ_WorkformID&gt;1&lt;/ZZ_WorkformID&gt;&lt;/MDL&gt;&lt;/Cite&gt;&lt;/Refman&gt;</w:instrText>
            </w:r>
            <w:r w:rsidR="00E729BA">
              <w:rPr>
                <w:sz w:val="18"/>
                <w:szCs w:val="18"/>
              </w:rPr>
              <w:fldChar w:fldCharType="separate"/>
            </w:r>
            <w:r w:rsidR="00F12F58">
              <w:rPr>
                <w:sz w:val="18"/>
                <w:szCs w:val="18"/>
              </w:rPr>
              <w:t>(83)</w:t>
            </w:r>
            <w:r w:rsidR="00E729BA">
              <w:rPr>
                <w:sz w:val="18"/>
                <w:szCs w:val="18"/>
              </w:rPr>
              <w:fldChar w:fldCharType="end"/>
            </w:r>
          </w:p>
        </w:tc>
        <w:tc>
          <w:tcPr>
            <w:tcW w:w="3089" w:type="dxa"/>
            <w:hideMark/>
          </w:tcPr>
          <w:p w:rsidR="00275114" w:rsidRPr="004F678A" w:rsidRDefault="00275114" w:rsidP="00275114">
            <w:pPr>
              <w:spacing w:line="240" w:lineRule="auto"/>
              <w:rPr>
                <w:sz w:val="18"/>
                <w:szCs w:val="18"/>
              </w:rPr>
            </w:pPr>
            <w:r w:rsidRPr="004F678A">
              <w:rPr>
                <w:sz w:val="18"/>
                <w:szCs w:val="18"/>
              </w:rPr>
              <w:t>"The efficacy of a drug can be described in a number of possible ways depending on the endpoints used. These include 1) reduction in lupus disease activity… 2) prevention of disease flare… 3) prevention of the onset of damage or the progression of damage ... 4) improvement or stabilisation of health status and quality of life ... 5) reduction in steroid dose.”</w:t>
            </w:r>
          </w:p>
        </w:tc>
        <w:tc>
          <w:tcPr>
            <w:tcW w:w="3827" w:type="dxa"/>
            <w:hideMark/>
          </w:tcPr>
          <w:p w:rsidR="00275114" w:rsidRPr="004F678A" w:rsidRDefault="00275114" w:rsidP="00275114">
            <w:pPr>
              <w:spacing w:line="240" w:lineRule="auto"/>
              <w:rPr>
                <w:sz w:val="18"/>
                <w:szCs w:val="18"/>
              </w:rPr>
            </w:pPr>
            <w:r w:rsidRPr="004F678A">
              <w:rPr>
                <w:sz w:val="18"/>
                <w:szCs w:val="18"/>
              </w:rPr>
              <w:t>"Although not validated for use in clinical trials, the SLE Task Force agreed that standardised disease activity indices are preferable to completely untested outcome measures for capturing disease activity" "It is anticipated that more than one measure of disease activity may be used in a trial to capture changes in the manifestations of lupus present at baseline and the development of any new features of lupus during the trial"</w:t>
            </w:r>
          </w:p>
        </w:tc>
        <w:tc>
          <w:tcPr>
            <w:tcW w:w="1843" w:type="dxa"/>
            <w:hideMark/>
          </w:tcPr>
          <w:p w:rsidR="00275114" w:rsidRPr="004F678A" w:rsidRDefault="00275114" w:rsidP="00275114">
            <w:pPr>
              <w:spacing w:line="240" w:lineRule="auto"/>
              <w:rPr>
                <w:sz w:val="18"/>
                <w:szCs w:val="18"/>
              </w:rPr>
            </w:pPr>
            <w:r w:rsidRPr="004F678A">
              <w:rPr>
                <w:sz w:val="18"/>
                <w:szCs w:val="18"/>
              </w:rPr>
              <w:t>"Any trial assessing disease activity as an endpoint will need to ensure that the use of immunosuppressive drugs that influence disease activity is controlled during a study."</w:t>
            </w:r>
          </w:p>
        </w:tc>
        <w:tc>
          <w:tcPr>
            <w:tcW w:w="1985" w:type="dxa"/>
            <w:hideMark/>
          </w:tcPr>
          <w:p w:rsidR="00275114" w:rsidRPr="004F678A" w:rsidRDefault="00275114" w:rsidP="00275114">
            <w:pPr>
              <w:spacing w:line="240" w:lineRule="auto"/>
              <w:rPr>
                <w:sz w:val="18"/>
                <w:szCs w:val="18"/>
              </w:rPr>
            </w:pPr>
            <w:r w:rsidRPr="004F678A">
              <w:rPr>
                <w:sz w:val="18"/>
                <w:szCs w:val="18"/>
              </w:rPr>
              <w:t>"At present we recommend that health status and quality of life should remain secondary endpoints in a clinical trial"</w:t>
            </w:r>
          </w:p>
        </w:tc>
        <w:tc>
          <w:tcPr>
            <w:tcW w:w="2206" w:type="dxa"/>
            <w:hideMark/>
          </w:tcPr>
          <w:p w:rsidR="00275114" w:rsidRPr="004F678A" w:rsidRDefault="00275114" w:rsidP="00275114">
            <w:pPr>
              <w:spacing w:line="240" w:lineRule="auto"/>
              <w:rPr>
                <w:sz w:val="18"/>
                <w:szCs w:val="18"/>
              </w:rPr>
            </w:pPr>
            <w:r w:rsidRPr="004F678A">
              <w:rPr>
                <w:sz w:val="18"/>
                <w:szCs w:val="18"/>
              </w:rPr>
              <w:t>"Accumulated multisystem chronic damage… is only definitely suitable as an endpoint in studies using newly or recently diagnosed patients without pre-existing damage and in studies with sufficient duration of follow-up for damage to occur"</w:t>
            </w:r>
          </w:p>
        </w:tc>
      </w:tr>
      <w:tr w:rsidR="00275114" w:rsidRPr="004F678A" w:rsidTr="00454A3C">
        <w:trPr>
          <w:trHeight w:val="20"/>
        </w:trPr>
        <w:tc>
          <w:tcPr>
            <w:tcW w:w="1050" w:type="dxa"/>
            <w:hideMark/>
          </w:tcPr>
          <w:p w:rsidR="00275114" w:rsidRPr="004F678A" w:rsidRDefault="00275114" w:rsidP="00275114">
            <w:pPr>
              <w:spacing w:line="240" w:lineRule="auto"/>
              <w:rPr>
                <w:sz w:val="18"/>
                <w:szCs w:val="18"/>
              </w:rPr>
            </w:pPr>
            <w:r w:rsidRPr="004F678A">
              <w:rPr>
                <w:sz w:val="18"/>
                <w:szCs w:val="18"/>
              </w:rPr>
              <w:t>OMERACT</w:t>
            </w:r>
            <w:r w:rsidR="00454A3C">
              <w:rPr>
                <w:sz w:val="18"/>
                <w:szCs w:val="18"/>
              </w:rPr>
              <w:t xml:space="preserve"> </w:t>
            </w:r>
            <w:r w:rsidR="00E729BA">
              <w:rPr>
                <w:sz w:val="18"/>
                <w:szCs w:val="18"/>
              </w:rPr>
              <w:fldChar w:fldCharType="begin"/>
            </w:r>
            <w:r w:rsidR="00FC61FD">
              <w:rPr>
                <w:sz w:val="18"/>
                <w:szCs w:val="18"/>
              </w:rPr>
              <w:instrText xml:space="preserve"> ADDIN REFMGR.CITE &lt;Refman&gt;&lt;Cite&gt;&lt;Author&gt;Strand&lt;/Author&gt;&lt;Year&gt;2000&lt;/Year&gt;&lt;RecNum&gt;6&lt;/RecNum&gt;&lt;IDText&gt;Endpoints: consensus recommendations from OMERACT IV. Outcome Measures in Rheumatology&lt;/IDText&gt;&lt;MDL Ref_Type="Journal"&gt;&lt;Ref_Type&gt;Journal&lt;/Ref_Type&gt;&lt;Ref_ID&gt;6&lt;/Ref_ID&gt;&lt;Title_Primary&gt;Endpoints: consensus recommendations from OMERACT IV. Outcome Measures in Rheumatology&lt;/Title_Primary&gt;&lt;Authors_Primary&gt;Strand,V.&lt;/Authors_Primary&gt;&lt;Authors_Primary&gt;Gladman,D.&lt;/Authors_Primary&gt;&lt;Authors_Primary&gt;Isenberg,D.&lt;/Authors_Primary&gt;&lt;Authors_Primary&gt;Petri,M.&lt;/Authors_Primary&gt;&lt;Authors_Primary&gt;Smolen,J.&lt;/Authors_Primary&gt;&lt;Authors_Primary&gt;Tugwell,P.&lt;/Authors_Primary&gt;&lt;Date_Primary&gt;2000&lt;/Date_Primary&gt;&lt;Keywords&gt;Clinical Trials as Topic&lt;/Keywords&gt;&lt;Keywords&gt;Humans&lt;/Keywords&gt;&lt;Keywords&gt;immunology&lt;/Keywords&gt;&lt;Keywords&gt;Lupus Erythematosus,Systemic&lt;/Keywords&gt;&lt;Keywords&gt;physiopathology&lt;/Keywords&gt;&lt;Keywords&gt;Quality of Life&lt;/Keywords&gt;&lt;Keywords&gt;standards&lt;/Keywords&gt;&lt;Keywords&gt;therapy&lt;/Keywords&gt;&lt;Reprint&gt;Not in File&lt;/Reprint&gt;&lt;Start_Page&gt;322&lt;/Start_Page&gt;&lt;End_Page&gt;327&lt;/End_Page&gt;&lt;Periodical&gt;Lupus.&lt;/Periodical&gt;&lt;Volume&gt;9&lt;/Volume&gt;&lt;Issue&gt;5&lt;/Issue&gt;&lt;ZZ_JournalStdAbbrev&gt;&lt;f name="System"&gt;Lupus.&lt;/f&gt;&lt;/ZZ_JournalStdAbbrev&gt;&lt;ZZ_WorkformID&gt;1&lt;/ZZ_WorkformID&gt;&lt;/MDL&gt;&lt;/Cite&gt;&lt;/Refman&gt;</w:instrText>
            </w:r>
            <w:r w:rsidR="00E729BA">
              <w:rPr>
                <w:sz w:val="18"/>
                <w:szCs w:val="18"/>
              </w:rPr>
              <w:fldChar w:fldCharType="separate"/>
            </w:r>
            <w:r w:rsidR="00F12F58">
              <w:rPr>
                <w:sz w:val="18"/>
                <w:szCs w:val="18"/>
              </w:rPr>
              <w:t>(78)</w:t>
            </w:r>
            <w:r w:rsidR="00E729BA">
              <w:rPr>
                <w:sz w:val="18"/>
                <w:szCs w:val="18"/>
              </w:rPr>
              <w:fldChar w:fldCharType="end"/>
            </w:r>
          </w:p>
        </w:tc>
        <w:tc>
          <w:tcPr>
            <w:tcW w:w="3089" w:type="dxa"/>
            <w:hideMark/>
          </w:tcPr>
          <w:p w:rsidR="00275114" w:rsidRPr="004F678A" w:rsidRDefault="00275114" w:rsidP="00275114">
            <w:pPr>
              <w:spacing w:line="240" w:lineRule="auto"/>
              <w:rPr>
                <w:sz w:val="18"/>
                <w:szCs w:val="18"/>
              </w:rPr>
            </w:pPr>
            <w:r w:rsidRPr="004F678A">
              <w:rPr>
                <w:sz w:val="18"/>
                <w:szCs w:val="18"/>
              </w:rPr>
              <w:t>"The randomized controlled trials discussion group recommended that disease activity, health related quality of life, adverse events and damage be included as core outcome domains, in that order of preference"</w:t>
            </w:r>
          </w:p>
        </w:tc>
        <w:tc>
          <w:tcPr>
            <w:tcW w:w="3827" w:type="dxa"/>
            <w:hideMark/>
          </w:tcPr>
          <w:p w:rsidR="00275114" w:rsidRPr="004F678A" w:rsidRDefault="00275114" w:rsidP="00275114">
            <w:pPr>
              <w:spacing w:line="240" w:lineRule="auto"/>
              <w:rPr>
                <w:sz w:val="18"/>
                <w:szCs w:val="18"/>
              </w:rPr>
            </w:pPr>
            <w:r w:rsidRPr="004F678A">
              <w:rPr>
                <w:sz w:val="18"/>
                <w:szCs w:val="18"/>
              </w:rPr>
              <w:t>"Although there is no consensus as to which one is preferable, six disease activity measures have been validated compared with physician global assessment, and against change in treatment, and against each other"</w:t>
            </w:r>
          </w:p>
        </w:tc>
        <w:tc>
          <w:tcPr>
            <w:tcW w:w="1843" w:type="dxa"/>
            <w:hideMark/>
          </w:tcPr>
          <w:p w:rsidR="00275114" w:rsidRPr="004F678A" w:rsidRDefault="00275114" w:rsidP="00275114">
            <w:pPr>
              <w:spacing w:line="240" w:lineRule="auto"/>
              <w:rPr>
                <w:sz w:val="18"/>
                <w:szCs w:val="18"/>
              </w:rPr>
            </w:pPr>
          </w:p>
        </w:tc>
        <w:tc>
          <w:tcPr>
            <w:tcW w:w="1985" w:type="dxa"/>
            <w:hideMark/>
          </w:tcPr>
          <w:p w:rsidR="00275114" w:rsidRPr="004F678A" w:rsidRDefault="00275114" w:rsidP="00275114">
            <w:pPr>
              <w:spacing w:line="240" w:lineRule="auto"/>
              <w:rPr>
                <w:sz w:val="18"/>
                <w:szCs w:val="18"/>
              </w:rPr>
            </w:pPr>
          </w:p>
        </w:tc>
        <w:tc>
          <w:tcPr>
            <w:tcW w:w="2206" w:type="dxa"/>
            <w:hideMark/>
          </w:tcPr>
          <w:p w:rsidR="00275114" w:rsidRPr="004F678A" w:rsidRDefault="00275114" w:rsidP="00275114">
            <w:pPr>
              <w:spacing w:line="240" w:lineRule="auto"/>
              <w:rPr>
                <w:sz w:val="18"/>
                <w:szCs w:val="18"/>
              </w:rPr>
            </w:pPr>
            <w:r w:rsidRPr="004F678A">
              <w:rPr>
                <w:sz w:val="18"/>
                <w:szCs w:val="18"/>
              </w:rPr>
              <w:t>"Yearly assessment is appropriate, or at the initiation and completion of a clinical trial, and the SDI can be used to stratify patients at entry into a protocol"</w:t>
            </w:r>
          </w:p>
        </w:tc>
      </w:tr>
      <w:tr w:rsidR="00275114" w:rsidRPr="004F678A" w:rsidTr="00454A3C">
        <w:trPr>
          <w:trHeight w:val="20"/>
        </w:trPr>
        <w:tc>
          <w:tcPr>
            <w:tcW w:w="1050" w:type="dxa"/>
            <w:hideMark/>
          </w:tcPr>
          <w:p w:rsidR="00275114" w:rsidRPr="004F678A" w:rsidRDefault="00275114" w:rsidP="00275114">
            <w:pPr>
              <w:spacing w:line="240" w:lineRule="auto"/>
              <w:rPr>
                <w:sz w:val="18"/>
                <w:szCs w:val="18"/>
              </w:rPr>
            </w:pPr>
            <w:r w:rsidRPr="004F678A">
              <w:rPr>
                <w:sz w:val="18"/>
                <w:szCs w:val="18"/>
              </w:rPr>
              <w:t>EMEA</w:t>
            </w:r>
            <w:r w:rsidR="00454A3C">
              <w:rPr>
                <w:sz w:val="18"/>
                <w:szCs w:val="18"/>
              </w:rPr>
              <w:t xml:space="preserve"> </w:t>
            </w:r>
            <w:r w:rsidR="00E729BA">
              <w:rPr>
                <w:sz w:val="18"/>
                <w:szCs w:val="18"/>
              </w:rPr>
              <w:fldChar w:fldCharType="begin"/>
            </w:r>
            <w:r w:rsidR="00FC61FD">
              <w:rPr>
                <w:sz w:val="18"/>
                <w:szCs w:val="18"/>
              </w:rPr>
              <w:instrText xml:space="preserve"> ADDIN REFMGR.CITE &lt;Refman&gt;&lt;Cite&gt;&lt;Author&gt;European Medicines Agency&lt;/Author&gt;&lt;Year&gt;2009&lt;/Year&gt;&lt;RecNum&gt;1443&lt;/RecNum&gt;&lt;IDText&gt;Concept paper on the need for a guideline on the clinical investigation of medical products intended for treatment of systemic and cutaneous lupus erythematosus&lt;/IDText&gt;&lt;MDL Ref_Type="Electronic Citation"&gt;&lt;Ref_Type&gt;Electronic Citation&lt;/Ref_Type&gt;&lt;Ref_ID&gt;1443&lt;/Ref_ID&gt;&lt;Title_Primary&gt;Concept paper on the need for a guideline on the clinical investigation of medical products intended for treatment of systemic and cutaneous lupus erythematosus&lt;/Title_Primary&gt;&lt;Date_Primary&gt;2009&lt;/Date_Primary&gt;&lt;Keywords&gt;lupus erythematosus&lt;/Keywords&gt;&lt;Keywords&gt;erythematosus&lt;/Keywords&gt;&lt;Reprint&gt;Not in File&lt;/Reprint&gt;&lt;Periodical&gt;European Medicines Agency&lt;/Periodical&gt;&lt;Web_URL&gt;&lt;u&gt;http://www.ema.europa.eu/pdfs/human/ewp/60404009en.pdf&lt;/u&gt;&lt;/Web_URL&gt;&lt;ZZ_JournalFull&gt;&lt;f name="System"&gt;European Medicines Agency&lt;/f&gt;&lt;/ZZ_JournalFull&gt;&lt;ZZ_WorkformID&gt;34&lt;/ZZ_WorkformID&gt;&lt;/MDL&gt;&lt;/Cite&gt;&lt;/Refman&gt;</w:instrText>
            </w:r>
            <w:r w:rsidR="00E729BA">
              <w:rPr>
                <w:sz w:val="18"/>
                <w:szCs w:val="18"/>
              </w:rPr>
              <w:fldChar w:fldCharType="separate"/>
            </w:r>
            <w:r w:rsidR="00F12F58">
              <w:rPr>
                <w:sz w:val="18"/>
                <w:szCs w:val="18"/>
              </w:rPr>
              <w:t>(82)</w:t>
            </w:r>
            <w:r w:rsidR="00E729BA">
              <w:rPr>
                <w:sz w:val="18"/>
                <w:szCs w:val="18"/>
              </w:rPr>
              <w:fldChar w:fldCharType="end"/>
            </w:r>
          </w:p>
        </w:tc>
        <w:tc>
          <w:tcPr>
            <w:tcW w:w="3089" w:type="dxa"/>
            <w:hideMark/>
          </w:tcPr>
          <w:p w:rsidR="00275114" w:rsidRPr="004F678A" w:rsidRDefault="00275114" w:rsidP="00275114">
            <w:pPr>
              <w:spacing w:line="240" w:lineRule="auto"/>
              <w:rPr>
                <w:sz w:val="18"/>
                <w:szCs w:val="18"/>
              </w:rPr>
            </w:pPr>
            <w:r w:rsidRPr="004F678A">
              <w:rPr>
                <w:sz w:val="18"/>
                <w:szCs w:val="18"/>
              </w:rPr>
              <w:t>"A successful treatment of patients with SLE may:</w:t>
            </w:r>
            <w:r w:rsidRPr="004F678A">
              <w:rPr>
                <w:sz w:val="18"/>
                <w:szCs w:val="18"/>
              </w:rPr>
              <w:br/>
              <w:t xml:space="preserve">- improve signs and symptoms </w:t>
            </w:r>
            <w:r w:rsidRPr="004F678A">
              <w:rPr>
                <w:sz w:val="18"/>
                <w:szCs w:val="18"/>
              </w:rPr>
              <w:br/>
              <w:t>- prevent subsequent flares</w:t>
            </w:r>
            <w:r w:rsidRPr="004F678A">
              <w:rPr>
                <w:sz w:val="18"/>
                <w:szCs w:val="18"/>
              </w:rPr>
              <w:br/>
              <w:t>- decrease cumulative steroid dose</w:t>
            </w:r>
            <w:r w:rsidRPr="004F678A">
              <w:rPr>
                <w:sz w:val="18"/>
                <w:szCs w:val="18"/>
              </w:rPr>
              <w:br/>
              <w:t>- prevent long-term relapse and damage"</w:t>
            </w:r>
          </w:p>
        </w:tc>
        <w:tc>
          <w:tcPr>
            <w:tcW w:w="3827" w:type="dxa"/>
            <w:hideMark/>
          </w:tcPr>
          <w:p w:rsidR="00275114" w:rsidRPr="004F678A" w:rsidRDefault="00275114" w:rsidP="00275114">
            <w:pPr>
              <w:spacing w:line="240" w:lineRule="auto"/>
              <w:rPr>
                <w:sz w:val="18"/>
                <w:szCs w:val="18"/>
              </w:rPr>
            </w:pPr>
            <w:r w:rsidRPr="004F678A">
              <w:rPr>
                <w:sz w:val="18"/>
                <w:szCs w:val="18"/>
              </w:rPr>
              <w:t>"There are several validated indices in SLE… the choice of disease activity indices in SLE requires further discussion"</w:t>
            </w:r>
          </w:p>
        </w:tc>
        <w:tc>
          <w:tcPr>
            <w:tcW w:w="1843" w:type="dxa"/>
            <w:hideMark/>
          </w:tcPr>
          <w:p w:rsidR="00275114" w:rsidRPr="004F678A" w:rsidRDefault="00275114" w:rsidP="00275114">
            <w:pPr>
              <w:spacing w:line="240" w:lineRule="auto"/>
              <w:rPr>
                <w:sz w:val="18"/>
                <w:szCs w:val="18"/>
              </w:rPr>
            </w:pPr>
          </w:p>
        </w:tc>
        <w:tc>
          <w:tcPr>
            <w:tcW w:w="1985" w:type="dxa"/>
            <w:hideMark/>
          </w:tcPr>
          <w:p w:rsidR="00275114" w:rsidRPr="004F678A" w:rsidRDefault="00275114" w:rsidP="00275114">
            <w:pPr>
              <w:spacing w:line="240" w:lineRule="auto"/>
              <w:rPr>
                <w:sz w:val="18"/>
                <w:szCs w:val="18"/>
              </w:rPr>
            </w:pPr>
            <w:r w:rsidRPr="004F678A">
              <w:rPr>
                <w:sz w:val="18"/>
                <w:szCs w:val="18"/>
              </w:rPr>
              <w:t>"a choice of disease-specific or general quality of life measures should be discussed"</w:t>
            </w:r>
          </w:p>
        </w:tc>
        <w:tc>
          <w:tcPr>
            <w:tcW w:w="2206" w:type="dxa"/>
            <w:hideMark/>
          </w:tcPr>
          <w:p w:rsidR="00275114" w:rsidRPr="004F678A" w:rsidRDefault="00275114" w:rsidP="00275114">
            <w:pPr>
              <w:spacing w:line="240" w:lineRule="auto"/>
              <w:rPr>
                <w:sz w:val="18"/>
                <w:szCs w:val="18"/>
              </w:rPr>
            </w:pPr>
            <w:r w:rsidRPr="004F678A">
              <w:rPr>
                <w:sz w:val="18"/>
                <w:szCs w:val="18"/>
              </w:rPr>
              <w:t>"A damage index, such as SLICC/ACR might be of interest"</w:t>
            </w:r>
          </w:p>
        </w:tc>
      </w:tr>
      <w:tr w:rsidR="00275114" w:rsidRPr="004F678A" w:rsidTr="00454A3C">
        <w:trPr>
          <w:trHeight w:val="20"/>
        </w:trPr>
        <w:tc>
          <w:tcPr>
            <w:tcW w:w="1050" w:type="dxa"/>
            <w:tcBorders>
              <w:bottom w:val="single" w:sz="4" w:space="0" w:color="auto"/>
            </w:tcBorders>
          </w:tcPr>
          <w:p w:rsidR="00275114" w:rsidRPr="004F678A" w:rsidRDefault="00275114" w:rsidP="00275114">
            <w:pPr>
              <w:spacing w:line="240" w:lineRule="auto"/>
              <w:rPr>
                <w:sz w:val="18"/>
                <w:szCs w:val="18"/>
              </w:rPr>
            </w:pPr>
            <w:r w:rsidRPr="004F678A">
              <w:rPr>
                <w:sz w:val="18"/>
                <w:szCs w:val="18"/>
              </w:rPr>
              <w:t>ACR</w:t>
            </w:r>
            <w:r w:rsidR="00454A3C">
              <w:rPr>
                <w:sz w:val="18"/>
                <w:szCs w:val="18"/>
              </w:rPr>
              <w:t xml:space="preserve"> </w:t>
            </w:r>
            <w:r w:rsidR="00E729BA">
              <w:rPr>
                <w:sz w:val="18"/>
                <w:szCs w:val="18"/>
              </w:rPr>
              <w:fldChar w:fldCharType="begin"/>
            </w:r>
            <w:r w:rsidR="00FC61FD">
              <w:rPr>
                <w:sz w:val="18"/>
                <w:szCs w:val="18"/>
              </w:rPr>
              <w:instrText xml:space="preserve"> ADDIN REFMGR.CITE &lt;Refman&gt;&lt;Cite&gt;&lt;Author&gt;American College of Rheumatology&lt;/Author&gt;&lt;Year&gt;2004&lt;/Year&gt;&lt;RecNum&gt;16&lt;/RecNum&gt;&lt;IDText&gt;The American College of Rheumatology response criteria for systemic lupus erythematosus clinical trials: measures of overall disease activity&lt;/IDText&gt;&lt;MDL Ref_Type="Journal"&gt;&lt;Ref_Type&gt;Journal&lt;/Ref_Type&gt;&lt;Ref_ID&gt;16&lt;/Ref_ID&gt;&lt;Title_Primary&gt;The American College of Rheumatology response criteria for systemic lupus erythematosus clinical trials: measures of overall disease activity&lt;/Title_Primary&gt;&lt;Authors_Primary&gt;American College of Rheumatology&lt;/Authors_Primary&gt;&lt;Date_Primary&gt;2004/11&lt;/Date_Primary&gt;&lt;Keywords&gt;Clinical Trials as Topic&lt;/Keywords&gt;&lt;Keywords&gt;Humans&lt;/Keywords&gt;&lt;Keywords&gt;Lupus Erythematosus,Systemic&lt;/Keywords&gt;&lt;Keywords&gt;methods&lt;/Keywords&gt;&lt;Keywords&gt;Outcome Assessment (Health Care)&lt;/Keywords&gt;&lt;Keywords&gt;Research Design&lt;/Keywords&gt;&lt;Keywords&gt;Rheumatology&lt;/Keywords&gt;&lt;Keywords&gt;Sample Size&lt;/Keywords&gt;&lt;Keywords&gt;Societies,Medical&lt;/Keywords&gt;&lt;Keywords&gt;standards&lt;/Keywords&gt;&lt;Keywords&gt;therapy&lt;/Keywords&gt;&lt;Keywords&gt;United States&lt;/Keywords&gt;&lt;Reprint&gt;Not in File&lt;/Reprint&gt;&lt;Start_Page&gt;3418&lt;/Start_Page&gt;&lt;End_Page&gt;3426&lt;/End_Page&gt;&lt;Periodical&gt;Arthritis Rheum.&lt;/Periodical&gt;&lt;Volume&gt;50&lt;/Volume&gt;&lt;Issue&gt;11&lt;/Issue&gt;&lt;ZZ_JournalStdAbbrev&gt;&lt;f name="System"&gt;Arthritis Rheum.&lt;/f&gt;&lt;/ZZ_JournalStdAbbrev&gt;&lt;ZZ_WorkformID&gt;1&lt;/ZZ_WorkformID&gt;&lt;/MDL&gt;&lt;/Cite&gt;&lt;/Refman&gt;</w:instrText>
            </w:r>
            <w:r w:rsidR="00E729BA">
              <w:rPr>
                <w:sz w:val="18"/>
                <w:szCs w:val="18"/>
              </w:rPr>
              <w:fldChar w:fldCharType="separate"/>
            </w:r>
            <w:r w:rsidR="00F12F58">
              <w:rPr>
                <w:sz w:val="18"/>
                <w:szCs w:val="18"/>
              </w:rPr>
              <w:t>(80)</w:t>
            </w:r>
            <w:r w:rsidR="00E729BA">
              <w:rPr>
                <w:sz w:val="18"/>
                <w:szCs w:val="18"/>
              </w:rPr>
              <w:fldChar w:fldCharType="end"/>
            </w:r>
          </w:p>
        </w:tc>
        <w:tc>
          <w:tcPr>
            <w:tcW w:w="3089" w:type="dxa"/>
            <w:tcBorders>
              <w:bottom w:val="single" w:sz="4" w:space="0" w:color="auto"/>
            </w:tcBorders>
          </w:tcPr>
          <w:p w:rsidR="00275114" w:rsidRPr="004F678A" w:rsidRDefault="00275114" w:rsidP="00275114">
            <w:pPr>
              <w:spacing w:line="240" w:lineRule="auto"/>
              <w:rPr>
                <w:sz w:val="18"/>
                <w:szCs w:val="18"/>
              </w:rPr>
            </w:pPr>
            <w:r w:rsidRPr="004F678A">
              <w:rPr>
                <w:sz w:val="18"/>
                <w:szCs w:val="18"/>
              </w:rPr>
              <w:t>“The committee recommended that controlled trials of therapy in SLE should use organ-specific measures, with response criteria that are defined a priori, and valid reliable composite instruments for calculating overall disease activity”</w:t>
            </w:r>
          </w:p>
        </w:tc>
        <w:tc>
          <w:tcPr>
            <w:tcW w:w="3827" w:type="dxa"/>
            <w:tcBorders>
              <w:bottom w:val="single" w:sz="4" w:space="0" w:color="auto"/>
            </w:tcBorders>
          </w:tcPr>
          <w:p w:rsidR="00275114" w:rsidRPr="004F678A" w:rsidRDefault="00275114" w:rsidP="00275114">
            <w:pPr>
              <w:spacing w:line="240" w:lineRule="auto"/>
              <w:rPr>
                <w:sz w:val="18"/>
                <w:szCs w:val="18"/>
              </w:rPr>
            </w:pPr>
            <w:r w:rsidRPr="004F678A">
              <w:rPr>
                <w:sz w:val="18"/>
                <w:szCs w:val="18"/>
              </w:rPr>
              <w:t>“Composite indices … by their nature, mask worsening and responding organ systems”</w:t>
            </w:r>
          </w:p>
        </w:tc>
        <w:tc>
          <w:tcPr>
            <w:tcW w:w="1843" w:type="dxa"/>
            <w:tcBorders>
              <w:bottom w:val="single" w:sz="4" w:space="0" w:color="auto"/>
            </w:tcBorders>
          </w:tcPr>
          <w:p w:rsidR="00275114" w:rsidRPr="004F678A" w:rsidRDefault="00275114" w:rsidP="00275114">
            <w:pPr>
              <w:spacing w:line="240" w:lineRule="auto"/>
              <w:rPr>
                <w:sz w:val="18"/>
                <w:szCs w:val="18"/>
              </w:rPr>
            </w:pPr>
          </w:p>
        </w:tc>
        <w:tc>
          <w:tcPr>
            <w:tcW w:w="1985" w:type="dxa"/>
            <w:tcBorders>
              <w:bottom w:val="single" w:sz="4" w:space="0" w:color="auto"/>
            </w:tcBorders>
          </w:tcPr>
          <w:p w:rsidR="00275114" w:rsidRPr="004F678A" w:rsidRDefault="00275114" w:rsidP="00275114">
            <w:pPr>
              <w:spacing w:line="240" w:lineRule="auto"/>
              <w:rPr>
                <w:sz w:val="18"/>
                <w:szCs w:val="18"/>
              </w:rPr>
            </w:pPr>
          </w:p>
        </w:tc>
        <w:tc>
          <w:tcPr>
            <w:tcW w:w="2206" w:type="dxa"/>
            <w:tcBorders>
              <w:bottom w:val="single" w:sz="4" w:space="0" w:color="auto"/>
            </w:tcBorders>
          </w:tcPr>
          <w:p w:rsidR="00275114" w:rsidRPr="004F678A" w:rsidRDefault="00275114" w:rsidP="00275114">
            <w:pPr>
              <w:spacing w:line="240" w:lineRule="auto"/>
              <w:rPr>
                <w:sz w:val="18"/>
                <w:szCs w:val="18"/>
              </w:rPr>
            </w:pPr>
          </w:p>
        </w:tc>
      </w:tr>
      <w:tr w:rsidR="009B5CAA" w:rsidRPr="004F678A" w:rsidTr="006643AC">
        <w:trPr>
          <w:trHeight w:val="20"/>
        </w:trPr>
        <w:tc>
          <w:tcPr>
            <w:tcW w:w="14000" w:type="dxa"/>
            <w:gridSpan w:val="6"/>
            <w:tcBorders>
              <w:top w:val="single" w:sz="4" w:space="0" w:color="auto"/>
              <w:bottom w:val="single" w:sz="12" w:space="0" w:color="auto"/>
            </w:tcBorders>
          </w:tcPr>
          <w:p w:rsidR="009B5CAA" w:rsidRPr="008731E8" w:rsidRDefault="009B5CAA" w:rsidP="00275114">
            <w:pPr>
              <w:spacing w:line="240" w:lineRule="auto"/>
              <w:rPr>
                <w:sz w:val="14"/>
                <w:szCs w:val="14"/>
              </w:rPr>
            </w:pPr>
            <w:r w:rsidRPr="008731E8">
              <w:rPr>
                <w:sz w:val="14"/>
                <w:szCs w:val="14"/>
              </w:rPr>
              <w:t>* sites refers to the different organ systems that are assessed to identify disease activity in SLE</w:t>
            </w:r>
          </w:p>
        </w:tc>
      </w:tr>
    </w:tbl>
    <w:p w:rsidR="00275114" w:rsidRDefault="00275114" w:rsidP="002D772C">
      <w:pPr>
        <w:sectPr w:rsidR="00275114" w:rsidSect="006A3B1E">
          <w:pgSz w:w="16838" w:h="11906" w:orient="landscape"/>
          <w:pgMar w:top="1440" w:right="1440" w:bottom="1440" w:left="2268" w:header="708" w:footer="708" w:gutter="0"/>
          <w:cols w:space="708"/>
          <w:docGrid w:linePitch="360"/>
        </w:sectPr>
      </w:pPr>
    </w:p>
    <w:p w:rsidR="00275114" w:rsidRDefault="00454A3C" w:rsidP="00275114">
      <w:pPr>
        <w:pStyle w:val="Heading4"/>
      </w:pPr>
      <w:r>
        <w:t>TRial Endpoints Used In Reported</w:t>
      </w:r>
      <w:r w:rsidR="00275114">
        <w:t xml:space="preserve"> CLinical Trials</w:t>
      </w:r>
    </w:p>
    <w:p w:rsidR="00FE1073" w:rsidRDefault="0068557B" w:rsidP="004D7951">
      <w:pPr>
        <w:spacing w:after="0" w:afterAutospacing="0"/>
      </w:pPr>
      <w:r>
        <w:t>All</w:t>
      </w:r>
      <w:r w:rsidR="002D772C">
        <w:t xml:space="preserve"> trials </w:t>
      </w:r>
      <w:r w:rsidR="00275114">
        <w:t>have</w:t>
      </w:r>
      <w:r w:rsidR="002D772C">
        <w:t xml:space="preserve"> used </w:t>
      </w:r>
      <w:r>
        <w:t>a disease activity index</w:t>
      </w:r>
      <w:r w:rsidR="00275114">
        <w:t xml:space="preserve"> or steroid sparing effects</w:t>
      </w:r>
      <w:r w:rsidR="002D772C">
        <w:t xml:space="preserve"> to measure efficacy. There was very little </w:t>
      </w:r>
      <w:r w:rsidR="0075708C">
        <w:t xml:space="preserve">consistency in the endpoints </w:t>
      </w:r>
      <w:r w:rsidR="002D772C">
        <w:t xml:space="preserve">employed. </w:t>
      </w:r>
      <w:r>
        <w:t>The t</w:t>
      </w:r>
      <w:r w:rsidR="002D772C">
        <w:t xml:space="preserve">rials </w:t>
      </w:r>
      <w:r>
        <w:t xml:space="preserve">used </w:t>
      </w:r>
      <w:r w:rsidR="002D772C">
        <w:t xml:space="preserve">the SLEDAI , BILAG or SLAM for the primary endpoint. </w:t>
      </w:r>
      <w:r>
        <w:t>Two trials used multiple response criteria. A</w:t>
      </w:r>
      <w:r w:rsidR="002D772C">
        <w:t xml:space="preserve"> response criteria using outcomes from disease activity indices and HRQOL scores was employed in a trial for prasterone </w:t>
      </w:r>
      <w:r w:rsidR="00E729BA">
        <w:fldChar w:fldCharType="begin"/>
      </w:r>
      <w:r w:rsidR="00FC61FD">
        <w:instrText xml:space="preserve"> ADDIN REFMGR.CITE &lt;Refman&gt;&lt;Cite&gt;&lt;Author&gt;Petri&lt;/Author&gt;&lt;Year&gt;2004&lt;/Year&gt;&lt;RecNum&gt;21&lt;/RecNum&gt;&lt;IDText&gt;Effects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sidR="00E729BA">
        <w:fldChar w:fldCharType="separate"/>
      </w:r>
      <w:r w:rsidR="00F12F58">
        <w:t>(67)</w:t>
      </w:r>
      <w:r w:rsidR="00E729BA">
        <w:fldChar w:fldCharType="end"/>
      </w:r>
      <w:r w:rsidR="002D772C">
        <w:t xml:space="preserve">. </w:t>
      </w:r>
      <w:r>
        <w:t xml:space="preserve">In the belimumab Phase III trials </w:t>
      </w:r>
      <w:r w:rsidR="00E729BA">
        <w:fldChar w:fldCharType="begin"/>
      </w:r>
      <w:r w:rsidR="00FC61FD">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sidR="00E729BA">
        <w:fldChar w:fldCharType="separate"/>
      </w:r>
      <w:r w:rsidR="00F12F58">
        <w:t>(74;75)</w:t>
      </w:r>
      <w:r w:rsidR="00E729BA">
        <w:fldChar w:fldCharType="end"/>
      </w:r>
      <w:r w:rsidR="00454A3C">
        <w:t xml:space="preserve"> </w:t>
      </w:r>
      <w:r>
        <w:t>a</w:t>
      </w:r>
      <w:r w:rsidR="00FE1073">
        <w:t xml:space="preserve"> </w:t>
      </w:r>
      <w:r w:rsidR="00F611E7">
        <w:t>SLE Response Index (SRI)</w:t>
      </w:r>
      <w:r w:rsidR="00E13EF3">
        <w:t xml:space="preserve"> </w:t>
      </w:r>
      <w:r w:rsidR="004374CA">
        <w:t>was used</w:t>
      </w:r>
      <w:r w:rsidR="00FE1073">
        <w:t xml:space="preserve">, </w:t>
      </w:r>
    </w:p>
    <w:p w:rsidR="00FE1073" w:rsidRPr="00BF2C68" w:rsidRDefault="00FE1073" w:rsidP="00597CF5">
      <w:pPr>
        <w:pStyle w:val="ListParagraph"/>
        <w:numPr>
          <w:ilvl w:val="0"/>
          <w:numId w:val="28"/>
        </w:numPr>
      </w:pPr>
      <w:r w:rsidRPr="00BF2C68">
        <w:t>≥</w:t>
      </w:r>
      <w:r w:rsidR="00F12F58">
        <w:t xml:space="preserve">  </w:t>
      </w:r>
      <w:r w:rsidRPr="00BF2C68">
        <w:t>4 point reduction in the SELENA-SLEDAI,</w:t>
      </w:r>
    </w:p>
    <w:p w:rsidR="00FE1073" w:rsidRPr="00BF2C68" w:rsidRDefault="00FE1073" w:rsidP="00597CF5">
      <w:pPr>
        <w:pStyle w:val="ListParagraph"/>
        <w:numPr>
          <w:ilvl w:val="0"/>
          <w:numId w:val="28"/>
        </w:numPr>
      </w:pPr>
      <w:r w:rsidRPr="00BF2C68">
        <w:t>no new BILAG A or no more than 1 new BILAG B domain score</w:t>
      </w:r>
      <w:r w:rsidR="00454A3C">
        <w:rPr>
          <w:rStyle w:val="FootnoteReference"/>
        </w:rPr>
        <w:footnoteReference w:id="1"/>
      </w:r>
      <w:r w:rsidRPr="00BF2C68">
        <w:t>,</w:t>
      </w:r>
    </w:p>
    <w:p w:rsidR="00FE1073" w:rsidRPr="00BF2C68" w:rsidRDefault="00FE1073" w:rsidP="00597CF5">
      <w:pPr>
        <w:pStyle w:val="ListParagraph"/>
        <w:numPr>
          <w:ilvl w:val="0"/>
          <w:numId w:val="28"/>
        </w:numPr>
      </w:pPr>
      <w:r w:rsidRPr="00BF2C68">
        <w:t>no deterioration from baseline physicians global assessment by ≥</w:t>
      </w:r>
      <w:r w:rsidR="00F12F58">
        <w:t xml:space="preserve">  </w:t>
      </w:r>
      <w:r w:rsidRPr="00BF2C68">
        <w:t>0.3 points</w:t>
      </w:r>
      <w:r w:rsidR="0068557B">
        <w:t xml:space="preserve"> </w:t>
      </w:r>
      <w:r w:rsidR="00E729BA">
        <w:fldChar w:fldCharType="begin"/>
      </w:r>
      <w:r w:rsidR="00FC61FD">
        <w:instrText xml:space="preserve"> ADDIN REFMGR.CITE &lt;Refman&gt;&lt;Cite&gt;&lt;Author&gt;Navarra&lt;/Author&gt;&lt;Year&gt;2010&lt;/Year&gt;&lt;RecNum&gt;1453&lt;/RecNum&gt;&lt;IDText&gt;Belimumab, a BLyS-Specific Inhibitor, Reduced Disease Activity, Flares and Prednisone Use in PAtients with Active SLE: Efficacy and Safety Results From the Phase 3 BLISS-52 Study&lt;/IDText&gt;&lt;MDL Ref_Type="Abstract"&gt;&lt;Ref_Type&gt;Abstract&lt;/Ref_Type&gt;&lt;Ref_ID&gt;1453&lt;/Ref_ID&gt;&lt;Title_Primary&gt;Belimumab, a BLyS-Specific Inhibitor, Reduced Disease Activity, Flares and Prednisone Use in PAtients with Active SLE: Efficacy and Safety Results From the Phase 3 BLISS-52 Study&lt;/Title_Primary&gt;&lt;Authors_Primary&gt;Navarra,S.&lt;/Authors_Primary&gt;&lt;Authors_Primary&gt;et al.&lt;/Authors_Primary&gt;&lt;Date_Primary&gt;2010&lt;/Date_Primary&gt;&lt;Keywords&gt;Disease&lt;/Keywords&gt;&lt;Keywords&gt;disease activity&lt;/Keywords&gt;&lt;Keywords&gt;Prednisone&lt;/Keywords&gt;&lt;Keywords&gt;Patients&lt;/Keywords&gt;&lt;Keywords&gt;patient&lt;/Keywords&gt;&lt;Keywords&gt;safety&lt;/Keywords&gt;&lt;Reprint&gt;Not in File&lt;/Reprint&gt;&lt;Periodical&gt;Arthritis and Rheumatism 2009 (S10):60&lt;/Periodical&gt;&lt;ZZ_JournalFull&gt;&lt;f name="System"&gt;Arthritis and Rheumatism 2009 (S10):60&lt;/f&gt;&lt;/ZZ_JournalFull&gt;&lt;ZZ_WorkformID&gt;4&lt;/ZZ_WorkformID&gt;&lt;/MDL&gt;&lt;/Cite&gt;&lt;/Refman&gt;</w:instrText>
      </w:r>
      <w:r w:rsidR="00E729BA">
        <w:fldChar w:fldCharType="separate"/>
      </w:r>
      <w:r w:rsidR="00F12F58">
        <w:t>(86)</w:t>
      </w:r>
      <w:r w:rsidR="00E729BA">
        <w:fldChar w:fldCharType="end"/>
      </w:r>
      <w:r w:rsidRPr="00BF2C68">
        <w:t>.</w:t>
      </w:r>
    </w:p>
    <w:p w:rsidR="0068557B" w:rsidRDefault="00454A3C" w:rsidP="004D7951">
      <w:r>
        <w:t>In 2009 t</w:t>
      </w:r>
      <w:r w:rsidR="0068557B">
        <w:t xml:space="preserve">he </w:t>
      </w:r>
      <w:r w:rsidR="00F611E7">
        <w:t>S</w:t>
      </w:r>
      <w:r w:rsidR="0068557B">
        <w:t>RI was developed using exploratory analysis of the Phase II trial for belimumab</w:t>
      </w:r>
      <w:r w:rsidR="00E13EF3">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F12F58">
        <w:t>(73)</w:t>
      </w:r>
      <w:r w:rsidR="00E729BA">
        <w:fldChar w:fldCharType="end"/>
      </w:r>
      <w:r w:rsidR="0068557B">
        <w:t xml:space="preserve">. The index is defined above and meets the specification from the FDA that an index should measure improvement in disease activity without </w:t>
      </w:r>
      <w:r w:rsidR="00E5556D">
        <w:t>ignoring</w:t>
      </w:r>
      <w:r w:rsidR="004D7951">
        <w:t xml:space="preserve"> </w:t>
      </w:r>
      <w:r w:rsidR="0068557B">
        <w:t xml:space="preserve">worsening in the overall condition of the patient. However, this responder index does not include a measure of </w:t>
      </w:r>
      <w:r w:rsidR="004D7951">
        <w:t>HRQL</w:t>
      </w:r>
      <w:r w:rsidR="0068557B">
        <w:t>, which was recommended by the FDA, EULAR and OMERACT.</w:t>
      </w:r>
      <w:r w:rsidR="00667FE0" w:rsidRPr="00667FE0">
        <w:t xml:space="preserve"> </w:t>
      </w:r>
      <w:r w:rsidR="00667FE0">
        <w:t>The two Phase III trials for belimumab were the only trials of large sample size to achieve their primary endpoint</w:t>
      </w:r>
      <w:r w:rsidR="00E13EF3">
        <w:t xml:space="preserve">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F12F58">
        <w:t>(74;75)</w:t>
      </w:r>
      <w:r w:rsidR="00E729BA">
        <w:fldChar w:fldCharType="end"/>
      </w:r>
      <w:r w:rsidR="00667FE0">
        <w:t>. It is likely that the SRI will be used in future SLE trials by other companies with new biologic agents</w:t>
      </w:r>
      <w:r w:rsidR="004D7951">
        <w:t xml:space="preserve"> now that there is a precedent for success</w:t>
      </w:r>
      <w:r w:rsidR="00667FE0">
        <w:t>.</w:t>
      </w:r>
    </w:p>
    <w:p w:rsidR="002D772C" w:rsidRDefault="00CC5267" w:rsidP="002E1550">
      <w:r>
        <w:t>In the rituximab trial the primary endpoint was extremely strict</w:t>
      </w:r>
      <w:r w:rsidR="00966D4F">
        <w:t xml:space="preserve">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rsidR="001B7B77">
        <w:t>. It</w:t>
      </w:r>
      <w:r>
        <w:t xml:space="preserve"> classed patients as treatment failure if they experience 1 new BILAG B flare, which mean</w:t>
      </w:r>
      <w:r w:rsidR="004D7951">
        <w:t>t</w:t>
      </w:r>
      <w:r>
        <w:t xml:space="preserve"> a mild/moderate flare in at least one organ system, in the second 6 months of the trial. Rituximab failed to meet the primary endpoint</w:t>
      </w:r>
      <w:r w:rsidR="001B7B77">
        <w:t>,</w:t>
      </w:r>
      <w:r>
        <w:t xml:space="preserve"> which</w:t>
      </w:r>
      <w:r w:rsidR="002D772C">
        <w:t xml:space="preserve"> was </w:t>
      </w:r>
      <w:r w:rsidR="001B7B77">
        <w:t>unexpected</w:t>
      </w:r>
      <w:r w:rsidR="002D772C">
        <w:t xml:space="preserve"> given the positive outcomes that have been observed in open-label trials </w:t>
      </w:r>
      <w:r w:rsidR="00E729BA">
        <w:fldChar w:fldCharType="begin"/>
      </w:r>
      <w:r w:rsidR="00FC61FD">
        <w:instrText xml:space="preserve"> ADDIN REFMGR.CITE &lt;Refman&gt;&lt;Cite&gt;&lt;Author&gt;Murray&lt;/Author&gt;&lt;Year&gt;2010&lt;/Year&gt;&lt;RecNum&gt;1446&lt;/RecNum&gt;&lt;IDText&gt;Off-label use of rituximab in systemic lupus erythematosus: a systematic review&lt;/IDText&gt;&lt;MDL Ref_Type="Journal"&gt;&lt;Ref_Type&gt;Journal&lt;/Ref_Type&gt;&lt;Ref_ID&gt;1446&lt;/Ref_ID&gt;&lt;Title_Primary&gt;Off-label use of rituximab in systemic lupus erythematosus: a systematic review&lt;/Title_Primary&gt;&lt;Authors_Primary&gt;Murray,E.&lt;/Authors_Primary&gt;&lt;Authors_Primary&gt;Perry,M.&lt;/Authors_Primary&gt;&lt;Date_Primary&gt;2010/2/13&lt;/Date_Primary&gt;&lt;Keywords&gt;Antibodies&lt;/Keywords&gt;&lt;Keywords&gt;Disease&lt;/Keywords&gt;&lt;Keywords&gt;disease activity&lt;/Keywords&gt;&lt;Keywords&gt;erythematosus&lt;/Keywords&gt;&lt;Keywords&gt;lupus erythematosus&lt;/Keywords&gt;&lt;Keywords&gt;patient&lt;/Keywords&gt;&lt;Keywords&gt;Patients&lt;/Keywords&gt;&lt;Keywords&gt;safety&lt;/Keywords&gt;&lt;Keywords&gt;systemic lupus erythematosus&lt;/Keywords&gt;&lt;Reprint&gt;Not in File&lt;/Reprint&gt;&lt;Periodical&gt;Clin.Rheumatol.&lt;/Periodical&gt;&lt;ZZ_JournalStdAbbrev&gt;&lt;f name="System"&gt;Clin.Rheumatol.&lt;/f&gt;&lt;/ZZ_JournalStdAbbrev&gt;&lt;ZZ_WorkformID&gt;1&lt;/ZZ_WorkformID&gt;&lt;/MDL&gt;&lt;/Cite&gt;&lt;/Refman&gt;</w:instrText>
      </w:r>
      <w:r w:rsidR="00E729BA">
        <w:fldChar w:fldCharType="separate"/>
      </w:r>
      <w:r w:rsidR="00F12F58">
        <w:t>(56)</w:t>
      </w:r>
      <w:r w:rsidR="00E729BA">
        <w:fldChar w:fldCharType="end"/>
      </w:r>
      <w:r w:rsidR="002D772C">
        <w:t>.</w:t>
      </w:r>
      <w:r w:rsidR="00FE1073">
        <w:t xml:space="preserve"> </w:t>
      </w:r>
      <w:r w:rsidR="00454A3C">
        <w:t>It has been observed</w:t>
      </w:r>
      <w:r w:rsidR="00FE1073">
        <w:t xml:space="preserve"> </w:t>
      </w:r>
      <w:r w:rsidR="002D772C">
        <w:t xml:space="preserve">that </w:t>
      </w:r>
      <w:r w:rsidR="00FE1073">
        <w:t>rituximab had a biological effect on an important serological marker for SLE, despite not meeting the primary endpoint</w:t>
      </w:r>
      <w:r w:rsidR="002E1550">
        <w:t xml:space="preserve">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rsidR="002D772C">
        <w:t xml:space="preserve">. </w:t>
      </w:r>
    </w:p>
    <w:p w:rsidR="00957BD5" w:rsidRDefault="0068557B" w:rsidP="00E5556D">
      <w:r>
        <w:t>T</w:t>
      </w:r>
      <w:r w:rsidR="002D772C">
        <w:t>he Phase II trial for abatacept observed considerable discordance between flare assessed by the BILAG and the treating physician’s opinion</w:t>
      </w:r>
      <w:r w:rsidR="00966D4F">
        <w:t xml:space="preserve"> </w:t>
      </w:r>
      <w:r w:rsidR="00E729BA">
        <w:fldChar w:fldCharType="begin"/>
      </w:r>
      <w:r w:rsidR="00FC61FD">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sidR="00E729BA">
        <w:fldChar w:fldCharType="separate"/>
      </w:r>
      <w:r w:rsidR="00F12F58">
        <w:t>(61)</w:t>
      </w:r>
      <w:r w:rsidR="00E729BA">
        <w:fldChar w:fldCharType="end"/>
      </w:r>
      <w:r w:rsidR="002D772C">
        <w:t>. They conclude</w:t>
      </w:r>
      <w:r>
        <w:t>d</w:t>
      </w:r>
      <w:r w:rsidR="002D772C">
        <w:t xml:space="preserve"> that the primary endpoint based on the proportion of patients with new BILAG A or two BILAG B after the steroid taper was </w:t>
      </w:r>
      <w:r w:rsidR="00454A3C">
        <w:t>a good trial endpoint</w:t>
      </w:r>
      <w:r w:rsidR="002D772C">
        <w:t>.</w:t>
      </w:r>
      <w:r w:rsidR="00FE1073">
        <w:t xml:space="preserve"> </w:t>
      </w:r>
      <w:r w:rsidR="00E5556D">
        <w:t>Subsequent</w:t>
      </w:r>
      <w:r w:rsidR="00FE1073">
        <w:t xml:space="preserve"> analysis of the trial data investigated an alternative definition of treatment failure that only included the more severe BILAG A flares</w:t>
      </w:r>
      <w:r>
        <w:t>, which showed better fit to the physician</w:t>
      </w:r>
      <w:r w:rsidR="004E70E9">
        <w:t>’</w:t>
      </w:r>
      <w:r>
        <w:t>s assessment</w:t>
      </w:r>
      <w:r w:rsidR="001B7B77">
        <w:t xml:space="preserve"> of improvement in outcomes</w:t>
      </w:r>
      <w:r w:rsidR="00FE1073">
        <w:t xml:space="preserve">. </w:t>
      </w:r>
    </w:p>
    <w:p w:rsidR="00D0049C" w:rsidRDefault="00EB0286" w:rsidP="00CD16C3">
      <w:pPr>
        <w:pStyle w:val="Heading3"/>
        <w:spacing w:line="240" w:lineRule="auto"/>
      </w:pPr>
      <w:bookmarkStart w:id="78" w:name="_Toc379467559"/>
      <w:r>
        <w:t>Adverse Events</w:t>
      </w:r>
      <w:bookmarkEnd w:id="78"/>
    </w:p>
    <w:p w:rsidR="002D772C" w:rsidRDefault="002D772C" w:rsidP="00CD16C3">
      <w:pPr>
        <w:spacing w:after="0" w:afterAutospacing="0"/>
      </w:pPr>
      <w:r>
        <w:t xml:space="preserve">No recommendations were made </w:t>
      </w:r>
      <w:r w:rsidR="0068557B">
        <w:t>in</w:t>
      </w:r>
      <w:r>
        <w:t xml:space="preserve"> the guidelines on </w:t>
      </w:r>
      <w:r w:rsidR="009B5CAA">
        <w:t xml:space="preserve">data collection for </w:t>
      </w:r>
      <w:r>
        <w:t>adverse events. The clinical trials with smaller sample size tended to have less detailed reporting of adverse event</w:t>
      </w:r>
      <w:r w:rsidR="009B5CAA">
        <w:t>s</w:t>
      </w:r>
      <w:r>
        <w:t>. The difference in the proportion of patients with severe adverse events between arms of the trial was small</w:t>
      </w:r>
      <w:r w:rsidR="0068557B">
        <w:t xml:space="preserve"> and not statistically significant</w:t>
      </w:r>
      <w:r w:rsidR="001B7B77">
        <w:t>,</w:t>
      </w:r>
      <w:r>
        <w:t xml:space="preserve"> indicating a good safety profile for the drugs investigated.</w:t>
      </w:r>
      <w:r w:rsidR="00CC5267">
        <w:t xml:space="preserve"> </w:t>
      </w:r>
      <w:r>
        <w:t xml:space="preserve">Infections tended to be more common in the treatment group than the control arm, </w:t>
      </w:r>
      <w:r w:rsidR="004E70E9">
        <w:t>with</w:t>
      </w:r>
      <w:r>
        <w:t xml:space="preserve"> exceptions in the ri</w:t>
      </w:r>
      <w:r w:rsidR="004E70E9">
        <w:t>tuximab and sifalimumab trials</w:t>
      </w:r>
      <w:r w:rsidR="004D7951">
        <w:t xml:space="preserve">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Rheum.&lt;/f&gt;&lt;/ZZ_JournalStdAbbrev&gt;&lt;ZZ_WorkformID&gt;1&lt;/ZZ_WorkformID&gt;&lt;/MDL&gt;&lt;/Cite&gt;&lt;Cite&gt;&lt;Author&gt;Merrill&lt;/Author&gt;&lt;Year&gt;2011&lt;/Year&gt;&lt;RecNum&gt;1640&lt;/RecNum&gt;&lt;IDText&gt;Safety profile and clinical activity of sifalimumab, a fully human anti-interferon alpha monoclonal antibody, in systemic lupus erythematosus: a phase I, multicentre, double-blind randomised study&lt;/IDText&gt;&lt;MDL Ref_Type="Journal"&gt;&lt;Ref_Type&gt;Journal&lt;/Ref_Type&gt;&lt;Ref_ID&gt;1640&lt;/Ref_ID&gt;&lt;Title_Primary&gt;Safety profile and clinical activity of sifalimumab, a fully human anti-interferon alpha monoclonal antibody, in systemic lupus erythematosus: a phase I, multicentre, double-blind randomised study&lt;/Title_Primary&gt;&lt;Authors_Primary&gt;Merrill,J.T.&lt;/Authors_Primary&gt;&lt;Authors_Primary&gt;Wallace,D.J.&lt;/Authors_Primary&gt;&lt;Authors_Primary&gt;Petri,M.&lt;/Authors_Primary&gt;&lt;Authors_Primary&gt;Kirou,K.A.&lt;/Authors_Primary&gt;&lt;Authors_Primary&gt;Yao,Y.&lt;/Authors_Primary&gt;&lt;Authors_Primary&gt;White,W.I.&lt;/Authors_Primary&gt;&lt;Authors_Primary&gt;Robbie,G.&lt;/Authors_Primary&gt;&lt;Authors_Primary&gt;Levin,R.&lt;/Authors_Primary&gt;&lt;Authors_Primary&gt;Berney,S.M.&lt;/Authors_Primary&gt;&lt;Authors_Primary&gt;Chindalore,V.&lt;/Authors_Primary&gt;&lt;Authors_Primary&gt;Olsen,N.&lt;/Authors_Primary&gt;&lt;Authors_Primary&gt;Richman,L.&lt;/Authors_Primary&gt;&lt;Authors_Primary&gt;Le,C.&lt;/Authors_Primary&gt;&lt;Authors_Primary&gt;Jallal,B.&lt;/Authors_Primary&gt;&lt;Authors_Primary&gt;White,B.&lt;/Authors_Primary&gt;&lt;Date_Primary&gt;2011/11&lt;/Date_Primary&gt;&lt;Keywords&gt;administration &amp;amp; dosage&lt;/Keywords&gt;&lt;Keywords&gt;Adult&lt;/Keywords&gt;&lt;Keywords&gt;adverse effects&lt;/Keywords&gt;&lt;Keywords&gt;Aged&lt;/Keywords&gt;&lt;Keywords&gt;Aged,80 and over&lt;/Keywords&gt;&lt;Keywords&gt;antagonists &amp;amp; inhibitors&lt;/Keywords&gt;&lt;Keywords&gt;Antibodies&lt;/Keywords&gt;&lt;Keywords&gt;Antibodies,Monoclonal&lt;/Keywords&gt;&lt;Keywords&gt;biosynthesis&lt;/Keywords&gt;&lt;Keywords&gt;blood&lt;/Keywords&gt;&lt;Keywords&gt;Disease&lt;/Keywords&gt;&lt;Keywords&gt;disease activity&lt;/Keywords&gt;&lt;Keywords&gt;disease activity index&lt;/Keywords&gt;&lt;Keywords&gt;Dose-Response Relationship,Drug&lt;/Keywords&gt;&lt;Keywords&gt;Double-Blind Method&lt;/Keywords&gt;&lt;Keywords&gt;drug effects&lt;/Keywords&gt;&lt;Keywords&gt;drug therapy&lt;/Keywords&gt;&lt;Keywords&gt;erythematosus&lt;/Keywords&gt;&lt;Keywords&gt;Female&lt;/Keywords&gt;&lt;Keywords&gt;Gene Expression Regulation&lt;/Keywords&gt;&lt;Keywords&gt;genetics&lt;/Keywords&gt;&lt;Keywords&gt;human&lt;/Keywords&gt;&lt;Keywords&gt;Humans&lt;/Keywords&gt;&lt;Keywords&gt;immunogenicity&lt;/Keywords&gt;&lt;Keywords&gt;immunology&lt;/Keywords&gt;&lt;Keywords&gt;Immunosuppressive Agents&lt;/Keywords&gt;&lt;Keywords&gt;Infection&lt;/Keywords&gt;&lt;Keywords&gt;Injections,Intravenous&lt;/Keywords&gt;&lt;Keywords&gt;Interferon Type I&lt;/Keywords&gt;&lt;Keywords&gt;Interferon-alpha&lt;/Keywords&gt;&lt;Keywords&gt;lupus erythematosus&lt;/Keywords&gt;&lt;Keywords&gt;Lupus Erythematosus,Systemic&lt;/Keywords&gt;&lt;Keywords&gt;Male&lt;/Keywords&gt;&lt;Keywords&gt;medical research&lt;/Keywords&gt;&lt;Keywords&gt;methods&lt;/Keywords&gt;&lt;Keywords&gt;Middle Aged&lt;/Keywords&gt;&lt;Keywords&gt;pathogenesis&lt;/Keywords&gt;&lt;Keywords&gt;pharmacology&lt;/Keywords&gt;&lt;Keywords&gt;placebo&lt;/Keywords&gt;&lt;Keywords&gt;Research&lt;/Keywords&gt;&lt;Keywords&gt;RNA,Messenger&lt;/Keywords&gt;&lt;Keywords&gt;safety&lt;/Keywords&gt;&lt;Keywords&gt;Severity of Illness Index&lt;/Keywords&gt;&lt;Keywords&gt;Skin&lt;/Keywords&gt;&lt;Keywords&gt;systemic lupus erythematosus&lt;/Keywords&gt;&lt;Keywords&gt;systemic lupus erythematosus disease activity index&lt;/Keywords&gt;&lt;Keywords&gt;therapeutic use&lt;/Keywords&gt;&lt;Keywords&gt;Treatment Outcome&lt;/Keywords&gt;&lt;Keywords&gt;trends&lt;/Keywords&gt;&lt;Keywords&gt;Young Adult&lt;/Keywords&gt;&lt;Reprint&gt;Not in File&lt;/Reprint&gt;&lt;Start_Page&gt;1905&lt;/Start_Page&gt;&lt;End_Page&gt;1913&lt;/End_Page&gt;&lt;Periodical&gt;Ann.Rheum.Dis.&lt;/Periodical&gt;&lt;Volume&gt;70&lt;/Volume&gt;&lt;Issue&gt;11&lt;/Issue&gt;&lt;ZZ_JournalStdAbbrev&gt;&lt;f name="System"&gt;Ann.Rheum.Dis.&lt;/f&gt;&lt;/ZZ_JournalStdAbbrev&gt;&lt;ZZ_WorkformID&gt;1&lt;/ZZ_WorkformID&gt;&lt;/MDL&gt;&lt;/Cite&gt;&lt;/Refman&gt;</w:instrText>
      </w:r>
      <w:r w:rsidR="00E729BA">
        <w:fldChar w:fldCharType="separate"/>
      </w:r>
      <w:r w:rsidR="004D7951">
        <w:t>(62;76)</w:t>
      </w:r>
      <w:r w:rsidR="00E729BA">
        <w:fldChar w:fldCharType="end"/>
      </w:r>
      <w:r w:rsidR="004E70E9">
        <w:t xml:space="preserve">. </w:t>
      </w:r>
      <w:r>
        <w:t>Discontinuation due to adverse event</w:t>
      </w:r>
      <w:r w:rsidR="004D7951">
        <w:t>s</w:t>
      </w:r>
      <w:r>
        <w:t>, lack of efficacy</w:t>
      </w:r>
      <w:r w:rsidR="001B7B77">
        <w:t>,</w:t>
      </w:r>
      <w:r>
        <w:t xml:space="preserve"> and other cause</w:t>
      </w:r>
      <w:r w:rsidR="004D7951">
        <w:t xml:space="preserve">s </w:t>
      </w:r>
      <w:r w:rsidR="004E70E9">
        <w:t>were</w:t>
      </w:r>
      <w:r>
        <w:t xml:space="preserve"> similar between the treatment arms. </w:t>
      </w:r>
    </w:p>
    <w:p w:rsidR="002D772C" w:rsidRDefault="002D772C" w:rsidP="00234693">
      <w:pPr>
        <w:pStyle w:val="Caption"/>
      </w:pPr>
      <w:r>
        <w:t xml:space="preserve">Table </w:t>
      </w:r>
      <w:fldSimple w:instr=" SEQ Table \* ARABIC ">
        <w:r w:rsidR="004911B7">
          <w:rPr>
            <w:noProof/>
          </w:rPr>
          <w:t>6</w:t>
        </w:r>
      </w:fldSimple>
      <w:r>
        <w:t>: Summary of adverse events and withdrawal rates from SLE clinical trials</w:t>
      </w:r>
    </w:p>
    <w:tbl>
      <w:tblPr>
        <w:tblW w:w="8397" w:type="dxa"/>
        <w:tblInd w:w="108" w:type="dxa"/>
        <w:tblLayout w:type="fixed"/>
        <w:tblCellMar>
          <w:top w:w="28" w:type="dxa"/>
          <w:left w:w="0" w:type="dxa"/>
          <w:bottom w:w="28" w:type="dxa"/>
          <w:right w:w="0" w:type="dxa"/>
        </w:tblCellMar>
        <w:tblLook w:val="04A0"/>
      </w:tblPr>
      <w:tblGrid>
        <w:gridCol w:w="885"/>
        <w:gridCol w:w="453"/>
        <w:gridCol w:w="1417"/>
        <w:gridCol w:w="907"/>
        <w:gridCol w:w="766"/>
        <w:gridCol w:w="709"/>
        <w:gridCol w:w="1020"/>
        <w:gridCol w:w="1020"/>
        <w:gridCol w:w="1020"/>
        <w:gridCol w:w="200"/>
      </w:tblGrid>
      <w:tr w:rsidR="002D772C" w:rsidRPr="0004467E" w:rsidTr="004E70E9">
        <w:trPr>
          <w:gridAfter w:val="1"/>
          <w:wAfter w:w="200" w:type="dxa"/>
          <w:trHeight w:val="20"/>
        </w:trPr>
        <w:tc>
          <w:tcPr>
            <w:tcW w:w="885"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Author</w:t>
            </w:r>
          </w:p>
        </w:tc>
        <w:tc>
          <w:tcPr>
            <w:tcW w:w="453"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jc w:val="center"/>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Date</w:t>
            </w:r>
          </w:p>
        </w:tc>
        <w:tc>
          <w:tcPr>
            <w:tcW w:w="1417"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Treatment arm</w:t>
            </w:r>
          </w:p>
        </w:tc>
        <w:tc>
          <w:tcPr>
            <w:tcW w:w="907" w:type="dxa"/>
            <w:tcBorders>
              <w:top w:val="single" w:sz="12" w:space="0" w:color="auto"/>
              <w:left w:val="nil"/>
              <w:bottom w:val="single" w:sz="4" w:space="0" w:color="auto"/>
              <w:right w:val="nil"/>
            </w:tcBorders>
          </w:tcPr>
          <w:p w:rsidR="002D772C" w:rsidRPr="00D019B9" w:rsidRDefault="002D772C" w:rsidP="0049322C">
            <w:pPr>
              <w:pStyle w:val="ListParagraph1"/>
              <w:rPr>
                <w:rStyle w:val="IntenseEmphasis"/>
                <w:b w:val="0"/>
                <w:bCs w:val="0"/>
                <w:color w:val="000000" w:themeColor="text1"/>
                <w:szCs w:val="18"/>
              </w:rPr>
            </w:pPr>
            <w:r w:rsidRPr="00D019B9">
              <w:rPr>
                <w:rStyle w:val="IntenseEmphasis"/>
                <w:b w:val="0"/>
                <w:bCs w:val="0"/>
                <w:caps w:val="0"/>
                <w:color w:val="000000" w:themeColor="text1"/>
                <w:szCs w:val="18"/>
              </w:rPr>
              <w:t>Sample size</w:t>
            </w:r>
          </w:p>
        </w:tc>
        <w:tc>
          <w:tcPr>
            <w:tcW w:w="766"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Severe AE (%)</w:t>
            </w:r>
          </w:p>
        </w:tc>
        <w:tc>
          <w:tcPr>
            <w:tcW w:w="709"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Infection (%)</w:t>
            </w:r>
          </w:p>
        </w:tc>
        <w:tc>
          <w:tcPr>
            <w:tcW w:w="1020"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Discontinue AE ( %)</w:t>
            </w:r>
          </w:p>
        </w:tc>
        <w:tc>
          <w:tcPr>
            <w:tcW w:w="1020"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 xml:space="preserve">Discontinue Efficacy </w:t>
            </w:r>
            <w:r w:rsidRPr="004E70E9">
              <w:rPr>
                <w:rFonts w:eastAsia="Times New Roman" w:cs="Times New Roman"/>
                <w:color w:val="000000" w:themeColor="text1"/>
                <w:sz w:val="16"/>
                <w:szCs w:val="16"/>
                <w:lang w:eastAsia="zh-CN" w:bidi="ar-SA"/>
              </w:rPr>
              <w:t>(%)</w:t>
            </w:r>
          </w:p>
        </w:tc>
        <w:tc>
          <w:tcPr>
            <w:tcW w:w="1020" w:type="dxa"/>
            <w:tcBorders>
              <w:top w:val="single" w:sz="12" w:space="0" w:color="auto"/>
              <w:left w:val="nil"/>
              <w:bottom w:val="single" w:sz="4" w:space="0" w:color="auto"/>
              <w:right w:val="nil"/>
            </w:tcBorders>
            <w:shd w:val="clear" w:color="auto" w:fill="auto"/>
            <w:hideMark/>
          </w:tcPr>
          <w:p w:rsidR="002D772C" w:rsidRPr="00D019B9" w:rsidRDefault="002D772C" w:rsidP="0049322C">
            <w:pPr>
              <w:spacing w:after="0" w:afterAutospacing="0" w:line="240" w:lineRule="auto"/>
              <w:rPr>
                <w:rFonts w:eastAsia="Times New Roman" w:cs="Times New Roman"/>
                <w:color w:val="000000" w:themeColor="text1"/>
                <w:sz w:val="18"/>
                <w:szCs w:val="18"/>
                <w:lang w:eastAsia="zh-CN" w:bidi="ar-SA"/>
              </w:rPr>
            </w:pPr>
            <w:r w:rsidRPr="00D019B9">
              <w:rPr>
                <w:rFonts w:eastAsia="Times New Roman" w:cs="Times New Roman"/>
                <w:color w:val="000000" w:themeColor="text1"/>
                <w:sz w:val="18"/>
                <w:szCs w:val="18"/>
                <w:lang w:eastAsia="zh-CN" w:bidi="ar-SA"/>
              </w:rPr>
              <w:t>Discontinue Other (%)</w:t>
            </w:r>
          </w:p>
        </w:tc>
      </w:tr>
      <w:tr w:rsidR="00E13EF3" w:rsidRPr="0004467E" w:rsidTr="004E70E9">
        <w:trPr>
          <w:gridAfter w:val="1"/>
          <w:wAfter w:w="200" w:type="dxa"/>
          <w:trHeight w:val="20"/>
        </w:trPr>
        <w:tc>
          <w:tcPr>
            <w:tcW w:w="885" w:type="dxa"/>
            <w:tcBorders>
              <w:top w:val="single" w:sz="4" w:space="0" w:color="auto"/>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Hackshaw</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&lt;Refman&gt;&lt;Cite&gt;&lt;Author&gt;Hackshaw&lt;/Author&gt;&lt;Year&gt;1995&lt;/Year&gt;&lt;RecNum&gt;99&lt;/RecNum&gt;&lt;IDText&gt;A pilot study of zileuton, a novel selective 5-lipoxygenase inhibitor, in patients with systemic lupus-erythematosus&lt;/IDText&gt;&lt;MDL Ref_Type="Journal"&gt;&lt;Ref_Type&gt;Journal&lt;/Ref_Type&gt;&lt;Ref_ID&gt;99&lt;/Ref_ID&gt;&lt;Title_Primary&gt;A pilot study of zileuton, a novel selective 5-lipoxygenase inhibitor, in patients with systemic lupus-erythematosus&lt;/Title_Primary&gt;&lt;Authors_Primary&gt;Hackshaw,K.V.&lt;/Authors_Primary&gt;&lt;Authors_Primary&gt;Shi,Y.&lt;/Authors_Primary&gt;&lt;Authors_Primary&gt;Brandwein,S.R.&lt;/Authors_Primary&gt;&lt;Authors_Primary&gt;Jones,K.&lt;/Authors_Primary&gt;&lt;Authors_Primary&gt;Westcott,J.Y.&lt;/Authors_Primary&gt;&lt;Date_Primary&gt;1995&lt;/Date_Primary&gt;&lt;Keywords&gt;Adult&lt;/Keywords&gt;&lt;Keywords&gt;Antimalarials&lt;/Keywords&gt;&lt;Keywords&gt;Arthritis&lt;/Keywords&gt;&lt;Keywords&gt;article&lt;/Keywords&gt;&lt;Keywords&gt;Autoantibodies&lt;/Keywords&gt;&lt;Keywords&gt;Autoimmunity&lt;/Keywords&gt;&lt;Keywords&gt;clinical article&lt;/Keywords&gt;&lt;Keywords&gt;clinical trial&lt;/Keywords&gt;&lt;Keywords&gt;controlled study&lt;/Keywords&gt;&lt;Keywords&gt;depression&lt;/Keywords&gt;&lt;Keywords&gt;si [Side Effect]&lt;/Keywords&gt;&lt;Keywords&gt;diarrhea&lt;/Keywords&gt;&lt;Keywords&gt;si [Side Effect]&lt;/Keywords&gt;&lt;Keywords&gt;Disease&lt;/Keywords&gt;&lt;Keywords&gt;disease activity&lt;/Keywords&gt;&lt;Keywords&gt;double blind procedure&lt;/Keywords&gt;&lt;Keywords&gt;dyspepsia&lt;/Keywords&gt;&lt;Keywords&gt;si [Side Effect]&lt;/Keywords&gt;&lt;Keywords&gt;erythematosus&lt;/Keywords&gt;&lt;Keywords&gt;Female&lt;/Keywords&gt;&lt;Keywords&gt;human&lt;/Keywords&gt;&lt;Keywords&gt;lipoxygenase inhibitor&lt;/Keywords&gt;&lt;Keywords&gt;lupus erythematosus&lt;/Keywords&gt;&lt;Keywords&gt;Male&lt;/Keywords&gt;&lt;Keywords&gt;medical research&lt;/Keywords&gt;&lt;Keywords&gt;methods&lt;/Keywords&gt;&lt;Keywords&gt;nausea&lt;/Keywords&gt;&lt;Keywords&gt;si [Side Effect]&lt;/Keywords&gt;&lt;Keywords&gt;oral drug administration&lt;/Keywords&gt;&lt;Keywords&gt;patient&lt;/Keywords&gt;&lt;Keywords&gt;Patients&lt;/Keywords&gt;&lt;Keywords&gt;pilot study&lt;/Keywords&gt;&lt;Keywords&gt;placebo&lt;/Keywords&gt;&lt;Keywords&gt;priority journal&lt;/Keywords&gt;&lt;Keywords&gt;randomized controlled trial&lt;/Keywords&gt;&lt;Keywords&gt;Research&lt;/Keywords&gt;&lt;Keywords&gt;Skin&lt;/Keywords&gt;&lt;Keywords&gt;statistical significance&lt;/Keywords&gt;&lt;Keywords&gt;systemic lupus erythematosus&lt;/Keywords&gt;&lt;Keywords&gt;systemic lupus erythematosus&lt;/Keywords&gt;&lt;Keywords&gt;dt [Drug Therapy]&lt;/Keywords&gt;&lt;Keywords&gt;trends&lt;/Keywords&gt;&lt;Keywords&gt;United States&lt;/Keywords&gt;&lt;Keywords&gt;urine&lt;/Keywords&gt;&lt;Keywords&gt;zileuton&lt;/Keywords&gt;&lt;Keywords&gt;ae [Adverse Drug Reaction]&lt;/Keywords&gt;&lt;Keywords&gt;zileuton&lt;/Keywords&gt;&lt;Keywords&gt;ct [Clinical Trial]&lt;/Keywords&gt;&lt;Keywords&gt;zileuton&lt;/Keywords&gt;&lt;Keywords&gt;dt [Drug Therapy]&lt;/Keywords&gt;&lt;Reprint&gt;Not in File&lt;/Reprint&gt;&lt;Start_Page&gt;1995&lt;/Start_Page&gt;&lt;Periodical&gt;Journal of Rheumatology 1994; 22(3)(pp 462-468),&lt;/Periodical&gt;&lt;User_Def_1&gt;y&lt;/User_Def_1&gt;&lt;ISSN_ISBN&gt;0315-162X&lt;/ISSN_ISBN&gt;&lt;Address&gt;(Hackshaw, Shi, Brandwein, Jones, Westcott) Ohio State University, Davis Medical Research Center, Div. Immunology/Rheumatology/Allergy, 480 West 9th Avenue, Columbus, OH 43210-1228, United States&lt;/Address&gt;&lt;ZZ_JournalFull&gt;&lt;f name="System"&gt;Journal of Rheumatology 1994; 22(3)(pp 462-468),&lt;/f&gt;&lt;/ZZ_JournalFull&gt;&lt;ZZ_WorkformID&gt;1&lt;/ZZ_WorkformID&gt;&lt;/MDL&gt;&lt;/Cite&gt;&lt;/Refman&gt;</w:instrText>
            </w:r>
            <w:r>
              <w:rPr>
                <w:color w:val="000000"/>
                <w:sz w:val="16"/>
                <w:szCs w:val="16"/>
              </w:rPr>
              <w:fldChar w:fldCharType="separate"/>
            </w:r>
            <w:r w:rsidR="00F12F58">
              <w:rPr>
                <w:color w:val="000000"/>
                <w:sz w:val="16"/>
                <w:szCs w:val="16"/>
              </w:rPr>
              <w:t>(64)</w:t>
            </w:r>
            <w:r>
              <w:rPr>
                <w:color w:val="000000"/>
                <w:sz w:val="16"/>
                <w:szCs w:val="16"/>
              </w:rPr>
              <w:fldChar w:fldCharType="end"/>
            </w:r>
          </w:p>
        </w:tc>
        <w:tc>
          <w:tcPr>
            <w:tcW w:w="453" w:type="dxa"/>
            <w:tcBorders>
              <w:top w:val="single" w:sz="4" w:space="0" w:color="auto"/>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1995</w:t>
            </w:r>
          </w:p>
        </w:tc>
        <w:tc>
          <w:tcPr>
            <w:tcW w:w="1417" w:type="dxa"/>
            <w:tcBorders>
              <w:top w:val="single" w:sz="4" w:space="0" w:color="auto"/>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zileuton</w:t>
            </w:r>
            <w:r w:rsidRPr="0004467E">
              <w:rPr>
                <w:rFonts w:eastAsia="Times New Roman" w:cs="Times New Roman"/>
                <w:color w:val="000000"/>
                <w:sz w:val="18"/>
                <w:szCs w:val="18"/>
                <w:lang w:eastAsia="zh-CN" w:bidi="ar-SA"/>
              </w:rPr>
              <w:br/>
              <w:t>Placebo</w:t>
            </w:r>
          </w:p>
        </w:tc>
        <w:tc>
          <w:tcPr>
            <w:tcW w:w="907" w:type="dxa"/>
            <w:tcBorders>
              <w:top w:val="single" w:sz="4" w:space="0" w:color="auto"/>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40</w:t>
            </w:r>
            <w:r w:rsidRPr="0004467E">
              <w:rPr>
                <w:color w:val="000000"/>
                <w:sz w:val="18"/>
                <w:szCs w:val="18"/>
              </w:rPr>
              <w:br/>
              <w:t>(20; 20)</w:t>
            </w:r>
          </w:p>
        </w:tc>
        <w:tc>
          <w:tcPr>
            <w:tcW w:w="766" w:type="dxa"/>
            <w:tcBorders>
              <w:top w:val="single" w:sz="4" w:space="0" w:color="auto"/>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0.1</w:t>
            </w:r>
            <w:r w:rsidRPr="0004467E">
              <w:rPr>
                <w:rFonts w:eastAsia="Times New Roman" w:cs="Times New Roman"/>
                <w:color w:val="000000"/>
                <w:sz w:val="18"/>
                <w:szCs w:val="18"/>
                <w:lang w:eastAsia="zh-CN" w:bidi="ar-SA"/>
              </w:rPr>
              <w:br/>
              <w:t>0</w:t>
            </w:r>
          </w:p>
        </w:tc>
        <w:tc>
          <w:tcPr>
            <w:tcW w:w="709" w:type="dxa"/>
            <w:tcBorders>
              <w:top w:val="single" w:sz="4" w:space="0" w:color="auto"/>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single" w:sz="4" w:space="0" w:color="auto"/>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0.1</w:t>
            </w:r>
            <w:r w:rsidRPr="0004467E">
              <w:rPr>
                <w:rFonts w:eastAsia="Times New Roman" w:cs="Times New Roman"/>
                <w:color w:val="000000"/>
                <w:sz w:val="18"/>
                <w:szCs w:val="18"/>
                <w:lang w:eastAsia="zh-CN" w:bidi="ar-SA"/>
              </w:rPr>
              <w:br/>
              <w:t>0</w:t>
            </w:r>
          </w:p>
        </w:tc>
        <w:tc>
          <w:tcPr>
            <w:tcW w:w="1020" w:type="dxa"/>
            <w:tcBorders>
              <w:top w:val="single" w:sz="4" w:space="0" w:color="auto"/>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single" w:sz="4" w:space="0" w:color="auto"/>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Carneiro</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&lt;Refman&gt;&lt;Cite&gt;&lt;Author&gt;Carneiro&lt;/Author&gt;&lt;Year&gt;1999&lt;/Year&gt;&lt;RecNum&gt;83&lt;/RecNum&gt;&lt;IDText&gt;Double blind, randomized, placebo controlled clinical trial of methotrexate in systemic lupus erythematosus&lt;/IDText&gt;&lt;MDL Ref_Type="Journal"&gt;&lt;Ref_Type&gt;Journal&lt;/Ref_Type&gt;&lt;Ref_ID&gt;83&lt;/Ref_ID&gt;&lt;Title_Primary&gt;Double blind, randomized, placebo controlled clinical trial of methotrexate in systemic lupus erythematosus&lt;/Title_Primary&gt;&lt;Authors_Primary&gt;Carneiro,J.R.M.&lt;/Authors_Primary&gt;&lt;Authors_Primary&gt;Sato,E.I.&lt;/Authors_Primary&gt;&lt;Date_Primary&gt;1999&lt;/Date_Primary&gt;&lt;Keywords&gt;Adult&lt;/Keywords&gt;&lt;Keywords&gt;article&lt;/Keywords&gt;&lt;Keywords&gt;Brazil&lt;/Keywords&gt;&lt;Keywords&gt;clinical article&lt;/Keywords&gt;&lt;Keywords&gt;clinical trial&lt;/Keywords&gt;&lt;Keywords&gt;controlled clinical trial&lt;/Keywords&gt;&lt;Keywords&gt;controlled study&lt;/Keywords&gt;&lt;Keywords&gt;Disease&lt;/Keywords&gt;&lt;Keywords&gt;disease activity&lt;/Keywords&gt;&lt;Keywords&gt;disease activity index&lt;/Keywords&gt;&lt;Keywords&gt;disease duration&lt;/Keywords&gt;&lt;Keywords&gt;disease severity&lt;/Keywords&gt;&lt;Keywords&gt;dose response&lt;/Keywords&gt;&lt;Keywords&gt;double blind procedure&lt;/Keywords&gt;&lt;Keywords&gt;drug efficacy&lt;/Keywords&gt;&lt;Keywords&gt;dyspepsia&lt;/Keywords&gt;&lt;Keywords&gt;si [Side Effect]&lt;/Keywords&gt;&lt;Keywords&gt;erythematosus&lt;/Keywords&gt;&lt;Keywords&gt;evaluation&lt;/Keywords&gt;&lt;Keywords&gt;Female&lt;/Keywords&gt;&lt;Keywords&gt;Hospitalization&lt;/Keywords&gt;&lt;Keywords&gt;human&lt;/Keywords&gt;&lt;Keywords&gt;hypocomplementemia&lt;/Keywords&gt;&lt;Keywords&gt;si [Side Effect]&lt;/Keywords&gt;&lt;Keywords&gt;liver disease&lt;/Keywords&gt;&lt;Keywords&gt;si [Side Effect]&lt;/Keywords&gt;&lt;Keywords&gt;lupus erythematosus&lt;/Keywords&gt;&lt;Keywords&gt;Male&lt;/Keywords&gt;&lt;Keywords&gt;methods&lt;/Keywords&gt;&lt;Keywords&gt;methotrexate&lt;/Keywords&gt;&lt;Keywords&gt;methotrexate&lt;/Keywords&gt;&lt;Keywords&gt;ae [Adverse Drug Reaction]&lt;/Keywords&gt;&lt;Keywords&gt;methotrexate&lt;/Keywords&gt;&lt;Keywords&gt;ct [Clinical Trial]&lt;/Keywords&gt;&lt;Keywords&gt;methotrexate&lt;/Keywords&gt;&lt;Keywords&gt;dt [Drug Therapy]&lt;/Keywords&gt;&lt;Keywords&gt;nausea&lt;/Keywords&gt;&lt;Keywords&gt;si [Side Effect]&lt;/Keywords&gt;&lt;Keywords&gt;oral drug administration&lt;/Keywords&gt;&lt;Keywords&gt;Pain&lt;/Keywords&gt;&lt;Keywords&gt;patient&lt;/Keywords&gt;&lt;Keywords&gt;Patients&lt;/Keywords&gt;&lt;Keywords&gt;placebo&lt;/Keywords&gt;&lt;Keywords&gt;Prednisone&lt;/Keywords&gt;&lt;Keywords&gt;prednisone&lt;/Keywords&gt;&lt;Keywords&gt;do [Drug Dose]&lt;/Keywords&gt;&lt;Keywords&gt;prednisone&lt;/Keywords&gt;&lt;Keywords&gt;dt [Drug Therapy]&lt;/Keywords&gt;&lt;Keywords&gt;priority journal&lt;/Keywords&gt;&lt;Keywords&gt;randomized controlled trial&lt;/Keywords&gt;&lt;Keywords&gt;Rheumatology&lt;/Keywords&gt;&lt;Keywords&gt;Serum&lt;/Keywords&gt;&lt;Keywords&gt;steroid therapy&lt;/Keywords&gt;&lt;Keywords&gt;systemic lupus erythematosus&lt;/Keywords&gt;&lt;Keywords&gt;systemic lupus erythematosus&lt;/Keywords&gt;&lt;Keywords&gt;dt [Drug Therapy]&lt;/Keywords&gt;&lt;Keywords&gt;Tuberculosis&lt;/Keywords&gt;&lt;Keywords&gt;urticaria&lt;/Keywords&gt;&lt;Keywords&gt;si [Side Effect]&lt;/Keywords&gt;&lt;Reprint&gt;Not in File&lt;/Reprint&gt;&lt;Start_Page&gt;1999&lt;/Start_Page&gt;&lt;Periodical&gt;Journal of Rheumatology 1994; 26(6)(pp 1275-1279),&lt;/Periodical&gt;&lt;User_Def_1&gt;y&lt;/User_Def_1&gt;&lt;ISSN_ISBN&gt;0315-162X&lt;/ISSN_ISBN&gt;&lt;Address&gt;(Carneiro, Sato) Rheumatology Department, Univ. Federal de Sao Paulo, Sao Paulo, Brazil. (Sato) Univ. Federal de Sao Paulo, Disciplina de Reumatologia, Rua Botucatu 740, CEP 04023-062, Sao Paulo, Brazil&lt;/Address&gt;&lt;ZZ_JournalFull&gt;&lt;f name="System"&gt;Journal of Rheumatology 1994; 26(6)(pp 1275-1279),&lt;/f&gt;&lt;/ZZ_JournalFull&gt;&lt;ZZ_WorkformID&gt;1&lt;/ZZ_WorkformID&gt;&lt;/MDL&gt;&lt;/Cite&gt;&lt;/Refman&gt;</w:instrText>
            </w:r>
            <w:r>
              <w:rPr>
                <w:color w:val="000000"/>
                <w:sz w:val="16"/>
                <w:szCs w:val="16"/>
              </w:rPr>
              <w:fldChar w:fldCharType="separate"/>
            </w:r>
            <w:r w:rsidR="00F12F58">
              <w:rPr>
                <w:color w:val="000000"/>
                <w:sz w:val="16"/>
                <w:szCs w:val="16"/>
              </w:rPr>
              <w:t>(65)</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1999</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methotrexate</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41</w:t>
            </w:r>
            <w:r w:rsidRPr="0004467E">
              <w:rPr>
                <w:color w:val="000000"/>
                <w:sz w:val="18"/>
                <w:szCs w:val="18"/>
              </w:rPr>
              <w:br/>
              <w:t>(20; 21)</w:t>
            </w:r>
          </w:p>
        </w:tc>
        <w:tc>
          <w:tcPr>
            <w:tcW w:w="766" w:type="dxa"/>
            <w:tcBorders>
              <w:top w:val="nil"/>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noWrap/>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1F1AD6"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Kalunian</w:t>
            </w:r>
          </w:p>
          <w:p w:rsidR="00E13EF3" w:rsidRPr="001F1AD6"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&lt;Refman&gt;&lt;Cite&gt;&lt;Author&gt;Kalunian&lt;/Author&gt;&lt;Year&gt;2002&lt;/Year&gt;&lt;RecNum&gt;163&lt;/RecNum&gt;&lt;IDText&gt;Treatment of systemic lupus erythematosus by inhibition of T cell costimulation with anti-CD154: a randomized, double-blind, placebo-controlled trial&lt;/IDText&gt;&lt;MDL Ref_Type="Journal"&gt;&lt;Ref_Type&gt;Journal&lt;/Ref_Type&gt;&lt;Ref_ID&gt;163&lt;/Ref_ID&gt;&lt;Title_Primary&gt;Treatment of systemic lupus erythematosus by inhibition of T cell costimulation with anti-CD154: a randomized, double-blind, placebo-controlled trial&lt;/Title_Primary&gt;&lt;Authors_Primary&gt;Kalunian,K.C.&lt;/Authors_Primary&gt;&lt;Authors_Primary&gt;Davis,J.C.,Jr.&lt;/Authors_Primary&gt;&lt;Authors_Primary&gt;Merrill,J.T.&lt;/Authors_Primary&gt;&lt;Authors_Primary&gt;Totoritis,M.C.&lt;/Authors_Primary&gt;&lt;Authors_Primary&gt;Wofsy,D.&lt;/Authors_Primary&gt;&lt;Date_Primary&gt;2002/12&lt;/Date_Primary&gt;&lt;Keywords&gt;administration &amp;amp; dosage&lt;/Keywords&gt;&lt;Keywords&gt;Adult&lt;/Keywords&gt;&lt;Keywords&gt;Aged&lt;/Keywords&gt;&lt;Keywords&gt;Antibodies&lt;/Keywords&gt;&lt;Keywords&gt;Antibodies,Monoclonal&lt;/Keywords&gt;&lt;Keywords&gt;California&lt;/Keywords&gt;&lt;Keywords&gt;CD40 ligand&lt;/Keywords&gt;&lt;Keywords&gt;Disease&lt;/Keywords&gt;&lt;Keywords&gt;disease activity&lt;/Keywords&gt;&lt;Keywords&gt;disease activity index&lt;/Keywords&gt;&lt;Keywords&gt;Dose-Response Relationship,Drug&lt;/Keywords&gt;&lt;Keywords&gt;Double-Blind Method&lt;/Keywords&gt;&lt;Keywords&gt;drug therapy&lt;/Keywords&gt;&lt;Keywords&gt;erythematosus&lt;/Keywords&gt;&lt;Keywords&gt;evaluation&lt;/Keywords&gt;&lt;Keywords&gt;Female&lt;/Keywords&gt;&lt;Keywords&gt;Humans&lt;/Keywords&gt;&lt;Keywords&gt;immunogenicity&lt;/Keywords&gt;&lt;Keywords&gt;immunology&lt;/Keywords&gt;&lt;Keywords&gt;lupus erythematosus&lt;/Keywords&gt;&lt;Keywords&gt;Lupus Erythematosus,Systemic&lt;/Keywords&gt;&lt;Keywords&gt;Male&lt;/Keywords&gt;&lt;Keywords&gt;methods&lt;/Keywords&gt;&lt;Keywords&gt;Middle Aged&lt;/Keywords&gt;&lt;Keywords&gt;patient&lt;/Keywords&gt;&lt;Keywords&gt;Patients&lt;/Keywords&gt;&lt;Keywords&gt;physiology&lt;/Keywords&gt;&lt;Keywords&gt;physiopathology&lt;/Keywords&gt;&lt;Keywords&gt;placebo&lt;/Keywords&gt;&lt;Keywords&gt;Placebos&lt;/Keywords&gt;&lt;Keywords&gt;safety&lt;/Keywords&gt;&lt;Keywords&gt;systemic lupus erythematosus&lt;/Keywords&gt;&lt;Keywords&gt;systemic lupus erythematosus disease activity index&lt;/Keywords&gt;&lt;Keywords&gt;T-Lymphocytes&lt;/Keywords&gt;&lt;Keywords&gt;therapeutic use&lt;/Keywords&gt;&lt;Keywords&gt;Treatment Outcome&lt;/Keywords&gt;&lt;Reprint&gt;Not in File&lt;/Reprint&gt;&lt;Start_Page&gt;3251&lt;/Start_Page&gt;&lt;End_Page&gt;3258&lt;/End_Page&gt;&lt;Periodical&gt;Arthritis Rheum.&lt;/Periodical&gt;&lt;Volume&gt;46&lt;/Volume&gt;&lt;Issue&gt;12&lt;/Issue&gt;&lt;User_Def_1&gt;y&lt;/User_Def_1&gt;&lt;ZZ_JournalStdAbbrev&gt;&lt;f name="System"&gt;Arthritis Rheum.&lt;/f&gt;&lt;/ZZ_JournalStdAbbrev&gt;&lt;ZZ_WorkformID&gt;1&lt;/ZZ_WorkformID&gt;&lt;/MDL&gt;&lt;/Cite&gt;&lt;/Refman&gt;</w:instrText>
            </w:r>
            <w:r>
              <w:rPr>
                <w:color w:val="000000"/>
                <w:sz w:val="16"/>
                <w:szCs w:val="16"/>
              </w:rPr>
              <w:fldChar w:fldCharType="separate"/>
            </w:r>
            <w:r w:rsidR="0094366B" w:rsidRPr="0094366B">
              <w:rPr>
                <w:color w:val="000000"/>
                <w:sz w:val="16"/>
                <w:szCs w:val="16"/>
              </w:rPr>
              <w:t>(66)</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1F1AD6" w:rsidRDefault="00F6410D" w:rsidP="0049322C">
            <w:pPr>
              <w:spacing w:after="0" w:afterAutospacing="0" w:line="240" w:lineRule="auto"/>
              <w:jc w:val="center"/>
              <w:rPr>
                <w:rFonts w:eastAsia="Times New Roman" w:cs="Times New Roman"/>
                <w:color w:val="000000"/>
                <w:sz w:val="18"/>
                <w:szCs w:val="18"/>
                <w:lang w:eastAsia="zh-CN" w:bidi="ar-SA"/>
              </w:rPr>
            </w:pPr>
            <w:r w:rsidRPr="001F1AD6">
              <w:rPr>
                <w:rFonts w:eastAsia="Times New Roman" w:cs="Times New Roman"/>
                <w:color w:val="000000"/>
                <w:sz w:val="18"/>
                <w:szCs w:val="18"/>
                <w:lang w:eastAsia="zh-CN" w:bidi="ar-SA"/>
              </w:rPr>
              <w:t>2002</w:t>
            </w:r>
          </w:p>
        </w:tc>
        <w:tc>
          <w:tcPr>
            <w:tcW w:w="1417" w:type="dxa"/>
            <w:tcBorders>
              <w:top w:val="nil"/>
              <w:left w:val="nil"/>
              <w:bottom w:val="nil"/>
              <w:right w:val="nil"/>
            </w:tcBorders>
            <w:shd w:val="clear" w:color="auto" w:fill="auto"/>
            <w:hideMark/>
          </w:tcPr>
          <w:p w:rsidR="00E13EF3" w:rsidRPr="001F1AD6" w:rsidRDefault="00F6410D" w:rsidP="0049322C">
            <w:pPr>
              <w:spacing w:after="0" w:afterAutospacing="0" w:line="240" w:lineRule="auto"/>
              <w:rPr>
                <w:rFonts w:eastAsia="Times New Roman" w:cs="Times New Roman"/>
                <w:color w:val="000000"/>
                <w:sz w:val="18"/>
                <w:szCs w:val="18"/>
                <w:lang w:eastAsia="zh-CN" w:bidi="ar-SA"/>
              </w:rPr>
            </w:pPr>
            <w:r w:rsidRPr="001F1AD6">
              <w:rPr>
                <w:rFonts w:eastAsia="Times New Roman" w:cs="Times New Roman"/>
                <w:color w:val="000000"/>
                <w:sz w:val="18"/>
                <w:szCs w:val="18"/>
                <w:lang w:eastAsia="zh-CN" w:bidi="ar-SA"/>
              </w:rPr>
              <w:t>IDEC 2.5</w:t>
            </w:r>
            <w:r w:rsidRPr="001F1AD6">
              <w:rPr>
                <w:rFonts w:eastAsia="Times New Roman" w:cs="Times New Roman"/>
                <w:color w:val="000000"/>
                <w:sz w:val="18"/>
                <w:szCs w:val="18"/>
                <w:lang w:eastAsia="zh-CN" w:bidi="ar-SA"/>
              </w:rPr>
              <w:br/>
              <w:t>IDEC 5</w:t>
            </w:r>
            <w:r w:rsidRPr="001F1AD6">
              <w:rPr>
                <w:rFonts w:eastAsia="Times New Roman" w:cs="Times New Roman"/>
                <w:color w:val="000000"/>
                <w:sz w:val="18"/>
                <w:szCs w:val="18"/>
                <w:lang w:eastAsia="zh-CN" w:bidi="ar-SA"/>
              </w:rPr>
              <w:br/>
              <w:t>IDEC 10</w:t>
            </w:r>
            <w:r w:rsidRPr="001F1AD6">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1F1AD6" w:rsidRDefault="00F6410D" w:rsidP="0049322C">
            <w:pPr>
              <w:spacing w:after="0" w:afterAutospacing="0" w:line="240" w:lineRule="auto"/>
              <w:rPr>
                <w:color w:val="000000"/>
                <w:sz w:val="18"/>
                <w:szCs w:val="18"/>
              </w:rPr>
            </w:pPr>
            <w:r w:rsidRPr="001F1AD6">
              <w:rPr>
                <w:color w:val="000000"/>
                <w:sz w:val="18"/>
                <w:szCs w:val="18"/>
              </w:rPr>
              <w:t>85</w:t>
            </w:r>
            <w:r w:rsidRPr="001F1AD6">
              <w:rPr>
                <w:color w:val="000000"/>
                <w:sz w:val="18"/>
                <w:szCs w:val="18"/>
              </w:rPr>
              <w:br/>
              <w:t>(65; 20)</w:t>
            </w:r>
          </w:p>
        </w:tc>
        <w:tc>
          <w:tcPr>
            <w:tcW w:w="766" w:type="dxa"/>
            <w:tcBorders>
              <w:top w:val="nil"/>
              <w:left w:val="nil"/>
              <w:bottom w:val="nil"/>
              <w:right w:val="nil"/>
            </w:tcBorders>
            <w:shd w:val="clear" w:color="auto" w:fill="auto"/>
            <w:hideMark/>
          </w:tcPr>
          <w:p w:rsidR="00E13EF3" w:rsidRPr="001F1AD6" w:rsidRDefault="00F6410D" w:rsidP="00454A3C">
            <w:pPr>
              <w:spacing w:after="0" w:afterAutospacing="0" w:line="240" w:lineRule="auto"/>
              <w:jc w:val="right"/>
              <w:rPr>
                <w:rFonts w:eastAsia="Times New Roman" w:cs="Times New Roman"/>
                <w:color w:val="000000"/>
                <w:sz w:val="18"/>
                <w:szCs w:val="18"/>
                <w:lang w:eastAsia="zh-CN" w:bidi="ar-SA"/>
              </w:rPr>
            </w:pPr>
            <w:r w:rsidRPr="001F1AD6">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hideMark/>
          </w:tcPr>
          <w:p w:rsidR="00E13EF3" w:rsidRPr="001F1AD6" w:rsidRDefault="0094366B" w:rsidP="00454A3C">
            <w:pPr>
              <w:spacing w:after="0" w:afterAutospacing="0" w:line="240" w:lineRule="auto"/>
              <w:jc w:val="right"/>
              <w:rPr>
                <w:rFonts w:eastAsia="Times New Roman" w:cs="Times New Roman"/>
                <w:color w:val="000000"/>
                <w:sz w:val="18"/>
                <w:szCs w:val="18"/>
                <w:lang w:eastAsia="zh-CN" w:bidi="ar-SA"/>
              </w:rPr>
            </w:pPr>
            <w:r>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1F1AD6" w:rsidRDefault="0094366B" w:rsidP="00454A3C">
            <w:pPr>
              <w:spacing w:after="0" w:afterAutospacing="0" w:line="240" w:lineRule="auto"/>
              <w:jc w:val="right"/>
              <w:rPr>
                <w:rFonts w:eastAsia="Times New Roman" w:cs="Times New Roman"/>
                <w:color w:val="000000"/>
                <w:sz w:val="18"/>
                <w:szCs w:val="18"/>
                <w:lang w:eastAsia="zh-CN" w:bidi="ar-SA"/>
              </w:rPr>
            </w:pPr>
            <w:r>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1F1AD6" w:rsidRDefault="0094366B" w:rsidP="00454A3C">
            <w:pPr>
              <w:spacing w:after="0" w:afterAutospacing="0" w:line="240" w:lineRule="auto"/>
              <w:jc w:val="right"/>
              <w:rPr>
                <w:rFonts w:eastAsia="Times New Roman" w:cs="Times New Roman"/>
                <w:color w:val="000000"/>
                <w:sz w:val="18"/>
                <w:szCs w:val="18"/>
                <w:lang w:eastAsia="zh-CN" w:bidi="ar-SA"/>
              </w:rPr>
            </w:pPr>
            <w:r>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1F1AD6" w:rsidRDefault="0094366B" w:rsidP="00454A3C">
            <w:pPr>
              <w:spacing w:after="0" w:afterAutospacing="0" w:line="240" w:lineRule="auto"/>
              <w:jc w:val="right"/>
              <w:rPr>
                <w:rFonts w:eastAsia="Times New Roman" w:cs="Times New Roman"/>
                <w:color w:val="000000"/>
                <w:sz w:val="18"/>
                <w:szCs w:val="18"/>
                <w:lang w:eastAsia="zh-CN" w:bidi="ar-SA"/>
              </w:rPr>
            </w:pPr>
            <w:r>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Pr="001F1AD6" w:rsidRDefault="0094366B" w:rsidP="00470169">
            <w:pPr>
              <w:spacing w:after="0" w:afterAutospacing="0" w:line="240" w:lineRule="auto"/>
              <w:rPr>
                <w:color w:val="000000"/>
                <w:sz w:val="16"/>
                <w:szCs w:val="16"/>
              </w:rPr>
            </w:pPr>
            <w:r>
              <w:rPr>
                <w:color w:val="000000"/>
                <w:sz w:val="16"/>
                <w:szCs w:val="16"/>
              </w:rPr>
              <w:t xml:space="preserve">Petri </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&lt;Refman&gt;&lt;Cite&gt;&lt;Author&gt;Petri&lt;/Author&gt;&lt;Year&gt;2004&lt;/Year&gt;&lt;RecNum&gt;21&lt;/RecNum&gt;&lt;IDText&gt;Effects of prasterone on disease activity and symptoms in women with active systemic lupus erythematosus&lt;/IDText&gt;&lt;MDL Ref_Type="Journal"&gt;&lt;Ref_Type&gt;Journal&lt;/Ref_Type&gt;&lt;Ref_ID&gt;21&lt;/Ref_ID&gt;&lt;Title_Primary&gt;Effects of prasterone on disease activity and symptoms in women with active systemic lupus erythematosus&lt;/Title_Primary&gt;&lt;Authors_Primary&gt;Petri,M.A.&lt;/Authors_Primary&gt;&lt;Authors_Primary&gt;Mease,P.J.&lt;/Authors_Primary&gt;&lt;Authors_Primary&gt;Merrill,J.T.&lt;/Authors_Primary&gt;&lt;Authors_Primary&gt;Lahita,R.G.&lt;/Authors_Primary&gt;&lt;Authors_Primary&gt;Iannini,M.J.&lt;/Authors_Primary&gt;&lt;Authors_Primary&gt;Yocum,D.E.&lt;/Authors_Primary&gt;&lt;Authors_Primary&gt;Ginzler,E.M.&lt;/Authors_Primary&gt;&lt;Authors_Primary&gt;Katz,R.S.&lt;/Authors_Primary&gt;&lt;Authors_Primary&gt;Gluck,O.S.&lt;/Authors_Primary&gt;&lt;Authors_Primary&gt;Genovese,M.C.&lt;/Authors_Primary&gt;&lt;Authors_Primary&gt;van,Vollenhoven R.&lt;/Authors_Primary&gt;&lt;Authors_Primary&gt;Kalunian,K.C.&lt;/Authors_Primary&gt;&lt;Authors_Primary&gt;Manzi,S.&lt;/Authors_Primary&gt;&lt;Authors_Primary&gt;Greenwald,M.W.&lt;/Authors_Primary&gt;&lt;Authors_Primary&gt;Buyon,J.P.&lt;/Authors_Primary&gt;&lt;Authors_Primary&gt;Olsen,N.J.&lt;/Authors_Primary&gt;&lt;Authors_Primary&gt;Schiff,M.H.&lt;/Authors_Primary&gt;&lt;Authors_Primary&gt;Kavanaugh,A.F.&lt;/Authors_Primary&gt;&lt;Authors_Primary&gt;Caldwell,J.R.&lt;/Authors_Primary&gt;&lt;Authors_Primary&gt;Ramsey-Goldman,R.&lt;/Authors_Primary&gt;&lt;Authors_Primary&gt;St Clair,E.W.&lt;/Authors_Primary&gt;&lt;Authors_Primary&gt;Goldman,A.L.&lt;/Authors_Primary&gt;&lt;Authors_Primary&gt;Egan,R.M.&lt;/Authors_Primary&gt;&lt;Authors_Primary&gt;Polisson,R.P.&lt;/Authors_Primary&gt;&lt;Authors_Primary&gt;Moder,K.G.&lt;/Authors_Primary&gt;&lt;Authors_Primary&gt;Rothfield,N.F.&lt;/Authors_Primary&gt;&lt;Authors_Primary&gt;Spencer,R.T.&lt;/Authors_Primary&gt;&lt;Authors_Primary&gt;Hobbs,K.&lt;/Authors_Primary&gt;&lt;Authors_Primary&gt;Fessler,B.J.&lt;/Authors_Primary&gt;&lt;Authors_Primary&gt;Calabrese,L.H.&lt;/Authors_Primary&gt;&lt;Authors_Primary&gt;Moreland,L.W.&lt;/Authors_Primary&gt;&lt;Authors_Primary&gt;Cohen,S.B.&lt;/Authors_Primary&gt;&lt;Authors_Primary&gt;Quarles,B.J.&lt;/Authors_Primary&gt;&lt;Authors_Primary&gt;Strand,V.&lt;/Authors_Primary&gt;&lt;Authors_Primary&gt;Gurwith,M.&lt;/Authors_Primary&gt;&lt;Authors_Primary&gt;Schwartz,K.E.&lt;/Authors_Primary&gt;&lt;Date_Primary&gt;2004/9&lt;/Date_Primary&gt;&lt;Keywords&gt;Adjuvants,Immunologic&lt;/Keywords&gt;&lt;Keywords&gt;Adult&lt;/Keywords&gt;&lt;Keywords&gt;Dehydroepiandrosterone&lt;/Keywords&gt;&lt;Keywords&gt;Double-Blind Method&lt;/Keywords&gt;&lt;Keywords&gt;drug therapy&lt;/Keywords&gt;&lt;Keywords&gt;Female&lt;/Keywords&gt;&lt;Keywords&gt;Humans&lt;/Keywords&gt;&lt;Keywords&gt;Immunosuppressive Agents&lt;/Keywords&gt;&lt;Keywords&gt;Lupus Erythematosus,Systemic&lt;/Keywords&gt;&lt;Keywords&gt;methods&lt;/Keywords&gt;&lt;Keywords&gt;Prospective Studies&lt;/Keywords&gt;&lt;Keywords&gt;Quality of Life&lt;/Keywords&gt;&lt;Keywords&gt;Severity of Illness Index&lt;/Keywords&gt;&lt;Keywords&gt;therapeutic use&lt;/Keywords&gt;&lt;Keywords&gt;therapy&lt;/Keywords&gt;&lt;Keywords&gt;Treatment Outcome&lt;/Keywords&gt;&lt;Reprint&gt;Not in File&lt;/Reprint&gt;&lt;Start_Page&gt;2858&lt;/Start_Page&gt;&lt;End_Page&gt;2868&lt;/End_Page&gt;&lt;Periodical&gt;Arthritis Rheum.&lt;/Periodical&gt;&lt;Volume&gt;50&lt;/Volume&gt;&lt;Issue&gt;9&lt;/Issue&gt;&lt;ZZ_JournalStdAbbrev&gt;&lt;f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(67)</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2004</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Prasterone</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191</w:t>
            </w:r>
            <w:r w:rsidRPr="0004467E">
              <w:rPr>
                <w:color w:val="000000"/>
                <w:sz w:val="18"/>
                <w:szCs w:val="18"/>
              </w:rPr>
              <w:br/>
              <w:t>(127; 64)</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0.7</w:t>
            </w:r>
            <w:r w:rsidRPr="0004467E">
              <w:rPr>
                <w:rFonts w:eastAsia="Times New Roman" w:cs="Times New Roman"/>
                <w:color w:val="000000"/>
                <w:sz w:val="18"/>
                <w:szCs w:val="18"/>
                <w:lang w:eastAsia="zh-CN" w:bidi="ar-SA"/>
              </w:rPr>
              <w:br/>
              <w:t>1.5</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5.3</w:t>
            </w:r>
            <w:r w:rsidRPr="0004467E">
              <w:rPr>
                <w:rFonts w:eastAsia="Times New Roman" w:cs="Times New Roman"/>
                <w:color w:val="000000"/>
                <w:sz w:val="18"/>
                <w:szCs w:val="18"/>
                <w:lang w:eastAsia="zh-CN" w:bidi="ar-SA"/>
              </w:rPr>
              <w:br/>
              <w:t>5.0</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 xml:space="preserve">Tam </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&lt;Refman&gt;&lt;Cite&gt;&lt;Author&gt;Tam&lt;/Author&gt;&lt;Year&gt;2004&lt;/Year&gt;&lt;RecNum&gt;57&lt;/RecNum&gt;&lt;IDText&gt;Double-blind, randomized, placebo-controlled pilot study of leflunomide in systemic lupus erythematosus&lt;/IDText&gt;&lt;MDL Ref_Type="Journal"&gt;&lt;Ref_Type&gt;Journal&lt;/Ref_Type&gt;&lt;Ref_ID&gt;57&lt;/Ref_ID&gt;&lt;Title_Primary&gt;Double-blind, randomized, placebo-controlled pilot study of leflunomide in systemic lupus erythematosus&lt;/Title_Primary&gt;&lt;Authors_Primary&gt;Tam,L.-S.&lt;/Authors_Primary&gt;&lt;Authors_Primary&gt;Li,E.K.&lt;/Authors_Primary&gt;&lt;Authors_Primary&gt;Wong,C.-K.&lt;/Authors_Primary&gt;&lt;Authors_Primary&gt;Lam,C.W.K.&lt;/Authors_Primary&gt;&lt;Authors_Primary&gt;Szeto,C.-C.&lt;/Authors_Primary&gt;&lt;Date_Primary&gt;2004&lt;/Date_Primary&gt;&lt;Keywords&gt;Adult&lt;/Keywords&gt;&lt;Keywords&gt;age&lt;/Keywords&gt;&lt;Keywords&gt;aminotransferase&lt;/Keywords&gt;&lt;Keywords&gt;ec [Endogenous Compound]&lt;/Keywords&gt;&lt;Keywords&gt;article&lt;/Keywords&gt;&lt;Keywords&gt;blood toxicity&lt;/Keywords&gt;&lt;Keywords&gt;si [Side Effect]&lt;/Keywords&gt;&lt;Keywords&gt;Chinese&lt;/Keywords&gt;&lt;Keywords&gt;clinical article&lt;/Keywords&gt;&lt;Keywords&gt;clinical trial&lt;/Keywords&gt;&lt;Keywords&gt;controlled study&lt;/Keywords&gt;&lt;Keywords&gt;diarrhea&lt;/Keywords&gt;&lt;Keywords&gt;si [Side Effect]&lt;/Keywords&gt;&lt;Keywords&gt;Disease&lt;/Keywords&gt;&lt;Keywords&gt;disease activity&lt;/Keywords&gt;&lt;Keywords&gt;disease duration&lt;/Keywords&gt;&lt;Keywords&gt;double blind procedure&lt;/Keywords&gt;&lt;Keywords&gt;double stranded DNA&lt;/Keywords&gt;&lt;Keywords&gt;ec [Endogenous Compound]&lt;/Keywords&gt;&lt;Keywords&gt;erythematosus&lt;/Keywords&gt;&lt;Keywords&gt;Female&lt;/Keywords&gt;&lt;Keywords&gt;Hong Kong&lt;/Keywords&gt;&lt;Keywords&gt;hospital&lt;/Keywords&gt;&lt;Keywords&gt;human&lt;/Keywords&gt;&lt;Keywords&gt;hydroxychloroquine&lt;/Keywords&gt;&lt;Keywords&gt;dt [Drug Therapy]&lt;/Keywords&gt;&lt;Keywords&gt;Hypertension&lt;/Keywords&gt;&lt;Keywords&gt;hypertension&lt;/Keywords&gt;&lt;Keywords&gt;si [Side Effect]&lt;/Keywords&gt;&lt;Keywords&gt;leflunomide&lt;/Keywords&gt;&lt;Keywords&gt;leflunomide&lt;/Keywords&gt;&lt;Keywords&gt;ae [Adverse Drug Reaction]&lt;/Keywords&gt;&lt;Keywords&gt;leflunomide&lt;/Keywords&gt;&lt;Keywords&gt;ct [Clinical Trial]&lt;/Keywords&gt;&lt;Keywords&gt;leflunomide&lt;/Keywords&gt;&lt;Keywords&gt;do [Drug Dose]&lt;/Keywords&gt;&lt;Keywords&gt;leflunomide&lt;/Keywords&gt;&lt;Keywords&gt;dt [Drug Therapy]&lt;/Keywords&gt;&lt;Keywords&gt;leflunomide&lt;/Keywords&gt;&lt;Keywords&gt;pd [Pharmacology]&lt;/Keywords&gt;&lt;Keywords&gt;leflunomide&lt;/Keywords&gt;&lt;Keywords&gt;po [Oral Drug Administration]&lt;/Keywords&gt;&lt;Keywords&gt;Leukopenia&lt;/Keywords&gt;&lt;Keywords&gt;liver dysfunction&lt;/Keywords&gt;&lt;Keywords&gt;si [Side Effect]&lt;/Keywords&gt;&lt;Keywords&gt;lupus erythematosus&lt;/Keywords&gt;&lt;Keywords&gt;Male&lt;/Keywords&gt;&lt;Keywords&gt;methotrexate&lt;/Keywords&gt;&lt;Keywords&gt;nephrotoxicity&lt;/Keywords&gt;&lt;Keywords&gt;si [Side Effect]&lt;/Keywords&gt;&lt;Keywords&gt;nonsteroid antiinflammatory agent&lt;/Keywords&gt;&lt;Keywords&gt;pathology&lt;/Keywords&gt;&lt;Keywords&gt;patient&lt;/Keywords&gt;&lt;Keywords&gt;Patients&lt;/Keywords&gt;&lt;Keywords&gt;pilot study&lt;/Keywords&gt;&lt;Keywords&gt;placebo&lt;/Keywords&gt;&lt;Keywords&gt;Prednisolone&lt;/Keywords&gt;&lt;Keywords&gt;prednisolone&lt;/Keywords&gt;&lt;Keywords&gt;do [Drug Dose]&lt;/Keywords&gt;&lt;Keywords&gt;prednisolone&lt;/Keywords&gt;&lt;Keywords&gt;dt [Drug Therapy]&lt;/Keywords&gt;&lt;Keywords&gt;priority journal&lt;/Keywords&gt;&lt;Keywords&gt;Proteinuria&lt;/Keywords&gt;&lt;Keywords&gt;randomized controlled trial&lt;/Keywords&gt;&lt;Keywords&gt;salazosulfapyridine&lt;/Keywords&gt;&lt;Keywords&gt;systemic lupus erythematosus&lt;/Keywords&gt;&lt;Keywords&gt;systemic lupus erythematosus&lt;/Keywords&gt;&lt;Keywords&gt;dt [Drug Therapy]&lt;/Keywords&gt;&lt;Reprint&gt;Not in File&lt;/Reprint&gt;&lt;Start_Page&gt;2004&lt;/Start_Page&gt;&lt;Periodical&gt;Lupus 1994; 13(8)(pp 601-604),&lt;/Periodical&gt;&lt;User_Def_1&gt;y&lt;/User_Def_1&gt;&lt;ISSN_ISBN&gt;0961-2033&lt;/ISSN_ISBN&gt;&lt;Address&gt;(Tam, Li, Szeto) Dept. of Medicine and Therapeutics, Prince of Wales Hospital, Chinese University of Hong Kong, Shatin, Hong Kong. (Wong, Lam) Department of Chemical Pathology, Prince of Wales Hospital, Chinese University of Hong Kong, Shatin, Hong Kong&lt;/Address&gt;&lt;ZZ_JournalFull&gt;&lt;f name="System"&gt;Lupus 1994; 13(8)(pp 601-604),&lt;/f&gt;&lt;/ZZ_JournalFull&gt;&lt;ZZ_WorkformID&gt;1&lt;/ZZ_WorkformID&gt;&lt;/MDL&gt;&lt;/Cite&gt;&lt;/Refman&gt;</w:instrText>
            </w:r>
            <w:r>
              <w:rPr>
                <w:color w:val="000000"/>
                <w:sz w:val="16"/>
                <w:szCs w:val="16"/>
              </w:rPr>
              <w:fldChar w:fldCharType="separate"/>
            </w:r>
            <w:r w:rsidR="00F12F58">
              <w:rPr>
                <w:color w:val="000000"/>
                <w:sz w:val="16"/>
                <w:szCs w:val="16"/>
              </w:rPr>
              <w:t>(68)</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2004</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leflunomide</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12</w:t>
            </w:r>
            <w:r w:rsidRPr="0004467E">
              <w:rPr>
                <w:color w:val="000000"/>
                <w:sz w:val="18"/>
                <w:szCs w:val="18"/>
              </w:rPr>
              <w:br/>
              <w:t>(6; 6)</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Fortin</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&lt;Refman&gt;&lt;Cite&gt;&lt;Author&gt;Fortin&lt;/Author&gt;&lt;Year&gt;2008&lt;/Year&gt;&lt;RecNum&gt;1432&lt;/RecNum&gt;&lt;IDText&gt;Steroid-sparing effects of methotrexate in systemic lupus erythematosus: A double-blind, randomized, placebo-controlled trial&lt;/IDText&gt;&lt;MDL Ref_Type="Journal"&gt;&lt;Ref_Type&gt;Journal&lt;/Ref_Type&gt;&lt;Ref_ID&gt;1432&lt;/Ref_ID&gt;&lt;Title_Primary&gt;Steroid-sparing effects of methotrexate in systemic lupus erythematosus: A double-blind, randomized, placebo-controlled trial&lt;/Title_Primary&gt;&lt;Authors_Primary&gt;Fortin,P.R.&lt;/Authors_Primary&gt;&lt;Authors_Primary&gt;Abrahamowicz,M.&lt;/Authors_Primary&gt;&lt;Authors_Primary&gt;Ferland,D.&lt;/Authors_Primary&gt;&lt;Authors_Primary&gt;Lacaille,D.&lt;/Authors_Primary&gt;&lt;Authors_Primary&gt;Smith,C.D.&lt;/Authors_Primary&gt;&lt;Authors_Primary&gt;Zummer,M.&lt;/Authors_Primary&gt;&lt;Date_Primary&gt;2008&lt;/Date_Primary&gt;&lt;Keywords&gt;analysis&lt;/Keywords&gt;&lt;Keywords&gt;antimalarial agent&lt;/Keywords&gt;&lt;Keywords&gt;Arthritis&lt;/Keywords&gt;&lt;Keywords&gt;article&lt;/Keywords&gt;&lt;Keywords&gt;Canada&lt;/Keywords&gt;&lt;Keywords&gt;cardiovascular symptom&lt;/Keywords&gt;&lt;Keywords&gt;si [Side Effect]&lt;/Keywords&gt;&lt;Keywords&gt;clinical article&lt;/Keywords&gt;&lt;Keywords&gt;clinical trial&lt;/Keywords&gt;&lt;Keywords&gt;confidence interval&lt;/Keywords&gt;&lt;Keywords&gt;controlled clinical trial&lt;/Keywords&gt;&lt;Keywords&gt;controlled study&lt;/Keywords&gt;&lt;Keywords&gt;Disease&lt;/Keywords&gt;&lt;Keywords&gt;disease activity&lt;/Keywords&gt;&lt;Keywords&gt;drug dose escalation&lt;/Keywords&gt;&lt;Keywords&gt;drug dose reduction&lt;/Keywords&gt;&lt;Keywords&gt;drug effect&lt;/Keywords&gt;&lt;Keywords&gt;erythematosus&lt;/Keywords&gt;&lt;Keywords&gt;Female&lt;/Keywords&gt;&lt;Keywords&gt;folic acid&lt;/Keywords&gt;&lt;Keywords&gt;cb [Drug Combination]&lt;/Keywords&gt;&lt;Keywords&gt;folic acid&lt;/Keywords&gt;&lt;Keywords&gt;ct [Clinical Trial]&lt;/Keywords&gt;&lt;Keywords&gt;folic acid&lt;/Keywords&gt;&lt;Keywords&gt;dt [Drug Therapy]&lt;/Keywords&gt;&lt;Keywords&gt;gastrointestinal symptom&lt;/Keywords&gt;&lt;Keywords&gt;si [Side Effect]&lt;/Keywords&gt;&lt;Keywords&gt;Health&lt;/Keywords&gt;&lt;Keywords&gt;hematologic disease&lt;/Keywords&gt;&lt;Keywords&gt;si [Side Effect]&lt;/Keywords&gt;&lt;Keywords&gt;hospital&lt;/Keywords&gt;&lt;Keywords&gt;human&lt;/Keywords&gt;&lt;Keywords&gt;infection&lt;/Keywords&gt;&lt;Keywords&gt;si [Side Effect]&lt;/Keywords&gt;&lt;Keywords&gt;kidney disease&lt;/Keywords&gt;&lt;Keywords&gt;si [Side Effect]&lt;/Keywords&gt;&lt;Keywords&gt;Linear Models&lt;/Keywords&gt;&lt;Keywords&gt;longitudinal study&lt;/Keywords&gt;&lt;Keywords&gt;lupus erythematosus&lt;/Keywords&gt;&lt;Keywords&gt;Male&lt;/Keywords&gt;&lt;Keywords&gt;mental disease&lt;/Keywords&gt;&lt;Keywords&gt;si [Side Effect]&lt;/Keywords&gt;&lt;Keywords&gt;metabolic disorder&lt;/Keywords&gt;&lt;Keywords&gt;si [Side Effect]&lt;/Keywords&gt;&lt;Keywords&gt;methods&lt;/Keywords&gt;&lt;Keywords&gt;methotrexate&lt;/Keywords&gt;&lt;Keywords&gt;ae [Adverse Drug Reaction]&lt;/Keywords&gt;&lt;Keywords&gt;methotrexate&lt;/Keywords&gt;&lt;Keywords&gt;cb [Drug Combination]&lt;/Keywords&gt;&lt;Keywords&gt;methotrexate&lt;/Keywords&gt;&lt;Keywords&gt;ct [Clinical Trial]&lt;/Keywords&gt;&lt;Keywords&gt;methotrexate&lt;/Keywords&gt;&lt;Keywords&gt;do [Drug Dose]&lt;/Keywords&gt;&lt;Keywords&gt;methotrexate&lt;/Keywords&gt;&lt;Keywords&gt;dt [Drug Therapy]&lt;/Keywords&gt;&lt;Keywords&gt;neurologic disease&lt;/Keywords&gt;&lt;Keywords&gt;si [Side Effect]&lt;/Keywords&gt;&lt;Keywords&gt;patient&lt;/Keywords&gt;&lt;Keywords&gt;patient selection&lt;/Keywords&gt;&lt;Keywords&gt;Patients&lt;/Keywords&gt;&lt;Keywords&gt;placebo&lt;/Keywords&gt;&lt;Keywords&gt;Prednisone&lt;/Keywords&gt;&lt;Keywords&gt;prednisone&lt;/Keywords&gt;&lt;Keywords&gt;ct [Clinical Trial]&lt;/Keywords&gt;&lt;Keywords&gt;prednisone&lt;/Keywords&gt;&lt;Keywords&gt;do [Drug Dose]&lt;/Keywords&gt;&lt;Keywords&gt;prednisone&lt;/Keywords&gt;&lt;Keywords&gt;dt [Drug Therapy]&lt;/Keywords&gt;&lt;Keywords&gt;randomized controlled trial&lt;/Keywords&gt;&lt;Keywords&gt;Research&lt;/Keywords&gt;&lt;Keywords&gt;respiratory tract disease&lt;/Keywords&gt;&lt;Keywords&gt;si [Side Effect]&lt;/Keywords&gt;&lt;Keywords&gt;revised Systemic Lupus Activity Measure&lt;/Keywords&gt;&lt;Keywords&gt;Rheumatology&lt;/Keywords&gt;&lt;Keywords&gt;scoring system&lt;/Keywords&gt;&lt;Keywords&gt;skin disease&lt;/Keywords&gt;&lt;Keywords&gt;si [Side Effect]&lt;/Keywords&gt;&lt;Keywords&gt;systemic lupus erythematosus&lt;/Keywords&gt;&lt;Keywords&gt;systemic lupus erythematosus&lt;/Keywords&gt;&lt;Keywords&gt;dt [Drug Therapy]&lt;/Keywords&gt;&lt;Keywords&gt;Treatment Outcome&lt;/Keywords&gt;&lt;Keywords&gt;unspecified side effect&lt;/Keywords&gt;&lt;Keywords&gt;si [Side Effect]&lt;/Keywords&gt;&lt;Keywords&gt;urogenital tract disease&lt;/Keywords&gt;&lt;Keywords&gt;si [Side Effect]&lt;/Keywords&gt;&lt;Reprint&gt;Not in File&lt;/Reprint&gt;&lt;Start_Page&gt;15&lt;/Start_Page&gt;&lt;Periodical&gt;Arthritis Care and Research 1994; 59(12)(pp 1796-1804),&lt;/Periodical&gt;&lt;User_Def_1&gt;y&lt;/User_Def_1&gt;&lt;ISSN_ISBN&gt;0004-3591&lt;/ISSN_ISBN&gt;&lt;Address&gt;(Fortin) University Health Network, Toronto Western Hospital, Toronto, ON, Canada. (Abrahamowicz) McGill University, Montreal, QC, Canada. (Ferland) University Health Network, Toronto Western Research Institute, Toronto, ON, Canada. (Lacaille) Arthritis Research Centre of Canada, Vancouver, BC, Canada. (Smith) Arthritis Centre, Ottawa Hospital, Ottawa, ON, Canada. (Zummer) Hopital Maisonneuve-Rosemont, Montreal, QC, Canada. (Fortin) MP-10-304, 399 Bathurst Street, Toronto, ON M5T 2S8, Canada&lt;/Address&gt;&lt;ZZ_JournalFull&gt;&lt;f name="System"&gt;Arthritis Care and Research 1994; 59(12)(pp 1796-1804),&lt;/f&gt;&lt;/ZZ_JournalFull&gt;&lt;ZZ_WorkformID&gt;1&lt;/ZZ_WorkformID&gt;&lt;/MDL&gt;&lt;/Cite&gt;&lt;/Refman&gt;</w:instrText>
            </w:r>
            <w:r>
              <w:rPr>
                <w:color w:val="000000"/>
                <w:sz w:val="16"/>
                <w:szCs w:val="16"/>
              </w:rPr>
              <w:fldChar w:fldCharType="separate"/>
            </w:r>
            <w:r w:rsidR="00F12F58">
              <w:rPr>
                <w:color w:val="000000"/>
                <w:sz w:val="16"/>
                <w:szCs w:val="16"/>
              </w:rPr>
              <w:t>(69)</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2008</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methotrexate</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86</w:t>
            </w:r>
            <w:r w:rsidRPr="0004467E">
              <w:rPr>
                <w:color w:val="000000"/>
                <w:sz w:val="18"/>
                <w:szCs w:val="18"/>
              </w:rPr>
              <w:br/>
              <w:t>(41; 45)</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4.9</w:t>
            </w:r>
            <w:r w:rsidRPr="0004467E">
              <w:rPr>
                <w:rFonts w:eastAsia="Times New Roman" w:cs="Times New Roman"/>
                <w:color w:val="000000"/>
                <w:sz w:val="18"/>
                <w:szCs w:val="18"/>
                <w:lang w:eastAsia="zh-CN" w:bidi="ar-SA"/>
              </w:rPr>
              <w:br/>
              <w:t>2.2</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12.2</w:t>
            </w:r>
            <w:r w:rsidRPr="0004467E">
              <w:rPr>
                <w:rFonts w:eastAsia="Times New Roman" w:cs="Times New Roman"/>
                <w:color w:val="000000"/>
                <w:sz w:val="18"/>
                <w:szCs w:val="18"/>
                <w:lang w:eastAsia="zh-CN" w:bidi="ar-SA"/>
              </w:rPr>
              <w:br/>
              <w:t>0</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17.1</w:t>
            </w:r>
            <w:r w:rsidRPr="0004467E">
              <w:rPr>
                <w:rFonts w:eastAsia="Times New Roman" w:cs="Times New Roman"/>
                <w:color w:val="000000"/>
                <w:sz w:val="18"/>
                <w:szCs w:val="18"/>
                <w:lang w:eastAsia="zh-CN" w:bidi="ar-SA"/>
              </w:rPr>
              <w:br/>
              <w:t>22.2</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4.4</w:t>
            </w:r>
            <w:r w:rsidRPr="0004467E">
              <w:rPr>
                <w:rFonts w:eastAsia="Times New Roman" w:cs="Times New Roman"/>
                <w:color w:val="000000"/>
                <w:sz w:val="18"/>
                <w:szCs w:val="18"/>
                <w:lang w:eastAsia="zh-CN" w:bidi="ar-SA"/>
              </w:rPr>
              <w:br/>
              <w:t>4.9</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Abdou</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&lt;Refman&gt;&lt;Cite&gt;&lt;Author&gt;Abdou&lt;/Author&gt;&lt;Year&gt;2008&lt;/Year&gt;&lt;RecNum&gt;120&lt;/RecNum&gt;&lt;IDText&gt;Fulvestrant (Faslodex), an estrogen selective receptor downregulator, in therapy of women with systemic lupus erythematosus. clinical, serologic, bone density, and T cell activation marker studies: a double-blind placebo-controlled trial&lt;/IDText&gt;&lt;MDL Ref_Type="Journal"&gt;&lt;Ref_Type&gt;Journal&lt;/Ref_Type&gt;&lt;Ref_ID&gt;120&lt;/Ref_ID&gt;&lt;Title_Primary&gt;Fulvestrant (Faslodex), an estrogen selective receptor downregulator, in therapy of women with systemic lupus erythematosus. clinical, serologic, bone density, and T cell activation marker studies: a double-blind placebo-controlled trial&lt;/Title_Primary&gt;&lt;Authors_Primary&gt;Abdou,N.I.&lt;/Authors_Primary&gt;&lt;Authors_Primary&gt;Rider,V.&lt;/Authors_Primary&gt;&lt;Authors_Primary&gt;Greenwell,C.&lt;/Authors_Primary&gt;&lt;Authors_Primary&gt;Li,X.&lt;/Authors_Primary&gt;&lt;Authors_Primary&gt;Kimler,B.F.&lt;/Authors_Primary&gt;&lt;Date_Primary&gt;2008/5&lt;/Date_Primary&gt;&lt;Keywords&gt;Adult&lt;/Keywords&gt;&lt;Keywords&gt;analogs &amp;amp; derivatives&lt;/Keywords&gt;&lt;Keywords&gt;Antibodies,Antinuclear&lt;/Keywords&gt;&lt;Keywords&gt;Biological Markers&lt;/Keywords&gt;&lt;Keywords&gt;blood&lt;/Keywords&gt;&lt;Keywords&gt;bone density&lt;/Keywords&gt;&lt;Keywords&gt;Calcineurin&lt;/Keywords&gt;&lt;Keywords&gt;CD40 ligand&lt;/Keywords&gt;&lt;Keywords&gt;Disease&lt;/Keywords&gt;&lt;Keywords&gt;disease activity&lt;/Keywords&gt;&lt;Keywords&gt;disease activity index&lt;/Keywords&gt;&lt;Keywords&gt;Disease Progression&lt;/Keywords&gt;&lt;Keywords&gt;Double-Blind Method&lt;/Keywords&gt;&lt;Keywords&gt;Down-Regulation&lt;/Keywords&gt;&lt;Keywords&gt;drug effects&lt;/Keywords&gt;&lt;Keywords&gt;drug therapy&lt;/Keywords&gt;&lt;Keywords&gt;erythematosus&lt;/Keywords&gt;&lt;Keywords&gt;estradiol&lt;/Keywords&gt;&lt;Keywords&gt;estrogen&lt;/Keywords&gt;&lt;Keywords&gt;Estrogen Antagonists&lt;/Keywords&gt;&lt;Keywords&gt;Estrogens&lt;/Keywords&gt;&lt;Keywords&gt;Female&lt;/Keywords&gt;&lt;Keywords&gt;hormone&lt;/Keywords&gt;&lt;Keywords&gt;hospital&lt;/Keywords&gt;&lt;Keywords&gt;Humans&lt;/Keywords&gt;&lt;Keywords&gt;lupus erythematosus&lt;/Keywords&gt;&lt;Keywords&gt;Lupus Erythematosus,Systemic&lt;/Keywords&gt;&lt;Keywords&gt;metabolism&lt;/Keywords&gt;&lt;Keywords&gt;methods&lt;/Keywords&gt;&lt;Keywords&gt;Middle Aged&lt;/Keywords&gt;&lt;Keywords&gt;patient&lt;/Keywords&gt;&lt;Keywords&gt;Patients&lt;/Keywords&gt;&lt;Keywords&gt;pharmacology&lt;/Keywords&gt;&lt;Keywords&gt;physiology&lt;/Keywords&gt;&lt;Keywords&gt;physiopathology&lt;/Keywords&gt;&lt;Keywords&gt;placebo&lt;/Keywords&gt;&lt;Keywords&gt;Quality of Life&lt;/Keywords&gt;&lt;Keywords&gt;Receptors,Estrogen&lt;/Keywords&gt;&lt;Keywords&gt;RNA,Messenger&lt;/Keywords&gt;&lt;Keywords&gt;Serum&lt;/Keywords&gt;&lt;Keywords&gt;Severity of Illness Index&lt;/Keywords&gt;&lt;Keywords&gt;systemic lupus erythematosus&lt;/Keywords&gt;&lt;Keywords&gt;T-Lymphocytes&lt;/Keywords&gt;&lt;Keywords&gt;therapeutic use&lt;/Keywords&gt;&lt;Keywords&gt;therapy&lt;/Keywords&gt;&lt;Keywords&gt;Women&lt;/Keywords&gt;&lt;Reprint&gt;Not in File&lt;/Reprint&gt;&lt;Start_Page&gt;797&lt;/Start_Page&gt;&lt;Periodical&gt;J.Rheumatol.&lt;/Periodical&gt;&lt;Volume&gt;35&lt;/Volume&gt;&lt;Issue&gt;5&lt;/Issue&gt;&lt;User_Def_1&gt;y&lt;/User_Def_1&gt;&lt;ZZ_JournalStdAbbrev&gt;&lt;f name="System"&gt;J.Rheumatol.&lt;/f&gt;&lt;/ZZ_JournalStdAbbrev&gt;&lt;ZZ_WorkformID&gt;1&lt;/ZZ_WorkformID&gt;&lt;/MDL&gt;&lt;/Cite&gt;&lt;/Refman&gt;</w:instrText>
            </w:r>
            <w:r>
              <w:rPr>
                <w:color w:val="000000"/>
                <w:sz w:val="16"/>
                <w:szCs w:val="16"/>
              </w:rPr>
              <w:fldChar w:fldCharType="separate"/>
            </w:r>
            <w:r w:rsidR="00F12F58">
              <w:rPr>
                <w:color w:val="000000"/>
                <w:sz w:val="16"/>
                <w:szCs w:val="16"/>
              </w:rPr>
              <w:t>(70)</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2008</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fulvestrant</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20</w:t>
            </w:r>
            <w:r w:rsidRPr="0004467E">
              <w:rPr>
                <w:color w:val="000000"/>
                <w:sz w:val="18"/>
                <w:szCs w:val="18"/>
              </w:rPr>
              <w:br/>
              <w:t>(10; 10)</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Uppal</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&lt;Refman&gt;&lt;Cite&gt;&lt;Author&gt;Uppal&lt;/Author&gt;&lt;Year&gt;2009&lt;/Year&gt;&lt;RecNum&gt;108&lt;/RecNum&gt;&lt;IDText&gt;Efficacy and safety of infliximab in active SLE: a pilot study&lt;/IDText&gt;&lt;MDL Ref_Type="Journal"&gt;&lt;Ref_Type&gt;Journal&lt;/Ref_Type&gt;&lt;Ref_ID&gt;108&lt;/Ref_ID&gt;&lt;Title_Primary&gt;Efficacy and safety of infliximab in active SLE: a pilot study&lt;/Title_Primary&gt;&lt;Authors_Primary&gt;Uppal,S.S.&lt;/Authors_Primary&gt;&lt;Authors_Primary&gt;Hayat,S.J.&lt;/Authors_Primary&gt;&lt;Authors_Primary&gt;Raghupathy,R.&lt;/Authors_Primary&gt;&lt;Date_Primary&gt;2009/7&lt;/Date_Primary&gt;&lt;Keywords&gt;Adolescent&lt;/Keywords&gt;&lt;Keywords&gt;Adult&lt;/Keywords&gt;&lt;Keywords&gt;antagonists &amp;amp; inhibitors&lt;/Keywords&gt;&lt;Keywords&gt;Anti-Inflammatory Agents&lt;/Keywords&gt;&lt;Keywords&gt;Antibodies&lt;/Keywords&gt;&lt;Keywords&gt;Antibodies,Monoclonal&lt;/Keywords&gt;&lt;Keywords&gt;body weight&lt;/Keywords&gt;&lt;Keywords&gt;Disease&lt;/Keywords&gt;&lt;Keywords&gt;disease activity&lt;/Keywords&gt;&lt;Keywords&gt;disease activity index&lt;/Keywords&gt;&lt;Keywords&gt;drug therapy&lt;/Keywords&gt;&lt;Keywords&gt;erythematosus&lt;/Keywords&gt;&lt;Keywords&gt;Female&lt;/Keywords&gt;&lt;Keywords&gt;Health&lt;/Keywords&gt;&lt;Keywords&gt;Health Status&lt;/Keywords&gt;&lt;Keywords&gt;hospital&lt;/Keywords&gt;&lt;Keywords&gt;Humans&lt;/Keywords&gt;&lt;Keywords&gt;immunology&lt;/Keywords&gt;&lt;Keywords&gt;Infection&lt;/Keywords&gt;&lt;Keywords&gt;lupus erythematosus&lt;/Keywords&gt;&lt;Keywords&gt;Lupus Erythematosus,Systemic&lt;/Keywords&gt;&lt;Keywords&gt;Necrosis&lt;/Keywords&gt;&lt;Keywords&gt;patient&lt;/Keywords&gt;&lt;Keywords&gt;Patients&lt;/Keywords&gt;&lt;Keywords&gt;physiopathology&lt;/Keywords&gt;&lt;Keywords&gt;Pilot Projects&lt;/Keywords&gt;&lt;Keywords&gt;pilot study&lt;/Keywords&gt;&lt;Keywords&gt;Rheumatology&lt;/Keywords&gt;&lt;Keywords&gt;safety&lt;/Keywords&gt;&lt;Keywords&gt;Serum&lt;/Keywords&gt;&lt;Keywords&gt;statistical significance&lt;/Keywords&gt;&lt;Keywords&gt;systemic lupus erythematosus&lt;/Keywords&gt;&lt;Keywords&gt;systemic lupus erythematosus disease activity index&lt;/Keywords&gt;&lt;Keywords&gt;therapeutic use&lt;/Keywords&gt;&lt;Keywords&gt;therapy&lt;/Keywords&gt;&lt;Keywords&gt;Treatment Outcome&lt;/Keywords&gt;&lt;Keywords&gt;Tumor Necrosis Factor-alpha&lt;/Keywords&gt;&lt;Keywords&gt;Young Adult&lt;/Keywords&gt;&lt;Reprint&gt;Not in File&lt;/Reprint&gt;&lt;Start_Page&gt;690&lt;/Start_Page&gt;&lt;End_Page&gt;697&lt;/End_Page&gt;&lt;Periodical&gt;Lupus.&lt;/Periodical&gt;&lt;Volume&gt;18&lt;/Volume&gt;&lt;Issue&gt;8&lt;/Issue&gt;&lt;User_Def_1&gt;y&lt;/User_Def_1&gt;&lt;ZZ_JournalStdAbbrev&gt;&lt;f name="System"&gt;Lupus.&lt;/f&gt;&lt;/ZZ_JournalStdAbbrev&gt;&lt;ZZ_WorkformID&gt;1&lt;/ZZ_WorkformID&gt;&lt;/MDL&gt;&lt;/Cite&gt;&lt;/Refman&gt;</w:instrText>
            </w:r>
            <w:r>
              <w:rPr>
                <w:color w:val="000000"/>
                <w:sz w:val="16"/>
                <w:szCs w:val="16"/>
              </w:rPr>
              <w:fldChar w:fldCharType="separate"/>
            </w:r>
            <w:r w:rsidR="00F12F58">
              <w:rPr>
                <w:color w:val="000000"/>
                <w:sz w:val="16"/>
                <w:szCs w:val="16"/>
              </w:rPr>
              <w:t>(71)</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2009</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infliximab</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27</w:t>
            </w:r>
            <w:r w:rsidRPr="0004467E">
              <w:rPr>
                <w:color w:val="000000"/>
                <w:sz w:val="18"/>
                <w:szCs w:val="18"/>
              </w:rPr>
              <w:br/>
              <w:t>(9; 18)</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Wallace</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(72)</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2009</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belimumab</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449</w:t>
            </w:r>
            <w:r w:rsidRPr="0004467E">
              <w:rPr>
                <w:color w:val="000000"/>
                <w:sz w:val="18"/>
                <w:szCs w:val="18"/>
              </w:rPr>
              <w:br/>
              <w:t>(336; 113)</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16.1</w:t>
            </w:r>
            <w:r w:rsidRPr="0004467E">
              <w:rPr>
                <w:rFonts w:eastAsia="Times New Roman" w:cs="Times New Roman"/>
                <w:color w:val="000000"/>
                <w:sz w:val="18"/>
                <w:szCs w:val="18"/>
                <w:lang w:eastAsia="zh-CN" w:bidi="ar-SA"/>
              </w:rPr>
              <w:br/>
              <w:t>19.5</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5.1</w:t>
            </w:r>
            <w:r w:rsidRPr="0004467E">
              <w:rPr>
                <w:rFonts w:eastAsia="Times New Roman" w:cs="Times New Roman"/>
                <w:color w:val="000000"/>
                <w:sz w:val="18"/>
                <w:szCs w:val="18"/>
                <w:lang w:eastAsia="zh-CN" w:bidi="ar-SA"/>
              </w:rPr>
              <w:br/>
              <w:t>3.5</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6.0</w:t>
            </w:r>
            <w:r w:rsidRPr="0004467E">
              <w:rPr>
                <w:rFonts w:eastAsia="Times New Roman" w:cs="Times New Roman"/>
                <w:color w:val="000000"/>
                <w:sz w:val="18"/>
                <w:szCs w:val="18"/>
                <w:lang w:eastAsia="zh-CN" w:bidi="ar-SA"/>
              </w:rPr>
              <w:br/>
              <w:t>4.4</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0.01</w:t>
            </w:r>
            <w:r w:rsidRPr="0004467E">
              <w:rPr>
                <w:rFonts w:eastAsia="Times New Roman" w:cs="Times New Roman"/>
                <w:color w:val="000000"/>
                <w:sz w:val="18"/>
                <w:szCs w:val="18"/>
                <w:lang w:eastAsia="zh-CN" w:bidi="ar-SA"/>
              </w:rPr>
              <w:br/>
              <w:t>0.01</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12.5</w:t>
            </w:r>
            <w:r w:rsidRPr="0004467E">
              <w:rPr>
                <w:rFonts w:eastAsia="Times New Roman" w:cs="Times New Roman"/>
                <w:color w:val="000000"/>
                <w:sz w:val="18"/>
                <w:szCs w:val="18"/>
                <w:lang w:eastAsia="zh-CN" w:bidi="ar-SA"/>
              </w:rPr>
              <w:br/>
              <w:t>12.4</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 xml:space="preserve">Merril </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Pr>
                <w:color w:val="000000"/>
                <w:sz w:val="16"/>
                <w:szCs w:val="16"/>
              </w:rPr>
              <w:fldChar w:fldCharType="separate"/>
            </w:r>
            <w:r w:rsidR="00F12F58">
              <w:rPr>
                <w:color w:val="000000"/>
                <w:sz w:val="16"/>
                <w:szCs w:val="16"/>
              </w:rPr>
              <w:t>(61)</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2010</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Abatacept</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175</w:t>
            </w:r>
            <w:r w:rsidRPr="0004467E">
              <w:rPr>
                <w:color w:val="000000"/>
                <w:sz w:val="18"/>
                <w:szCs w:val="18"/>
              </w:rPr>
              <w:br/>
              <w:t>(118;57)</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5.8</w:t>
            </w:r>
            <w:r w:rsidRPr="0004467E">
              <w:rPr>
                <w:rFonts w:eastAsia="Times New Roman" w:cs="Times New Roman"/>
                <w:color w:val="000000"/>
                <w:sz w:val="18"/>
                <w:szCs w:val="18"/>
                <w:lang w:eastAsia="zh-CN" w:bidi="ar-SA"/>
              </w:rPr>
              <w:br/>
              <w:t>3.4</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2.5</w:t>
            </w:r>
            <w:r w:rsidRPr="0004467E">
              <w:rPr>
                <w:rFonts w:eastAsia="Times New Roman" w:cs="Times New Roman"/>
                <w:color w:val="000000"/>
                <w:sz w:val="18"/>
                <w:szCs w:val="18"/>
                <w:lang w:eastAsia="zh-CN" w:bidi="ar-SA"/>
              </w:rPr>
              <w:br/>
              <w:t>1.7</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5.8</w:t>
            </w:r>
            <w:r w:rsidRPr="0004467E">
              <w:rPr>
                <w:rFonts w:eastAsia="Times New Roman" w:cs="Times New Roman"/>
                <w:color w:val="000000"/>
                <w:sz w:val="18"/>
                <w:szCs w:val="18"/>
                <w:lang w:eastAsia="zh-CN" w:bidi="ar-SA"/>
              </w:rPr>
              <w:br/>
              <w:t>1.7</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17.8</w:t>
            </w:r>
            <w:r w:rsidRPr="0004467E">
              <w:rPr>
                <w:rFonts w:eastAsia="Times New Roman" w:cs="Times New Roman"/>
                <w:color w:val="000000"/>
                <w:sz w:val="18"/>
                <w:szCs w:val="18"/>
                <w:lang w:eastAsia="zh-CN" w:bidi="ar-SA"/>
              </w:rPr>
              <w:br/>
              <w:t>21.1</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7.5</w:t>
            </w:r>
            <w:r w:rsidRPr="0004467E">
              <w:rPr>
                <w:rFonts w:eastAsia="Times New Roman" w:cs="Times New Roman"/>
                <w:color w:val="000000"/>
                <w:sz w:val="18"/>
                <w:szCs w:val="18"/>
                <w:lang w:eastAsia="zh-CN" w:bidi="ar-SA"/>
              </w:rPr>
              <w:br/>
              <w:t>15.8</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Griffiths</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&lt;Refman&gt;&lt;Cite&gt;&lt;Author&gt;Griffiths&lt;/Author&gt;&lt;Year&gt;2005&lt;/Year&gt;&lt;RecNum&gt;18&lt;/RecNum&gt;&lt;IDText&gt;Assessment of patients with systemic lupus erythematosus and the use of lupus disease activity indices&lt;/IDText&gt;&lt;MDL Ref_Type="Journal"&gt;&lt;Ref_Type&gt;Journal&lt;/Ref_Type&gt;&lt;Ref_ID&gt;18&lt;/Ref_ID&gt;&lt;Title_Primary&gt;Assessment of patients with systemic lupus erythematosus and the use of lupus disease activity indices&lt;/Title_Primary&gt;&lt;Authors_Primary&gt;Griffiths,B.&lt;/Authors_Primary&gt;&lt;Authors_Primary&gt;Mosca,M.&lt;/Authors_Primary&gt;&lt;Authors_Primary&gt;Gordon,C.&lt;/Authors_Primary&gt;&lt;Date_Primary&gt;2005/10&lt;/Date_Primary&gt;&lt;Keywords&gt;Disease Progression&lt;/Keywords&gt;&lt;Keywords&gt;Humans&lt;/Keywords&gt;&lt;Keywords&gt;Lupus Erythematosus,Systemic&lt;/Keywords&gt;&lt;Keywords&gt;physiopathology&lt;/Keywords&gt;&lt;Keywords&gt;psychology&lt;/Keywords&gt;&lt;Keywords&gt;Quality of Life&lt;/Keywords&gt;&lt;Keywords&gt;Severity of Illness Index&lt;/Keywords&gt;&lt;Keywords&gt;Sickness Impact Profile&lt;/Keywords&gt;&lt;Reprint&gt;Not in File&lt;/Reprint&gt;&lt;Start_Page&gt;685&lt;/Start_Page&gt;&lt;End_Page&gt;708&lt;/End_Page&gt;&lt;Periodical&gt;Best.Pract.Res.Clin.Rheumatol.&lt;/Periodical&gt;&lt;Volume&gt;19&lt;/Volume&gt;&lt;Issue&gt;5&lt;/Issue&gt;&lt;User_Def_1&gt;SLEDAI&lt;/User_Def_1&gt;&lt;User_Def_2&gt;BILAG&lt;/User_Def_2&gt;&lt;ZZ_JournalStdAbbrev&gt;&lt;f name="System"&gt;Best.Pract.Res.Clin.Rheumatol.&lt;/f&gt;&lt;/ZZ_JournalStdAbbrev&gt;&lt;ZZ_WorkformID&gt;1&lt;/ZZ_WorkformID&gt;&lt;/MDL&gt;&lt;/Cite&gt;&lt;/Refman&gt;</w:instrText>
            </w:r>
            <w:r>
              <w:rPr>
                <w:color w:val="000000"/>
                <w:sz w:val="16"/>
                <w:szCs w:val="16"/>
              </w:rPr>
              <w:fldChar w:fldCharType="separate"/>
            </w:r>
            <w:r w:rsidR="00F12F58">
              <w:rPr>
                <w:color w:val="000000"/>
                <w:sz w:val="16"/>
                <w:szCs w:val="16"/>
              </w:rPr>
              <w:t>(46)</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2010</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Ciclosporin</w:t>
            </w:r>
            <w:r w:rsidRPr="0004467E">
              <w:rPr>
                <w:rFonts w:eastAsia="Times New Roman" w:cs="Times New Roman"/>
                <w:color w:val="000000"/>
                <w:sz w:val="18"/>
                <w:szCs w:val="18"/>
                <w:lang w:eastAsia="zh-CN" w:bidi="ar-SA"/>
              </w:rPr>
              <w:br/>
              <w:t>Azathioprine</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89</w:t>
            </w:r>
            <w:r w:rsidRPr="0004467E">
              <w:rPr>
                <w:color w:val="000000"/>
                <w:sz w:val="18"/>
                <w:szCs w:val="18"/>
              </w:rPr>
              <w:br/>
              <w:t>(47;42)</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21.3</w:t>
            </w:r>
            <w:r w:rsidRPr="0004467E">
              <w:rPr>
                <w:rFonts w:eastAsia="Times New Roman" w:cs="Times New Roman"/>
                <w:color w:val="000000"/>
                <w:sz w:val="18"/>
                <w:szCs w:val="18"/>
                <w:lang w:eastAsia="zh-CN" w:bidi="ar-SA"/>
              </w:rPr>
              <w:br/>
              <w:t>20.9</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17.0</w:t>
            </w:r>
            <w:r w:rsidRPr="0004467E">
              <w:rPr>
                <w:rFonts w:eastAsia="Times New Roman" w:cs="Times New Roman"/>
                <w:color w:val="000000"/>
                <w:sz w:val="18"/>
                <w:szCs w:val="18"/>
                <w:lang w:eastAsia="zh-CN" w:bidi="ar-SA"/>
              </w:rPr>
              <w:br/>
              <w:t>16.3</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4.3</w:t>
            </w:r>
            <w:r w:rsidRPr="0004467E">
              <w:rPr>
                <w:rFonts w:eastAsia="Times New Roman" w:cs="Times New Roman"/>
                <w:color w:val="000000"/>
                <w:sz w:val="18"/>
                <w:szCs w:val="18"/>
                <w:lang w:eastAsia="zh-CN" w:bidi="ar-SA"/>
              </w:rPr>
              <w:br/>
              <w:t>11.6</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10.6</w:t>
            </w:r>
            <w:r w:rsidRPr="0004467E">
              <w:rPr>
                <w:rFonts w:eastAsia="Times New Roman" w:cs="Times New Roman"/>
                <w:color w:val="000000"/>
                <w:sz w:val="18"/>
                <w:szCs w:val="18"/>
                <w:lang w:eastAsia="zh-CN" w:bidi="ar-SA"/>
              </w:rPr>
              <w:br/>
              <w:t>9.3</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 xml:space="preserve">Merril  </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(62)</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2010</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Rituximab</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227</w:t>
            </w:r>
            <w:r w:rsidRPr="0004467E">
              <w:rPr>
                <w:color w:val="000000"/>
                <w:sz w:val="18"/>
                <w:szCs w:val="18"/>
              </w:rPr>
              <w:br/>
              <w:t>(169;88)</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37.9</w:t>
            </w:r>
            <w:r w:rsidRPr="0004467E">
              <w:rPr>
                <w:rFonts w:eastAsia="Times New Roman" w:cs="Times New Roman"/>
                <w:color w:val="000000"/>
                <w:sz w:val="18"/>
                <w:szCs w:val="18"/>
                <w:lang w:eastAsia="zh-CN" w:bidi="ar-SA"/>
              </w:rPr>
              <w:br/>
              <w:t>36.4</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9.5</w:t>
            </w:r>
            <w:r w:rsidRPr="0004467E">
              <w:rPr>
                <w:rFonts w:eastAsia="Times New Roman" w:cs="Times New Roman"/>
                <w:color w:val="000000"/>
                <w:sz w:val="18"/>
                <w:szCs w:val="18"/>
                <w:lang w:eastAsia="zh-CN" w:bidi="ar-SA"/>
              </w:rPr>
              <w:br/>
              <w:t>17.0</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11.2</w:t>
            </w:r>
            <w:r w:rsidRPr="0004467E">
              <w:rPr>
                <w:rFonts w:eastAsia="Times New Roman" w:cs="Times New Roman"/>
                <w:color w:val="000000"/>
                <w:sz w:val="18"/>
                <w:szCs w:val="18"/>
                <w:lang w:eastAsia="zh-CN" w:bidi="ar-SA"/>
              </w:rPr>
              <w:br/>
              <w:t>14.7</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NA</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17.7</w:t>
            </w:r>
            <w:r w:rsidRPr="0004467E">
              <w:rPr>
                <w:rFonts w:eastAsia="Times New Roman" w:cs="Times New Roman"/>
                <w:color w:val="000000"/>
                <w:sz w:val="18"/>
                <w:szCs w:val="18"/>
                <w:lang w:eastAsia="zh-CN" w:bidi="ar-SA"/>
              </w:rPr>
              <w:br/>
              <w:t>12.5</w:t>
            </w:r>
          </w:p>
        </w:tc>
      </w:tr>
      <w:tr w:rsidR="00E13EF3" w:rsidRPr="0004467E" w:rsidTr="004E70E9">
        <w:trPr>
          <w:gridAfter w:val="1"/>
          <w:wAfter w:w="200" w:type="dxa"/>
          <w:trHeight w:val="20"/>
        </w:trPr>
        <w:tc>
          <w:tcPr>
            <w:tcW w:w="885" w:type="dxa"/>
            <w:tcBorders>
              <w:top w:val="nil"/>
              <w:left w:val="nil"/>
              <w:bottom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Navarra</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Pr>
                <w:color w:val="000000"/>
                <w:sz w:val="16"/>
                <w:szCs w:val="16"/>
              </w:rPr>
              <w:fldChar w:fldCharType="separate"/>
            </w:r>
            <w:r w:rsidR="00F12F58">
              <w:rPr>
                <w:color w:val="000000"/>
                <w:sz w:val="16"/>
                <w:szCs w:val="16"/>
              </w:rPr>
              <w:t>(74)</w:t>
            </w:r>
            <w:r>
              <w:rPr>
                <w:color w:val="000000"/>
                <w:sz w:val="16"/>
                <w:szCs w:val="16"/>
              </w:rPr>
              <w:fldChar w:fldCharType="end"/>
            </w:r>
          </w:p>
        </w:tc>
        <w:tc>
          <w:tcPr>
            <w:tcW w:w="453" w:type="dxa"/>
            <w:tcBorders>
              <w:top w:val="nil"/>
              <w:left w:val="nil"/>
              <w:bottom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2011</w:t>
            </w:r>
          </w:p>
        </w:tc>
        <w:tc>
          <w:tcPr>
            <w:tcW w:w="1417" w:type="dxa"/>
            <w:tcBorders>
              <w:top w:val="nil"/>
              <w:left w:val="nil"/>
              <w:bottom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Belimumab 1mg</w:t>
            </w:r>
            <w:r w:rsidRPr="0004467E">
              <w:rPr>
                <w:rFonts w:eastAsia="Times New Roman" w:cs="Times New Roman"/>
                <w:color w:val="000000"/>
                <w:sz w:val="18"/>
                <w:szCs w:val="18"/>
                <w:lang w:eastAsia="zh-CN" w:bidi="ar-SA"/>
              </w:rPr>
              <w:br/>
              <w:t>Belimumab 10mg</w:t>
            </w:r>
            <w:r w:rsidRPr="0004467E">
              <w:rPr>
                <w:rFonts w:eastAsia="Times New Roman" w:cs="Times New Roman"/>
                <w:color w:val="000000"/>
                <w:sz w:val="18"/>
                <w:szCs w:val="18"/>
                <w:lang w:eastAsia="zh-CN" w:bidi="ar-SA"/>
              </w:rPr>
              <w:br/>
              <w:t>Placebo</w:t>
            </w:r>
          </w:p>
        </w:tc>
        <w:tc>
          <w:tcPr>
            <w:tcW w:w="907" w:type="dxa"/>
            <w:tcBorders>
              <w:top w:val="nil"/>
              <w:left w:val="nil"/>
              <w:bottom w:val="nil"/>
              <w:right w:val="nil"/>
            </w:tcBorders>
          </w:tcPr>
          <w:p w:rsidR="004E70E9" w:rsidRDefault="00E13EF3" w:rsidP="0049322C">
            <w:pPr>
              <w:spacing w:after="0" w:afterAutospacing="0" w:line="240" w:lineRule="auto"/>
              <w:rPr>
                <w:color w:val="000000"/>
                <w:sz w:val="18"/>
                <w:szCs w:val="18"/>
              </w:rPr>
            </w:pPr>
            <w:r w:rsidRPr="0004467E">
              <w:rPr>
                <w:color w:val="000000"/>
                <w:sz w:val="18"/>
                <w:szCs w:val="18"/>
              </w:rPr>
              <w:t>865</w:t>
            </w:r>
            <w:r w:rsidRPr="0004467E">
              <w:rPr>
                <w:color w:val="000000"/>
                <w:sz w:val="18"/>
                <w:szCs w:val="18"/>
              </w:rPr>
              <w:br/>
              <w:t>(288;290;</w:t>
            </w:r>
          </w:p>
          <w:p w:rsidR="00E13EF3" w:rsidRPr="0004467E" w:rsidRDefault="00E13EF3" w:rsidP="0049322C">
            <w:pPr>
              <w:spacing w:after="0" w:afterAutospacing="0" w:line="240" w:lineRule="auto"/>
              <w:rPr>
                <w:color w:val="000000"/>
                <w:sz w:val="18"/>
                <w:szCs w:val="18"/>
              </w:rPr>
            </w:pPr>
            <w:r w:rsidRPr="0004467E">
              <w:rPr>
                <w:color w:val="000000"/>
                <w:sz w:val="18"/>
                <w:szCs w:val="18"/>
              </w:rPr>
              <w:t>287)</w:t>
            </w:r>
          </w:p>
        </w:tc>
        <w:tc>
          <w:tcPr>
            <w:tcW w:w="766"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16</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14</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13</w:t>
            </w:r>
            <w:r w:rsidR="00454A3C">
              <w:rPr>
                <w:rFonts w:eastAsia="Times New Roman" w:cs="Times New Roman"/>
                <w:color w:val="000000"/>
                <w:sz w:val="18"/>
                <w:szCs w:val="18"/>
                <w:lang w:eastAsia="zh-CN" w:bidi="ar-SA"/>
              </w:rPr>
              <w:t>.0</w:t>
            </w:r>
          </w:p>
        </w:tc>
        <w:tc>
          <w:tcPr>
            <w:tcW w:w="709"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8</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4</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6</w:t>
            </w:r>
            <w:r w:rsidR="00454A3C">
              <w:rPr>
                <w:rFonts w:eastAsia="Times New Roman" w:cs="Times New Roman"/>
                <w:color w:val="000000"/>
                <w:sz w:val="18"/>
                <w:szCs w:val="18"/>
                <w:lang w:eastAsia="zh-CN" w:bidi="ar-SA"/>
              </w:rPr>
              <w:t>.0</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5.5</w:t>
            </w:r>
            <w:r w:rsidRPr="0004467E">
              <w:rPr>
                <w:rFonts w:eastAsia="Times New Roman" w:cs="Times New Roman"/>
                <w:color w:val="000000"/>
                <w:sz w:val="18"/>
                <w:szCs w:val="18"/>
                <w:lang w:eastAsia="zh-CN" w:bidi="ar-SA"/>
              </w:rPr>
              <w:br/>
              <w:t>5.2</w:t>
            </w:r>
            <w:r w:rsidRPr="0004467E">
              <w:rPr>
                <w:rFonts w:eastAsia="Times New Roman" w:cs="Times New Roman"/>
                <w:color w:val="000000"/>
                <w:sz w:val="18"/>
                <w:szCs w:val="18"/>
                <w:lang w:eastAsia="zh-CN" w:bidi="ar-SA"/>
              </w:rPr>
              <w:br/>
              <w:t>6.6</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4.2</w:t>
            </w:r>
            <w:r w:rsidRPr="0004467E">
              <w:rPr>
                <w:rFonts w:eastAsia="Times New Roman" w:cs="Times New Roman"/>
                <w:color w:val="000000"/>
                <w:sz w:val="18"/>
                <w:szCs w:val="18"/>
                <w:lang w:eastAsia="zh-CN" w:bidi="ar-SA"/>
              </w:rPr>
              <w:br/>
              <w:t>4.1</w:t>
            </w:r>
            <w:r w:rsidRPr="0004467E">
              <w:rPr>
                <w:rFonts w:eastAsia="Times New Roman" w:cs="Times New Roman"/>
                <w:color w:val="000000"/>
                <w:sz w:val="18"/>
                <w:szCs w:val="18"/>
                <w:lang w:eastAsia="zh-CN" w:bidi="ar-SA"/>
              </w:rPr>
              <w:br/>
              <w:t>5.6</w:t>
            </w:r>
          </w:p>
        </w:tc>
        <w:tc>
          <w:tcPr>
            <w:tcW w:w="1020" w:type="dxa"/>
            <w:tcBorders>
              <w:top w:val="nil"/>
              <w:left w:val="nil"/>
              <w:bottom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6.9</w:t>
            </w:r>
            <w:r w:rsidRPr="0004467E">
              <w:rPr>
                <w:rFonts w:eastAsia="Times New Roman" w:cs="Times New Roman"/>
                <w:color w:val="000000"/>
                <w:sz w:val="18"/>
                <w:szCs w:val="18"/>
                <w:lang w:eastAsia="zh-CN" w:bidi="ar-SA"/>
              </w:rPr>
              <w:br/>
              <w:t>7.6</w:t>
            </w:r>
            <w:r w:rsidRPr="0004467E">
              <w:rPr>
                <w:rFonts w:eastAsia="Times New Roman" w:cs="Times New Roman"/>
                <w:color w:val="000000"/>
                <w:sz w:val="18"/>
                <w:szCs w:val="18"/>
                <w:lang w:eastAsia="zh-CN" w:bidi="ar-SA"/>
              </w:rPr>
              <w:br/>
              <w:t>9.1</w:t>
            </w:r>
          </w:p>
        </w:tc>
      </w:tr>
      <w:tr w:rsidR="00E13EF3" w:rsidRPr="0004467E" w:rsidTr="004E70E9">
        <w:trPr>
          <w:gridAfter w:val="1"/>
          <w:wAfter w:w="200" w:type="dxa"/>
          <w:trHeight w:val="20"/>
        </w:trPr>
        <w:tc>
          <w:tcPr>
            <w:tcW w:w="885" w:type="dxa"/>
            <w:tcBorders>
              <w:top w:val="nil"/>
              <w:left w:val="nil"/>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Furie</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Pr>
                <w:color w:val="000000"/>
                <w:sz w:val="16"/>
                <w:szCs w:val="16"/>
              </w:rPr>
              <w:fldChar w:fldCharType="separate"/>
            </w:r>
            <w:r w:rsidR="00F12F58">
              <w:rPr>
                <w:color w:val="000000"/>
                <w:sz w:val="16"/>
                <w:szCs w:val="16"/>
              </w:rPr>
              <w:t>(75)</w:t>
            </w:r>
            <w:r>
              <w:rPr>
                <w:color w:val="000000"/>
                <w:sz w:val="16"/>
                <w:szCs w:val="16"/>
              </w:rPr>
              <w:fldChar w:fldCharType="end"/>
            </w:r>
          </w:p>
        </w:tc>
        <w:tc>
          <w:tcPr>
            <w:tcW w:w="453" w:type="dxa"/>
            <w:tcBorders>
              <w:top w:val="nil"/>
              <w:left w:val="nil"/>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2011</w:t>
            </w:r>
          </w:p>
        </w:tc>
        <w:tc>
          <w:tcPr>
            <w:tcW w:w="1417" w:type="dxa"/>
            <w:tcBorders>
              <w:top w:val="nil"/>
              <w:left w:val="nil"/>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Belimumab 1mg</w:t>
            </w:r>
            <w:r w:rsidRPr="0004467E">
              <w:rPr>
                <w:rFonts w:eastAsia="Times New Roman" w:cs="Times New Roman"/>
                <w:color w:val="000000"/>
                <w:sz w:val="18"/>
                <w:szCs w:val="18"/>
                <w:lang w:eastAsia="zh-CN" w:bidi="ar-SA"/>
              </w:rPr>
              <w:br/>
              <w:t>Belimumab 10mg</w:t>
            </w:r>
            <w:r w:rsidRPr="0004467E">
              <w:rPr>
                <w:rFonts w:eastAsia="Times New Roman" w:cs="Times New Roman"/>
                <w:color w:val="000000"/>
                <w:sz w:val="18"/>
                <w:szCs w:val="18"/>
                <w:lang w:eastAsia="zh-CN" w:bidi="ar-SA"/>
              </w:rPr>
              <w:br/>
              <w:t>Placebo</w:t>
            </w:r>
          </w:p>
        </w:tc>
        <w:tc>
          <w:tcPr>
            <w:tcW w:w="907" w:type="dxa"/>
            <w:tcBorders>
              <w:top w:val="nil"/>
              <w:left w:val="nil"/>
              <w:right w:val="nil"/>
            </w:tcBorders>
          </w:tcPr>
          <w:p w:rsidR="004E70E9" w:rsidRDefault="00E13EF3" w:rsidP="0049322C">
            <w:pPr>
              <w:spacing w:after="0" w:afterAutospacing="0" w:line="240" w:lineRule="auto"/>
              <w:rPr>
                <w:color w:val="000000"/>
                <w:sz w:val="18"/>
                <w:szCs w:val="18"/>
              </w:rPr>
            </w:pPr>
            <w:r w:rsidRPr="0004467E">
              <w:rPr>
                <w:color w:val="000000"/>
                <w:sz w:val="18"/>
                <w:szCs w:val="18"/>
              </w:rPr>
              <w:t>819</w:t>
            </w:r>
            <w:r w:rsidRPr="0004467E">
              <w:rPr>
                <w:color w:val="000000"/>
                <w:sz w:val="18"/>
                <w:szCs w:val="18"/>
              </w:rPr>
              <w:br/>
              <w:t>(275;271;</w:t>
            </w:r>
          </w:p>
          <w:p w:rsidR="00E13EF3" w:rsidRPr="0004467E" w:rsidRDefault="00E13EF3" w:rsidP="0049322C">
            <w:pPr>
              <w:spacing w:after="0" w:afterAutospacing="0" w:line="240" w:lineRule="auto"/>
              <w:rPr>
                <w:color w:val="000000"/>
                <w:sz w:val="18"/>
                <w:szCs w:val="18"/>
              </w:rPr>
            </w:pPr>
            <w:r w:rsidRPr="0004467E">
              <w:rPr>
                <w:color w:val="000000"/>
                <w:sz w:val="18"/>
                <w:szCs w:val="18"/>
              </w:rPr>
              <w:t>273)</w:t>
            </w:r>
          </w:p>
        </w:tc>
        <w:tc>
          <w:tcPr>
            <w:tcW w:w="766" w:type="dxa"/>
            <w:tcBorders>
              <w:top w:val="nil"/>
              <w:left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18.9</w:t>
            </w:r>
            <w:r w:rsidRPr="0004467E">
              <w:rPr>
                <w:rFonts w:eastAsia="Times New Roman" w:cs="Times New Roman"/>
                <w:color w:val="000000"/>
                <w:sz w:val="18"/>
                <w:szCs w:val="18"/>
                <w:lang w:eastAsia="zh-CN" w:bidi="ar-SA"/>
              </w:rPr>
              <w:br/>
              <w:t>19.8</w:t>
            </w:r>
            <w:r w:rsidRPr="0004467E">
              <w:rPr>
                <w:rFonts w:eastAsia="Times New Roman" w:cs="Times New Roman"/>
                <w:color w:val="000000"/>
                <w:sz w:val="18"/>
                <w:szCs w:val="18"/>
                <w:lang w:eastAsia="zh-CN" w:bidi="ar-SA"/>
              </w:rPr>
              <w:br/>
              <w:t>18.8</w:t>
            </w:r>
          </w:p>
        </w:tc>
        <w:tc>
          <w:tcPr>
            <w:tcW w:w="709" w:type="dxa"/>
            <w:tcBorders>
              <w:top w:val="nil"/>
              <w:left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7.0</w:t>
            </w:r>
            <w:r w:rsidRPr="0004467E">
              <w:rPr>
                <w:rFonts w:eastAsia="Times New Roman" w:cs="Times New Roman"/>
                <w:color w:val="000000"/>
                <w:sz w:val="18"/>
                <w:szCs w:val="18"/>
                <w:lang w:eastAsia="zh-CN" w:bidi="ar-SA"/>
              </w:rPr>
              <w:br/>
              <w:t>7.3</w:t>
            </w:r>
            <w:r w:rsidRPr="0004467E">
              <w:rPr>
                <w:rFonts w:eastAsia="Times New Roman" w:cs="Times New Roman"/>
                <w:color w:val="000000"/>
                <w:sz w:val="18"/>
                <w:szCs w:val="18"/>
                <w:lang w:eastAsia="zh-CN" w:bidi="ar-SA"/>
              </w:rPr>
              <w:br/>
              <w:t>5.3</w:t>
            </w:r>
          </w:p>
        </w:tc>
        <w:tc>
          <w:tcPr>
            <w:tcW w:w="1020" w:type="dxa"/>
            <w:tcBorders>
              <w:top w:val="nil"/>
              <w:left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6.6</w:t>
            </w:r>
            <w:r w:rsidRPr="0004467E">
              <w:rPr>
                <w:rFonts w:eastAsia="Times New Roman" w:cs="Times New Roman"/>
                <w:color w:val="000000"/>
                <w:sz w:val="18"/>
                <w:szCs w:val="18"/>
                <w:lang w:eastAsia="zh-CN" w:bidi="ar-SA"/>
              </w:rPr>
              <w:br/>
              <w:t>8.4</w:t>
            </w:r>
            <w:r w:rsidRPr="0004467E">
              <w:rPr>
                <w:rFonts w:eastAsia="Times New Roman" w:cs="Times New Roman"/>
                <w:color w:val="000000"/>
                <w:sz w:val="18"/>
                <w:szCs w:val="18"/>
                <w:lang w:eastAsia="zh-CN" w:bidi="ar-SA"/>
              </w:rPr>
              <w:br/>
              <w:t>8.4</w:t>
            </w:r>
          </w:p>
        </w:tc>
        <w:tc>
          <w:tcPr>
            <w:tcW w:w="1020" w:type="dxa"/>
            <w:tcBorders>
              <w:top w:val="nil"/>
              <w:left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4.4</w:t>
            </w:r>
            <w:r w:rsidRPr="0004467E">
              <w:rPr>
                <w:rFonts w:eastAsia="Times New Roman" w:cs="Times New Roman"/>
                <w:color w:val="000000"/>
                <w:sz w:val="18"/>
                <w:szCs w:val="18"/>
                <w:lang w:eastAsia="zh-CN" w:bidi="ar-SA"/>
              </w:rPr>
              <w:br/>
              <w:t>6.2</w:t>
            </w:r>
            <w:r w:rsidRPr="0004467E">
              <w:rPr>
                <w:rFonts w:eastAsia="Times New Roman" w:cs="Times New Roman"/>
                <w:color w:val="000000"/>
                <w:sz w:val="18"/>
                <w:szCs w:val="18"/>
                <w:lang w:eastAsia="zh-CN" w:bidi="ar-SA"/>
              </w:rPr>
              <w:br/>
              <w:t>7.3</w:t>
            </w:r>
          </w:p>
        </w:tc>
        <w:tc>
          <w:tcPr>
            <w:tcW w:w="1020" w:type="dxa"/>
            <w:tcBorders>
              <w:top w:val="nil"/>
              <w:left w:val="nil"/>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15.4</w:t>
            </w:r>
            <w:r w:rsidRPr="0004467E">
              <w:rPr>
                <w:rFonts w:eastAsia="Times New Roman" w:cs="Times New Roman"/>
                <w:color w:val="000000"/>
                <w:sz w:val="18"/>
                <w:szCs w:val="18"/>
                <w:lang w:eastAsia="zh-CN" w:bidi="ar-SA"/>
              </w:rPr>
              <w:br/>
              <w:t>15.4</w:t>
            </w:r>
            <w:r w:rsidRPr="0004467E">
              <w:rPr>
                <w:rFonts w:eastAsia="Times New Roman" w:cs="Times New Roman"/>
                <w:color w:val="000000"/>
                <w:sz w:val="18"/>
                <w:szCs w:val="18"/>
                <w:lang w:eastAsia="zh-CN" w:bidi="ar-SA"/>
              </w:rPr>
              <w:br/>
              <w:t>17.4</w:t>
            </w:r>
          </w:p>
        </w:tc>
      </w:tr>
      <w:tr w:rsidR="00E13EF3" w:rsidRPr="0004467E" w:rsidTr="004E70E9">
        <w:trPr>
          <w:gridAfter w:val="1"/>
          <w:wAfter w:w="200" w:type="dxa"/>
          <w:trHeight w:val="20"/>
        </w:trPr>
        <w:tc>
          <w:tcPr>
            <w:tcW w:w="885" w:type="dxa"/>
            <w:tcBorders>
              <w:top w:val="nil"/>
              <w:left w:val="nil"/>
              <w:bottom w:val="single" w:sz="4" w:space="0" w:color="auto"/>
              <w:right w:val="nil"/>
            </w:tcBorders>
            <w:shd w:val="clear" w:color="auto" w:fill="auto"/>
            <w:hideMark/>
          </w:tcPr>
          <w:p w:rsidR="00E13EF3" w:rsidRDefault="00E13EF3" w:rsidP="00470169">
            <w:pPr>
              <w:spacing w:after="0" w:afterAutospacing="0" w:line="240" w:lineRule="auto"/>
              <w:rPr>
                <w:color w:val="000000"/>
                <w:sz w:val="16"/>
                <w:szCs w:val="16"/>
              </w:rPr>
            </w:pPr>
            <w:r w:rsidRPr="004F678A">
              <w:rPr>
                <w:color w:val="000000"/>
                <w:sz w:val="16"/>
                <w:szCs w:val="16"/>
              </w:rPr>
              <w:t>Merrill</w:t>
            </w:r>
          </w:p>
          <w:p w:rsidR="00E13EF3" w:rsidRPr="004F678A" w:rsidRDefault="00E729BA" w:rsidP="00470169">
            <w:pPr>
              <w:spacing w:after="0" w:afterAutospacing="0" w:line="240" w:lineRule="auto"/>
              <w:rPr>
                <w:color w:val="000000"/>
                <w:sz w:val="16"/>
                <w:szCs w:val="16"/>
              </w:rPr>
            </w:pPr>
            <w:r>
              <w:rPr>
                <w:color w:val="000000"/>
                <w:sz w:val="16"/>
                <w:szCs w:val="16"/>
              </w:rPr>
              <w:fldChar w:fldCharType="begin"/>
            </w:r>
            <w:r w:rsidR="00FC61FD">
              <w:rPr>
                <w:color w:val="000000"/>
                <w:sz w:val="16"/>
                <w:szCs w:val="16"/>
              </w:rPr>
              <w:instrText xml:space="preserve"> ADDIN REFMGR.CITE &lt;Refman&gt;&lt;Cite&gt;&lt;Author&gt;Merrill&lt;/Author&gt;&lt;Year&gt;2011&lt;/Year&gt;&lt;RecNum&gt;1640&lt;/RecNum&gt;&lt;IDText&gt;Safety profile and clinical activity of sifalimumab, a fully human anti-interferon alpha monoclonal antibody, in systemic lupus erythematosus: a phase I, multicentre, double-blind randomised study&lt;/IDText&gt;&lt;MDL Ref_Type="Journal"&gt;&lt;Ref_Type&gt;Journal&lt;/Ref_Type&gt;&lt;Ref_ID&gt;1640&lt;/Ref_ID&gt;&lt;Title_Primary&gt;Safety profile and clinical activity of sifalimumab, a fully human anti-interferon alpha monoclonal antibody, in systemic lupus erythematosus: a phase I, multicentre, double-blind randomised study&lt;/Title_Primary&gt;&lt;Authors_Primary&gt;Merrill,J.T.&lt;/Authors_Primary&gt;&lt;Authors_Primary&gt;Wallace,D.J.&lt;/Authors_Primary&gt;&lt;Authors_Primary&gt;Petri,M.&lt;/Authors_Primary&gt;&lt;Authors_Primary&gt;Kirou,K.A.&lt;/Authors_Primary&gt;&lt;Authors_Primary&gt;Yao,Y.&lt;/Authors_Primary&gt;&lt;Authors_Primary&gt;White,W.I.&lt;/Authors_Primary&gt;&lt;Authors_Primary&gt;Robbie,G.&lt;/Authors_Primary&gt;&lt;Authors_Primary&gt;Levin,R.&lt;/Authors_Primary&gt;&lt;Authors_Primary&gt;Berney,S.M.&lt;/Authors_Primary&gt;&lt;Authors_Primary&gt;Chindalore,V.&lt;/Authors_Primary&gt;&lt;Authors_Primary&gt;Olsen,N.&lt;/Authors_Primary&gt;&lt;Authors_Primary&gt;Richman,L.&lt;/Authors_Primary&gt;&lt;Authors_Primary&gt;Le,C.&lt;/Authors_Primary&gt;&lt;Authors_Primary&gt;Jallal,B.&lt;/Authors_Primary&gt;&lt;Authors_Primary&gt;White,B.&lt;/Authors_Primary&gt;&lt;Date_Primary&gt;2011/11&lt;/Date_Primary&gt;&lt;Keywords&gt;administration &amp;amp; dosage&lt;/Keywords&gt;&lt;Keywords&gt;Adult&lt;/Keywords&gt;&lt;Keywords&gt;adverse effects&lt;/Keywords&gt;&lt;Keywords&gt;Aged&lt;/Keywords&gt;&lt;Keywords&gt;Aged,80 and over&lt;/Keywords&gt;&lt;Keywords&gt;antagonists &amp;amp; inhibitors&lt;/Keywords&gt;&lt;Keywords&gt;Antibodies&lt;/Keywords&gt;&lt;Keywords&gt;Antibodies,Monoclonal&lt;/Keywords&gt;&lt;Keywords&gt;biosynthesis&lt;/Keywords&gt;&lt;Keywords&gt;blood&lt;/Keywords&gt;&lt;Keywords&gt;Disease&lt;/Keywords&gt;&lt;Keywords&gt;disease activity&lt;/Keywords&gt;&lt;Keywords&gt;disease activity index&lt;/Keywords&gt;&lt;Keywords&gt;Dose-Response Relationship,Drug&lt;/Keywords&gt;&lt;Keywords&gt;Double-Blind Method&lt;/Keywords&gt;&lt;Keywords&gt;drug effects&lt;/Keywords&gt;&lt;Keywords&gt;drug therapy&lt;/Keywords&gt;&lt;Keywords&gt;erythematosus&lt;/Keywords&gt;&lt;Keywords&gt;Female&lt;/Keywords&gt;&lt;Keywords&gt;Gene Expression Regulation&lt;/Keywords&gt;&lt;Keywords&gt;genetics&lt;/Keywords&gt;&lt;Keywords&gt;human&lt;/Keywords&gt;&lt;Keywords&gt;Humans&lt;/Keywords&gt;&lt;Keywords&gt;immunogenicity&lt;/Keywords&gt;&lt;Keywords&gt;immunology&lt;/Keywords&gt;&lt;Keywords&gt;Immunosuppressive Agents&lt;/Keywords&gt;&lt;Keywords&gt;Infection&lt;/Keywords&gt;&lt;Keywords&gt;Injections,Intravenous&lt;/Keywords&gt;&lt;Keywords&gt;Interferon Type I&lt;/Keywords&gt;&lt;Keywords&gt;Interferon-alpha&lt;/Keywords&gt;&lt;Keywords&gt;lupus erythematosus&lt;/Keywords&gt;&lt;Keywords&gt;Lupus Erythematosus,Systemic&lt;/Keywords&gt;&lt;Keywords&gt;Male&lt;/Keywords&gt;&lt;Keywords&gt;medical research&lt;/Keywords&gt;&lt;Keywords&gt;methods&lt;/Keywords&gt;&lt;Keywords&gt;Middle Aged&lt;/Keywords&gt;&lt;Keywords&gt;pathogenesis&lt;/Keywords&gt;&lt;Keywords&gt;pharmacology&lt;/Keywords&gt;&lt;Keywords&gt;placebo&lt;/Keywords&gt;&lt;Keywords&gt;Research&lt;/Keywords&gt;&lt;Keywords&gt;RNA,Messenger&lt;/Keywords&gt;&lt;Keywords&gt;safety&lt;/Keywords&gt;&lt;Keywords&gt;Severity of Illness Index&lt;/Keywords&gt;&lt;Keywords&gt;Skin&lt;/Keywords&gt;&lt;Keywords&gt;systemic lupus erythematosus&lt;/Keywords&gt;&lt;Keywords&gt;systemic lupus erythematosus disease activity index&lt;/Keywords&gt;&lt;Keywords&gt;therapeutic use&lt;/Keywords&gt;&lt;Keywords&gt;Treatment Outcome&lt;/Keywords&gt;&lt;Keywords&gt;trends&lt;/Keywords&gt;&lt;Keywords&gt;Young Adult&lt;/Keywords&gt;&lt;Reprint&gt;Not in File&lt;/Reprint&gt;&lt;Start_Page&gt;1905&lt;/Start_Page&gt;&lt;End_Page&gt;1913&lt;/End_Page&gt;&lt;Periodical&gt;Ann.Rheum.Dis.&lt;/Periodical&gt;&lt;Volume&gt;70&lt;/Volume&gt;&lt;Issue&gt;11&lt;/Issue&gt;&lt;ZZ_JournalStdAbbrev&gt;&lt;f name="System"&gt;Ann.Rheum.Dis.&lt;/f&gt;&lt;/ZZ_JournalStdAbbrev&gt;&lt;ZZ_WorkformID&gt;1&lt;/ZZ_WorkformID&gt;&lt;/MDL&gt;&lt;/Cite&gt;&lt;/Refman&gt;</w:instrText>
            </w:r>
            <w:r>
              <w:rPr>
                <w:color w:val="000000"/>
                <w:sz w:val="16"/>
                <w:szCs w:val="16"/>
              </w:rPr>
              <w:fldChar w:fldCharType="separate"/>
            </w:r>
            <w:r w:rsidR="00F12F58">
              <w:rPr>
                <w:color w:val="000000"/>
                <w:sz w:val="16"/>
                <w:szCs w:val="16"/>
              </w:rPr>
              <w:t>(76)</w:t>
            </w:r>
            <w:r>
              <w:rPr>
                <w:color w:val="000000"/>
                <w:sz w:val="16"/>
                <w:szCs w:val="16"/>
              </w:rPr>
              <w:fldChar w:fldCharType="end"/>
            </w:r>
          </w:p>
        </w:tc>
        <w:tc>
          <w:tcPr>
            <w:tcW w:w="453" w:type="dxa"/>
            <w:tcBorders>
              <w:top w:val="nil"/>
              <w:left w:val="nil"/>
              <w:bottom w:val="single" w:sz="4" w:space="0" w:color="auto"/>
              <w:right w:val="nil"/>
            </w:tcBorders>
            <w:shd w:val="clear" w:color="auto" w:fill="auto"/>
            <w:hideMark/>
          </w:tcPr>
          <w:p w:rsidR="00E13EF3" w:rsidRPr="0004467E" w:rsidRDefault="00E13EF3" w:rsidP="0049322C">
            <w:pPr>
              <w:spacing w:after="0" w:afterAutospacing="0" w:line="240" w:lineRule="auto"/>
              <w:jc w:val="center"/>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2011</w:t>
            </w:r>
          </w:p>
        </w:tc>
        <w:tc>
          <w:tcPr>
            <w:tcW w:w="1417" w:type="dxa"/>
            <w:tcBorders>
              <w:top w:val="nil"/>
              <w:left w:val="nil"/>
              <w:bottom w:val="single" w:sz="4" w:space="0" w:color="auto"/>
              <w:right w:val="nil"/>
            </w:tcBorders>
            <w:shd w:val="clear" w:color="auto" w:fill="auto"/>
            <w:hideMark/>
          </w:tcPr>
          <w:p w:rsidR="00E13EF3" w:rsidRPr="0004467E" w:rsidRDefault="00E13EF3" w:rsidP="0049322C">
            <w:pPr>
              <w:spacing w:after="0" w:afterAutospacing="0" w:line="240" w:lineRule="auto"/>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Sifalimumab</w:t>
            </w:r>
            <w:r w:rsidRPr="0004467E">
              <w:rPr>
                <w:rFonts w:eastAsia="Times New Roman" w:cs="Times New Roman"/>
                <w:color w:val="000000"/>
                <w:sz w:val="18"/>
                <w:szCs w:val="18"/>
                <w:lang w:eastAsia="zh-CN" w:bidi="ar-SA"/>
              </w:rPr>
              <w:br/>
              <w:t>Placebo</w:t>
            </w:r>
          </w:p>
        </w:tc>
        <w:tc>
          <w:tcPr>
            <w:tcW w:w="907" w:type="dxa"/>
            <w:tcBorders>
              <w:top w:val="nil"/>
              <w:left w:val="nil"/>
              <w:bottom w:val="single" w:sz="4" w:space="0" w:color="auto"/>
              <w:right w:val="nil"/>
            </w:tcBorders>
          </w:tcPr>
          <w:p w:rsidR="00E13EF3" w:rsidRPr="0004467E" w:rsidRDefault="00E13EF3" w:rsidP="0049322C">
            <w:pPr>
              <w:spacing w:after="0" w:afterAutospacing="0" w:line="240" w:lineRule="auto"/>
              <w:rPr>
                <w:color w:val="000000"/>
                <w:sz w:val="18"/>
                <w:szCs w:val="18"/>
              </w:rPr>
            </w:pPr>
            <w:r w:rsidRPr="0004467E">
              <w:rPr>
                <w:color w:val="000000"/>
                <w:sz w:val="18"/>
                <w:szCs w:val="18"/>
              </w:rPr>
              <w:t>50</w:t>
            </w:r>
            <w:r w:rsidRPr="0004467E">
              <w:rPr>
                <w:color w:val="000000"/>
                <w:sz w:val="18"/>
                <w:szCs w:val="18"/>
              </w:rPr>
              <w:br/>
              <w:t>(33:17)</w:t>
            </w:r>
          </w:p>
        </w:tc>
        <w:tc>
          <w:tcPr>
            <w:tcW w:w="766" w:type="dxa"/>
            <w:tcBorders>
              <w:top w:val="nil"/>
              <w:left w:val="nil"/>
              <w:bottom w:val="single" w:sz="4" w:space="0" w:color="auto"/>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3</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12</w:t>
            </w:r>
            <w:r w:rsidR="00454A3C">
              <w:rPr>
                <w:rFonts w:eastAsia="Times New Roman" w:cs="Times New Roman"/>
                <w:color w:val="000000"/>
                <w:sz w:val="18"/>
                <w:szCs w:val="18"/>
                <w:lang w:eastAsia="zh-CN" w:bidi="ar-SA"/>
              </w:rPr>
              <w:t>.0</w:t>
            </w:r>
          </w:p>
        </w:tc>
        <w:tc>
          <w:tcPr>
            <w:tcW w:w="709" w:type="dxa"/>
            <w:tcBorders>
              <w:top w:val="nil"/>
              <w:left w:val="nil"/>
              <w:bottom w:val="single" w:sz="4" w:space="0" w:color="auto"/>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39</w:t>
            </w:r>
            <w:r w:rsidR="00454A3C">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41</w:t>
            </w:r>
            <w:r w:rsidR="00454A3C">
              <w:rPr>
                <w:rFonts w:eastAsia="Times New Roman" w:cs="Times New Roman"/>
                <w:color w:val="000000"/>
                <w:sz w:val="18"/>
                <w:szCs w:val="18"/>
                <w:lang w:eastAsia="zh-CN" w:bidi="ar-SA"/>
              </w:rPr>
              <w:t>.0</w:t>
            </w:r>
          </w:p>
        </w:tc>
        <w:tc>
          <w:tcPr>
            <w:tcW w:w="1020" w:type="dxa"/>
            <w:tcBorders>
              <w:top w:val="nil"/>
              <w:left w:val="nil"/>
              <w:bottom w:val="single" w:sz="4" w:space="0" w:color="auto"/>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0</w:t>
            </w:r>
          </w:p>
        </w:tc>
        <w:tc>
          <w:tcPr>
            <w:tcW w:w="1020" w:type="dxa"/>
            <w:tcBorders>
              <w:top w:val="nil"/>
              <w:left w:val="nil"/>
              <w:bottom w:val="single" w:sz="4" w:space="0" w:color="auto"/>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1</w:t>
            </w:r>
            <w:r w:rsidR="00454A3C">
              <w:rPr>
                <w:rFonts w:eastAsia="Times New Roman" w:cs="Times New Roman"/>
                <w:color w:val="000000"/>
                <w:sz w:val="18"/>
                <w:szCs w:val="18"/>
                <w:lang w:eastAsia="zh-CN" w:bidi="ar-SA"/>
              </w:rPr>
              <w:t>.0</w:t>
            </w:r>
          </w:p>
        </w:tc>
        <w:tc>
          <w:tcPr>
            <w:tcW w:w="1020" w:type="dxa"/>
            <w:tcBorders>
              <w:top w:val="nil"/>
              <w:left w:val="nil"/>
              <w:bottom w:val="single" w:sz="4" w:space="0" w:color="auto"/>
              <w:right w:val="nil"/>
            </w:tcBorders>
            <w:shd w:val="clear" w:color="auto" w:fill="auto"/>
            <w:hideMark/>
          </w:tcPr>
          <w:p w:rsidR="00E13EF3" w:rsidRPr="0004467E" w:rsidRDefault="00E13EF3" w:rsidP="00454A3C">
            <w:pPr>
              <w:spacing w:after="0" w:afterAutospacing="0" w:line="240" w:lineRule="auto"/>
              <w:jc w:val="right"/>
              <w:rPr>
                <w:rFonts w:eastAsia="Times New Roman" w:cs="Times New Roman"/>
                <w:color w:val="000000"/>
                <w:sz w:val="18"/>
                <w:szCs w:val="18"/>
                <w:lang w:eastAsia="zh-CN" w:bidi="ar-SA"/>
              </w:rPr>
            </w:pPr>
            <w:r w:rsidRPr="0004467E">
              <w:rPr>
                <w:rFonts w:eastAsia="Times New Roman" w:cs="Times New Roman"/>
                <w:color w:val="000000"/>
                <w:sz w:val="18"/>
                <w:szCs w:val="18"/>
                <w:lang w:eastAsia="zh-CN" w:bidi="ar-SA"/>
              </w:rPr>
              <w:t>0</w:t>
            </w:r>
            <w:r w:rsidRPr="0004467E">
              <w:rPr>
                <w:rFonts w:eastAsia="Times New Roman" w:cs="Times New Roman"/>
                <w:color w:val="000000"/>
                <w:sz w:val="18"/>
                <w:szCs w:val="18"/>
                <w:lang w:eastAsia="zh-CN" w:bidi="ar-SA"/>
              </w:rPr>
              <w:br/>
              <w:t>2</w:t>
            </w:r>
            <w:r w:rsidR="00454A3C">
              <w:rPr>
                <w:rFonts w:eastAsia="Times New Roman" w:cs="Times New Roman"/>
                <w:color w:val="000000"/>
                <w:sz w:val="18"/>
                <w:szCs w:val="18"/>
                <w:lang w:eastAsia="zh-CN" w:bidi="ar-SA"/>
              </w:rPr>
              <w:t>.0</w:t>
            </w:r>
          </w:p>
        </w:tc>
      </w:tr>
      <w:tr w:rsidR="002D772C" w:rsidRPr="0004467E" w:rsidTr="004E70E9">
        <w:trPr>
          <w:trHeight w:val="20"/>
        </w:trPr>
        <w:tc>
          <w:tcPr>
            <w:tcW w:w="8397" w:type="dxa"/>
            <w:gridSpan w:val="10"/>
            <w:tcBorders>
              <w:top w:val="single" w:sz="4" w:space="0" w:color="auto"/>
              <w:left w:val="nil"/>
              <w:bottom w:val="single" w:sz="12" w:space="0" w:color="auto"/>
              <w:right w:val="nil"/>
            </w:tcBorders>
          </w:tcPr>
          <w:p w:rsidR="002D772C" w:rsidRPr="00CD16C3" w:rsidRDefault="002D772C" w:rsidP="00CD16C3">
            <w:pPr>
              <w:spacing w:after="0" w:afterAutospacing="0" w:line="240" w:lineRule="auto"/>
              <w:rPr>
                <w:rFonts w:eastAsia="Times New Roman" w:cs="Times New Roman"/>
                <w:color w:val="000000"/>
                <w:sz w:val="16"/>
                <w:szCs w:val="16"/>
                <w:lang w:eastAsia="zh-CN" w:bidi="ar-SA"/>
              </w:rPr>
            </w:pPr>
            <w:r w:rsidRPr="00CD16C3">
              <w:rPr>
                <w:rFonts w:eastAsia="Times New Roman" w:cs="Times New Roman"/>
                <w:color w:val="000000"/>
                <w:sz w:val="16"/>
                <w:szCs w:val="16"/>
                <w:lang w:eastAsia="zh-CN" w:bidi="ar-SA"/>
              </w:rPr>
              <w:t>NA not reported or not reported in sufficient detail</w:t>
            </w:r>
          </w:p>
        </w:tc>
      </w:tr>
    </w:tbl>
    <w:p w:rsidR="002D772C" w:rsidRDefault="002D772C" w:rsidP="002D772C">
      <w:pPr>
        <w:pStyle w:val="Heading2"/>
      </w:pPr>
      <w:bookmarkStart w:id="79" w:name="_Toc332720570"/>
      <w:bookmarkStart w:id="80" w:name="_Ref332720641"/>
      <w:bookmarkStart w:id="81" w:name="_Ref362171713"/>
      <w:bookmarkStart w:id="82" w:name="_Toc379467560"/>
      <w:r>
        <w:t>Discussion</w:t>
      </w:r>
      <w:bookmarkEnd w:id="79"/>
      <w:bookmarkEnd w:id="80"/>
      <w:bookmarkEnd w:id="81"/>
      <w:bookmarkEnd w:id="82"/>
    </w:p>
    <w:p w:rsidR="005A68AE" w:rsidRPr="005A68AE" w:rsidRDefault="00E5556D" w:rsidP="004D7951">
      <w:r>
        <w:t>In this</w:t>
      </w:r>
      <w:r w:rsidR="005A68AE">
        <w:t xml:space="preserve"> discussion I aimed to </w:t>
      </w:r>
      <w:r w:rsidR="00F12F58">
        <w:t xml:space="preserve">summarise </w:t>
      </w:r>
      <w:r w:rsidR="005A68AE">
        <w:t>the findings of the revie</w:t>
      </w:r>
      <w:r>
        <w:t>w of clinical trial designs. I</w:t>
      </w:r>
      <w:r w:rsidR="005A68AE">
        <w:t xml:space="preserve"> reflect</w:t>
      </w:r>
      <w:r w:rsidR="004D7951">
        <w:t>ed</w:t>
      </w:r>
      <w:r w:rsidR="005A68AE">
        <w:t xml:space="preserve"> on </w:t>
      </w:r>
      <w:r w:rsidR="004D7951">
        <w:t xml:space="preserve">the </w:t>
      </w:r>
      <w:r w:rsidR="005A68AE">
        <w:t xml:space="preserve">areas of SLE trial design </w:t>
      </w:r>
      <w:r w:rsidR="004D7951">
        <w:t xml:space="preserve">that </w:t>
      </w:r>
      <w:r w:rsidR="00A669B4">
        <w:t>could be evaluated. I considered which aspects of trial design have affected p</w:t>
      </w:r>
      <w:r w:rsidR="00230A81">
        <w:t>ast</w:t>
      </w:r>
      <w:r w:rsidR="00A669B4">
        <w:t xml:space="preserve"> trial outcomes and which aspects of trial designs are likely to impact on cost-effectiveness outcomes. </w:t>
      </w:r>
    </w:p>
    <w:p w:rsidR="002D772C" w:rsidRDefault="002D772C" w:rsidP="00236C8F">
      <w:pPr>
        <w:pStyle w:val="Heading3"/>
      </w:pPr>
      <w:bookmarkStart w:id="83" w:name="_Toc315274283"/>
      <w:bookmarkStart w:id="84" w:name="_Toc332720571"/>
      <w:bookmarkStart w:id="85" w:name="_Toc379467561"/>
      <w:r>
        <w:t>Duration of Follow-</w:t>
      </w:r>
      <w:bookmarkEnd w:id="83"/>
      <w:bookmarkEnd w:id="84"/>
      <w:r w:rsidR="00236C8F">
        <w:t>up</w:t>
      </w:r>
      <w:bookmarkEnd w:id="85"/>
    </w:p>
    <w:p w:rsidR="00C61222" w:rsidRDefault="00C61222" w:rsidP="00F12F58">
      <w:r>
        <w:t xml:space="preserve">Longer follow-up </w:t>
      </w:r>
      <w:r w:rsidR="009554D6">
        <w:t>collects more data about</w:t>
      </w:r>
      <w:r w:rsidR="001B7B77">
        <w:t xml:space="preserve"> the long-</w:t>
      </w:r>
      <w:r>
        <w:t xml:space="preserve">term </w:t>
      </w:r>
      <w:r w:rsidR="004F50C0">
        <w:t>effectiveness of treatment</w:t>
      </w:r>
      <w:r>
        <w:t xml:space="preserve">. Longer follow-up would generate stronger evidence on the effectiveness of treatment </w:t>
      </w:r>
      <w:r w:rsidR="001B7B77">
        <w:t>in reducing</w:t>
      </w:r>
      <w:r>
        <w:t xml:space="preserve"> disease activity. </w:t>
      </w:r>
      <w:r w:rsidR="004F50C0">
        <w:t>For example,</w:t>
      </w:r>
      <w:r w:rsidR="00F12F58">
        <w:t xml:space="preserve"> the benefits of steroid treatment may not have expired within the 1-year time-horizon in</w:t>
      </w:r>
      <w:r w:rsidR="004F50C0">
        <w:t xml:space="preserve"> the rituximab</w:t>
      </w:r>
      <w:r w:rsidR="00230A81">
        <w:t xml:space="preserve">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rsidR="004F50C0">
        <w:t xml:space="preserve"> and abatacept </w:t>
      </w:r>
      <w:r w:rsidR="00E729BA">
        <w:fldChar w:fldCharType="begin"/>
      </w:r>
      <w:r w:rsidR="00FC61FD">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sidR="00E729BA">
        <w:fldChar w:fldCharType="separate"/>
      </w:r>
      <w:r w:rsidR="00F12F58">
        <w:t>(61)</w:t>
      </w:r>
      <w:r w:rsidR="00E729BA">
        <w:fldChar w:fldCharType="end"/>
      </w:r>
      <w:r w:rsidR="00966D4F">
        <w:t xml:space="preserve"> </w:t>
      </w:r>
      <w:r w:rsidR="004F50C0">
        <w:t>trials. A longer follow-up might have demonstrated a longer time to flare on biologic treatment</w:t>
      </w:r>
      <w:r w:rsidR="00966D4F">
        <w:t xml:space="preserve"> after steroid benefits have worn off in the placebo arm</w:t>
      </w:r>
      <w:r w:rsidR="004F50C0">
        <w:t xml:space="preserve">. </w:t>
      </w:r>
      <w:r w:rsidR="00966D4F">
        <w:t>L</w:t>
      </w:r>
      <w:r w:rsidR="004F50C0">
        <w:t xml:space="preserve">onger follow-up would </w:t>
      </w:r>
      <w:r w:rsidR="009554D6">
        <w:t>provide more evidence for</w:t>
      </w:r>
      <w:r w:rsidR="004F50C0">
        <w:t xml:space="preserve"> the durability of benefit</w:t>
      </w:r>
      <w:r w:rsidR="009554D6">
        <w:t>s</w:t>
      </w:r>
      <w:r w:rsidR="004F50C0">
        <w:t xml:space="preserve"> for those receiving treatment. </w:t>
      </w:r>
    </w:p>
    <w:p w:rsidR="00143E52" w:rsidRDefault="004F50C0" w:rsidP="004D7951">
      <w:r>
        <w:t xml:space="preserve">Longer follow-up trials are more likely to collect </w:t>
      </w:r>
      <w:r w:rsidR="004D7951">
        <w:t xml:space="preserve">useful </w:t>
      </w:r>
      <w:r>
        <w:t>evidence about the effectiveness of treatment in preventing organ damage.</w:t>
      </w:r>
      <w:r w:rsidR="00966D4F">
        <w:t xml:space="preserve"> None of the 15</w:t>
      </w:r>
      <w:r w:rsidR="00C61222">
        <w:t xml:space="preserve"> </w:t>
      </w:r>
      <w:r w:rsidR="002D772C">
        <w:t>RCTs</w:t>
      </w:r>
      <w:r w:rsidR="00C61222">
        <w:t xml:space="preserve"> described </w:t>
      </w:r>
      <w:r>
        <w:t>in this literature review</w:t>
      </w:r>
      <w:r w:rsidR="002D772C">
        <w:t xml:space="preserve"> </w:t>
      </w:r>
      <w:r>
        <w:t>report</w:t>
      </w:r>
      <w:r w:rsidR="002D772C">
        <w:t xml:space="preserve"> </w:t>
      </w:r>
      <w:r w:rsidR="00143E52">
        <w:t>a reduction in the risk of</w:t>
      </w:r>
      <w:r w:rsidR="002D772C">
        <w:t xml:space="preserve"> organ damage. </w:t>
      </w:r>
      <w:r w:rsidR="00C61222">
        <w:t xml:space="preserve">Most of the trials used at least 12 month duration in line with the FDA guidelines. </w:t>
      </w:r>
      <w:r w:rsidR="00C67A27">
        <w:t xml:space="preserve">Relating this back to </w:t>
      </w:r>
      <w:r w:rsidR="009F66CE">
        <w:t>the</w:t>
      </w:r>
      <w:r w:rsidR="00C67A27">
        <w:t xml:space="preserve"> discussion of cost-effectiveness analysis</w:t>
      </w:r>
      <w:r w:rsidR="002D772C">
        <w:t xml:space="preserve">, evidence of a reduction in organ damage events would substantially reduce </w:t>
      </w:r>
      <w:r w:rsidR="009554D6">
        <w:t>uncertainty in the INB of a CE model because organ damage is associated with high costs and substantial quality of life decrements</w:t>
      </w:r>
      <w:r w:rsidR="002D772C">
        <w:t xml:space="preserve">. </w:t>
      </w:r>
      <w:r w:rsidR="00C61222">
        <w:t>A</w:t>
      </w:r>
      <w:r w:rsidR="002D772C">
        <w:t xml:space="preserve"> 12 month trial will </w:t>
      </w:r>
      <w:r w:rsidR="009554D6">
        <w:t xml:space="preserve">record fewer organ damage events than longer term trials so will be less </w:t>
      </w:r>
      <w:r w:rsidR="004D7951">
        <w:t xml:space="preserve">likely </w:t>
      </w:r>
      <w:r w:rsidR="009554D6">
        <w:t xml:space="preserve">to </w:t>
      </w:r>
      <w:r w:rsidR="004D7951">
        <w:t xml:space="preserve">observe </w:t>
      </w:r>
      <w:r w:rsidR="009554D6">
        <w:t>the effect of treatment in reducing organ damage. T</w:t>
      </w:r>
      <w:r>
        <w:t>he impact will have to be estimated indirectly through an intermediate marker</w:t>
      </w:r>
      <w:r w:rsidR="00C67A27">
        <w:t xml:space="preserve"> by estimating the impact of disease activity levels of the probability of damage</w:t>
      </w:r>
      <w:r w:rsidR="002D772C">
        <w:t xml:space="preserve">. </w:t>
      </w:r>
    </w:p>
    <w:p w:rsidR="002D772C" w:rsidRDefault="00C61222" w:rsidP="00C03306">
      <w:r>
        <w:t>There</w:t>
      </w:r>
      <w:r w:rsidR="00CF5707">
        <w:t xml:space="preserve"> are</w:t>
      </w:r>
      <w:r w:rsidR="002D772C">
        <w:t xml:space="preserve"> many reasons why a longer duration of follow-u</w:t>
      </w:r>
      <w:r w:rsidR="00CF5707">
        <w:t xml:space="preserve">p </w:t>
      </w:r>
      <w:r w:rsidR="00C67A27">
        <w:t>might</w:t>
      </w:r>
      <w:r w:rsidR="00CF5707">
        <w:t xml:space="preserve"> not be adopted</w:t>
      </w:r>
      <w:r w:rsidR="002D772C">
        <w:t xml:space="preserve"> by </w:t>
      </w:r>
      <w:r w:rsidR="00CC17B0">
        <w:t>p</w:t>
      </w:r>
      <w:r w:rsidR="002D772C">
        <w:t>harmaceutical companies. Firstly, they would be more costly.  Secondly, a longer trial will delay the launch of the new tr</w:t>
      </w:r>
      <w:r w:rsidR="00CF5707">
        <w:t xml:space="preserve">eatment and </w:t>
      </w:r>
      <w:r w:rsidR="00C03306">
        <w:t>may increase the likelihood of launch into a competitive market</w:t>
      </w:r>
      <w:r w:rsidR="002D772C">
        <w:t>.</w:t>
      </w:r>
      <w:r w:rsidR="002D772C" w:rsidRPr="00E5666C">
        <w:t xml:space="preserve"> </w:t>
      </w:r>
      <w:r w:rsidR="002D772C">
        <w:t>Thirdly, it would be unethical to maintain patients on an ineffective treatment if the trial had identified a better treatment option</w:t>
      </w:r>
      <w:r w:rsidR="00C03306">
        <w:t xml:space="preserve"> in the first 18 months</w:t>
      </w:r>
      <w:r w:rsidR="002D772C">
        <w:t xml:space="preserve">. Finally, it may not be possible to retain patients in the trial long enough to collect the required data. </w:t>
      </w:r>
      <w:r w:rsidR="00F04539">
        <w:t>Approximately 30% of patients in the belimumab Phase III trials withdrew from follow-up before the 52 week primary endpoint of the trial</w:t>
      </w:r>
      <w:r w:rsidR="00E13EF3">
        <w:t xml:space="preserve">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F12F58">
        <w:t>(74;75)</w:t>
      </w:r>
      <w:r w:rsidR="00E729BA">
        <w:fldChar w:fldCharType="end"/>
      </w:r>
      <w:r w:rsidR="00F04539">
        <w:t xml:space="preserve">. </w:t>
      </w:r>
    </w:p>
    <w:p w:rsidR="00957BD5" w:rsidRDefault="002D772C" w:rsidP="00F12F58">
      <w:r>
        <w:t xml:space="preserve">Although the </w:t>
      </w:r>
      <w:r w:rsidR="001B7B77">
        <w:t>adoption</w:t>
      </w:r>
      <w:r>
        <w:t xml:space="preserve"> of longer trials </w:t>
      </w:r>
      <w:r w:rsidR="00C03306">
        <w:t>might</w:t>
      </w:r>
      <w:r>
        <w:t xml:space="preserve"> be fraught with difficulties, it </w:t>
      </w:r>
      <w:r w:rsidR="00CF5707">
        <w:t>is</w:t>
      </w:r>
      <w:r>
        <w:t xml:space="preserve"> undoubtedly </w:t>
      </w:r>
      <w:r w:rsidR="00C61222">
        <w:t xml:space="preserve">an interesting question which </w:t>
      </w:r>
      <w:r w:rsidR="00C03306">
        <w:t xml:space="preserve">is also </w:t>
      </w:r>
      <w:r w:rsidR="00C61222">
        <w:t xml:space="preserve">relevant for </w:t>
      </w:r>
      <w:r w:rsidR="006331AB">
        <w:t>many</w:t>
      </w:r>
      <w:r w:rsidR="00C61222">
        <w:t xml:space="preserve"> other chronic diseases</w:t>
      </w:r>
      <w:r w:rsidR="006331AB">
        <w:t xml:space="preserve">. </w:t>
      </w:r>
      <w:r w:rsidR="009554D6">
        <w:t>Longer trials will collect better evidence for the effect of treatment on disease activity, but it is no</w:t>
      </w:r>
      <w:r w:rsidR="00C03306">
        <w:t>t</w:t>
      </w:r>
      <w:r w:rsidR="009554D6">
        <w:t xml:space="preserve"> known how much longer the trial would need to be</w:t>
      </w:r>
      <w:r>
        <w:t xml:space="preserve">. This </w:t>
      </w:r>
      <w:r w:rsidR="00C03306">
        <w:t xml:space="preserve">would </w:t>
      </w:r>
      <w:r>
        <w:t>depend on the incidence of organ damage events</w:t>
      </w:r>
      <w:r w:rsidR="006331AB">
        <w:t xml:space="preserve"> and the severity of the population</w:t>
      </w:r>
      <w:r>
        <w:t xml:space="preserve">, which </w:t>
      </w:r>
      <w:r w:rsidR="006331AB">
        <w:t>is</w:t>
      </w:r>
      <w:r>
        <w:t xml:space="preserve"> difficult to gauge </w:t>
      </w:r>
      <w:r w:rsidR="00B95B69">
        <w:t>without statistical analysis of longitudinal datasets</w:t>
      </w:r>
      <w:r>
        <w:t xml:space="preserve">. </w:t>
      </w:r>
      <w:r w:rsidR="00F12F58">
        <w:t>Health Economic modelling techniques proposed in this study could</w:t>
      </w:r>
      <w:r w:rsidR="00C61222">
        <w:t xml:space="preserve"> be used to </w:t>
      </w:r>
      <w:r w:rsidR="001B7B77">
        <w:t>predict</w:t>
      </w:r>
      <w:r w:rsidR="00C61222">
        <w:t xml:space="preserve"> incidence </w:t>
      </w:r>
      <w:r w:rsidR="001B7B77">
        <w:t>and</w:t>
      </w:r>
      <w:r w:rsidR="00C61222">
        <w:t xml:space="preserve"> assess the benefit of a longer trial. </w:t>
      </w:r>
    </w:p>
    <w:p w:rsidR="002D772C" w:rsidRDefault="002D772C" w:rsidP="002D772C">
      <w:pPr>
        <w:pStyle w:val="Heading3"/>
      </w:pPr>
      <w:bookmarkStart w:id="86" w:name="_Toc315274285"/>
      <w:bookmarkStart w:id="87" w:name="_Toc332720572"/>
      <w:bookmarkStart w:id="88" w:name="_Toc379467562"/>
      <w:r>
        <w:t>Sample Size</w:t>
      </w:r>
      <w:bookmarkEnd w:id="86"/>
      <w:bookmarkEnd w:id="87"/>
      <w:bookmarkEnd w:id="88"/>
    </w:p>
    <w:p w:rsidR="002D772C" w:rsidRDefault="00C61222" w:rsidP="002E1550">
      <w:r>
        <w:t xml:space="preserve">Traditional </w:t>
      </w:r>
      <w:r w:rsidR="006331AB">
        <w:t>sample size</w:t>
      </w:r>
      <w:r>
        <w:t xml:space="preserve"> calculations </w:t>
      </w:r>
      <w:r w:rsidR="006331AB">
        <w:t>do not recommend trial sample sizes that will maximise the probability of market success. They are used</w:t>
      </w:r>
      <w:r>
        <w:t xml:space="preserve"> to </w:t>
      </w:r>
      <w:r w:rsidR="006331AB">
        <w:t>ensure that trial is powered to detect</w:t>
      </w:r>
      <w:r>
        <w:t xml:space="preserve"> the </w:t>
      </w:r>
      <w:r w:rsidR="006331AB">
        <w:t>clinical trial primary endpoint.</w:t>
      </w:r>
      <w:r w:rsidR="00C03306" w:rsidRPr="00C03306">
        <w:t xml:space="preserve"> The power of a statistical test is the probability that the test will reject the null hypothesis when the null hypothesis is false.</w:t>
      </w:r>
      <w:r w:rsidR="006331AB">
        <w:t xml:space="preserve"> Clinical trial endpoints are very rarely designed to account for the </w:t>
      </w:r>
      <w:r w:rsidR="00E13EF3">
        <w:t>precision of the</w:t>
      </w:r>
      <w:r w:rsidR="002A0788">
        <w:t xml:space="preserve"> CE </w:t>
      </w:r>
      <w:r w:rsidR="006331AB">
        <w:t>outcome and the decision criteria of the reimbursement authority</w:t>
      </w:r>
      <w:r>
        <w:t xml:space="preserve">. The </w:t>
      </w:r>
      <w:r w:rsidR="006331AB">
        <w:t xml:space="preserve">larger trials in this review </w:t>
      </w:r>
      <w:r w:rsidR="00143E52">
        <w:t>use</w:t>
      </w:r>
      <w:r w:rsidR="006331AB">
        <w:t>d</w:t>
      </w:r>
      <w:r w:rsidR="00143E52">
        <w:t xml:space="preserve"> frequentist s</w:t>
      </w:r>
      <w:r w:rsidR="002D772C">
        <w:t xml:space="preserve">ample size calculations. </w:t>
      </w:r>
      <w:r w:rsidR="002E1550">
        <w:t xml:space="preserve">Smaller trials did not report explicit methods for estimating sample sizes. </w:t>
      </w:r>
      <w:r w:rsidR="00B95B69">
        <w:t xml:space="preserve">The outcomes </w:t>
      </w:r>
      <w:r w:rsidR="002D772C">
        <w:t>fr</w:t>
      </w:r>
      <w:r w:rsidR="00B95B69">
        <w:t>om the belimumab trials suggest</w:t>
      </w:r>
      <w:r w:rsidR="002D772C">
        <w:t xml:space="preserve"> that traditional sample size calculations were adequate to power the study for a statistically significant </w:t>
      </w:r>
      <w:r w:rsidR="00EF4A9F">
        <w:t xml:space="preserve">SRI </w:t>
      </w:r>
      <w:r w:rsidR="002D772C">
        <w:t xml:space="preserve">endpoint. </w:t>
      </w:r>
      <w:r w:rsidR="006331AB">
        <w:t xml:space="preserve">However, the treatment was not reimbursed in Canada or the United Kingdom. </w:t>
      </w:r>
      <w:r w:rsidR="002D772C">
        <w:t xml:space="preserve">Alternative methods for </w:t>
      </w:r>
      <w:r w:rsidR="006331AB">
        <w:t xml:space="preserve">deciding sample size with consideration of CE outcomes may be of interest to </w:t>
      </w:r>
      <w:r w:rsidR="00CC17B0">
        <w:t>p</w:t>
      </w:r>
      <w:r w:rsidR="006331AB">
        <w:t xml:space="preserve">harmaceutical </w:t>
      </w:r>
      <w:r w:rsidR="00CC17B0">
        <w:t>c</w:t>
      </w:r>
      <w:r w:rsidR="006331AB">
        <w:t>ompanies</w:t>
      </w:r>
      <w:r w:rsidR="002D772C">
        <w:t xml:space="preserve">. </w:t>
      </w:r>
      <w:r w:rsidR="002E1550">
        <w:t xml:space="preserve">However, the pharmaceutical perspective is complicated by two main factors. Firstly, price is not fixed early in drug development. Secondly, drug companies often design multi-national trials which inform multiple reimbursement submissions to local authorities. Therefore, there is not a single CE outcome to target in CE based sample size calculation.  </w:t>
      </w:r>
    </w:p>
    <w:p w:rsidR="00382420" w:rsidRDefault="006331AB" w:rsidP="00C03306">
      <w:r>
        <w:t xml:space="preserve">Larger sample sizes will inevitably lead to </w:t>
      </w:r>
      <w:r w:rsidR="009554D6">
        <w:t>more precise estimates for the parameters of</w:t>
      </w:r>
      <w:r>
        <w:t xml:space="preserve"> the CE model. </w:t>
      </w:r>
      <w:r w:rsidR="00382420">
        <w:t xml:space="preserve">Sample sizes are a very important aspect of trial design, and complement the exploration of the duration of follow-up. Both features impact on the magnitude of data collected in the clinical trial. </w:t>
      </w:r>
      <w:r w:rsidR="003A6CA1">
        <w:t>Longer follow-up may</w:t>
      </w:r>
      <w:r w:rsidR="00C03306">
        <w:t xml:space="preserve"> be financially v</w:t>
      </w:r>
      <w:r w:rsidR="003A6CA1">
        <w:t>iable if it were possible</w:t>
      </w:r>
      <w:r w:rsidR="00C03306">
        <w:t xml:space="preserve"> to trade-</w:t>
      </w:r>
      <w:r w:rsidR="00382420">
        <w:t>of</w:t>
      </w:r>
      <w:r w:rsidR="003A6CA1">
        <w:t>f</w:t>
      </w:r>
      <w:r w:rsidR="00382420">
        <w:t xml:space="preserve"> the </w:t>
      </w:r>
      <w:r w:rsidR="003A6CA1">
        <w:t>sample size</w:t>
      </w:r>
      <w:r w:rsidR="00313C99">
        <w:t xml:space="preserve"> against duration of follow-up</w:t>
      </w:r>
      <w:r w:rsidR="00382420">
        <w:t xml:space="preserve"> to optimise the usefulness of the data collected.</w:t>
      </w:r>
      <w:r w:rsidR="002E1550">
        <w:t xml:space="preserve"> There may also be limits to the sample size due to problems with patient recruitment, which may mean that a balance must be struck between sample size and duration of follow-up. </w:t>
      </w:r>
    </w:p>
    <w:p w:rsidR="00CD16C3" w:rsidRDefault="00CD16C3" w:rsidP="00C03306"/>
    <w:p w:rsidR="002D772C" w:rsidRDefault="002D772C" w:rsidP="002D772C">
      <w:pPr>
        <w:pStyle w:val="Heading3"/>
      </w:pPr>
      <w:bookmarkStart w:id="89" w:name="_Toc315274284"/>
      <w:bookmarkStart w:id="90" w:name="_Toc332720573"/>
      <w:bookmarkStart w:id="91" w:name="_Toc379467563"/>
      <w:r>
        <w:t>Concommitant Medications</w:t>
      </w:r>
      <w:bookmarkEnd w:id="89"/>
      <w:bookmarkEnd w:id="90"/>
      <w:bookmarkEnd w:id="91"/>
    </w:p>
    <w:p w:rsidR="00894F9A" w:rsidRDefault="002A0788" w:rsidP="004D7951">
      <w:r>
        <w:t xml:space="preserve">The </w:t>
      </w:r>
      <w:r w:rsidR="005D24EE">
        <w:t>protocol for concomitant medications has affected trial outcomes in SLE</w:t>
      </w:r>
      <w:r w:rsidR="00894F9A">
        <w:t xml:space="preserve"> because </w:t>
      </w:r>
      <w:r w:rsidR="002E1550">
        <w:t xml:space="preserve">it is believed that </w:t>
      </w:r>
      <w:r w:rsidR="00894F9A">
        <w:t>steroid doses have masked the effectiveness of new treatments</w:t>
      </w:r>
      <w:r w:rsidR="002E1550">
        <w:t xml:space="preserve"> in previous trials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rsidR="00894F9A">
        <w:t>. It i</w:t>
      </w:r>
      <w:r>
        <w:t xml:space="preserve">s not </w:t>
      </w:r>
      <w:r w:rsidR="005D24EE">
        <w:t>currently</w:t>
      </w:r>
      <w:r>
        <w:t xml:space="preserve"> an important area of research for SLE clinical trials. </w:t>
      </w:r>
      <w:r w:rsidR="001B7B77">
        <w:t>T</w:t>
      </w:r>
      <w:r w:rsidR="006331AB">
        <w:t xml:space="preserve">here is evidence that concomitant medications can impact on outcomes of SLE RCTs. </w:t>
      </w:r>
      <w:r w:rsidR="002D772C">
        <w:t>The</w:t>
      </w:r>
      <w:r w:rsidR="001B7B77">
        <w:t xml:space="preserve"> concomitant medications</w:t>
      </w:r>
      <w:r w:rsidR="002D772C">
        <w:t xml:space="preserve"> </w:t>
      </w:r>
      <w:r w:rsidR="00EF4A9F">
        <w:t xml:space="preserve">protocol in the rituximab trial was </w:t>
      </w:r>
      <w:r w:rsidR="006331AB">
        <w:t xml:space="preserve">thought to be </w:t>
      </w:r>
      <w:r w:rsidR="00EF4A9F">
        <w:t>detrimental</w:t>
      </w:r>
      <w:r w:rsidR="0020040A">
        <w:t xml:space="preserve"> whereas</w:t>
      </w:r>
      <w:r w:rsidR="002D772C">
        <w:t xml:space="preserve"> the belimumab Phase III trial </w:t>
      </w:r>
      <w:r w:rsidR="006331AB">
        <w:t xml:space="preserve">concomitant medications protocol was successful. A reduction in disease activity was observed and a </w:t>
      </w:r>
      <w:r w:rsidR="00894F9A">
        <w:t>lower dose</w:t>
      </w:r>
      <w:r>
        <w:t xml:space="preserve"> of</w:t>
      </w:r>
      <w:r w:rsidR="006331AB">
        <w:t xml:space="preserve"> steroids</w:t>
      </w:r>
      <w:r w:rsidR="004D7951">
        <w:t xml:space="preserve"> was used</w:t>
      </w:r>
      <w:r w:rsidR="006331AB">
        <w:t xml:space="preserve"> in the belimumab </w:t>
      </w:r>
      <w:r w:rsidR="00894F9A">
        <w:t xml:space="preserve">treatment </w:t>
      </w:r>
      <w:r w:rsidR="006331AB">
        <w:t>arms</w:t>
      </w:r>
      <w:r w:rsidR="002E1550">
        <w:t xml:space="preserve"> </w:t>
      </w:r>
      <w:r w:rsidR="00E729BA">
        <w:fldChar w:fldCharType="begin"/>
      </w:r>
      <w:r w:rsidR="00FC61FD">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sidR="00E729BA">
        <w:fldChar w:fldCharType="separate"/>
      </w:r>
      <w:r w:rsidR="00F12F58">
        <w:t>(74;75)</w:t>
      </w:r>
      <w:r w:rsidR="00E729BA">
        <w:fldChar w:fldCharType="end"/>
      </w:r>
      <w:r w:rsidR="002D772C">
        <w:t>.</w:t>
      </w:r>
      <w:r w:rsidR="00B95B69">
        <w:t xml:space="preserve"> </w:t>
      </w:r>
      <w:r w:rsidR="00EF4A9F">
        <w:t xml:space="preserve">Future trials will most likely </w:t>
      </w:r>
      <w:r w:rsidR="003A6CA1">
        <w:t>learn from</w:t>
      </w:r>
      <w:r w:rsidR="00EF4A9F">
        <w:t xml:space="preserve"> the rituximab concomitant medication protocol in favour of a more flexible approach like the belimumab trial</w:t>
      </w:r>
      <w:r w:rsidR="002E1550">
        <w:t>s</w:t>
      </w:r>
      <w:r w:rsidR="00EF4A9F">
        <w:t xml:space="preserve">. </w:t>
      </w:r>
    </w:p>
    <w:p w:rsidR="00EE074D" w:rsidRDefault="00894F9A" w:rsidP="00894F9A">
      <w:r>
        <w:t xml:space="preserve">Estimating the interactions between concomitant medications and treatment effect would be challenging. Firstly, the analysis would need to account for </w:t>
      </w:r>
      <w:r w:rsidR="005D24EE">
        <w:t>variability of prescribing behaviours</w:t>
      </w:r>
      <w:r>
        <w:t xml:space="preserve"> between trial centres </w:t>
      </w:r>
      <w:r w:rsidR="00E729BA">
        <w:fldChar w:fldCharType="begin"/>
      </w:r>
      <w:r w:rsidR="00FC61FD">
        <w:instrText xml:space="preserve"> ADDIN REFMGR.CITE &lt;Refman&gt;&lt;Cite&gt;&lt;Author&gt;Brunner&lt;/Author&gt;&lt;Year&gt;2009&lt;/Year&gt;&lt;RecNum&gt;1667&lt;/RecNum&gt;&lt;IDText&gt;Corticosteroid use in childhood-onset systemic lupus erythematosus-practice patterns at four pediatric rheumatology centers&lt;/IDText&gt;&lt;MDL Ref_Type="Journal"&gt;&lt;Ref_Type&gt;Journal&lt;/Ref_Type&gt;&lt;Ref_ID&gt;1667&lt;/Ref_ID&gt;&lt;Title_Primary&gt;Corticosteroid use in childhood-onset systemic lupus erythematosus-practice patterns at four pediatric rheumatology centers&lt;/Title_Primary&gt;&lt;Authors_Primary&gt;Brunner,H.I.&lt;/Authors_Primary&gt;&lt;Authors_Primary&gt;Klein-Gitelman,M.S.&lt;/Authors_Primary&gt;&lt;Authors_Primary&gt;Ying,J.&lt;/Authors_Primary&gt;&lt;Authors_Primary&gt;Tucker,L.B.&lt;/Authors_Primary&gt;&lt;Authors_Primary&gt;Silverman,E.D.&lt;/Authors_Primary&gt;&lt;Date_Primary&gt;2009/1&lt;/Date_Primary&gt;&lt;Keywords&gt;administration &amp;amp; dosage&lt;/Keywords&gt;&lt;Keywords&gt;Administration,Oral&lt;/Keywords&gt;&lt;Keywords&gt;Adolescent&lt;/Keywords&gt;&lt;Keywords&gt;Adrenal Cortex Hormones&lt;/Keywords&gt;&lt;Keywords&gt;age&lt;/Keywords&gt;&lt;Keywords&gt;Canada&lt;/Keywords&gt;&lt;Keywords&gt;Disease&lt;/Keywords&gt;&lt;Keywords&gt;disease activity&lt;/Keywords&gt;&lt;Keywords&gt;disease duration&lt;/Keywords&gt;&lt;Keywords&gt;drug therapy&lt;/Keywords&gt;&lt;Keywords&gt;erythematosus&lt;/Keywords&gt;&lt;Keywords&gt;Female&lt;/Keywords&gt;&lt;Keywords&gt;hospital&lt;/Keywords&gt;&lt;Keywords&gt;Humans&lt;/Keywords&gt;&lt;Keywords&gt;Infusions,Intravenous&lt;/Keywords&gt;&lt;Keywords&gt;lupus erythematosus&lt;/Keywords&gt;&lt;Keywords&gt;Lupus Erythematosus,Systemic&lt;/Keywords&gt;&lt;Keywords&gt;Male&lt;/Keywords&gt;&lt;Keywords&gt;methods&lt;/Keywords&gt;&lt;Keywords&gt;Methylprednisolone&lt;/Keywords&gt;&lt;Keywords&gt;patient&lt;/Keywords&gt;&lt;Keywords&gt;Patients&lt;/Keywords&gt;&lt;Keywords&gt;Physician&amp;apos;s Practice Patterns&lt;/Keywords&gt;&lt;Keywords&gt;Prednisone&lt;/Keywords&gt;&lt;Keywords&gt;Prospective Studies&lt;/Keywords&gt;&lt;Keywords&gt;race&lt;/Keywords&gt;&lt;Keywords&gt;Rheumatology&lt;/Keywords&gt;&lt;Keywords&gt;Severity of Illness Index&lt;/Keywords&gt;&lt;Keywords&gt;systemic lupus erythematosus&lt;/Keywords&gt;&lt;Keywords&gt;therapy&lt;/Keywords&gt;&lt;Keywords&gt;Time&lt;/Keywords&gt;&lt;Keywords&gt;United States&lt;/Keywords&gt;&lt;Reprint&gt;Not in File&lt;/Reprint&gt;&lt;Start_Page&gt;155&lt;/Start_Page&gt;&lt;End_Page&gt;162&lt;/End_Page&gt;&lt;Periodical&gt;Clin.Exp.Rheumatol.&lt;/Periodical&gt;&lt;Volume&gt;27&lt;/Volume&gt;&lt;Issue&gt;1&lt;/Issue&gt;&lt;ZZ_JournalStdAbbrev&gt;&lt;f name="System"&gt;Clin.Exp.Rheumatol.&lt;/f&gt;&lt;/ZZ_JournalStdAbbrev&gt;&lt;ZZ_WorkformID&gt;1&lt;/ZZ_WorkformID&gt;&lt;/MDL&gt;&lt;/Cite&gt;&lt;/Refman&gt;</w:instrText>
      </w:r>
      <w:r w:rsidR="00E729BA">
        <w:fldChar w:fldCharType="separate"/>
      </w:r>
      <w:r w:rsidR="00F12F58">
        <w:t>(87)</w:t>
      </w:r>
      <w:r w:rsidR="00E729BA">
        <w:fldChar w:fldCharType="end"/>
      </w:r>
      <w:r>
        <w:t xml:space="preserve">. Secondly, changes to the use of concomitant medications in a trial would require consideration of </w:t>
      </w:r>
      <w:r w:rsidR="004D7951">
        <w:t xml:space="preserve">the </w:t>
      </w:r>
      <w:r w:rsidR="005D24EE">
        <w:t xml:space="preserve">ethical </w:t>
      </w:r>
      <w:r>
        <w:t>implications for trial subjects. Thirdly,</w:t>
      </w:r>
      <w:r w:rsidR="005D24EE">
        <w:t xml:space="preserve"> interactions between </w:t>
      </w:r>
      <w:r>
        <w:t xml:space="preserve">steroid treatment effects and new treatment effects will be complex and difficult to estimate. As a consequence, </w:t>
      </w:r>
      <w:r w:rsidR="005D24EE">
        <w:t xml:space="preserve">it was considered an impractical design feature to evaluate. </w:t>
      </w:r>
      <w:r w:rsidR="00EF4A9F">
        <w:t xml:space="preserve"> </w:t>
      </w:r>
    </w:p>
    <w:p w:rsidR="002D772C" w:rsidRDefault="002D772C" w:rsidP="002D772C">
      <w:pPr>
        <w:pStyle w:val="Heading3"/>
      </w:pPr>
      <w:bookmarkStart w:id="92" w:name="_Toc315274281"/>
      <w:bookmarkStart w:id="93" w:name="_Toc332720574"/>
      <w:bookmarkStart w:id="94" w:name="_Toc379467564"/>
      <w:r>
        <w:t>Inclusion Criteria</w:t>
      </w:r>
      <w:bookmarkEnd w:id="92"/>
      <w:bookmarkEnd w:id="93"/>
      <w:bookmarkEnd w:id="94"/>
    </w:p>
    <w:p w:rsidR="002D772C" w:rsidRDefault="001D6628" w:rsidP="004D7951">
      <w:r>
        <w:t>I have identified from the systematic review that i</w:t>
      </w:r>
      <w:r w:rsidR="005D24EE">
        <w:t>nclusion criteria can be strategically used to identify patients who are more likely to respond to treatment</w:t>
      </w:r>
      <w:r w:rsidR="001B7B77">
        <w:t>,</w:t>
      </w:r>
      <w:r w:rsidR="005D24EE">
        <w:t xml:space="preserve"> to increase the likelihood of trial success. </w:t>
      </w:r>
      <w:r w:rsidR="00EF4A9F">
        <w:t>T</w:t>
      </w:r>
      <w:r w:rsidR="002D772C">
        <w:t xml:space="preserve">here was a tendency for trials to recruit severe patients using </w:t>
      </w:r>
      <w:r w:rsidR="00EF4A9F">
        <w:t xml:space="preserve">disease </w:t>
      </w:r>
      <w:r w:rsidR="001B7B77">
        <w:t>activity</w:t>
      </w:r>
      <w:r w:rsidR="00EF4A9F">
        <w:t xml:space="preserve"> </w:t>
      </w:r>
      <w:r w:rsidR="00B95B69">
        <w:t>threshold</w:t>
      </w:r>
      <w:r w:rsidR="00EF4A9F">
        <w:t>s</w:t>
      </w:r>
      <w:r w:rsidR="002D772C">
        <w:t xml:space="preserve">. </w:t>
      </w:r>
      <w:r w:rsidR="00B95B69">
        <w:t>Patients with higher disease activity scores</w:t>
      </w:r>
      <w:r w:rsidR="002D772C">
        <w:t xml:space="preserve"> have a greater capacity to benefit from treatment</w:t>
      </w:r>
      <w:r w:rsidR="001B7B77">
        <w:t>,</w:t>
      </w:r>
      <w:r w:rsidR="002D772C">
        <w:t xml:space="preserve"> and may be </w:t>
      </w:r>
      <w:r w:rsidR="0001358D">
        <w:t>refractory to conventional</w:t>
      </w:r>
      <w:r w:rsidR="002D772C">
        <w:t xml:space="preserve"> treatment. </w:t>
      </w:r>
      <w:r w:rsidR="005D24EE">
        <w:t>Inclusion criteria could be used to target trials towards particular organ systems where there is a rationale for greater efficacy. For example, early trial evidence might show</w:t>
      </w:r>
      <w:r>
        <w:t xml:space="preserve"> greater treatment effect in the renal</w:t>
      </w:r>
      <w:r w:rsidR="005D24EE">
        <w:t xml:space="preserve"> organ systems.</w:t>
      </w:r>
    </w:p>
    <w:p w:rsidR="002D772C" w:rsidRDefault="005D24EE" w:rsidP="00F12F58">
      <w:r>
        <w:t>Inclusion criteria may improve the probability of demonstrating treatment benefit</w:t>
      </w:r>
      <w:r w:rsidR="001B7B77">
        <w:t>.</w:t>
      </w:r>
      <w:r>
        <w:t xml:space="preserve"> </w:t>
      </w:r>
      <w:r w:rsidR="001B7B77">
        <w:t>T</w:t>
      </w:r>
      <w:r>
        <w:t>here may be unintended consequences for future</w:t>
      </w:r>
      <w:r w:rsidR="001D6628">
        <w:t xml:space="preserve"> profits if the criteria result</w:t>
      </w:r>
      <w:r>
        <w:t xml:space="preserve"> in a restrictive treatment licence. </w:t>
      </w:r>
      <w:r w:rsidR="002D772C">
        <w:t xml:space="preserve">It may be useful to compare the value of </w:t>
      </w:r>
      <w:r w:rsidR="001D6628">
        <w:t xml:space="preserve">a trial in </w:t>
      </w:r>
      <w:r w:rsidR="002D772C">
        <w:t xml:space="preserve">a </w:t>
      </w:r>
      <w:r>
        <w:t>small patient sub-group</w:t>
      </w:r>
      <w:r w:rsidR="002D772C">
        <w:t xml:space="preserve"> against a trial in a broader population of patients. </w:t>
      </w:r>
      <w:r w:rsidR="003A6CA1">
        <w:t>T</w:t>
      </w:r>
      <w:r w:rsidR="002D772C">
        <w:t xml:space="preserve">here </w:t>
      </w:r>
      <w:r w:rsidR="009F66CE">
        <w:t xml:space="preserve">is </w:t>
      </w:r>
      <w:r w:rsidR="002D772C">
        <w:t>a</w:t>
      </w:r>
      <w:r w:rsidR="001D6628">
        <w:t xml:space="preserve"> potential trade-</w:t>
      </w:r>
      <w:r w:rsidR="002D772C">
        <w:t xml:space="preserve">off of a higher probability of meeting the primary endpoint with a smaller eligible population at marketing versus a lower probability of trial </w:t>
      </w:r>
      <w:r w:rsidR="001B7B77">
        <w:t xml:space="preserve">success </w:t>
      </w:r>
      <w:r w:rsidR="002D772C">
        <w:t xml:space="preserve">but with </w:t>
      </w:r>
      <w:r w:rsidR="007D2958">
        <w:t xml:space="preserve">larger eligible </w:t>
      </w:r>
      <w:r w:rsidR="00B95B69">
        <w:t>population</w:t>
      </w:r>
      <w:r w:rsidR="002D772C">
        <w:t xml:space="preserve">. </w:t>
      </w:r>
      <w:r w:rsidR="00F12F58">
        <w:t>Health Economic modelling techniques proposed in this study could be used to predict future profits for sub-populations of SLE patients.</w:t>
      </w:r>
    </w:p>
    <w:p w:rsidR="002D772C" w:rsidRDefault="002D772C" w:rsidP="002D772C">
      <w:pPr>
        <w:pStyle w:val="Heading3"/>
      </w:pPr>
      <w:bookmarkStart w:id="95" w:name="_Toc315274282"/>
      <w:bookmarkStart w:id="96" w:name="_Toc332720575"/>
      <w:bookmarkStart w:id="97" w:name="_Toc379467565"/>
      <w:r>
        <w:t>Definition of Endpoints</w:t>
      </w:r>
      <w:bookmarkEnd w:id="95"/>
      <w:bookmarkEnd w:id="96"/>
      <w:bookmarkEnd w:id="97"/>
    </w:p>
    <w:p w:rsidR="00A414ED" w:rsidRDefault="0023236E" w:rsidP="007533B5">
      <w:r>
        <w:t xml:space="preserve">The review indicates that there is evidence that the trial endpoint affects the likelihood of a successful trial. </w:t>
      </w:r>
      <w:r w:rsidR="007D2958">
        <w:t>V</w:t>
      </w:r>
      <w:r>
        <w:t xml:space="preserve">ariation in </w:t>
      </w:r>
      <w:r w:rsidR="007D2958">
        <w:t>the choice of disease activity index and definition of the endpoint</w:t>
      </w:r>
      <w:r>
        <w:t xml:space="preserve"> may explain some of the variation in </w:t>
      </w:r>
      <w:r w:rsidR="007D2958">
        <w:t>trial outcomes</w:t>
      </w:r>
      <w:r>
        <w:t xml:space="preserve">. </w:t>
      </w:r>
      <w:r w:rsidR="00A414ED">
        <w:t>The belimumab trials used the SLEDAI and BILAG scores to measure disease activity</w:t>
      </w:r>
      <w:r w:rsidR="007533B5">
        <w:t>,</w:t>
      </w:r>
      <w:r w:rsidR="00A414ED">
        <w:t xml:space="preserve"> and were successful. </w:t>
      </w:r>
      <w:r w:rsidR="007D2958">
        <w:t>The rituximab Phase II/III trial employed a stringent response criteria based only on the BILAG score, and was not successful</w:t>
      </w:r>
      <w:r w:rsidR="00937F6A">
        <w:t xml:space="preserve"> </w:t>
      </w:r>
      <w:r w:rsidR="00E729BA">
        <w:fldChar w:fldCharType="begin"/>
      </w:r>
      <w:r w:rsidR="00FC61FD">
        <w:instrText xml:space="preserve"> ADDIN REFMGR.CITE &lt;Refman&gt;&lt;Cite&gt;&lt;Author&gt;Merrill&lt;/Author&gt;&lt;Year&gt;2010&lt;/Year&gt;&lt;RecNum&gt;97&lt;/RecNum&gt;&lt;IDText&gt;Efficacy and safety of rituximab in moderately-to-severely active systemic lupus erythematosus: the randomized, double-blind, phase II/III systemic lupus erythematosus evaluation of rituximab trial&lt;/IDText&gt;&lt;MDL Ref_Type="Journal"&gt;&lt;Ref_Type&gt;Journal&lt;/Ref_Type&gt;&lt;Ref_ID&gt;97&lt;/Ref_ID&gt;&lt;Title_Primary&gt;Efficacy and safety of rituximab in moderately-to-severely active systemic lupus erythematosus: the randomized, double-blind, phase II/III systemic lupus erythematosus evaluation of rituximab trial&lt;/Title_Primary&gt;&lt;Authors_Primary&gt;Merrill,J.T.&lt;/Authors_Primary&gt;&lt;Authors_Primary&gt;Neuwelt,C.M.&lt;/Authors_Primary&gt;&lt;Authors_Primary&gt;Wallace,D.J.&lt;/Authors_Primary&gt;&lt;Authors_Primary&gt;Shanahan,J.C.&lt;/Authors_Primary&gt;&lt;Authors_Primary&gt;Latinis,K.M.&lt;/Authors_Primary&gt;&lt;Authors_Primary&gt;Oates,J.C.&lt;/Authors_Primary&gt;&lt;Authors_Primary&gt;Utset,T.O.&lt;/Authors_Primary&gt;&lt;Authors_Primary&gt;Gordon,C.&lt;/Authors_Primary&gt;&lt;Authors_Primary&gt;Isenberg,D.A.&lt;/Authors_Primary&gt;&lt;Authors_Primary&gt;Hsieh,H.J.&lt;/Authors_Primary&gt;&lt;Authors_Primary&gt;Zhang,D.&lt;/Authors_Primary&gt;&lt;Authors_Primary&gt;Brunetta,P.G.&lt;/Authors_Primary&gt;&lt;Date_Primary&gt;2010/1&lt;/Date_Primary&gt;&lt;Keywords&gt;Adult&lt;/Keywords&gt;&lt;Keywords&gt;adverse effects&lt;/Keywords&gt;&lt;Keywords&gt;African American&lt;/Keywords&gt;&lt;Keywords&gt;analysis&lt;/Keywords&gt;&lt;Keywords&gt;Antibodies,Monoclonal&lt;/Keywords&gt;&lt;Keywords&gt;area under the curve&lt;/Keywords&gt;&lt;Keywords&gt;Azathioprine&lt;/Keywords&gt;&lt;Keywords&gt;B-Lymphocytes&lt;/Keywords&gt;&lt;Keywords&gt;clinical trial&lt;/Keywords&gt;&lt;Keywords&gt;diagnosis&lt;/Keywords&gt;&lt;Keywords&gt;Double-Blind Method&lt;/Keywords&gt;&lt;Keywords&gt;drug effects&lt;/Keywords&gt;&lt;Keywords&gt;drug therapy&lt;/Keywords&gt;&lt;Keywords&gt;erythematosus&lt;/Keywords&gt;&lt;Keywords&gt;evaluation&lt;/Keywords&gt;&lt;Keywords&gt;Female&lt;/Keywords&gt;&lt;Keywords&gt;Hispanic&lt;/Keywords&gt;&lt;Keywords&gt;Humans&lt;/Keywords&gt;&lt;Keywords&gt;Immunologic Factors&lt;/Keywords&gt;&lt;Keywords&gt;immunology&lt;/Keywords&gt;&lt;Keywords&gt;lupus erythematosus&lt;/Keywords&gt;&lt;Keywords&gt;Lupus Erythematosus,Systemic&lt;/Keywords&gt;&lt;Keywords&gt;Male&lt;/Keywords&gt;&lt;Keywords&gt;medical research&lt;/Keywords&gt;&lt;Keywords&gt;methods&lt;/Keywords&gt;&lt;Keywords&gt;methotrexate&lt;/Keywords&gt;&lt;Keywords&gt;pathogenesis&lt;/Keywords&gt;&lt;Keywords&gt;patient&lt;/Keywords&gt;&lt;Keywords&gt;Patients&lt;/Keywords&gt;&lt;Keywords&gt;physiopathology&lt;/Keywords&gt;&lt;Keywords&gt;placebo&lt;/Keywords&gt;&lt;Keywords&gt;Prednisone&lt;/Keywords&gt;&lt;Keywords&gt;Quality of Life&lt;/Keywords&gt;&lt;Keywords&gt;Research&lt;/Keywords&gt;&lt;Keywords&gt;safety&lt;/Keywords&gt;&lt;Keywords&gt;Severity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File&lt;/Reprint&gt;&lt;Start_Page&gt;222&lt;/Start_Page&gt;&lt;End_Page&gt;233&lt;/End_Page&gt;&lt;Periodical&gt;Arthritis Rheum.&lt;/Periodical&gt;&lt;Volume&gt;62&lt;/Volume&gt;&lt;Issue&gt;1&lt;/Issue&gt;&lt;User_Def_1&gt;Clinical Trial&lt;/User_Def_1&gt;&lt;ZZ_JournalStdAbbrev&gt;&lt;f name="System"&gt;Arthritis Rheum.&lt;/f&gt;&lt;/ZZ_JournalStdAbbrev&gt;&lt;ZZ_WorkformID&gt;1&lt;/ZZ_WorkformID&gt;&lt;/MDL&gt;&lt;/Cite&gt;&lt;/Refman&gt;</w:instrText>
      </w:r>
      <w:r w:rsidR="00E729BA">
        <w:fldChar w:fldCharType="separate"/>
      </w:r>
      <w:r w:rsidR="00F12F58">
        <w:t>(62)</w:t>
      </w:r>
      <w:r w:rsidR="00E729BA">
        <w:fldChar w:fldCharType="end"/>
      </w:r>
      <w:r w:rsidR="007D2958">
        <w:t xml:space="preserve">. Other unsuccessful trials, such as </w:t>
      </w:r>
      <w:r w:rsidR="004D7951">
        <w:t xml:space="preserve">the </w:t>
      </w:r>
      <w:r w:rsidR="007D2958">
        <w:t xml:space="preserve">abatacept </w:t>
      </w:r>
      <w:r w:rsidR="004D7951">
        <w:t xml:space="preserve">trial </w:t>
      </w:r>
      <w:r w:rsidR="007D2958">
        <w:t>did not meet their primary endpoint using the BILAG score, but observed positive outcomes on the physician’s assessment</w:t>
      </w:r>
      <w:r w:rsidR="00937F6A">
        <w:t xml:space="preserve"> </w:t>
      </w:r>
      <w:r w:rsidR="00E729BA">
        <w:fldChar w:fldCharType="begin"/>
      </w:r>
      <w:r w:rsidR="00FC61FD">
        <w:instrText xml:space="preserve"> ADDIN REFMGR.CITE &lt;Refman&gt;&lt;Cite&gt;&lt;Author&gt;Merrill&lt;/Author&gt;&lt;Year&gt;2009&lt;/Year&gt;&lt;RecNum&gt;1452&lt;/RecNum&gt;&lt;IDText&gt;Activity of Abatacept in SLE: Results of a 12 month Phase II Exploratory Study&lt;/IDText&gt;&lt;MDL Ref_Type="Abstract"&gt;&lt;Ref_Type&gt;Abstract&lt;/Ref_Type&gt;&lt;Ref_ID&gt;1452&lt;/Ref_ID&gt;&lt;Title_Primary&gt;Activity of Abatacept in SLE: Results of a 12 month Phase II Exploratory Study&lt;/Title_Primary&gt;&lt;Authors_Primary&gt;Merrill,J.T.&lt;/Authors_Primary&gt;&lt;Authors_Primary&gt;et al.&lt;/Authors_Primary&gt;&lt;Date_Primary&gt;2009&lt;/Date_Primary&gt;&lt;Reprint&gt;Not in File&lt;/Reprint&gt;&lt;Periodical&gt;Ann Rheum Dis 2009 68(suppl3):70&lt;/Periodical&gt;&lt;User_Def_1&gt;Clinical Trial&lt;/User_Def_1&gt;&lt;ZZ_JournalFull&gt;&lt;f name="System"&gt;Ann Rheum Dis 2009 68(suppl3):70&lt;/f&gt;&lt;/ZZ_JournalFull&gt;&lt;ZZ_WorkformID&gt;4&lt;/ZZ_WorkformID&gt;&lt;/MDL&gt;&lt;/Cite&gt;&lt;/Refman&gt;</w:instrText>
      </w:r>
      <w:r w:rsidR="00E729BA">
        <w:fldChar w:fldCharType="separate"/>
      </w:r>
      <w:r w:rsidR="00F12F58">
        <w:t>(61)</w:t>
      </w:r>
      <w:r w:rsidR="00E729BA">
        <w:fldChar w:fldCharType="end"/>
      </w:r>
      <w:r w:rsidR="007D2958">
        <w:t xml:space="preserve">. </w:t>
      </w:r>
    </w:p>
    <w:p w:rsidR="002D772C" w:rsidRDefault="009F66CE" w:rsidP="009F66CE">
      <w:r>
        <w:t>Investigators planning an</w:t>
      </w:r>
      <w:r w:rsidR="00937F6A">
        <w:t xml:space="preserve"> </w:t>
      </w:r>
      <w:r w:rsidR="007533B5">
        <w:t>SLE trial will inevitably be interested</w:t>
      </w:r>
      <w:r w:rsidR="00A414ED">
        <w:t xml:space="preserve"> in identifying suitable endpoints</w:t>
      </w:r>
      <w:r w:rsidR="00937F6A">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F12F58">
        <w:t>(73)</w:t>
      </w:r>
      <w:r w:rsidR="00E729BA">
        <w:fldChar w:fldCharType="end"/>
      </w:r>
      <w:r w:rsidR="00A414ED">
        <w:t xml:space="preserve">. </w:t>
      </w:r>
      <w:r w:rsidR="0094366B" w:rsidRPr="0094366B">
        <w:rPr>
          <w:i/>
          <w:iCs/>
        </w:rPr>
        <w:t>Post-hoc</w:t>
      </w:r>
      <w:r w:rsidR="007D2958">
        <w:t xml:space="preserve"> analysis of the belimumab Phase II trial was used to develop </w:t>
      </w:r>
      <w:r w:rsidR="0023236E">
        <w:t xml:space="preserve">a composite responder index </w:t>
      </w:r>
      <w:r w:rsidR="007D2958">
        <w:t xml:space="preserve">for the Phase III trial. </w:t>
      </w:r>
      <w:r w:rsidR="0023236E">
        <w:t>Mathematical modelling could be employed to assess the sensitivity of the endpoints in observing differences between the arms of the trial.</w:t>
      </w:r>
    </w:p>
    <w:p w:rsidR="00CF5707" w:rsidRDefault="00CF5707" w:rsidP="00CF5707">
      <w:pPr>
        <w:pStyle w:val="Heading3"/>
      </w:pPr>
      <w:bookmarkStart w:id="98" w:name="_Toc379467566"/>
      <w:r>
        <w:t>Adverse Events</w:t>
      </w:r>
      <w:bookmarkEnd w:id="98"/>
    </w:p>
    <w:p w:rsidR="00523422" w:rsidRDefault="00937F6A" w:rsidP="00937F6A">
      <w:r>
        <w:t>Infections and other major adverse events are monitored during trials and often lead to participants withdrawing from the trial. I decided not to consider alternative options for the design of trials in relation to adverse event protocols</w:t>
      </w:r>
      <w:r w:rsidR="00CF5707">
        <w:t xml:space="preserve"> because the</w:t>
      </w:r>
      <w:r w:rsidR="00A414ED">
        <w:t>re are strict guidelines on the monitoring of adverse events. The</w:t>
      </w:r>
      <w:r w:rsidR="00CF5707">
        <w:t xml:space="preserve"> FDA require that the safety database is consistent with the recommendations made in the ICH guidance for industry </w:t>
      </w:r>
      <w:r w:rsidR="00E729BA">
        <w:fldChar w:fldCharType="begin"/>
      </w:r>
      <w:r w:rsidR="00FC61FD">
        <w:instrText xml:space="preserve"> ADDIN REFMGR.CITE &lt;Refman&gt;&lt;Cite&gt;&lt;Author&gt;ICH&lt;/Author&gt;&lt;Year&gt;2012&lt;/Year&gt;&lt;RecNum&gt;1627&lt;/RecNum&gt;&lt;IDText&gt;The Extent of Population Exposure to Assess Clinical Safety for Drugs Intended for Long-Term Treatment of Non-Life Threatening Conditions&lt;/IDText&gt;&lt;MDL Ref_Type="Electronic Citation"&gt;&lt;Ref_Type&gt;Electronic Citation&lt;/Ref_Type&gt;&lt;Ref_ID&gt;1627&lt;/Ref_ID&gt;&lt;Title_Primary&gt;The Extent of Population Exposure to Assess Clinical Safety for Drugs Intended for Long-Term Treatment of Non-Life Threatening Conditions&lt;/Title_Primary&gt;&lt;Authors_Primary&gt;ICH&lt;/Authors_Primary&gt;&lt;Date_Primary&gt;2012&lt;/Date_Primary&gt;&lt;Keywords&gt;population&lt;/Keywords&gt;&lt;Keywords&gt;safety&lt;/Keywords&gt;&lt;Reprint&gt;In File&lt;/Reprint&gt;&lt;Periodical&gt;http://www.ich.org/products/guidelines/efficacy/efficacy-single/article/the-extent-of-population-exposure-to-assess-clinical-safety-for-drugs-intended-for-long-term-treatme.html&lt;/Periodical&gt;&lt;Web_URL&gt;&lt;u&gt;http://www.ich.org/products/guidelines/efficacy/efficacy-single/article/the-extent-of-population-exposure-to-assess-clinical-safety-for-drugs-intended-for-long-term-treatme.html&lt;/u&gt;&lt;/Web_URL&gt;&lt;ZZ_JournalStdAbbrev&gt;&lt;f name="System"&gt;http://www.ich.org/products/guidelines/efficacy/efficacy-single/article/the-extent-of-population-exposure-to-assess-clinical-safety-for-drugs-intended-for-long-term-treatme.html&lt;/f&gt;&lt;/ZZ_JournalStdAbbrev&gt;&lt;ZZ_WorkformID&gt;34&lt;/ZZ_WorkformID&gt;&lt;/MDL&gt;&lt;/Cite&gt;&lt;/Refman&gt;</w:instrText>
      </w:r>
      <w:r w:rsidR="00E729BA">
        <w:fldChar w:fldCharType="separate"/>
      </w:r>
      <w:r w:rsidR="00F12F58">
        <w:t>(88)</w:t>
      </w:r>
      <w:r w:rsidR="00E729BA">
        <w:fldChar w:fldCharType="end"/>
      </w:r>
      <w:r w:rsidR="00CF5707">
        <w:t>.</w:t>
      </w:r>
      <w:r w:rsidR="00A414ED">
        <w:t xml:space="preserve"> </w:t>
      </w:r>
      <w:bookmarkStart w:id="99" w:name="_Toc332720577"/>
      <w:bookmarkStart w:id="100" w:name="_Ref354924625"/>
    </w:p>
    <w:p w:rsidR="002D772C" w:rsidRPr="00D24333" w:rsidRDefault="002D772C" w:rsidP="002D772C">
      <w:pPr>
        <w:pStyle w:val="Heading2"/>
      </w:pPr>
      <w:bookmarkStart w:id="101" w:name="_Ref362171697"/>
      <w:bookmarkStart w:id="102" w:name="_Toc379467567"/>
      <w:r>
        <w:t>Conclusion</w:t>
      </w:r>
      <w:bookmarkEnd w:id="99"/>
      <w:bookmarkEnd w:id="100"/>
      <w:bookmarkEnd w:id="101"/>
      <w:r w:rsidR="00937F6A">
        <w:t>s</w:t>
      </w:r>
      <w:bookmarkEnd w:id="102"/>
    </w:p>
    <w:p w:rsidR="00392091" w:rsidRDefault="00392091" w:rsidP="004D7951">
      <w:bookmarkStart w:id="103" w:name="_Toc278533893"/>
      <w:bookmarkStart w:id="104" w:name="_Toc278533953"/>
      <w:bookmarkStart w:id="105" w:name="_Toc279009220"/>
      <w:bookmarkStart w:id="106" w:name="_Toc332984763"/>
      <w:r>
        <w:t xml:space="preserve">In conclusion, the literature review was informative in defining what characteristics are commonly found in an SLE clinical trial. The standard trial design for a large drug development </w:t>
      </w:r>
      <w:r w:rsidR="007533B5">
        <w:t>included</w:t>
      </w:r>
      <w:r>
        <w:t xml:space="preserve"> 100-800 patients with moderate/severe disease </w:t>
      </w:r>
      <w:r w:rsidR="007533B5">
        <w:t>who were</w:t>
      </w:r>
      <w:r>
        <w:t xml:space="preserve"> followed for 1</w:t>
      </w:r>
      <w:r w:rsidR="007533B5">
        <w:t>-1.5</w:t>
      </w:r>
      <w:r>
        <w:t xml:space="preserve"> year</w:t>
      </w:r>
      <w:r w:rsidR="007533B5">
        <w:t>s</w:t>
      </w:r>
      <w:r>
        <w:t xml:space="preserve">. Efficacy is evaluated </w:t>
      </w:r>
      <w:r w:rsidR="004D7951">
        <w:t xml:space="preserve">by </w:t>
      </w:r>
      <w:r>
        <w:t xml:space="preserve">monitoring disease activity. Concomitant medications are allowed but are likely to be regulated. I identified that sample size, duration of follow-up, definition of primary endpoint, and inclusion criteria were potential design features to vary in future SLE clinical trials. Concomitant medications and adverse events were not suitable design features to evaluate. </w:t>
      </w:r>
    </w:p>
    <w:p w:rsidR="00937F6A" w:rsidRDefault="00937F6A" w:rsidP="009F66CE">
      <w:r>
        <w:t>Having identified trial design feature</w:t>
      </w:r>
      <w:r w:rsidR="009F66CE">
        <w:t>s that</w:t>
      </w:r>
      <w:r>
        <w:t xml:space="preserve"> could be changed in future SLE trials it was necessary to identify a suitable method to evaluate </w:t>
      </w:r>
      <w:r w:rsidR="009F66CE">
        <w:t xml:space="preserve">an optimal </w:t>
      </w:r>
      <w:r>
        <w:t xml:space="preserve">trial design. As a consequence, I reviewed the literature to </w:t>
      </w:r>
      <w:r w:rsidR="009F66CE">
        <w:t>include in my</w:t>
      </w:r>
      <w:r>
        <w:t xml:space="preserve"> analysis plan.</w:t>
      </w:r>
    </w:p>
    <w:p w:rsidR="005E31CE" w:rsidRDefault="005E31CE">
      <w:pPr>
        <w:spacing w:after="0" w:afterAutospacing="0" w:line="240" w:lineRule="auto"/>
        <w:rPr>
          <w:b/>
          <w:bCs/>
          <w:caps/>
          <w:color w:val="000000" w:themeColor="text1"/>
          <w:spacing w:val="15"/>
          <w:sz w:val="24"/>
          <w:szCs w:val="24"/>
        </w:rPr>
      </w:pPr>
      <w:r>
        <w:br w:type="page"/>
      </w:r>
    </w:p>
    <w:p w:rsidR="002367E4" w:rsidRDefault="004E37AB" w:rsidP="002367E4">
      <w:pPr>
        <w:pStyle w:val="Heading1"/>
      </w:pPr>
      <w:bookmarkStart w:id="107" w:name="_Toc379467568"/>
      <w:r>
        <w:t xml:space="preserve">Chapter </w:t>
      </w:r>
      <w:r w:rsidR="005D7025">
        <w:t>3</w:t>
      </w:r>
      <w:r w:rsidR="000240FA">
        <w:t xml:space="preserve">: </w:t>
      </w:r>
      <w:bookmarkEnd w:id="103"/>
      <w:bookmarkEnd w:id="104"/>
      <w:bookmarkEnd w:id="105"/>
      <w:r>
        <w:t>Modelling Methods Literature Review</w:t>
      </w:r>
      <w:bookmarkEnd w:id="106"/>
      <w:bookmarkEnd w:id="107"/>
    </w:p>
    <w:p w:rsidR="002367E4" w:rsidRPr="002367E4" w:rsidRDefault="002367E4" w:rsidP="00597CF5">
      <w:pPr>
        <w:pStyle w:val="ListParagraph"/>
        <w:numPr>
          <w:ilvl w:val="0"/>
          <w:numId w:val="30"/>
        </w:numPr>
        <w:rPr>
          <w:sz w:val="16"/>
          <w:szCs w:val="16"/>
        </w:rPr>
      </w:pPr>
    </w:p>
    <w:p w:rsidR="00844E69" w:rsidRDefault="00890304" w:rsidP="004D7951">
      <w:r>
        <w:t xml:space="preserve">The </w:t>
      </w:r>
      <w:r w:rsidR="004D7951">
        <w:t xml:space="preserve">aim </w:t>
      </w:r>
      <w:r>
        <w:t xml:space="preserve">of this literature review </w:t>
      </w:r>
      <w:r w:rsidR="00941A81">
        <w:t>was</w:t>
      </w:r>
      <w:r>
        <w:t xml:space="preserve"> to identify health economic methods that have been used </w:t>
      </w:r>
      <w:r w:rsidR="0002162E">
        <w:t xml:space="preserve">to </w:t>
      </w:r>
      <w:r w:rsidR="008E04BA">
        <w:t>design</w:t>
      </w:r>
      <w:r w:rsidR="000F0B2C">
        <w:t xml:space="preserve"> </w:t>
      </w:r>
      <w:r>
        <w:t xml:space="preserve">clinical trials. </w:t>
      </w:r>
    </w:p>
    <w:p w:rsidR="00392091" w:rsidRDefault="00E44A19" w:rsidP="004D7951">
      <w:r>
        <w:t xml:space="preserve">The literature review would be used to inform the methodological approach to evaluating alternative trial designs for a Phase III SLE trial. </w:t>
      </w:r>
      <w:r w:rsidR="00392091">
        <w:t xml:space="preserve">Health economic analyses are more commonly used to evaluate treatments after data collection. However, there is also interest in using health economic methods to plan clinical trials. A comprehensive literature search reviewing modelling methods in clinical trial design was reported in 2003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rsidR="00392091">
        <w:t xml:space="preserve">. These findings were used as an introduction to </w:t>
      </w:r>
      <w:r w:rsidR="0020147D">
        <w:t>trial design</w:t>
      </w:r>
      <w:r w:rsidR="00392091">
        <w:t xml:space="preserve"> methods and to guide further literature searching. Chilcott </w:t>
      </w:r>
      <w:r w:rsidR="00392091" w:rsidRPr="00015744">
        <w:rPr>
          <w:i/>
          <w:iCs/>
        </w:rPr>
        <w:t>et al.</w:t>
      </w:r>
      <w:r w:rsidR="00392091">
        <w:rPr>
          <w:i/>
          <w:iCs/>
        </w:rPr>
        <w:t xml:space="preserve"> </w:t>
      </w:r>
      <w:r w:rsidR="00392091" w:rsidRPr="00A056C0">
        <w:t>(2003)</w:t>
      </w:r>
      <w:r w:rsidR="00392091">
        <w:t xml:space="preserve"> identified the Value of Information (VOI) approach to planning future clinical trials that uses Bayesian methods to plan and prioritise trials</w:t>
      </w:r>
      <w:r w:rsidR="004D7951">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4D7951">
        <w:t>(89)</w:t>
      </w:r>
      <w:r w:rsidR="00E729BA">
        <w:fldChar w:fldCharType="end"/>
      </w:r>
      <w:r w:rsidR="00392091">
        <w:t>. In this chapter</w:t>
      </w:r>
      <w:r w:rsidR="0020147D">
        <w:t>,</w:t>
      </w:r>
      <w:r w:rsidR="00392091">
        <w:t xml:space="preserve"> I focus on the Expected Net Benefit of </w:t>
      </w:r>
      <w:r w:rsidR="004D7951">
        <w:t>Sampling</w:t>
      </w:r>
      <w:r w:rsidR="00392091">
        <w:t xml:space="preserve">(ENBS), which has been used by </w:t>
      </w:r>
      <w:r w:rsidR="004D7951">
        <w:t xml:space="preserve">health economists </w:t>
      </w:r>
      <w:r w:rsidR="00392091">
        <w:t xml:space="preserve">to inform the design of clinical trials. </w:t>
      </w:r>
    </w:p>
    <w:p w:rsidR="005D7025" w:rsidRDefault="005D7025" w:rsidP="00B947BC">
      <w:r>
        <w:t xml:space="preserve">Section </w:t>
      </w:r>
      <w:r w:rsidR="00E729BA">
        <w:fldChar w:fldCharType="begin"/>
      </w:r>
      <w:r w:rsidR="00104356">
        <w:instrText xml:space="preserve"> REF _Ref337482964 \r \h </w:instrText>
      </w:r>
      <w:r w:rsidR="00E729BA">
        <w:fldChar w:fldCharType="separate"/>
      </w:r>
      <w:r w:rsidR="004911B7">
        <w:rPr>
          <w:cs/>
        </w:rPr>
        <w:t>‎</w:t>
      </w:r>
      <w:r w:rsidR="004911B7">
        <w:t>3.1</w:t>
      </w:r>
      <w:r w:rsidR="00E729BA">
        <w:fldChar w:fldCharType="end"/>
      </w:r>
      <w:r w:rsidR="00104356">
        <w:t xml:space="preserve"> </w:t>
      </w:r>
      <w:r>
        <w:t xml:space="preserve">describes the findings from </w:t>
      </w:r>
      <w:r w:rsidR="00E33418">
        <w:t xml:space="preserve">Chilcott </w:t>
      </w:r>
      <w:r w:rsidR="00E33418" w:rsidRPr="00E33418">
        <w:rPr>
          <w:i/>
          <w:iCs/>
        </w:rPr>
        <w:t>et al</w:t>
      </w:r>
      <w:r w:rsidR="00E33418">
        <w:t>. 2003</w:t>
      </w:r>
      <w:r>
        <w:t xml:space="preserve">. Section </w:t>
      </w:r>
      <w:r w:rsidR="00E729BA">
        <w:fldChar w:fldCharType="begin"/>
      </w:r>
      <w:r w:rsidR="00104356">
        <w:instrText xml:space="preserve"> REF _Ref337482994 \r \h </w:instrText>
      </w:r>
      <w:r w:rsidR="00E729BA">
        <w:fldChar w:fldCharType="separate"/>
      </w:r>
      <w:r w:rsidR="004911B7">
        <w:rPr>
          <w:cs/>
        </w:rPr>
        <w:t>‎</w:t>
      </w:r>
      <w:r w:rsidR="004911B7">
        <w:t>3.2</w:t>
      </w:r>
      <w:r w:rsidR="00E729BA">
        <w:fldChar w:fldCharType="end"/>
      </w:r>
      <w:r w:rsidR="00104356">
        <w:t xml:space="preserve"> </w:t>
      </w:r>
      <w:r>
        <w:t xml:space="preserve">describes the search strategy for the updated literature review. Section </w:t>
      </w:r>
      <w:r w:rsidR="00E729BA">
        <w:fldChar w:fldCharType="begin"/>
      </w:r>
      <w:r w:rsidR="00104356">
        <w:instrText xml:space="preserve"> REF _Ref337483010 \r \h </w:instrText>
      </w:r>
      <w:r w:rsidR="00E729BA">
        <w:fldChar w:fldCharType="separate"/>
      </w:r>
      <w:r w:rsidR="004911B7">
        <w:rPr>
          <w:cs/>
        </w:rPr>
        <w:t>‎</w:t>
      </w:r>
      <w:r w:rsidR="004911B7">
        <w:t>3.3</w:t>
      </w:r>
      <w:r w:rsidR="00E729BA">
        <w:fldChar w:fldCharType="end"/>
      </w:r>
      <w:r w:rsidR="00104356">
        <w:t xml:space="preserve"> </w:t>
      </w:r>
      <w:r>
        <w:t xml:space="preserve">describes the methods adopted in the studies identified in the literature. Section </w:t>
      </w:r>
      <w:r w:rsidR="00E729BA">
        <w:fldChar w:fldCharType="begin"/>
      </w:r>
      <w:r w:rsidR="00104356">
        <w:instrText xml:space="preserve"> REF _Ref337483026 \r \h </w:instrText>
      </w:r>
      <w:r w:rsidR="00E729BA">
        <w:fldChar w:fldCharType="separate"/>
      </w:r>
      <w:r w:rsidR="004911B7">
        <w:rPr>
          <w:cs/>
        </w:rPr>
        <w:t>‎</w:t>
      </w:r>
      <w:r w:rsidR="004911B7">
        <w:t>3.4</w:t>
      </w:r>
      <w:r w:rsidR="00E729BA">
        <w:fldChar w:fldCharType="end"/>
      </w:r>
      <w:r w:rsidR="00104356">
        <w:t xml:space="preserve"> </w:t>
      </w:r>
      <w:r w:rsidR="0075708C">
        <w:t>discusses the advantages and limitations of the methods identified and whether they can be applied in this case study. Section</w:t>
      </w:r>
      <w:r w:rsidR="00FA363D">
        <w:t xml:space="preserve"> </w:t>
      </w:r>
      <w:r w:rsidR="00E729BA">
        <w:fldChar w:fldCharType="begin"/>
      </w:r>
      <w:r w:rsidR="00FA363D">
        <w:instrText xml:space="preserve"> REF _Ref354924977 \n \h </w:instrText>
      </w:r>
      <w:r w:rsidR="00E729BA">
        <w:fldChar w:fldCharType="separate"/>
      </w:r>
      <w:r w:rsidR="004911B7">
        <w:rPr>
          <w:cs/>
        </w:rPr>
        <w:t>‎</w:t>
      </w:r>
      <w:r w:rsidR="004911B7">
        <w:t>3.5</w:t>
      </w:r>
      <w:r w:rsidR="00E729BA">
        <w:fldChar w:fldCharType="end"/>
      </w:r>
      <w:r w:rsidR="0075708C">
        <w:t xml:space="preserve"> </w:t>
      </w:r>
      <w:r>
        <w:t xml:space="preserve">summarises how </w:t>
      </w:r>
      <w:r w:rsidR="00E33418">
        <w:t xml:space="preserve">the literature review was used </w:t>
      </w:r>
      <w:r>
        <w:t xml:space="preserve">to </w:t>
      </w:r>
      <w:r w:rsidR="00B947BC">
        <w:t>select the</w:t>
      </w:r>
      <w:r w:rsidR="00E33418">
        <w:t xml:space="preserve"> methods used in this thesis </w:t>
      </w:r>
      <w:r>
        <w:t>to evaluate the value of Phase III RCTs in SLE.</w:t>
      </w:r>
    </w:p>
    <w:p w:rsidR="00890304" w:rsidRDefault="004D73C2" w:rsidP="00890304">
      <w:pPr>
        <w:pStyle w:val="Heading2"/>
      </w:pPr>
      <w:bookmarkStart w:id="108" w:name="_Toc332984765"/>
      <w:bookmarkStart w:id="109" w:name="_Ref337482964"/>
      <w:bookmarkStart w:id="110" w:name="_Toc379467569"/>
      <w:r>
        <w:t>Chilcott et al. (2003)</w:t>
      </w:r>
      <w:bookmarkEnd w:id="108"/>
      <w:bookmarkEnd w:id="109"/>
      <w:bookmarkEnd w:id="110"/>
    </w:p>
    <w:p w:rsidR="009B3FE8" w:rsidRDefault="004E37AB" w:rsidP="00F12F58">
      <w:r>
        <w:t xml:space="preserve">A comprehensive review of the role of modelling in prioritising and planning clinical trials was published as a Health Technology Assessment Methodology </w:t>
      </w:r>
      <w:r w:rsidR="00E33418">
        <w:t>report</w:t>
      </w:r>
      <w:r>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t xml:space="preserve">. </w:t>
      </w:r>
      <w:r w:rsidR="00F12F58">
        <w:t xml:space="preserve">Chilcott et al. (2003) </w:t>
      </w:r>
      <w:r w:rsidR="009B3FE8">
        <w:t>identif</w:t>
      </w:r>
      <w:r w:rsidR="00015744">
        <w:t>ied</w:t>
      </w:r>
      <w:r w:rsidR="009B3FE8">
        <w:t xml:space="preserve"> a number of </w:t>
      </w:r>
      <w:r w:rsidR="00FC5CFB">
        <w:t xml:space="preserve">modelling </w:t>
      </w:r>
      <w:r w:rsidR="009B3FE8">
        <w:t>approaches for the planning and prioritising of clinical trials</w:t>
      </w:r>
      <w:r w:rsidR="00F12F58">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rsidR="009B3FE8">
        <w:t>. T</w:t>
      </w:r>
      <w:r w:rsidR="00650635">
        <w:t>he review conclude</w:t>
      </w:r>
      <w:r w:rsidR="00015744">
        <w:t>d</w:t>
      </w:r>
      <w:r w:rsidR="00650635">
        <w:t xml:space="preserve"> that</w:t>
      </w:r>
      <w:r w:rsidR="00FC5CFB">
        <w:t xml:space="preserve"> these</w:t>
      </w:r>
      <w:r w:rsidR="00650635">
        <w:t xml:space="preserve"> can be useful in </w:t>
      </w:r>
      <w:r w:rsidR="00AC2ADD">
        <w:t>identifying parameters for which further data collection would be beneficial</w:t>
      </w:r>
      <w:r w:rsidR="00B947BC">
        <w:t>. The</w:t>
      </w:r>
      <w:r w:rsidR="00937F6A">
        <w:t>y</w:t>
      </w:r>
      <w:r w:rsidR="00B947BC">
        <w:t xml:space="preserve"> find that methods have been developed to evaluate the</w:t>
      </w:r>
      <w:r w:rsidR="00AC2ADD">
        <w:t xml:space="preserve"> benefit </w:t>
      </w:r>
      <w:r w:rsidR="00B947BC">
        <w:t>of</w:t>
      </w:r>
      <w:r w:rsidR="00AC2ADD">
        <w:t xml:space="preserve"> alternative trial designs. </w:t>
      </w:r>
      <w:bookmarkStart w:id="111" w:name="_Toc279009232"/>
      <w:r w:rsidR="00E33418">
        <w:t xml:space="preserve">In the following sections I summarise the findings from </w:t>
      </w:r>
      <w:r w:rsidR="009B3FE8">
        <w:t>Chapter</w:t>
      </w:r>
      <w:r w:rsidR="00E33418">
        <w:t>s</w:t>
      </w:r>
      <w:r w:rsidR="009B3FE8">
        <w:t xml:space="preserve"> 6-8 from Chilcott </w:t>
      </w:r>
      <w:r w:rsidR="009B3FE8" w:rsidRPr="00E33418">
        <w:rPr>
          <w:i/>
          <w:iCs/>
        </w:rPr>
        <w:t>et al</w:t>
      </w:r>
      <w:r w:rsidR="009B3FE8">
        <w:t xml:space="preserve">. (2003). </w:t>
      </w:r>
      <w:bookmarkStart w:id="112" w:name="_Toc279009276"/>
    </w:p>
    <w:p w:rsidR="004E70E9" w:rsidRPr="009B3FE8" w:rsidRDefault="004E70E9" w:rsidP="00E44A19"/>
    <w:p w:rsidR="007573AD" w:rsidRPr="004E70E9" w:rsidRDefault="001547ED" w:rsidP="004E70E9">
      <w:pPr>
        <w:pStyle w:val="Heading3"/>
        <w:rPr>
          <w:rStyle w:val="Emphasis"/>
          <w:spacing w:val="15"/>
          <w:sz w:val="22"/>
        </w:rPr>
      </w:pPr>
      <w:bookmarkStart w:id="113" w:name="_Toc332984767"/>
      <w:bookmarkStart w:id="114" w:name="_Toc379467570"/>
      <w:bookmarkEnd w:id="112"/>
      <w:r w:rsidRPr="004E70E9">
        <w:rPr>
          <w:rStyle w:val="Emphasis"/>
          <w:spacing w:val="15"/>
          <w:sz w:val="22"/>
        </w:rPr>
        <w:t>Expected Value of Information</w:t>
      </w:r>
      <w:bookmarkEnd w:id="114"/>
      <w:r w:rsidR="007573AD" w:rsidRPr="004E70E9">
        <w:rPr>
          <w:rStyle w:val="Emphasis"/>
          <w:spacing w:val="15"/>
          <w:sz w:val="22"/>
        </w:rPr>
        <w:t xml:space="preserve"> </w:t>
      </w:r>
      <w:bookmarkEnd w:id="113"/>
    </w:p>
    <w:p w:rsidR="00F12F58" w:rsidRDefault="00F12F58" w:rsidP="00F12F58">
      <w:r>
        <w:t xml:space="preserve">In decision theory, the expected value of information described the monetary value that the decision-maker would be willing to pay in order to reduce the uncertainty in the decision problem. Uncertainty for the decision maker is expressed as the uncertainty in the incremental net benefit. This is a function of the uncertainty in model inputs </w:t>
      </w:r>
      <w:r>
        <w:rPr>
          <w:rFonts w:cs="Times New Roman"/>
        </w:rPr>
        <w:t>θ</w:t>
      </w:r>
      <w:r>
        <w:t xml:space="preserve">. </w:t>
      </w:r>
    </w:p>
    <w:p w:rsidR="004E37AB" w:rsidRDefault="007222C9" w:rsidP="0020040A">
      <w:r>
        <w:t>T</w:t>
      </w:r>
      <w:r w:rsidR="00FA69E6">
        <w:t xml:space="preserve">he </w:t>
      </w:r>
      <w:r w:rsidR="0020040A">
        <w:t xml:space="preserve">distribution of the </w:t>
      </w:r>
      <w:r>
        <w:t>prior parameters of the</w:t>
      </w:r>
      <w:r w:rsidR="00462E08">
        <w:t xml:space="preserve"> CE</w:t>
      </w:r>
      <w:r>
        <w:t xml:space="preserve"> </w:t>
      </w:r>
      <w:r w:rsidR="00FA69E6">
        <w:t>model can be updated with new data</w:t>
      </w:r>
      <w:r>
        <w:t xml:space="preserve"> using</w:t>
      </w:r>
      <w:r w:rsidRPr="007222C9">
        <w:t xml:space="preserve"> </w:t>
      </w:r>
      <w:r w:rsidR="0020040A">
        <w:t>Bayes theorem</w:t>
      </w:r>
      <w:r w:rsidR="00FA69E6">
        <w:t xml:space="preserve">. This will </w:t>
      </w:r>
      <w:r w:rsidR="009554D6">
        <w:t>increase the precision of the CE model input parameters</w:t>
      </w:r>
      <w:r w:rsidR="00FA69E6">
        <w:t xml:space="preserve"> and in turn reduce the uncertainty in </w:t>
      </w:r>
      <w:r w:rsidR="009554D6">
        <w:t>INB</w:t>
      </w:r>
      <w:r w:rsidR="00FA69E6">
        <w:t xml:space="preserve">. </w:t>
      </w:r>
      <w:r w:rsidR="009554D6">
        <w:t>Reimbursement</w:t>
      </w:r>
      <w:r w:rsidR="00FA69E6">
        <w:t xml:space="preserve"> decision-maker</w:t>
      </w:r>
      <w:r w:rsidR="009554D6">
        <w:t>s are adverse to uncertainty</w:t>
      </w:r>
      <w:r w:rsidR="00FA69E6">
        <w:t xml:space="preserve"> </w:t>
      </w:r>
      <w:r w:rsidR="000F0B2C">
        <w:t>because it increases the p</w:t>
      </w:r>
      <w:r w:rsidR="00B947BC">
        <w:t>robability</w:t>
      </w:r>
      <w:r w:rsidR="000F0B2C">
        <w:t xml:space="preserve"> that a sub-optimal treatment is chosen. </w:t>
      </w:r>
      <w:r>
        <w:t xml:space="preserve">For this reason it may be preferable to collect more data to support the decision, rather than make a decision based on current information.     </w:t>
      </w:r>
    </w:p>
    <w:p w:rsidR="007C2FBD" w:rsidRDefault="00942F18" w:rsidP="004D7951">
      <w:r>
        <w:t xml:space="preserve">VOI assigns a monetary value to the uncertainty in the </w:t>
      </w:r>
      <w:r w:rsidR="00462E08">
        <w:t>CE</w:t>
      </w:r>
      <w:r>
        <w:t xml:space="preserve"> model to reflect the opportunity cost of choosing the less cost-effective treatment. The opportunity cost is estimated from the lost </w:t>
      </w:r>
      <w:r w:rsidR="004D7951">
        <w:t xml:space="preserve">net benefit </w:t>
      </w:r>
      <w:r>
        <w:t xml:space="preserve">if the wrong decision were made. </w:t>
      </w:r>
      <w:r w:rsidR="0020040A">
        <w:t>Reducing the uncertainty</w:t>
      </w:r>
      <w:r w:rsidR="009554D6">
        <w:t xml:space="preserve"> of the</w:t>
      </w:r>
      <w:r>
        <w:t xml:space="preserve"> </w:t>
      </w:r>
      <w:r w:rsidR="009554D6">
        <w:t>INB</w:t>
      </w:r>
      <w:r>
        <w:t xml:space="preserve"> reduces the opportunity costs </w:t>
      </w:r>
      <w:r w:rsidR="001F5CE8">
        <w:t>to</w:t>
      </w:r>
      <w:r>
        <w:t xml:space="preserve"> the decision-maker bec</w:t>
      </w:r>
      <w:r w:rsidR="00312DB9">
        <w:t xml:space="preserve">ause there is a lower risk of an incorrect </w:t>
      </w:r>
      <w:r>
        <w:t xml:space="preserve">decision. </w:t>
      </w:r>
      <w:r w:rsidR="00FC5CFB">
        <w:t xml:space="preserve">The VOI approach assumes that data collection can be predicted and valued to help decide whether to conduct the research and compare the value of alternative research designs. </w:t>
      </w:r>
      <w:r w:rsidR="007C2FBD">
        <w:t xml:space="preserve">The </w:t>
      </w:r>
      <w:r w:rsidR="00B03AE0">
        <w:t>VOI</w:t>
      </w:r>
      <w:r w:rsidR="007C2FBD">
        <w:t xml:space="preserve"> framework broadly calculates the </w:t>
      </w:r>
      <w:r w:rsidR="003A4399">
        <w:t xml:space="preserve">expected reduction in </w:t>
      </w:r>
      <w:r w:rsidR="007C2FBD">
        <w:t>uncertainty</w:t>
      </w:r>
      <w:r w:rsidR="003A4399">
        <w:t xml:space="preserve"> after the collection of new data</w:t>
      </w:r>
      <w:r w:rsidR="001F5CE8">
        <w:t>,</w:t>
      </w:r>
      <w:r w:rsidR="003A4399">
        <w:t xml:space="preserve"> </w:t>
      </w:r>
      <w:r w:rsidR="007C2FBD">
        <w:t>and thereby assigns a value to new research.</w:t>
      </w:r>
    </w:p>
    <w:p w:rsidR="00223CD6" w:rsidRDefault="006523EE" w:rsidP="001F5CE8">
      <w:r>
        <w:t xml:space="preserve">Chilcott </w:t>
      </w:r>
      <w:r w:rsidRPr="006523EE">
        <w:rPr>
          <w:i/>
          <w:iCs/>
        </w:rPr>
        <w:t>et al.</w:t>
      </w:r>
      <w:r>
        <w:t xml:space="preserve"> identified</w:t>
      </w:r>
      <w:r w:rsidR="004D73C2">
        <w:t xml:space="preserve"> </w:t>
      </w:r>
      <w:r w:rsidR="00BE02B6">
        <w:t>three types of</w:t>
      </w:r>
      <w:r w:rsidR="004D73C2">
        <w:t xml:space="preserve"> analysis within the </w:t>
      </w:r>
      <w:r w:rsidR="00C65848">
        <w:t>VOI</w:t>
      </w:r>
      <w:r w:rsidR="004D73C2">
        <w:t xml:space="preserve"> framework. Expected </w:t>
      </w:r>
      <w:r w:rsidR="00CF0EC9">
        <w:t>Value of Perfect I</w:t>
      </w:r>
      <w:r w:rsidR="004D73C2">
        <w:t>nformation (EVPI) cal</w:t>
      </w:r>
      <w:r w:rsidR="00BE02B6">
        <w:t xml:space="preserve">culates the potential value of </w:t>
      </w:r>
      <w:r w:rsidR="004D73C2">
        <w:t>research if all uncertainty were eliminated from the</w:t>
      </w:r>
      <w:r w:rsidR="00462E08">
        <w:t xml:space="preserve"> CE</w:t>
      </w:r>
      <w:r w:rsidR="004D73C2">
        <w:t xml:space="preserve"> model. EVPI for specific parameters in the </w:t>
      </w:r>
      <w:r w:rsidR="00462E08">
        <w:t xml:space="preserve">CE </w:t>
      </w:r>
      <w:r w:rsidR="004D73C2">
        <w:t xml:space="preserve">model </w:t>
      </w:r>
      <w:r w:rsidR="0090393D">
        <w:t>was</w:t>
      </w:r>
      <w:r w:rsidR="004D73C2">
        <w:t xml:space="preserve"> often referred to as partial</w:t>
      </w:r>
      <w:r w:rsidR="004D7951">
        <w:t xml:space="preserve"> Expected Value of Perfect Information</w:t>
      </w:r>
      <w:r w:rsidR="004D73C2">
        <w:t xml:space="preserve"> </w:t>
      </w:r>
      <w:r w:rsidR="004D7951">
        <w:t>(</w:t>
      </w:r>
      <w:r w:rsidR="004D73C2">
        <w:t>EVP</w:t>
      </w:r>
      <w:r w:rsidR="004D7951">
        <w:t>P</w:t>
      </w:r>
      <w:r w:rsidR="004D73C2">
        <w:t>I</w:t>
      </w:r>
      <w:r w:rsidR="004D7951">
        <w:t>)</w:t>
      </w:r>
      <w:r w:rsidR="004D73C2">
        <w:t xml:space="preserve">. This </w:t>
      </w:r>
      <w:r w:rsidR="001F5CE8">
        <w:t xml:space="preserve">estimates the value of perfect information </w:t>
      </w:r>
      <w:r w:rsidR="00F12F58">
        <w:t xml:space="preserve">for </w:t>
      </w:r>
      <w:r w:rsidR="001F5CE8">
        <w:t>an</w:t>
      </w:r>
      <w:r w:rsidR="004D73C2">
        <w:t xml:space="preserve"> individual</w:t>
      </w:r>
      <w:r w:rsidR="00A056C0">
        <w:t>,</w:t>
      </w:r>
      <w:r w:rsidR="004D73C2">
        <w:t xml:space="preserve"> or a set of parameters. </w:t>
      </w:r>
    </w:p>
    <w:p w:rsidR="002367E4" w:rsidRDefault="004D73C2" w:rsidP="004D7951">
      <w:r>
        <w:t xml:space="preserve">The </w:t>
      </w:r>
      <w:r w:rsidR="00796D40">
        <w:t>Expected Value of Sample Information (</w:t>
      </w:r>
      <w:r w:rsidR="00CF0EC9">
        <w:t>EVSI</w:t>
      </w:r>
      <w:r w:rsidR="00796D40">
        <w:t>)</w:t>
      </w:r>
      <w:r>
        <w:t xml:space="preserve"> values a reduction in </w:t>
      </w:r>
      <w:r w:rsidR="00462E08">
        <w:t xml:space="preserve">CE </w:t>
      </w:r>
      <w:r>
        <w:t>model uncertainty through the collection of data from a finite sample. Given that the elimination of uncertainty is an impossible target, EVSI has a more practical application in the design of future trials.</w:t>
      </w:r>
      <w:r w:rsidR="005526D2">
        <w:t xml:space="preserve"> </w:t>
      </w:r>
      <w:r w:rsidR="00766D0E">
        <w:t xml:space="preserve">Therefore, the EVSI calculation </w:t>
      </w:r>
      <w:r w:rsidR="0090393D">
        <w:t>is</w:t>
      </w:r>
      <w:r w:rsidR="00766D0E">
        <w:t xml:space="preserve"> more useful in assessing the value of trial</w:t>
      </w:r>
      <w:r w:rsidR="00312DB9">
        <w:t xml:space="preserve">s with realistic sample sizes. </w:t>
      </w:r>
      <w:r>
        <w:t xml:space="preserve">EVSI estimates the difference between the expected value of a decision made after the proposed research and the expected value of a decision made with </w:t>
      </w:r>
      <w:r w:rsidR="00CD33F3">
        <w:t>prior knowledge</w:t>
      </w:r>
      <w:r w:rsidR="003A439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3"/>
        <w:gridCol w:w="6855"/>
        <w:gridCol w:w="1066"/>
      </w:tblGrid>
      <w:tr w:rsidR="002367E4" w:rsidTr="00FB7FA6">
        <w:trPr>
          <w:cantSplit/>
          <w:trHeight w:val="435"/>
        </w:trPr>
        <w:tc>
          <w:tcPr>
            <w:tcW w:w="534" w:type="dxa"/>
          </w:tcPr>
          <w:p w:rsidR="002367E4" w:rsidRDefault="002367E4" w:rsidP="002367E4"/>
        </w:tc>
        <w:tc>
          <w:tcPr>
            <w:tcW w:w="7512" w:type="dxa"/>
          </w:tcPr>
          <w:p w:rsidR="002367E4" w:rsidRDefault="002367E4" w:rsidP="002367E4">
            <m:oMathPara>
              <m:oMath>
                <m:r>
                  <w:rPr>
                    <w:rFonts w:ascii="Cambria Math" w:hAnsi="Cambria Math"/>
                  </w:rPr>
                  <m:t>EVSI=</m:t>
                </m:r>
                <m:sSub>
                  <m:sSubPr>
                    <m:ctrlPr>
                      <w:rPr>
                        <w:rFonts w:ascii="Cambria Math" w:hAnsi="Cambria Math"/>
                        <w:i/>
                      </w:rPr>
                    </m:ctrlPr>
                  </m:sSubPr>
                  <m:e>
                    <m:r>
                      <w:rPr>
                        <w:rFonts w:ascii="Cambria Math" w:hAnsi="Cambria Math"/>
                      </w:rPr>
                      <m:t>E</m:t>
                    </m:r>
                  </m:e>
                  <m:sub>
                    <m:r>
                      <w:rPr>
                        <w:rFonts w:ascii="Cambria Math" w:hAnsi="Cambria Math"/>
                      </w:rPr>
                      <m:t>X</m:t>
                    </m:r>
                  </m:sub>
                </m:sSub>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D</m:t>
                            </m:r>
                          </m:lim>
                        </m:limLow>
                      </m:fName>
                      <m:e>
                        <m:sSub>
                          <m:sSubPr>
                            <m:ctrlPr>
                              <w:rPr>
                                <w:rFonts w:ascii="Cambria Math" w:hAnsi="Cambria Math"/>
                                <w:i/>
                              </w:rPr>
                            </m:ctrlPr>
                          </m:sSubPr>
                          <m:e>
                            <m:r>
                              <w:rPr>
                                <w:rFonts w:ascii="Cambria Math" w:hAnsi="Cambria Math"/>
                              </w:rPr>
                              <m:t>E</m:t>
                            </m:r>
                          </m:e>
                          <m:sub>
                            <m:r>
                              <w:rPr>
                                <w:rFonts w:ascii="Cambria Math" w:hAnsi="Cambria Math"/>
                              </w:rPr>
                              <m:t>θ|X</m:t>
                            </m:r>
                          </m:sub>
                        </m:sSub>
                        <m:r>
                          <w:rPr>
                            <w:rFonts w:ascii="Cambria Math" w:hAnsi="Cambria Math"/>
                          </w:rPr>
                          <m:t>NB(D,θ)</m:t>
                        </m:r>
                      </m:e>
                    </m:func>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D</m:t>
                        </m:r>
                      </m:lim>
                    </m:limLow>
                  </m:fName>
                  <m:e>
                    <m:sSub>
                      <m:sSubPr>
                        <m:ctrlPr>
                          <w:rPr>
                            <w:rFonts w:ascii="Cambria Math" w:hAnsi="Cambria Math"/>
                            <w:i/>
                          </w:rPr>
                        </m:ctrlPr>
                      </m:sSubPr>
                      <m:e>
                        <m:r>
                          <w:rPr>
                            <w:rFonts w:ascii="Cambria Math" w:hAnsi="Cambria Math"/>
                          </w:rPr>
                          <m:t>E</m:t>
                        </m:r>
                      </m:e>
                      <m:sub>
                        <m:r>
                          <w:rPr>
                            <w:rFonts w:ascii="Cambria Math" w:hAnsi="Cambria Math"/>
                          </w:rPr>
                          <m:t>θ</m:t>
                        </m:r>
                      </m:sub>
                    </m:sSub>
                    <m:r>
                      <w:rPr>
                        <w:rFonts w:ascii="Cambria Math" w:hAnsi="Cambria Math"/>
                      </w:rPr>
                      <m:t>NB(D,θ)</m:t>
                    </m:r>
                  </m:e>
                </m:func>
              </m:oMath>
            </m:oMathPara>
          </w:p>
        </w:tc>
        <w:tc>
          <w:tcPr>
            <w:tcW w:w="1196" w:type="dxa"/>
          </w:tcPr>
          <w:p w:rsidR="002367E4" w:rsidRDefault="002367E4" w:rsidP="00597CF5">
            <w:pPr>
              <w:pStyle w:val="ListParagraph"/>
              <w:numPr>
                <w:ilvl w:val="1"/>
                <w:numId w:val="30"/>
              </w:numPr>
              <w:bidi/>
              <w:ind w:right="220"/>
              <w:jc w:val="right"/>
            </w:pPr>
          </w:p>
        </w:tc>
      </w:tr>
    </w:tbl>
    <w:p w:rsidR="00E44A19" w:rsidRDefault="003560D9" w:rsidP="00937F6A">
      <w:r>
        <w:t xml:space="preserve">Where </w:t>
      </w:r>
      <w:r w:rsidRPr="00C65848">
        <w:rPr>
          <w:i/>
          <w:iCs/>
        </w:rPr>
        <w:t>D</w:t>
      </w:r>
      <w:r>
        <w:t xml:space="preserve"> represents two or more treatment options, </w:t>
      </w:r>
      <w:r w:rsidRPr="00C65848">
        <w:rPr>
          <w:i/>
          <w:iCs/>
        </w:rPr>
        <w:t>θ</w:t>
      </w:r>
      <w:r w:rsidR="00E44A19">
        <w:t xml:space="preserve">, </w:t>
      </w:r>
      <w:r>
        <w:t xml:space="preserve">the parameters of a </w:t>
      </w:r>
      <w:r w:rsidR="00462E08">
        <w:t>CE</w:t>
      </w:r>
      <w:r>
        <w:t xml:space="preserve"> model</w:t>
      </w:r>
      <w:r w:rsidR="00E44A19">
        <w:t>,</w:t>
      </w:r>
      <w:r>
        <w:t xml:space="preserve"> and </w:t>
      </w:r>
      <w:r w:rsidRPr="00CD33F3">
        <w:rPr>
          <w:i/>
          <w:iCs/>
        </w:rPr>
        <w:t>X</w:t>
      </w:r>
      <w:r w:rsidR="001F5CE8">
        <w:rPr>
          <w:i/>
          <w:iCs/>
        </w:rPr>
        <w:t>,</w:t>
      </w:r>
      <w:r>
        <w:t xml:space="preserve"> the new data collected.</w:t>
      </w:r>
      <w:r w:rsidR="00A056C0">
        <w:t xml:space="preserve"> </w:t>
      </w:r>
    </w:p>
    <w:p w:rsidR="00312DB9" w:rsidRDefault="00A056C0" w:rsidP="00937F6A">
      <w:r>
        <w:t xml:space="preserve">The EVSI </w:t>
      </w:r>
      <w:r w:rsidR="00937F6A">
        <w:t>simulates possible results from the</w:t>
      </w:r>
      <w:r w:rsidR="004D73C2">
        <w:t xml:space="preserve"> </w:t>
      </w:r>
      <w:r w:rsidR="009554D6">
        <w:t>data collection</w:t>
      </w:r>
      <w:r w:rsidR="00937F6A">
        <w:t xml:space="preserve"> exercise, take</w:t>
      </w:r>
      <w:r w:rsidR="004D7951">
        <w:t>s</w:t>
      </w:r>
      <w:r w:rsidR="00937F6A">
        <w:t xml:space="preserve"> the average outcome over possible results from the proposed data collection exercise,</w:t>
      </w:r>
      <w:r w:rsidR="009554D6">
        <w:t xml:space="preserve"> </w:t>
      </w:r>
      <w:r w:rsidR="004D73C2">
        <w:t xml:space="preserve">and values the reduction in uncertainty </w:t>
      </w:r>
      <w:r w:rsidR="009554D6">
        <w:t>the additional data provides</w:t>
      </w:r>
      <w:r w:rsidR="004D73C2">
        <w:t xml:space="preserve">. </w:t>
      </w:r>
    </w:p>
    <w:p w:rsidR="00BE02B6" w:rsidRDefault="004D73C2" w:rsidP="004D7951">
      <w:r>
        <w:t xml:space="preserve">Collecting further information is costly, and the value of sample information must be balanced against the cost of </w:t>
      </w:r>
      <w:r w:rsidR="00C65848">
        <w:t>data collection</w:t>
      </w:r>
      <w:r>
        <w:t xml:space="preserve">. Expected net benefit of </w:t>
      </w:r>
      <w:r w:rsidR="004D7951">
        <w:t xml:space="preserve">sample </w:t>
      </w:r>
      <w:r w:rsidR="00527615">
        <w:t>information</w:t>
      </w:r>
      <w:r w:rsidR="004D7951">
        <w:t xml:space="preserve"> </w:t>
      </w:r>
      <w:r w:rsidR="001F5CE8">
        <w:t xml:space="preserve">(ENBS) </w:t>
      </w:r>
      <w:r>
        <w:t xml:space="preserve"> is the difference between the </w:t>
      </w:r>
      <w:r w:rsidR="001F5CE8">
        <w:t>EVSI</w:t>
      </w:r>
      <w:r>
        <w:t xml:space="preserve"> and the expected costs of the trial.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
        <w:gridCol w:w="6844"/>
        <w:gridCol w:w="1075"/>
      </w:tblGrid>
      <w:tr w:rsidR="002367E4" w:rsidTr="00FB7FA6">
        <w:trPr>
          <w:cantSplit/>
          <w:trHeight w:val="435"/>
        </w:trPr>
        <w:tc>
          <w:tcPr>
            <w:tcW w:w="534" w:type="dxa"/>
            <w:shd w:val="clear" w:color="auto" w:fill="auto"/>
          </w:tcPr>
          <w:p w:rsidR="002367E4" w:rsidRDefault="002367E4" w:rsidP="002367E4"/>
        </w:tc>
        <w:tc>
          <w:tcPr>
            <w:tcW w:w="7512" w:type="dxa"/>
            <w:shd w:val="clear" w:color="auto" w:fill="auto"/>
          </w:tcPr>
          <w:p w:rsidR="002367E4" w:rsidRDefault="002367E4" w:rsidP="002367E4">
            <m:oMathPara>
              <m:oMath>
                <m:r>
                  <w:rPr>
                    <w:rFonts w:ascii="Cambria Math" w:hAnsi="Cambria Math"/>
                  </w:rPr>
                  <m:t>ENBS=EVSI-Cost of sampling</m:t>
                </m:r>
              </m:oMath>
            </m:oMathPara>
          </w:p>
        </w:tc>
        <w:tc>
          <w:tcPr>
            <w:tcW w:w="1196" w:type="dxa"/>
            <w:shd w:val="clear" w:color="auto" w:fill="auto"/>
          </w:tcPr>
          <w:p w:rsidR="002367E4" w:rsidRDefault="002367E4" w:rsidP="00597CF5">
            <w:pPr>
              <w:pStyle w:val="ListParagraph"/>
              <w:numPr>
                <w:ilvl w:val="1"/>
                <w:numId w:val="30"/>
              </w:numPr>
              <w:bidi/>
              <w:ind w:right="220"/>
              <w:jc w:val="right"/>
            </w:pPr>
          </w:p>
        </w:tc>
      </w:tr>
    </w:tbl>
    <w:p w:rsidR="004D73C2" w:rsidRDefault="004D73C2" w:rsidP="001F5CE8">
      <w:r>
        <w:t xml:space="preserve">Therefore, the trial design with the greatest </w:t>
      </w:r>
      <w:r w:rsidR="00937F6A">
        <w:t xml:space="preserve">expected </w:t>
      </w:r>
      <w:r>
        <w:t xml:space="preserve">net benefit </w:t>
      </w:r>
      <w:r w:rsidR="00937F6A">
        <w:t xml:space="preserve">of sampling </w:t>
      </w:r>
      <w:r w:rsidR="00126BF2">
        <w:t>generates</w:t>
      </w:r>
      <w:r>
        <w:t xml:space="preserve"> the greatest payoff to further research. EVSI has previously been applied to the medical decision making context to determine optimal sample size in randomised controlled trials</w:t>
      </w:r>
      <w:r w:rsidR="001F5CE8">
        <w:t xml:space="preserve">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Econ.&lt;/f&gt;&lt;/ZZ_JournalStdAbbrev&gt;&lt;ZZ_WorkformID&gt;1&lt;/ZZ_WorkformID&gt;&lt;/MDL&gt;&lt;/Cite&gt;&lt;Cite&gt;&lt;Author&gt;Claxton&lt;/Author&gt;&lt;Year&gt;2001&lt;/Year&gt;&lt;RecNum&gt;1538&lt;/RecNum&gt;&lt;IDText&gt;Bayesian value-of-information analysis. An application to a policy model of Alzheimer&amp;apos;s disease&lt;/IDText&gt;&lt;MDL Ref_Type="Journal"&gt;&lt;Ref_Type&gt;Journal&lt;/Ref_Type&gt;&lt;Ref_ID&gt;1538&lt;/Ref_ID&gt;&lt;Title_Primary&gt;Bayesian value-of-information analysis. An application to a policy model of Alzheimer&amp;apos;s disease&lt;/Title_Primary&gt;&lt;Authors_Primary&gt;Claxton,K.&lt;/Authors_Primary&gt;&lt;Authors_Primary&gt;Neumann,P.J.&lt;/Authors_Primary&gt;&lt;Authors_Primary&gt;Araki,S.&lt;/Authors_Primary&gt;&lt;Authors_Primary&gt;Weinstein,M.C.&lt;/Authors_Primary&gt;&lt;Date_Primary&gt;2001&lt;/Date_Primary&gt;&lt;Keywords&gt;Alzheimer Disease&lt;/Keywords&gt;&lt;Keywords&gt;analysis&lt;/Keywords&gt;&lt;Keywords&gt;Bayes Theorem&lt;/Keywords&gt;&lt;Keywords&gt;Cost-Benefit Analysis&lt;/Keywords&gt;&lt;Keywords&gt;Decision Theory&lt;/Keywords&gt;&lt;Keywords&gt;Disease&lt;/Keywords&gt;&lt;Keywords&gt;Disease Progression&lt;/Keywords&gt;&lt;Keywords&gt;drug therapy&lt;/Keywords&gt;&lt;Keywords&gt;economics&lt;/Keywords&gt;&lt;Keywords&gt;Humans&lt;/Keywords&gt;&lt;Keywords&gt;Indans&lt;/Keywords&gt;&lt;Keywords&gt;Information Storage and Retrieval&lt;/Keywords&gt;&lt;Keywords&gt;Nootropic Agents&lt;/Keywords&gt;&lt;Keywords&gt;patient&lt;/Keywords&gt;&lt;Keywords&gt;Patients&lt;/Keywords&gt;&lt;Keywords&gt;Piperidines&lt;/Keywords&gt;&lt;Keywords&gt;Policy Making&lt;/Keywords&gt;&lt;Keywords&gt;population&lt;/Keywords&gt;&lt;Keywords&gt;Research&lt;/Keywords&gt;&lt;Keywords&gt;sample&lt;/Keywords&gt;&lt;Keywords&gt;Sample Size&lt;/Keywords&gt;&lt;Keywords&gt;Technology Assessment,Biomedical&lt;/Keywords&gt;&lt;Keywords&gt;therapeutic use&lt;/Keywords&gt;&lt;Keywords&gt;Treatment Outcome&lt;/Keywords&gt;&lt;Keywords&gt;Uncertainty&lt;/Keywords&gt;&lt;Keywords&gt;United States&lt;/Keywords&gt;&lt;Keywords&gt;Value of Life&lt;/Keywords&gt;&lt;Reprint&gt;Not in File&lt;/Reprint&gt;&lt;Start_Page&gt;38&lt;/Start_Page&gt;&lt;End_Page&gt;55&lt;/End_Page&gt;&lt;Periodical&gt;Int.J.Technol.Assess.Health Care.&lt;/Periodical&gt;&lt;Volume&gt;17&lt;/Volume&gt;&lt;Issue&gt;1&lt;/Issue&gt;&lt;ZZ_JournalStdAbbrev&gt;&lt;f name="System"&gt;Int.J.Technol.Assess.Health Care.&lt;/f&gt;&lt;/ZZ_JournalStdAbbrev&gt;&lt;ZZ_WorkformID&gt;1&lt;/ZZ_WorkformID&gt;&lt;/MDL&gt;&lt;/Cite&gt;&lt;/Refman&gt;</w:instrText>
      </w:r>
      <w:r w:rsidR="00E729BA">
        <w:fldChar w:fldCharType="separate"/>
      </w:r>
      <w:r w:rsidR="004D7951">
        <w:t>(33;90)</w:t>
      </w:r>
      <w:r w:rsidR="00E729BA">
        <w:fldChar w:fldCharType="end"/>
      </w:r>
      <w:r>
        <w:t>.</w:t>
      </w:r>
    </w:p>
    <w:p w:rsidR="00C11E10" w:rsidRDefault="004D73C2" w:rsidP="001F5CE8">
      <w:r>
        <w:t xml:space="preserve">EVSI </w:t>
      </w:r>
      <w:r w:rsidR="00BE02B6">
        <w:t>is</w:t>
      </w:r>
      <w:r>
        <w:t xml:space="preserve"> not limited to assessing the value of future research into the clinical data from </w:t>
      </w:r>
      <w:r w:rsidR="001F5CE8">
        <w:t>RCTs</w:t>
      </w:r>
      <w:r>
        <w:t>. Other research designs, such as epidemiology, cost of illness, and quality of life</w:t>
      </w:r>
      <w:r w:rsidR="00CD33F3">
        <w:t xml:space="preserve"> studies </w:t>
      </w:r>
      <w:r>
        <w:t xml:space="preserve">can also be evaluated as part of this process. Different combinations of study type, endpoints, </w:t>
      </w:r>
      <w:r w:rsidR="00527615">
        <w:t>and sample</w:t>
      </w:r>
      <w:r>
        <w:t xml:space="preserve"> size can all be compared based on the </w:t>
      </w:r>
      <w:r w:rsidR="001F5CE8">
        <w:t>ENBS.</w:t>
      </w:r>
      <w:r w:rsidR="00CF0EC9">
        <w:t xml:space="preserve"> However, the costs of collecting the data must be accounted for to avoid unbounded research design. </w:t>
      </w:r>
    </w:p>
    <w:p w:rsidR="00E33418" w:rsidRPr="004E70E9" w:rsidRDefault="00E33418" w:rsidP="004E70E9">
      <w:pPr>
        <w:pStyle w:val="Heading3"/>
        <w:rPr>
          <w:rStyle w:val="Emphasis"/>
          <w:spacing w:val="15"/>
          <w:sz w:val="22"/>
        </w:rPr>
      </w:pPr>
      <w:bookmarkStart w:id="115" w:name="_Toc332984766"/>
      <w:bookmarkStart w:id="116" w:name="_Toc379467571"/>
      <w:r w:rsidRPr="004E70E9">
        <w:rPr>
          <w:rStyle w:val="Emphasis"/>
          <w:spacing w:val="15"/>
          <w:sz w:val="22"/>
        </w:rPr>
        <w:t>The ‘Payback’ of Research</w:t>
      </w:r>
      <w:bookmarkEnd w:id="115"/>
      <w:bookmarkEnd w:id="116"/>
    </w:p>
    <w:p w:rsidR="002E1550" w:rsidRDefault="00E33418" w:rsidP="004D7951">
      <w:r>
        <w:t xml:space="preserve">Seven studies identified by Chilcott </w:t>
      </w:r>
      <w:r w:rsidRPr="00015744">
        <w:rPr>
          <w:i/>
          <w:iCs/>
        </w:rPr>
        <w:t>et al.</w:t>
      </w:r>
      <w:r>
        <w:rPr>
          <w:i/>
          <w:iCs/>
        </w:rPr>
        <w:t xml:space="preserve"> </w:t>
      </w:r>
      <w:r w:rsidRPr="00A056C0">
        <w:t>(2003)</w:t>
      </w:r>
      <w:r>
        <w:t xml:space="preserve"> use a cost-benefit framework to assess the </w:t>
      </w:r>
      <w:r w:rsidR="00386852">
        <w:t>P</w:t>
      </w:r>
      <w:r>
        <w:t>ayback of research</w:t>
      </w:r>
      <w:r w:rsidR="001F5CE8">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t xml:space="preserve">. </w:t>
      </w:r>
      <w:r w:rsidR="002E1550">
        <w:t xml:space="preserve">The Payback to research approach </w:t>
      </w:r>
      <w:r w:rsidR="007171F5">
        <w:t>is based on an input-output model to evaluate the return to investment in research. The approach aims to assess whether or not to commission the research</w:t>
      </w:r>
      <w:r w:rsidR="004D7951">
        <w:t xml:space="preserve"> by estimating</w:t>
      </w:r>
      <w:r w:rsidR="007171F5">
        <w:t xml:space="preserve"> the impact of research outcomes on current practise, and the benefits to society of the change</w:t>
      </w:r>
      <w:r w:rsidR="004D7951">
        <w:t xml:space="preserve"> in policy</w:t>
      </w:r>
      <w:r w:rsidR="007171F5">
        <w:t xml:space="preserve">. </w:t>
      </w:r>
    </w:p>
    <w:p w:rsidR="00E33418" w:rsidRDefault="00E33418" w:rsidP="0020040A">
      <w:r>
        <w:t xml:space="preserve">The studies included both prospective and retrospective </w:t>
      </w:r>
      <w:r w:rsidR="00BE02B6">
        <w:t>designs</w:t>
      </w:r>
      <w:r>
        <w:t xml:space="preserve">. The approach required the specification of </w:t>
      </w:r>
      <w:r w:rsidR="0020040A">
        <w:t>discrete trial outco</w:t>
      </w:r>
      <w:r w:rsidR="001B5162">
        <w:t>mes</w:t>
      </w:r>
      <w:r w:rsidR="00312DB9">
        <w:t xml:space="preserve"> of a study</w:t>
      </w:r>
      <w:r>
        <w:t xml:space="preserve">. </w:t>
      </w:r>
      <w:r w:rsidR="0020040A">
        <w:t>The number of outcomes considered varied between studies</w:t>
      </w:r>
      <w:r>
        <w:t xml:space="preserve">. </w:t>
      </w:r>
      <w:r w:rsidR="00312DB9">
        <w:t xml:space="preserve">The CE outcomes for each delta result were calculated. </w:t>
      </w:r>
      <w:r w:rsidR="001B5162">
        <w:t xml:space="preserve">The methods for estimating health outcomes depended on the trial type but were broadly consistent with </w:t>
      </w:r>
      <w:r w:rsidR="00462E08">
        <w:t>CE</w:t>
      </w:r>
      <w:r w:rsidR="001B5162">
        <w:t xml:space="preserve"> modelling used for health technology assessment. </w:t>
      </w:r>
      <w:r>
        <w:t xml:space="preserve">The probability of </w:t>
      </w:r>
      <w:r w:rsidR="001B5162">
        <w:t xml:space="preserve">each </w:t>
      </w:r>
      <w:r w:rsidR="0020040A">
        <w:t>outcome</w:t>
      </w:r>
      <w:r>
        <w:t xml:space="preserve"> tended to be arbitrary. The </w:t>
      </w:r>
      <w:r w:rsidR="001B5162">
        <w:t xml:space="preserve">benefits of the research were measured in terms of the health outcomes, </w:t>
      </w:r>
      <w:r>
        <w:t>future uptake of the treatment</w:t>
      </w:r>
      <w:r w:rsidR="001B5162">
        <w:t>,</w:t>
      </w:r>
      <w:r>
        <w:t xml:space="preserve"> and each </w:t>
      </w:r>
      <w:r w:rsidR="001F5CE8">
        <w:t>study made</w:t>
      </w:r>
      <w:r>
        <w:t xml:space="preserve"> assumptions of the impact on trial results on changes in treatment.  </w:t>
      </w:r>
    </w:p>
    <w:p w:rsidR="003560D9" w:rsidRDefault="003560D9" w:rsidP="003560D9">
      <w:pPr>
        <w:pStyle w:val="Heading3"/>
      </w:pPr>
      <w:bookmarkStart w:id="117" w:name="_Toc332984768"/>
      <w:bookmarkStart w:id="118" w:name="_Toc379467572"/>
      <w:r>
        <w:t>Conclusions</w:t>
      </w:r>
      <w:bookmarkEnd w:id="117"/>
      <w:bookmarkEnd w:id="118"/>
      <w:r>
        <w:t xml:space="preserve"> </w:t>
      </w:r>
    </w:p>
    <w:p w:rsidR="009058D0" w:rsidRDefault="00223CD6" w:rsidP="004D7951">
      <w:r>
        <w:t xml:space="preserve">Chilcott </w:t>
      </w:r>
      <w:r w:rsidRPr="00BE02B6">
        <w:rPr>
          <w:i/>
          <w:iCs/>
        </w:rPr>
        <w:t>et al</w:t>
      </w:r>
      <w:r>
        <w:t>. found</w:t>
      </w:r>
      <w:r w:rsidR="003560D9">
        <w:t xml:space="preserve"> that the payback method </w:t>
      </w:r>
      <w:r w:rsidR="0090393D">
        <w:t>was</w:t>
      </w:r>
      <w:r w:rsidR="003560D9">
        <w:t xml:space="preserve"> intuitive in </w:t>
      </w:r>
      <w:r w:rsidR="004D7951">
        <w:t xml:space="preserve">the </w:t>
      </w:r>
      <w:r w:rsidR="003560D9">
        <w:t>questions it answers</w:t>
      </w:r>
      <w:r w:rsidR="001F5CE8">
        <w:t>,</w:t>
      </w:r>
      <w:r w:rsidR="003560D9">
        <w:t xml:space="preserve"> and how the method </w:t>
      </w:r>
      <w:r w:rsidR="0090393D">
        <w:t>was</w:t>
      </w:r>
      <w:r w:rsidR="003560D9">
        <w:t xml:space="preserve"> applied. </w:t>
      </w:r>
      <w:r w:rsidR="00A4521E">
        <w:t xml:space="preserve">However, </w:t>
      </w:r>
      <w:r w:rsidR="00BE02B6">
        <w:t xml:space="preserve">they discussed </w:t>
      </w:r>
      <w:r w:rsidR="00A4521E">
        <w:t xml:space="preserve">a few problems with </w:t>
      </w:r>
      <w:r w:rsidR="009058D0">
        <w:t xml:space="preserve">how this methodology </w:t>
      </w:r>
      <w:r w:rsidR="0090393D">
        <w:t>was</w:t>
      </w:r>
      <w:r w:rsidR="009058D0">
        <w:t xml:space="preserve"> applied</w:t>
      </w:r>
      <w:r w:rsidR="00A4521E">
        <w:t xml:space="preserve">. Firstly, the results </w:t>
      </w:r>
      <w:r w:rsidR="0013370E">
        <w:t>were</w:t>
      </w:r>
      <w:r w:rsidR="00A4521E">
        <w:t xml:space="preserve"> dependent on what </w:t>
      </w:r>
      <w:r w:rsidR="00BE02B6">
        <w:t>delta values were assumed</w:t>
      </w:r>
      <w:r w:rsidR="00A4521E">
        <w:t xml:space="preserve">. There were no clear guidelines </w:t>
      </w:r>
      <w:r w:rsidR="001F5CE8">
        <w:t>or consistency in</w:t>
      </w:r>
      <w:r w:rsidR="00A4521E">
        <w:t xml:space="preserve"> how </w:t>
      </w:r>
      <w:r w:rsidR="00BE02B6">
        <w:t xml:space="preserve">delta </w:t>
      </w:r>
      <w:r w:rsidR="00A4521E">
        <w:t xml:space="preserve">should be specified. Secondly, the probabilities assigned to the outcomes were arbitrary in some cases, and none used data specific to the trial being assessed. Misspecification of these probabilities </w:t>
      </w:r>
      <w:r w:rsidR="0090393D">
        <w:t>was</w:t>
      </w:r>
      <w:r w:rsidR="00A4521E">
        <w:t xml:space="preserve"> likely to lead to misleading recommendations from the analysis. Thirdly, they identify variability in the complexity of the uptake assumptions for the new technology. Fourthly, the expected lifetime of a new treatment </w:t>
      </w:r>
      <w:r w:rsidR="0090393D">
        <w:t>was</w:t>
      </w:r>
      <w:r w:rsidR="00A4521E">
        <w:t xml:space="preserve"> difficult to predict. </w:t>
      </w:r>
    </w:p>
    <w:p w:rsidR="004928FB" w:rsidRDefault="004928FB" w:rsidP="004D7951">
      <w:r>
        <w:t xml:space="preserve">Uncertainty can be addressed to some extent with sensitivity analyses on the delta result, health outcomes and future uptake inputs in the Payback approach. However, Chilcott </w:t>
      </w:r>
      <w:r w:rsidRPr="00BE02B6">
        <w:rPr>
          <w:i/>
          <w:iCs/>
        </w:rPr>
        <w:t>et al</w:t>
      </w:r>
      <w:r>
        <w:t>. believed that specifyi</w:t>
      </w:r>
      <w:r w:rsidR="009554D6">
        <w:t xml:space="preserve">ng prior uncertainty on the model parameters </w:t>
      </w:r>
      <w:r>
        <w:t>was difficult within this framework and does not explicitly make use of Bayesian methods</w:t>
      </w:r>
      <w:r w:rsidR="007171F5">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t xml:space="preserve">. Furthermore, the methods used in the case studies were of limited use in evaluating alternative designs of the future trial. </w:t>
      </w:r>
      <w:r w:rsidR="00A056C0">
        <w:t xml:space="preserve">Chilcott </w:t>
      </w:r>
      <w:r w:rsidR="00A056C0" w:rsidRPr="00015744">
        <w:rPr>
          <w:i/>
          <w:iCs/>
        </w:rPr>
        <w:t>et al.</w:t>
      </w:r>
      <w:r w:rsidR="00A056C0">
        <w:rPr>
          <w:i/>
          <w:iCs/>
        </w:rPr>
        <w:t xml:space="preserve"> </w:t>
      </w:r>
      <w:r w:rsidR="009058D0">
        <w:t>suggest that stochastic sensitivity analysis should be implemented into the payback method, which essentiall</w:t>
      </w:r>
      <w:r w:rsidR="00326554">
        <w:t>y moves this approach towards a</w:t>
      </w:r>
      <w:r w:rsidR="009058D0">
        <w:t xml:space="preserve"> </w:t>
      </w:r>
      <w:r w:rsidR="00326554">
        <w:t>VOI</w:t>
      </w:r>
      <w:r w:rsidR="009058D0">
        <w:t xml:space="preserve"> calculation</w:t>
      </w:r>
      <w:r w:rsidR="007171F5">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rsidR="009058D0">
        <w:t>.</w:t>
      </w:r>
      <w:r>
        <w:t xml:space="preserve"> </w:t>
      </w:r>
    </w:p>
    <w:p w:rsidR="0066710D" w:rsidRDefault="009058D0" w:rsidP="004D7951">
      <w:r>
        <w:t xml:space="preserve">The reviewers identify several advantages to using the </w:t>
      </w:r>
      <w:r w:rsidR="00326554">
        <w:t xml:space="preserve">VOI </w:t>
      </w:r>
      <w:r>
        <w:t xml:space="preserve">approach in the design of clinical trials. Firstly, the research </w:t>
      </w:r>
      <w:r w:rsidR="001F5CE8">
        <w:t>was valued using the same metric and methods as the treatment</w:t>
      </w:r>
      <w:r>
        <w:t xml:space="preserve">. Secondly, the method does not require </w:t>
      </w:r>
      <w:r w:rsidR="009554D6">
        <w:t>discrete trial outcomes</w:t>
      </w:r>
      <w:r>
        <w:t xml:space="preserve"> and their probabilities, because the trial outcomes </w:t>
      </w:r>
      <w:r w:rsidR="0013370E">
        <w:t>were</w:t>
      </w:r>
      <w:r>
        <w:t xml:space="preserve"> expressed as uncertain parameters based on prior knowledge. Thirdly, it does not require a pre-specified research design.</w:t>
      </w:r>
      <w:r w:rsidR="00F14471">
        <w:t xml:space="preserve"> </w:t>
      </w:r>
      <w:r w:rsidR="006A38FE">
        <w:t>In a separate review of VOI methods Eckerman</w:t>
      </w:r>
      <w:r w:rsidR="009C52A5">
        <w:t>n</w:t>
      </w:r>
      <w:r w:rsidR="006A38FE">
        <w:t xml:space="preserve"> et al. (2010) conclude that </w:t>
      </w:r>
      <w:r w:rsidR="004928FB">
        <w:t xml:space="preserve">EVPI and EVPPI </w:t>
      </w:r>
      <w:r w:rsidR="006A38FE">
        <w:t xml:space="preserve">are not sufficient conditions to inform policy because </w:t>
      </w:r>
      <w:r w:rsidR="004D7951">
        <w:t>they do</w:t>
      </w:r>
      <w:r w:rsidR="006A38FE">
        <w:t xml:space="preserve"> not consider</w:t>
      </w:r>
      <w:r w:rsidR="001F5CE8">
        <w:t xml:space="preserve"> </w:t>
      </w:r>
      <w:r w:rsidR="006A38FE">
        <w:t xml:space="preserve">the net gains of sampling </w:t>
      </w:r>
      <w:r w:rsidR="00E729BA">
        <w:fldChar w:fldCharType="begin"/>
      </w:r>
      <w:r w:rsidR="00FC61FD">
        <w:instrText xml:space="preserve"> ADDIN REFMGR.CITE &lt;Refman&gt;&lt;Cite&gt;&lt;Author&gt;Eckermann&lt;/Author&gt;&lt;Year&gt;2010&lt;/Year&gt;&lt;RecNum&gt;1650&lt;/RecNum&gt;&lt;IDText&gt;The value of value of information: best informing research design and prioritization using current methods&lt;/IDText&gt;&lt;MDL Ref_Type="Journal"&gt;&lt;Ref_Type&gt;Journal&lt;/Ref_Type&gt;&lt;Ref_ID&gt;1650&lt;/Ref_ID&gt;&lt;Title_Primary&gt;The value of value of information: best informing research design and prioritization using current methods&lt;/Title_Primary&gt;&lt;Authors_Primary&gt;Eckermann,S.&lt;/Authors_Primary&gt;&lt;Authors_Primary&gt;Karnon,J.&lt;/Authors_Primary&gt;&lt;Authors_Primary&gt;Willan,A.R.&lt;/Authors_Primary&gt;&lt;Date_Primary&gt;2010&lt;/Date_Primary&gt;&lt;Keywords&gt;analysis&lt;/Keywords&gt;&lt;Keywords&gt;Australia&lt;/Keywords&gt;&lt;Keywords&gt;Biomedical Technology&lt;/Keywords&gt;&lt;Keywords&gt;Clinical Trials as Topic&lt;/Keywords&gt;&lt;Keywords&gt;Cost-Benefit Analysis&lt;/Keywords&gt;&lt;Keywords&gt;Decision Making&lt;/Keywords&gt;&lt;Keywords&gt;Decision Support Techniques&lt;/Keywords&gt;&lt;Keywords&gt;economics&lt;/Keywords&gt;&lt;Keywords&gt;Epidemiologic Research Design&lt;/Keywords&gt;&lt;Keywords&gt;Health&lt;/Keywords&gt;&lt;Keywords&gt;Humans&lt;/Keywords&gt;&lt;Keywords&gt;methods&lt;/Keywords&gt;&lt;Keywords&gt;Models,Economic&lt;/Keywords&gt;&lt;Keywords&gt;Research&lt;/Keywords&gt;&lt;Keywords&gt;Research Design&lt;/Keywords&gt;&lt;Keywords&gt;sample&lt;/Keywords&gt;&lt;Keywords&gt;Technology Assessment,Biomedical&lt;/Keywords&gt;&lt;Keywords&gt;Time&lt;/Keywords&gt;&lt;Reprint&gt;Not in File&lt;/Reprint&gt;&lt;Start_Page&gt;699&lt;/Start_Page&gt;&lt;End_Page&gt;709&lt;/End_Page&gt;&lt;Periodical&gt;Pharmacoeconomics.&lt;/Periodical&gt;&lt;Volume&gt;28&lt;/Volume&gt;&lt;Issue&gt;9&lt;/Issue&gt;&lt;ZZ_JournalStdAbbrev&gt;&lt;f name="System"&gt;Pharmacoeconomics.&lt;/f&gt;&lt;/ZZ_JournalStdAbbrev&gt;&lt;ZZ_WorkformID&gt;1&lt;/ZZ_WorkformID&gt;&lt;/MDL&gt;&lt;/Cite&gt;&lt;/Refman&gt;</w:instrText>
      </w:r>
      <w:r w:rsidR="00E729BA">
        <w:fldChar w:fldCharType="separate"/>
      </w:r>
      <w:r w:rsidR="004D7951">
        <w:t>(91)</w:t>
      </w:r>
      <w:r w:rsidR="00E729BA">
        <w:fldChar w:fldCharType="end"/>
      </w:r>
      <w:r w:rsidR="004928FB">
        <w:t xml:space="preserve">. </w:t>
      </w:r>
      <w:r w:rsidR="0066710D">
        <w:t xml:space="preserve">They also conclude that estimating EVSI, expected costs and </w:t>
      </w:r>
      <w:r w:rsidR="004D7951">
        <w:t xml:space="preserve">expected net gain </w:t>
      </w:r>
      <w:r w:rsidR="0066710D">
        <w:t>of research designs can be useful to guide research programmes</w:t>
      </w:r>
      <w:r w:rsidR="004928FB">
        <w:t xml:space="preserve">. </w:t>
      </w:r>
    </w:p>
    <w:p w:rsidR="00F14471" w:rsidRDefault="004928FB" w:rsidP="0066710D">
      <w:r>
        <w:t xml:space="preserve">The main limitation of EVSI is the computation time of the analysis and that the specification of </w:t>
      </w:r>
      <w:r w:rsidR="00F14471">
        <w:t xml:space="preserve">how many patients benefit from treatment in the future </w:t>
      </w:r>
      <w:r>
        <w:t>can be arbitrary in comparison to the methods use</w:t>
      </w:r>
      <w:r w:rsidR="00797C37">
        <w:t>d</w:t>
      </w:r>
      <w:r>
        <w:t xml:space="preserve"> to predict trial outcomes</w:t>
      </w:r>
      <w:r w:rsidR="00F14471">
        <w:t xml:space="preserve">. </w:t>
      </w:r>
      <w:r w:rsidR="00867A93">
        <w:t xml:space="preserve">Other criticisms include that the assumptions of the impact of the research are often over-estimated </w:t>
      </w:r>
      <w:r w:rsidR="00E729BA">
        <w:fldChar w:fldCharType="begin"/>
      </w:r>
      <w:r w:rsidR="00FC61FD">
        <w:instrText xml:space="preserve"> ADDIN REFMGR.CITE &lt;Refman&gt;&lt;Cite&gt;&lt;Author&gt;Spiegelhalter&lt;/Author&gt;&lt;Year&gt;2000&lt;/Year&gt;&lt;RecNum&gt;790&lt;/RecNum&gt;&lt;IDText&gt;Bayesian methods in health technology assessment: a review&lt;/IDText&gt;&lt;MDL Ref_Type="Journal"&gt;&lt;Ref_Type&gt;Journal&lt;/Ref_Type&gt;&lt;Ref_ID&gt;790&lt;/Ref_ID&gt;&lt;Title_Primary&gt;Bayesian methods in health technology assessment: a review&lt;/Title_Primary&gt;&lt;Authors_Primary&gt;Spiegelhalter,D.J.&lt;/Authors_Primary&gt;&lt;Authors_Primary&gt;Myles,J.P.&lt;/Authors_Primary&gt;&lt;Authors_Primary&gt;Jones,D.R.&lt;/Authors_Primary&gt;&lt;Authors_Primary&gt;Abrams,K.R.&lt;/Authors_Primary&gt;&lt;Date_Primary&gt;2000&lt;/Date_Primary&gt;&lt;Keywords&gt;analysis&lt;/Keywords&gt;&lt;Keywords&gt;Bayes Theorem&lt;/Keywords&gt;&lt;Keywords&gt;Biomedical Technology&lt;/Keywords&gt;&lt;Keywords&gt;Decision Making&lt;/Keywords&gt;&lt;Keywords&gt;Great Britain&lt;/Keywords&gt;&lt;Keywords&gt;Health&lt;/Keywords&gt;&lt;Keywords&gt;Humans&lt;/Keywords&gt;&lt;Keywords&gt;Medline&lt;/Keywords&gt;&lt;Keywords&gt;methods&lt;/Keywords&gt;&lt;Keywords&gt;Research&lt;/Keywords&gt;&lt;Keywords&gt;Sensitivity and Specificity&lt;/Keywords&gt;&lt;Keywords&gt;statistics &amp;amp; numerical data&lt;/Keywords&gt;&lt;Keywords&gt;Technology Assessment,Biomedical&lt;/Keywords&gt;&lt;Reprint&gt;Not in File&lt;/Reprint&gt;&lt;Start_Page&gt;1&lt;/Start_Page&gt;&lt;End_Page&gt;130&lt;/End_Page&gt;&lt;Periodical&gt;Health Technol.Assess.&lt;/Periodical&gt;&lt;Volume&gt;4&lt;/Volume&gt;&lt;Issue&gt;38&lt;/Issue&gt;&lt;ZZ_JournalStdAbbrev&gt;&lt;f name="System"&gt;Health Technol.Assess.&lt;/f&gt;&lt;/ZZ_JournalStdAbbrev&gt;&lt;ZZ_WorkformID&gt;1&lt;/ZZ_WorkformID&gt;&lt;/MDL&gt;&lt;/Cite&gt;&lt;/Refman&gt;</w:instrText>
      </w:r>
      <w:r w:rsidR="00E729BA">
        <w:fldChar w:fldCharType="separate"/>
      </w:r>
      <w:r w:rsidR="004D7951">
        <w:t>(92)</w:t>
      </w:r>
      <w:r w:rsidR="00E729BA">
        <w:fldChar w:fldCharType="end"/>
      </w:r>
      <w:r w:rsidR="00867A93">
        <w:t xml:space="preserve"> and the usefulness of the method is conditional on whether the model for predicting outcomes is accurate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7171F5">
        <w:t>(10)</w:t>
      </w:r>
      <w:r w:rsidR="00E729BA">
        <w:fldChar w:fldCharType="end"/>
      </w:r>
      <w:r w:rsidR="00867A93">
        <w:t>.</w:t>
      </w:r>
    </w:p>
    <w:p w:rsidR="004E70E9" w:rsidRDefault="00867A93" w:rsidP="00CD16C3">
      <w:r>
        <w:t xml:space="preserve">Nevertheless, </w:t>
      </w:r>
      <w:r w:rsidR="00223CD6">
        <w:t xml:space="preserve">I </w:t>
      </w:r>
      <w:r w:rsidR="007171F5">
        <w:t xml:space="preserve">followed the recommendations from Chilcott </w:t>
      </w:r>
      <w:r w:rsidR="0094366B" w:rsidRPr="0094366B">
        <w:rPr>
          <w:i/>
          <w:iCs/>
        </w:rPr>
        <w:t>et al</w:t>
      </w:r>
      <w:r w:rsidR="007171F5">
        <w:t xml:space="preserve"> </w:t>
      </w:r>
      <w:r w:rsidR="00F12F58">
        <w:t xml:space="preserve">and </w:t>
      </w:r>
      <w:r w:rsidR="00223CD6">
        <w:t xml:space="preserve">decided that </w:t>
      </w:r>
      <w:r w:rsidR="00B14804">
        <w:t xml:space="preserve">a </w:t>
      </w:r>
      <w:r w:rsidR="00326554">
        <w:t>VOI</w:t>
      </w:r>
      <w:r w:rsidR="00B14804">
        <w:t xml:space="preserve"> </w:t>
      </w:r>
      <w:r w:rsidR="004E7E58">
        <w:t xml:space="preserve">approach of valuing clinical trials according to the expected reduction in uncertainty </w:t>
      </w:r>
      <w:r w:rsidR="00B14804">
        <w:t xml:space="preserve">should be </w:t>
      </w:r>
      <w:r w:rsidR="00797C37">
        <w:t>seriously considered</w:t>
      </w:r>
      <w:r w:rsidR="007171F5">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rsidR="004E7E58">
        <w:t xml:space="preserve">. The method integrates prior knowledge of the treatment into the </w:t>
      </w:r>
      <w:r w:rsidR="00462E08">
        <w:t>CE</w:t>
      </w:r>
      <w:r w:rsidR="004E7E58">
        <w:t xml:space="preserve"> model</w:t>
      </w:r>
      <w:r w:rsidR="001F5CE8">
        <w:t xml:space="preserve"> and the costs of the trial to </w:t>
      </w:r>
      <w:r w:rsidR="004E7E58">
        <w:t>weigh up the benefits of further research.</w:t>
      </w:r>
      <w:r w:rsidR="00B14804">
        <w:t xml:space="preserve"> </w:t>
      </w:r>
      <w:r w:rsidR="00797C37">
        <w:t>This helped to finalise the focus of the updated methods literature search and review.</w:t>
      </w:r>
    </w:p>
    <w:p w:rsidR="009124EE" w:rsidRPr="004E70E9" w:rsidRDefault="00890304" w:rsidP="004E70E9">
      <w:pPr>
        <w:pStyle w:val="Heading2"/>
        <w:rPr>
          <w:rStyle w:val="Emphasis"/>
          <w:spacing w:val="15"/>
          <w:sz w:val="22"/>
        </w:rPr>
      </w:pPr>
      <w:bookmarkStart w:id="119" w:name="_Toc332984769"/>
      <w:bookmarkStart w:id="120" w:name="_Ref337482994"/>
      <w:bookmarkStart w:id="121" w:name="_Toc279009277"/>
      <w:bookmarkStart w:id="122" w:name="_Toc379467573"/>
      <w:r w:rsidRPr="004E70E9">
        <w:rPr>
          <w:rStyle w:val="Emphasis"/>
          <w:spacing w:val="15"/>
          <w:sz w:val="22"/>
        </w:rPr>
        <w:t>Literature Search and Review Methods</w:t>
      </w:r>
      <w:bookmarkEnd w:id="119"/>
      <w:bookmarkEnd w:id="120"/>
      <w:bookmarkEnd w:id="122"/>
    </w:p>
    <w:p w:rsidR="005064DD" w:rsidRDefault="005064DD" w:rsidP="00776017">
      <w:pPr>
        <w:pStyle w:val="Heading3"/>
      </w:pPr>
      <w:bookmarkStart w:id="123" w:name="_Toc379467574"/>
      <w:r>
        <w:t>Inclusion Exclusion</w:t>
      </w:r>
      <w:bookmarkEnd w:id="123"/>
    </w:p>
    <w:p w:rsidR="004928FB" w:rsidRPr="009124EE" w:rsidRDefault="004928FB" w:rsidP="004D7951">
      <w:r>
        <w:t>I updated the literature review</w:t>
      </w:r>
      <w:r w:rsidR="007171F5">
        <w:t xml:space="preserve"> reported in Chilcott </w:t>
      </w:r>
      <w:r w:rsidR="0094366B" w:rsidRPr="0094366B">
        <w:rPr>
          <w:i/>
          <w:iCs/>
        </w:rPr>
        <w:t>et al.</w:t>
      </w:r>
      <w:r w:rsidR="007171F5">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t xml:space="preserve"> and modified the scope of the search to identify recent developments in health economic applications of VOI. The review focussed on EVSI methods, excluded EVPI studies, and was </w:t>
      </w:r>
      <w:r w:rsidR="001F5CE8">
        <w:t>broadened</w:t>
      </w:r>
      <w:r>
        <w:t xml:space="preserve"> to identify other Bayesian methods of trial design using a </w:t>
      </w:r>
      <w:r w:rsidR="001F5CE8">
        <w:t>Net B</w:t>
      </w:r>
      <w:r>
        <w:t xml:space="preserve">enefit approach. </w:t>
      </w:r>
      <w:r w:rsidR="004D7951">
        <w:t xml:space="preserve">EVPI studies were excluded because the methods required to estimate the value of perfect information are less burdensome than EVSI, and less likely to be adopted in this study. </w:t>
      </w:r>
    </w:p>
    <w:p w:rsidR="005064DD" w:rsidRDefault="00223CD6" w:rsidP="004D7951">
      <w:r>
        <w:t>I designed a literature review</w:t>
      </w:r>
      <w:r w:rsidR="00A01E4F">
        <w:t xml:space="preserve"> to identify</w:t>
      </w:r>
      <w:r w:rsidR="00D37C75">
        <w:t xml:space="preserve"> </w:t>
      </w:r>
      <w:r w:rsidR="00647F7E">
        <w:t>studies that had used Bayesian methods to design clinical trials</w:t>
      </w:r>
      <w:r w:rsidR="00D37C75">
        <w:t xml:space="preserve">. </w:t>
      </w:r>
      <w:r w:rsidR="00647F7E">
        <w:t>I knew</w:t>
      </w:r>
      <w:r w:rsidR="0058640C">
        <w:t xml:space="preserve"> that Bayesian methods to calculate sample size in clinical trials were</w:t>
      </w:r>
      <w:r w:rsidR="00EF59F7">
        <w:t xml:space="preserve"> an active area of research amongst clinical trial statisticians. </w:t>
      </w:r>
      <w:r w:rsidR="004928FB">
        <w:t>A</w:t>
      </w:r>
      <w:r w:rsidR="0058640C">
        <w:t xml:space="preserve">rticles describing Bayesian methods for clinical trial design were only included in the review if they used a net benefit approach to valuing the trial or </w:t>
      </w:r>
      <w:r w:rsidR="00647F7E">
        <w:t>used simulation techniques</w:t>
      </w:r>
      <w:r w:rsidR="004E7E58">
        <w:t xml:space="preserve"> to combine </w:t>
      </w:r>
      <w:r w:rsidR="0058640C">
        <w:t xml:space="preserve">prior </w:t>
      </w:r>
      <w:r w:rsidR="004E7E58">
        <w:t>parameters</w:t>
      </w:r>
      <w:r w:rsidR="00964084">
        <w:t xml:space="preserve"> for multiple outcomes</w:t>
      </w:r>
      <w:r w:rsidR="004928FB">
        <w:t xml:space="preserve"> to maintain the focus of the PhD on </w:t>
      </w:r>
      <w:r w:rsidR="004D7951">
        <w:t xml:space="preserve">health economic </w:t>
      </w:r>
      <w:r w:rsidR="004928FB">
        <w:t>methods</w:t>
      </w:r>
      <w:r w:rsidR="0058640C">
        <w:t>.</w:t>
      </w:r>
      <w:r w:rsidR="00EF59F7">
        <w:t xml:space="preserve"> </w:t>
      </w:r>
      <w:r w:rsidR="005064DD">
        <w:t>Studies were included if they</w:t>
      </w:r>
      <w:r w:rsidR="00A01E4F">
        <w:t xml:space="preserve"> met the following criteria</w:t>
      </w:r>
      <w:r w:rsidR="005064DD">
        <w:t>:</w:t>
      </w:r>
    </w:p>
    <w:p w:rsidR="005064DD" w:rsidRDefault="00A056C0" w:rsidP="00A056C0">
      <w:pPr>
        <w:pStyle w:val="ListParagraph"/>
        <w:numPr>
          <w:ilvl w:val="0"/>
          <w:numId w:val="3"/>
        </w:numPr>
      </w:pPr>
      <w:r>
        <w:t>A comparison of</w:t>
      </w:r>
      <w:r w:rsidR="00731D1D">
        <w:t xml:space="preserve"> two or more clinical trial design options</w:t>
      </w:r>
    </w:p>
    <w:p w:rsidR="005064DD" w:rsidRDefault="00A056C0" w:rsidP="009554D6">
      <w:pPr>
        <w:pStyle w:val="ListParagraph"/>
        <w:numPr>
          <w:ilvl w:val="0"/>
          <w:numId w:val="3"/>
        </w:numPr>
      </w:pPr>
      <w:r>
        <w:t>P</w:t>
      </w:r>
      <w:r w:rsidR="005064DD">
        <w:t xml:space="preserve">robabilistic analysis to </w:t>
      </w:r>
      <w:r>
        <w:t>reflect</w:t>
      </w:r>
      <w:r w:rsidR="009554D6">
        <w:t xml:space="preserve"> input parameter </w:t>
      </w:r>
      <w:r w:rsidR="005064DD">
        <w:t>uncertainty</w:t>
      </w:r>
      <w:r w:rsidR="00A01E4F">
        <w:t xml:space="preserve"> </w:t>
      </w:r>
    </w:p>
    <w:p w:rsidR="0058640C" w:rsidRDefault="00A056C0" w:rsidP="00A056C0">
      <w:pPr>
        <w:pStyle w:val="ListParagraph"/>
        <w:numPr>
          <w:ilvl w:val="0"/>
          <w:numId w:val="3"/>
        </w:numPr>
      </w:pPr>
      <w:r>
        <w:t>The value of trials is expressed in health economic terms (Costs, QALYs etc…)</w:t>
      </w:r>
    </w:p>
    <w:p w:rsidR="00A01E4F" w:rsidRDefault="00A01E4F" w:rsidP="00524EF5">
      <w:r>
        <w:t xml:space="preserve">The search excluded </w:t>
      </w:r>
      <w:r w:rsidR="00524EF5">
        <w:t>the following types of papers</w:t>
      </w:r>
      <w:r w:rsidR="004D7951">
        <w:t xml:space="preserve"> because they would not contribute to the methods used in this study for the design of a Phase III efficacy trial</w:t>
      </w:r>
      <w:r>
        <w:t>:</w:t>
      </w:r>
    </w:p>
    <w:p w:rsidR="00A01E4F" w:rsidRDefault="007B4A87" w:rsidP="002D772C">
      <w:pPr>
        <w:pStyle w:val="ListParagraph"/>
        <w:numPr>
          <w:ilvl w:val="0"/>
          <w:numId w:val="4"/>
        </w:numPr>
      </w:pPr>
      <w:r>
        <w:t>Discussion</w:t>
      </w:r>
      <w:r w:rsidR="009E6475">
        <w:t xml:space="preserve"> or review</w:t>
      </w:r>
      <w:r>
        <w:t xml:space="preserve"> papers</w:t>
      </w:r>
      <w:r w:rsidR="00524EF5">
        <w:t xml:space="preserve"> </w:t>
      </w:r>
    </w:p>
    <w:p w:rsidR="007B4A87" w:rsidRDefault="00524EF5" w:rsidP="001F5CE8">
      <w:pPr>
        <w:pStyle w:val="ListParagraph"/>
        <w:numPr>
          <w:ilvl w:val="0"/>
          <w:numId w:val="4"/>
        </w:numPr>
      </w:pPr>
      <w:r>
        <w:t>S</w:t>
      </w:r>
      <w:r w:rsidR="007B4A87">
        <w:t xml:space="preserve">ample size calculations for </w:t>
      </w:r>
      <w:r w:rsidR="001F5CE8">
        <w:t>CE</w:t>
      </w:r>
      <w:r w:rsidR="007B4A87">
        <w:t xml:space="preserve"> trials</w:t>
      </w:r>
    </w:p>
    <w:p w:rsidR="00D37C75" w:rsidRDefault="00D37C75" w:rsidP="004D7951">
      <w:pPr>
        <w:pStyle w:val="ListParagraph"/>
        <w:numPr>
          <w:ilvl w:val="0"/>
          <w:numId w:val="4"/>
        </w:numPr>
      </w:pPr>
      <w:r>
        <w:t>Pay</w:t>
      </w:r>
      <w:r w:rsidR="004D7951">
        <w:t xml:space="preserve"> </w:t>
      </w:r>
      <w:r>
        <w:t>back to research methods</w:t>
      </w:r>
    </w:p>
    <w:p w:rsidR="004D7951" w:rsidRDefault="00BA6C1E" w:rsidP="004D7951">
      <w:pPr>
        <w:pStyle w:val="ListParagraph"/>
        <w:numPr>
          <w:ilvl w:val="0"/>
          <w:numId w:val="4"/>
        </w:numPr>
      </w:pPr>
      <w:r>
        <w:t>EVPI or EVPPI studies</w:t>
      </w:r>
    </w:p>
    <w:p w:rsidR="006E6BE6" w:rsidRDefault="006E6BE6" w:rsidP="00776017">
      <w:pPr>
        <w:pStyle w:val="Heading3"/>
      </w:pPr>
      <w:bookmarkStart w:id="124" w:name="_Toc379467575"/>
      <w:r>
        <w:t>Search Strategy</w:t>
      </w:r>
      <w:bookmarkEnd w:id="124"/>
    </w:p>
    <w:p w:rsidR="00731D1D" w:rsidRDefault="0054414F" w:rsidP="00EE2E22">
      <w:r>
        <w:t>The</w:t>
      </w:r>
      <w:r w:rsidR="004928FB">
        <w:t>re are many challenges involved in using</w:t>
      </w:r>
      <w:r w:rsidR="00647F7E">
        <w:t xml:space="preserve"> </w:t>
      </w:r>
      <w:r w:rsidR="00326554">
        <w:t>systematic search</w:t>
      </w:r>
      <w:r w:rsidR="004928FB">
        <w:t>ing approaches</w:t>
      </w:r>
      <w:r w:rsidR="00326554">
        <w:t xml:space="preserve"> to identify</w:t>
      </w:r>
      <w:r>
        <w:t xml:space="preserve"> methodology papers</w:t>
      </w:r>
      <w:r w:rsidR="004928FB">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t xml:space="preserve">. </w:t>
      </w:r>
      <w:r w:rsidR="00EE2E22">
        <w:t>S</w:t>
      </w:r>
      <w:r w:rsidR="007171F5">
        <w:t xml:space="preserve">ubject searches yield large number of citations of which only a small proportion </w:t>
      </w:r>
      <w:r w:rsidR="00EE2E22">
        <w:t>were</w:t>
      </w:r>
      <w:r w:rsidR="007171F5">
        <w:t xml:space="preserve"> relevant, study selection criteria were difficult to define, and data extraction </w:t>
      </w:r>
      <w:r w:rsidR="00EE2E22">
        <w:t>needs to</w:t>
      </w:r>
      <w:r w:rsidR="007171F5">
        <w:t xml:space="preserve"> be problem specific. </w:t>
      </w:r>
      <w:r w:rsidR="00647F7E">
        <w:t>As a consequence t</w:t>
      </w:r>
      <w:r w:rsidR="007B4A87">
        <w:t xml:space="preserve">he search strategy was designed to adopt the ‘pearl growing’ methods </w:t>
      </w:r>
      <w:r w:rsidR="00647F7E">
        <w:t>recommended</w:t>
      </w:r>
      <w:r w:rsidR="007B4A87">
        <w:t xml:space="preserve"> in Chilcott </w:t>
      </w:r>
      <w:r w:rsidR="007B4A87" w:rsidRPr="00A056C0">
        <w:rPr>
          <w:i/>
          <w:iCs/>
        </w:rPr>
        <w:t>et al.</w:t>
      </w:r>
      <w:r w:rsidR="007B4A87">
        <w:t xml:space="preserve"> (2003). The search started with the identification of key publications that met the inclusion criteria. </w:t>
      </w:r>
      <w:r w:rsidR="00BB340B">
        <w:t>A</w:t>
      </w:r>
      <w:r w:rsidR="007B4A87">
        <w:t xml:space="preserve"> citation search was conducted using the online database Web of </w:t>
      </w:r>
      <w:r w:rsidR="001F5CE8">
        <w:t>Knowledge</w:t>
      </w:r>
      <w:r w:rsidR="00BB340B">
        <w:t xml:space="preserve"> to identify related articles</w:t>
      </w:r>
      <w:r w:rsidR="001F5CE8">
        <w:t xml:space="preserve"> </w:t>
      </w:r>
      <w:r w:rsidR="00E729BA">
        <w:fldChar w:fldCharType="begin"/>
      </w:r>
      <w:r w:rsidR="00FC61FD">
        <w:instrText xml:space="preserve"> ADDIN REFMGR.CITE &lt;Refman&gt;&lt;Cite&gt;&lt;Year&gt;2013&lt;/Year&gt;&lt;RecNum&gt;1651&lt;/RecNum&gt;&lt;IDText&gt;Web of Knowledge&lt;/IDText&gt;&lt;MDL Ref_Type="Electronic Citation"&gt;&lt;Ref_Type&gt;Electronic Citation&lt;/Ref_Type&gt;&lt;Ref_ID&gt;1651&lt;/Ref_ID&gt;&lt;Date_Primary&gt;2013&lt;/Date_Primary&gt;&lt;Reprint&gt;In File&lt;/Reprint&gt;&lt;Periodical&gt;Web of Knowledge&lt;/Periodical&gt;&lt;Web_URL&gt;&lt;u&gt;http://apps.webofknowledge.com/UA_GeneralSearch_input.do?product=UA&amp;amp;search_mode=GeneralSearch&amp;amp;SID=W1OdbeobKOEanf4EaMp&amp;amp;preferencesSaved=&lt;/u&gt;&lt;/Web_URL&gt;&lt;ZZ_JournalFull&gt;&lt;f name="System"&gt;Web of Knowledge&lt;/f&gt;&lt;/ZZ_JournalFull&gt;&lt;ZZ_WorkformID&gt;34&lt;/ZZ_WorkformID&gt;&lt;/MDL&gt;&lt;/Cite&gt;&lt;/Refman&gt;</w:instrText>
      </w:r>
      <w:r w:rsidR="00E729BA">
        <w:fldChar w:fldCharType="separate"/>
      </w:r>
      <w:r w:rsidR="004D7951">
        <w:t>(93)</w:t>
      </w:r>
      <w:r w:rsidR="00E729BA">
        <w:fldChar w:fldCharType="end"/>
      </w:r>
      <w:r w:rsidR="007B4A87">
        <w:t xml:space="preserve">. </w:t>
      </w:r>
      <w:r w:rsidR="00E44A19">
        <w:t>A</w:t>
      </w:r>
      <w:r w:rsidR="00166E7A">
        <w:t>rticles</w:t>
      </w:r>
      <w:r w:rsidR="007B4A87">
        <w:t xml:space="preserve"> were screened to </w:t>
      </w:r>
      <w:r w:rsidR="00BB340B">
        <w:t>meet the inclusion criteria</w:t>
      </w:r>
      <w:r w:rsidR="00E44A19">
        <w:t xml:space="preserve"> and these</w:t>
      </w:r>
      <w:r w:rsidR="00BB340B">
        <w:t xml:space="preserve"> were </w:t>
      </w:r>
      <w:r w:rsidR="00E44A19">
        <w:t xml:space="preserve">then </w:t>
      </w:r>
      <w:r w:rsidR="00BB340B">
        <w:t xml:space="preserve">included in a </w:t>
      </w:r>
      <w:r w:rsidR="007B4A87">
        <w:t xml:space="preserve">second round of </w:t>
      </w:r>
      <w:r w:rsidR="00BB340B">
        <w:t>literature searching</w:t>
      </w:r>
      <w:r w:rsidR="007B4A87">
        <w:t xml:space="preserve">. </w:t>
      </w:r>
      <w:r w:rsidR="00BB340B">
        <w:t xml:space="preserve">In the second round the reference lists and citation lists were searched for relevant articles. </w:t>
      </w:r>
    </w:p>
    <w:p w:rsidR="006E6BE6" w:rsidRDefault="006E6BE6" w:rsidP="004D7951">
      <w:r>
        <w:t>Th</w:t>
      </w:r>
      <w:r w:rsidR="004928FB">
        <w:t>re</w:t>
      </w:r>
      <w:r>
        <w:t xml:space="preserve">e references from Chilcott </w:t>
      </w:r>
      <w:r w:rsidRPr="00A056C0">
        <w:rPr>
          <w:i/>
          <w:iCs/>
        </w:rPr>
        <w:t>et al.</w:t>
      </w:r>
      <w:r>
        <w:t xml:space="preserve"> were </w:t>
      </w:r>
      <w:r w:rsidR="004928FB">
        <w:t xml:space="preserve">selected as the </w:t>
      </w:r>
      <w:r w:rsidR="004D7951">
        <w:t>starting point of the search strategy</w:t>
      </w:r>
      <w:r w:rsidR="004928FB">
        <w:t xml:space="preserve"> and </w:t>
      </w:r>
      <w:r w:rsidR="004D7951">
        <w:t xml:space="preserve">whose reference lists and citation lists </w:t>
      </w:r>
      <w:r w:rsidR="004928FB">
        <w:t>were screened</w:t>
      </w:r>
      <w:r>
        <w:t xml:space="preserve"> to identify studies meeting the inclusion and e</w:t>
      </w:r>
      <w:r w:rsidR="00964084">
        <w:t>xclusion criteria</w:t>
      </w:r>
      <w:r w:rsidR="004928FB">
        <w:t xml:space="preserve">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Econ.&lt;/f&gt;&lt;/ZZ_JournalStdAbbrev&gt;&lt;ZZ_WorkformID&gt;1&lt;/ZZ_WorkformID&gt;&lt;/MDL&gt;&lt;/Cite&gt;&lt;Cite&gt;&lt;Author&gt;Claxton&lt;/Author&gt;&lt;Year&gt;1999&lt;/Year&gt;&lt;RecNum&gt;137&lt;/RecNum&gt;&lt;IDText&gt;The irrelevance of inference: a decision-making approach to the stochastic evaluation of health care technologies&lt;/IDText&gt;&lt;MDL Ref_Type="Journal"&gt;&lt;Ref_Type&gt;Journal&lt;/Ref_Type&gt;&lt;Ref_ID&gt;137&lt;/Ref_ID&gt;&lt;Title_Primary&gt;The irrelevance of inference: a decision-making approach to the stochastic evaluation of health care technologies&lt;/Title_Primary&gt;&lt;Authors_Primary&gt;Claxton,K.&lt;/Authors_Primary&gt;&lt;Date_Primary&gt;1999&lt;/Date_Primary&gt;&lt;Keywords&gt;analysis&lt;/Keywords&gt;&lt;Keywords&gt;classification&lt;/Keywords&gt;&lt;Keywords&gt;Decision Making&lt;/Keywords&gt;&lt;Keywords&gt;evaluation&lt;/Keywords&gt;&lt;Keywords&gt;Health&lt;/Keywords&gt;&lt;Keywords&gt;Research&lt;/Keywords&gt;&lt;Reprint&gt;Not in File&lt;/Reprint&gt;&lt;Start_Page&gt;341&lt;/Start_Page&gt;&lt;End_Page&gt;364&lt;/End_Page&gt;&lt;Periodical&gt;Journal of Health Economics&lt;/Periodical&gt;&lt;Volume&gt;18&lt;/Volume&gt;&lt;Issue&gt;3&lt;/Issue&gt;&lt;User_Def_1&gt;yes&lt;/User_Def_1&gt;&lt;User_Def_2&gt;yes&lt;/User_Def_2&gt;&lt;ISSN_ISBN&gt;0167-6296&lt;/ISSN_ISBN&gt;&lt;Web_URL&gt;WOS:000080526900004&lt;/Web_URL&gt;&lt;ZZ_JournalFull&gt;&lt;f name="System"&gt;Journal of Health Economics&lt;/f&gt;&lt;/ZZ_JournalFull&gt;&lt;ZZ_WorkformID&gt;1&lt;/ZZ_WorkformID&gt;&lt;/MDL&gt;&lt;/Cite&gt;&lt;Cite&gt;&lt;Author&gt;Thompson&lt;/Author&gt;&lt;Year&gt;1981&lt;/Year&gt;&lt;RecNum&gt;788&lt;/RecNum&gt;&lt;IDText&gt;Decision-analytic determination of study size. The case of electronic fetal monitoring&lt;/IDText&gt;&lt;MDL Ref_Type="Journal"&gt;&lt;Ref_Type&gt;Journal&lt;/Ref_Type&gt;&lt;Ref_ID&gt;788&lt;/Ref_ID&gt;&lt;Title_Primary&gt;Decision-analytic determination of study size. The case of electronic fetal monitoring&lt;/Title_Primary&gt;&lt;Authors_Primary&gt;Thompson,M.S.&lt;/Authors_Primary&gt;&lt;Date_Primary&gt;1981&lt;/Date_Primary&gt;&lt;Keywords&gt;Brain Injuries&lt;/Keywords&gt;&lt;Keywords&gt;Clinical Trials as Topic&lt;/Keywords&gt;&lt;Keywords&gt;Costs and Cost Analysis&lt;/Keywords&gt;&lt;Keywords&gt;Decision Making&lt;/Keywords&gt;&lt;Keywords&gt;etiology&lt;/Keywords&gt;&lt;Keywords&gt;evaluation&lt;/Keywords&gt;&lt;Keywords&gt;Evaluation Studies as Topic&lt;/Keywords&gt;&lt;Keywords&gt;Female&lt;/Keywords&gt;&lt;Keywords&gt;Fetal Monitoring&lt;/Keywords&gt;&lt;Keywords&gt;Humans&lt;/Keywords&gt;&lt;Keywords&gt;Infant Mortality&lt;/Keywords&gt;&lt;Keywords&gt;methods&lt;/Keywords&gt;&lt;Keywords&gt;mortality&lt;/Keywords&gt;&lt;Keywords&gt;Pregnancy&lt;/Keywords&gt;&lt;Keywords&gt;randomized controlled trial&lt;/Keywords&gt;&lt;Keywords&gt;Research Design&lt;/Keywords&gt;&lt;Keywords&gt;Risk&lt;/Keywords&gt;&lt;Keywords&gt;Sampling Studies&lt;/Keywords&gt;&lt;Keywords&gt;Uncertainty&lt;/Keywords&gt;&lt;Reprint&gt;Not in File&lt;/Reprint&gt;&lt;Start_Page&gt;165&lt;/Start_Page&gt;&lt;End_Page&gt;179&lt;/End_Page&gt;&lt;Periodical&gt;Med.Decis.Making.&lt;/Periodical&gt;&lt;Volume&gt;1&lt;/Volume&gt;&lt;Issue&gt;2&lt;/Issue&gt;&lt;User_Def_1&gt;yes&lt;/User_Def_1&gt;&lt;User_Def_2&gt;yes&lt;/User_Def_2&gt;&lt;ZZ_JournalStdAbbrev&gt;&lt;f name="System"&gt;Med.Decis.Making.&lt;/f&gt;&lt;/ZZ_JournalStdAbbrev&gt;&lt;ZZ_WorkformID&gt;1&lt;/ZZ_WorkformID&gt;&lt;/MDL&gt;&lt;/Cite&gt;&lt;/Refman&gt;</w:instrText>
      </w:r>
      <w:r w:rsidR="00E729BA">
        <w:fldChar w:fldCharType="separate"/>
      </w:r>
      <w:r w:rsidR="004D7951">
        <w:t>(33;94;95)</w:t>
      </w:r>
      <w:r w:rsidR="00E729BA">
        <w:fldChar w:fldCharType="end"/>
      </w:r>
      <w:r w:rsidR="00964084">
        <w:t xml:space="preserve">. The </w:t>
      </w:r>
      <w:r w:rsidR="00166E7A">
        <w:t>full text articles were sought</w:t>
      </w:r>
      <w:r>
        <w:t xml:space="preserve">. The </w:t>
      </w:r>
      <w:r w:rsidR="00166E7A">
        <w:t xml:space="preserve">reference and </w:t>
      </w:r>
      <w:r>
        <w:t xml:space="preserve">citation search was conducted in Web of </w:t>
      </w:r>
      <w:r w:rsidR="001F5CE8">
        <w:t>Knowledge</w:t>
      </w:r>
      <w:r>
        <w:t xml:space="preserve"> in January 2010 and updated in January 2012. </w:t>
      </w:r>
    </w:p>
    <w:p w:rsidR="00166E7A" w:rsidRDefault="008032ED" w:rsidP="00776017">
      <w:pPr>
        <w:pStyle w:val="Heading3"/>
      </w:pPr>
      <w:bookmarkStart w:id="125" w:name="_Ref333405417"/>
      <w:bookmarkStart w:id="126" w:name="_Toc379467576"/>
      <w:r>
        <w:t>Dat</w:t>
      </w:r>
      <w:r w:rsidR="00166E7A">
        <w:t>a Extraction</w:t>
      </w:r>
      <w:bookmarkEnd w:id="125"/>
      <w:bookmarkEnd w:id="126"/>
    </w:p>
    <w:p w:rsidR="00166E7A" w:rsidRDefault="007E5FB0" w:rsidP="001F5CE8">
      <w:r>
        <w:t>The strategy for data extraction was designed to identify how Bayesian methods have been used to design clinical trials. A</w:t>
      </w:r>
      <w:r w:rsidR="0027616B">
        <w:t xml:space="preserve"> traditional</w:t>
      </w:r>
      <w:r>
        <w:t xml:space="preserve"> systematic </w:t>
      </w:r>
      <w:r w:rsidR="009E4085">
        <w:t xml:space="preserve">review </w:t>
      </w:r>
      <w:r>
        <w:t>approach to data extraction was not suitable</w:t>
      </w:r>
      <w:r w:rsidR="009E4085">
        <w:t>. T</w:t>
      </w:r>
      <w:r>
        <w:t xml:space="preserve">he methodologies were variable and required </w:t>
      </w:r>
      <w:r w:rsidR="009E4085">
        <w:t xml:space="preserve">a </w:t>
      </w:r>
      <w:r w:rsidR="00647F7E">
        <w:t>narrative</w:t>
      </w:r>
      <w:r w:rsidR="009E4085">
        <w:t xml:space="preserve"> style to accommodate different reporting styles. The review aimed to identify</w:t>
      </w:r>
      <w:r>
        <w:t xml:space="preserve"> common approaches</w:t>
      </w:r>
      <w:r w:rsidR="001F5CE8">
        <w:t>,</w:t>
      </w:r>
      <w:r>
        <w:t xml:space="preserve"> and gro</w:t>
      </w:r>
      <w:r w:rsidR="009E6475">
        <w:t>up the articles accordingly.</w:t>
      </w:r>
      <w:r>
        <w:t xml:space="preserve"> </w:t>
      </w:r>
      <w:r w:rsidR="00A30435">
        <w:t xml:space="preserve">A checklist of questions was developed to characterise and categorise the methods used in the papers. </w:t>
      </w:r>
      <w:r w:rsidR="00993BA4">
        <w:t>Once the stu</w:t>
      </w:r>
      <w:r w:rsidR="001F5CE8">
        <w:t xml:space="preserve">dies were grouped according to </w:t>
      </w:r>
      <w:r w:rsidR="00993BA4">
        <w:t>categories it was possible to summarise key method</w:t>
      </w:r>
      <w:r w:rsidR="00797C37">
        <w:t>s</w:t>
      </w:r>
      <w:r w:rsidR="00993BA4">
        <w:t xml:space="preserve"> within the study categories. </w:t>
      </w:r>
      <w:r w:rsidR="00A30435">
        <w:t xml:space="preserve">The checklist was </w:t>
      </w:r>
      <w:r w:rsidR="009E6475">
        <w:t>developed after an initial re</w:t>
      </w:r>
      <w:r w:rsidR="009E4085">
        <w:t>a</w:t>
      </w:r>
      <w:r w:rsidR="004E7E58">
        <w:t>d</w:t>
      </w:r>
      <w:r w:rsidR="009E6475">
        <w:t xml:space="preserve"> of some of the papers identified in the search</w:t>
      </w:r>
      <w:r w:rsidR="00A30435">
        <w:t xml:space="preserve">. </w:t>
      </w:r>
    </w:p>
    <w:p w:rsidR="00524EF5" w:rsidRDefault="00524EF5" w:rsidP="002D772C">
      <w:pPr>
        <w:pStyle w:val="ListParagraph"/>
        <w:numPr>
          <w:ilvl w:val="0"/>
          <w:numId w:val="5"/>
        </w:numPr>
      </w:pPr>
      <w:r>
        <w:t>Does the study value the trial from a societal perspective using EVSI?</w:t>
      </w:r>
    </w:p>
    <w:p w:rsidR="00524EF5" w:rsidRDefault="00524EF5" w:rsidP="002D772C">
      <w:pPr>
        <w:pStyle w:val="ListParagraph"/>
        <w:numPr>
          <w:ilvl w:val="0"/>
          <w:numId w:val="5"/>
        </w:numPr>
      </w:pPr>
      <w:r>
        <w:t xml:space="preserve">Does the study </w:t>
      </w:r>
      <w:r w:rsidR="00A30435">
        <w:t>assume that the net benefit is normally distributed</w:t>
      </w:r>
      <w:r>
        <w:t>?</w:t>
      </w:r>
    </w:p>
    <w:p w:rsidR="00A30435" w:rsidRPr="00166E7A" w:rsidRDefault="00A30435" w:rsidP="002D772C">
      <w:pPr>
        <w:pStyle w:val="ListParagraph"/>
        <w:numPr>
          <w:ilvl w:val="0"/>
          <w:numId w:val="5"/>
        </w:numPr>
      </w:pPr>
      <w:r>
        <w:t>Does the study use conjugate distributions to estimate the posterior?</w:t>
      </w:r>
    </w:p>
    <w:p w:rsidR="00524EF5" w:rsidRDefault="00524EF5" w:rsidP="004D7951">
      <w:pPr>
        <w:pStyle w:val="ListParagraph"/>
        <w:numPr>
          <w:ilvl w:val="0"/>
          <w:numId w:val="5"/>
        </w:numPr>
      </w:pPr>
      <w:r>
        <w:t>Does the study use M</w:t>
      </w:r>
      <w:r w:rsidR="009E4085">
        <w:t xml:space="preserve">arkov </w:t>
      </w:r>
      <w:r>
        <w:t>C</w:t>
      </w:r>
      <w:r w:rsidR="009E4085">
        <w:t xml:space="preserve">hain </w:t>
      </w:r>
      <w:r>
        <w:t>M</w:t>
      </w:r>
      <w:r w:rsidR="009E4085">
        <w:t xml:space="preserve">onte </w:t>
      </w:r>
      <w:r>
        <w:t>C</w:t>
      </w:r>
      <w:r w:rsidR="009E4085">
        <w:t>arlo</w:t>
      </w:r>
      <w:r>
        <w:t xml:space="preserve"> methods to </w:t>
      </w:r>
      <w:r w:rsidR="009E4085">
        <w:t>sample from</w:t>
      </w:r>
      <w:r>
        <w:t xml:space="preserve"> the posterior?</w:t>
      </w:r>
    </w:p>
    <w:p w:rsidR="00524EF5" w:rsidRDefault="00524EF5" w:rsidP="001F5CE8">
      <w:pPr>
        <w:pStyle w:val="ListParagraph"/>
        <w:numPr>
          <w:ilvl w:val="0"/>
          <w:numId w:val="5"/>
        </w:numPr>
      </w:pPr>
      <w:r>
        <w:t xml:space="preserve">Does the study sample </w:t>
      </w:r>
      <w:r w:rsidR="001F5CE8">
        <w:t>more than one</w:t>
      </w:r>
      <w:r>
        <w:t xml:space="preserve"> outcome from the trial?</w:t>
      </w:r>
    </w:p>
    <w:p w:rsidR="00524EF5" w:rsidRDefault="00524EF5" w:rsidP="00797C37">
      <w:pPr>
        <w:pStyle w:val="ListParagraph"/>
        <w:numPr>
          <w:ilvl w:val="0"/>
          <w:numId w:val="5"/>
        </w:numPr>
      </w:pPr>
      <w:r>
        <w:t xml:space="preserve">Does the study estimate the probability of </w:t>
      </w:r>
      <w:r w:rsidR="002F1C54">
        <w:t xml:space="preserve">license or </w:t>
      </w:r>
      <w:r w:rsidR="00797C37">
        <w:t>reimbursement</w:t>
      </w:r>
      <w:r>
        <w:t>?</w:t>
      </w:r>
    </w:p>
    <w:p w:rsidR="00D6734F" w:rsidRDefault="00D6734F" w:rsidP="002D772C">
      <w:pPr>
        <w:pStyle w:val="ListParagraph"/>
        <w:numPr>
          <w:ilvl w:val="0"/>
          <w:numId w:val="5"/>
        </w:numPr>
      </w:pPr>
      <w:r>
        <w:t>Does the study simulate outcomes of the clinical trial?</w:t>
      </w:r>
    </w:p>
    <w:p w:rsidR="008732B3" w:rsidRPr="004E70E9" w:rsidRDefault="00776017" w:rsidP="004E70E9">
      <w:pPr>
        <w:pStyle w:val="Heading2"/>
      </w:pPr>
      <w:bookmarkStart w:id="127" w:name="_Toc332984773"/>
      <w:bookmarkStart w:id="128" w:name="_Ref337483010"/>
      <w:bookmarkStart w:id="129" w:name="_Toc379467577"/>
      <w:r w:rsidRPr="004E70E9">
        <w:rPr>
          <w:rStyle w:val="Emphasis"/>
          <w:spacing w:val="15"/>
          <w:sz w:val="22"/>
        </w:rPr>
        <w:t xml:space="preserve">Literature Search and Review </w:t>
      </w:r>
      <w:r w:rsidR="009124EE" w:rsidRPr="004E70E9">
        <w:t>Results</w:t>
      </w:r>
      <w:bookmarkEnd w:id="127"/>
      <w:bookmarkEnd w:id="128"/>
      <w:bookmarkEnd w:id="129"/>
    </w:p>
    <w:p w:rsidR="00943BA9" w:rsidRDefault="004E7E58" w:rsidP="00797C37">
      <w:r>
        <w:t xml:space="preserve">Chilcott  </w:t>
      </w:r>
      <w:r w:rsidRPr="00A056C0">
        <w:rPr>
          <w:i/>
          <w:iCs/>
        </w:rPr>
        <w:t>et al.</w:t>
      </w:r>
      <w:r w:rsidR="00A056C0">
        <w:t xml:space="preserve"> (2003)</w:t>
      </w:r>
      <w:r>
        <w:t xml:space="preserve"> </w:t>
      </w:r>
      <w:r w:rsidR="00647F7E">
        <w:t xml:space="preserve">identified three articles </w:t>
      </w:r>
      <w:r w:rsidR="009124EE">
        <w:t>that described E</w:t>
      </w:r>
      <w:r w:rsidR="00796D40">
        <w:t>NBS</w:t>
      </w:r>
      <w:r w:rsidR="009124EE">
        <w:t xml:space="preserve"> </w:t>
      </w:r>
      <w:r w:rsidR="00086507">
        <w:t>methods</w:t>
      </w:r>
      <w:r w:rsidR="009124EE">
        <w:t xml:space="preserve"> to predict outcomes of future trials</w:t>
      </w:r>
      <w:r w:rsidR="00F67A95">
        <w:t xml:space="preserve">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Econ.&lt;/f&gt;&lt;/ZZ_JournalStdAbbrev&gt;&lt;ZZ_WorkformID&gt;1&lt;/ZZ_WorkformID&gt;&lt;/MDL&gt;&lt;/Cite&gt;&lt;Cite&gt;&lt;Author&gt;Claxton&lt;/Author&gt;&lt;Year&gt;1999&lt;/Year&gt;&lt;RecNum&gt;137&lt;/RecNum&gt;&lt;IDText&gt;The irrelevance of inference: a decision-making approach to the stochastic evaluation of health care technologies&lt;/IDText&gt;&lt;MDL Ref_Type="Journal"&gt;&lt;Ref_Type&gt;Journal&lt;/Ref_Type&gt;&lt;Ref_ID&gt;137&lt;/Ref_ID&gt;&lt;Title_Primary&gt;The irrelevance of inference: a decision-making approach to the stochastic evaluation of health care technologies&lt;/Title_Primary&gt;&lt;Authors_Primary&gt;Claxton,K.&lt;/Authors_Primary&gt;&lt;Date_Primary&gt;1999&lt;/Date_Primary&gt;&lt;Keywords&gt;analysis&lt;/Keywords&gt;&lt;Keywords&gt;classification&lt;/Keywords&gt;&lt;Keywords&gt;Decision Making&lt;/Keywords&gt;&lt;Keywords&gt;evaluation&lt;/Keywords&gt;&lt;Keywords&gt;Health&lt;/Keywords&gt;&lt;Keywords&gt;Research&lt;/Keywords&gt;&lt;Reprint&gt;Not in File&lt;/Reprint&gt;&lt;Start_Page&gt;341&lt;/Start_Page&gt;&lt;End_Page&gt;364&lt;/End_Page&gt;&lt;Periodical&gt;Journal of Health Economics&lt;/Periodical&gt;&lt;Volume&gt;18&lt;/Volume&gt;&lt;Issue&gt;3&lt;/Issue&gt;&lt;User_Def_1&gt;yes&lt;/User_Def_1&gt;&lt;User_Def_2&gt;yes&lt;/User_Def_2&gt;&lt;ISSN_ISBN&gt;0167-6296&lt;/ISSN_ISBN&gt;&lt;Web_URL&gt;WOS:000080526900004&lt;/Web_URL&gt;&lt;ZZ_JournalFull&gt;&lt;f name="System"&gt;Journal of Health Economics&lt;/f&gt;&lt;/ZZ_JournalFull&gt;&lt;ZZ_WorkformID&gt;1&lt;/ZZ_WorkformID&gt;&lt;/MDL&gt;&lt;/Cite&gt;&lt;Cite&gt;&lt;Author&gt;Thompson&lt;/Author&gt;&lt;Year&gt;1981&lt;/Year&gt;&lt;RecNum&gt;788&lt;/RecNum&gt;&lt;IDText&gt;Decision-analytic determination of study size. The case of electronic fetal monitoring&lt;/IDText&gt;&lt;MDL Ref_Type="Journal"&gt;&lt;Ref_Type&gt;Journal&lt;/Ref_Type&gt;&lt;Ref_ID&gt;788&lt;/Ref_ID&gt;&lt;Title_Primary&gt;Decision-analytic determination of study size. The case of electronic fetal monitoring&lt;/Title_Primary&gt;&lt;Authors_Primary&gt;Thompson,M.S.&lt;/Authors_Primary&gt;&lt;Date_Primary&gt;1981&lt;/Date_Primary&gt;&lt;Keywords&gt;Brain Injuries&lt;/Keywords&gt;&lt;Keywords&gt;Clinical Trials as Topic&lt;/Keywords&gt;&lt;Keywords&gt;Costs and Cost Analysis&lt;/Keywords&gt;&lt;Keywords&gt;Decision Making&lt;/Keywords&gt;&lt;Keywords&gt;etiology&lt;/Keywords&gt;&lt;Keywords&gt;evaluation&lt;/Keywords&gt;&lt;Keywords&gt;Evaluation Studies as Topic&lt;/Keywords&gt;&lt;Keywords&gt;Female&lt;/Keywords&gt;&lt;Keywords&gt;Fetal Monitoring&lt;/Keywords&gt;&lt;Keywords&gt;Humans&lt;/Keywords&gt;&lt;Keywords&gt;Infant Mortality&lt;/Keywords&gt;&lt;Keywords&gt;methods&lt;/Keywords&gt;&lt;Keywords&gt;mortality&lt;/Keywords&gt;&lt;Keywords&gt;Pregnancy&lt;/Keywords&gt;&lt;Keywords&gt;randomized controlled trial&lt;/Keywords&gt;&lt;Keywords&gt;Research Design&lt;/Keywords&gt;&lt;Keywords&gt;Risk&lt;/Keywords&gt;&lt;Keywords&gt;Sampling Studies&lt;/Keywords&gt;&lt;Keywords&gt;Uncertainty&lt;/Keywords&gt;&lt;Reprint&gt;Not in File&lt;/Reprint&gt;&lt;Start_Page&gt;165&lt;/Start_Page&gt;&lt;End_Page&gt;179&lt;/End_Page&gt;&lt;Periodical&gt;Med.Decis.Making.&lt;/Periodical&gt;&lt;Volume&gt;1&lt;/Volume&gt;&lt;Issue&gt;2&lt;/Issue&gt;&lt;User_Def_1&gt;yes&lt;/User_Def_1&gt;&lt;User_Def_2&gt;yes&lt;/User_Def_2&gt;&lt;ZZ_JournalStdAbbrev&gt;&lt;f name="System"&gt;Med.Decis.Making.&lt;/f&gt;&lt;/ZZ_JournalStdAbbrev&gt;&lt;ZZ_WorkformID&gt;1&lt;/ZZ_WorkformID&gt;&lt;/MDL&gt;&lt;/Cite&gt;&lt;/Refman&gt;</w:instrText>
      </w:r>
      <w:r w:rsidR="00E729BA">
        <w:fldChar w:fldCharType="separate"/>
      </w:r>
      <w:r w:rsidR="004D7951">
        <w:t>(33;94;95)</w:t>
      </w:r>
      <w:r w:rsidR="00E729BA">
        <w:fldChar w:fldCharType="end"/>
      </w:r>
      <w:r w:rsidR="009124EE">
        <w:t>.</w:t>
      </w:r>
      <w:r w:rsidR="00F67A95">
        <w:t xml:space="preserve"> </w:t>
      </w:r>
      <w:r w:rsidR="00797C37">
        <w:t xml:space="preserve">The three articles are listed in </w:t>
      </w:r>
      <w:r w:rsidR="00E729BA">
        <w:fldChar w:fldCharType="begin"/>
      </w:r>
      <w:r w:rsidR="00797C37">
        <w:instrText xml:space="preserve"> REF _Ref351653698 \h </w:instrText>
      </w:r>
      <w:r w:rsidR="00E729BA">
        <w:fldChar w:fldCharType="separate"/>
      </w:r>
      <w:r w:rsidR="004911B7">
        <w:t xml:space="preserve">Table </w:t>
      </w:r>
      <w:r w:rsidR="004911B7">
        <w:rPr>
          <w:noProof/>
        </w:rPr>
        <w:t>7</w:t>
      </w:r>
      <w:r w:rsidR="00E729BA">
        <w:fldChar w:fldCharType="end"/>
      </w:r>
      <w:r w:rsidR="00797C37">
        <w:t xml:space="preserve"> with Karl Claxton first author on two and</w:t>
      </w:r>
      <w:r w:rsidR="004D7951">
        <w:t xml:space="preserve"> Simon</w:t>
      </w:r>
      <w:r w:rsidR="00797C37">
        <w:t xml:space="preserve"> Thompson the first author on the other. </w:t>
      </w:r>
      <w:r w:rsidR="00565F59">
        <w:t xml:space="preserve">These </w:t>
      </w:r>
      <w:r w:rsidR="004D7951">
        <w:t xml:space="preserve">3 </w:t>
      </w:r>
      <w:r w:rsidR="00565F59">
        <w:t>papers provide</w:t>
      </w:r>
      <w:r w:rsidR="001F5CE8">
        <w:t>d</w:t>
      </w:r>
      <w:r w:rsidR="00565F59">
        <w:t xml:space="preserve"> a background in the fundamental concepts of using </w:t>
      </w:r>
      <w:r w:rsidR="00462E08">
        <w:t>CE</w:t>
      </w:r>
      <w:r w:rsidR="00565F59">
        <w:t xml:space="preserve"> models to design clinical trials, and form</w:t>
      </w:r>
      <w:r w:rsidR="001F5CE8">
        <w:t>ed</w:t>
      </w:r>
      <w:r w:rsidR="00565F59">
        <w:t xml:space="preserve"> the foundations for subsequent work in this area. </w:t>
      </w:r>
      <w:r w:rsidR="00FA28B8">
        <w:t>Citation searches on these three articles identified 3</w:t>
      </w:r>
      <w:r w:rsidR="00F20C9D">
        <w:t>49</w:t>
      </w:r>
      <w:r w:rsidR="00FA28B8">
        <w:t xml:space="preserve"> references</w:t>
      </w:r>
      <w:r w:rsidR="000012D7">
        <w:t>, after duplicate articles were removed</w:t>
      </w:r>
      <w:r w:rsidR="00444CC1">
        <w:t xml:space="preserve">. Of these </w:t>
      </w:r>
      <w:r w:rsidR="00B44433">
        <w:t>19</w:t>
      </w:r>
      <w:r w:rsidR="00444CC1">
        <w:t xml:space="preserve"> </w:t>
      </w:r>
      <w:r w:rsidR="00296CE2">
        <w:t>met</w:t>
      </w:r>
      <w:r w:rsidR="00444CC1">
        <w:t xml:space="preserve"> the inclusion criteria. </w:t>
      </w:r>
      <w:r w:rsidR="00E0272A">
        <w:t xml:space="preserve">The second round of searching in the reference lists and citations related to the </w:t>
      </w:r>
      <w:r w:rsidR="009E4085">
        <w:t>19</w:t>
      </w:r>
      <w:r w:rsidR="00E0272A">
        <w:t xml:space="preserve"> articles identified </w:t>
      </w:r>
      <w:r w:rsidR="00D6734F">
        <w:t>461</w:t>
      </w:r>
      <w:r w:rsidR="00C53517">
        <w:t xml:space="preserve"> references.</w:t>
      </w:r>
      <w:r w:rsidR="00E96524">
        <w:t xml:space="preserve"> The </w:t>
      </w:r>
      <w:r w:rsidR="009E4085">
        <w:t xml:space="preserve">second round of </w:t>
      </w:r>
      <w:r w:rsidR="00E96524">
        <w:t>search</w:t>
      </w:r>
      <w:r w:rsidR="009E4085">
        <w:t>ing</w:t>
      </w:r>
      <w:r w:rsidR="00E96524">
        <w:t xml:space="preserve"> identified </w:t>
      </w:r>
      <w:r w:rsidR="00D6734F">
        <w:t>1</w:t>
      </w:r>
      <w:r w:rsidR="00707873">
        <w:t>5</w:t>
      </w:r>
      <w:r w:rsidR="00E96524">
        <w:t xml:space="preserve"> articles that met the inclusion criteria. </w:t>
      </w:r>
      <w:r w:rsidR="009E4085">
        <w:t xml:space="preserve">A total of 37 articles were </w:t>
      </w:r>
      <w:r w:rsidR="00797C37">
        <w:t xml:space="preserve">therefore </w:t>
      </w:r>
      <w:r w:rsidR="009E4085">
        <w:t>included in the</w:t>
      </w:r>
      <w:r w:rsidR="00797C37">
        <w:t xml:space="preserve"> methods</w:t>
      </w:r>
      <w:r w:rsidR="009E4085">
        <w:t xml:space="preserve"> </w:t>
      </w:r>
      <w:r w:rsidR="008D5E51">
        <w:t xml:space="preserve">literature </w:t>
      </w:r>
      <w:r w:rsidR="009E4085">
        <w:t>review.</w:t>
      </w:r>
      <w:r w:rsidR="00993BA4">
        <w:t xml:space="preserve"> Details of the articles and the responses to the questions used for categorising the articles are reported in </w:t>
      </w:r>
      <w:r w:rsidR="00E729BA">
        <w:fldChar w:fldCharType="begin"/>
      </w:r>
      <w:r w:rsidR="00993BA4">
        <w:instrText xml:space="preserve"> REF _Ref351653698 \h </w:instrText>
      </w:r>
      <w:r w:rsidR="00E729BA">
        <w:fldChar w:fldCharType="separate"/>
      </w:r>
      <w:r w:rsidR="004911B7">
        <w:t xml:space="preserve">Table </w:t>
      </w:r>
      <w:r w:rsidR="004911B7">
        <w:rPr>
          <w:noProof/>
        </w:rPr>
        <w:t>7</w:t>
      </w:r>
      <w:r w:rsidR="00E729BA">
        <w:fldChar w:fldCharType="end"/>
      </w:r>
      <w:r w:rsidR="00993BA4">
        <w:t>.</w:t>
      </w:r>
    </w:p>
    <w:p w:rsidR="00647F7E" w:rsidRDefault="00647F7E">
      <w:pPr>
        <w:spacing w:after="0" w:afterAutospacing="0" w:line="240" w:lineRule="auto"/>
        <w:rPr>
          <w:b/>
          <w:bCs/>
          <w:sz w:val="18"/>
          <w:szCs w:val="16"/>
        </w:rPr>
      </w:pPr>
      <w:bookmarkStart w:id="130" w:name="_Ref337798162"/>
      <w:r>
        <w:br w:type="page"/>
      </w:r>
    </w:p>
    <w:p w:rsidR="00DE05DA" w:rsidRDefault="00DE05DA" w:rsidP="00234693">
      <w:pPr>
        <w:pStyle w:val="Caption"/>
      </w:pPr>
      <w:bookmarkStart w:id="131" w:name="_Ref351653698"/>
      <w:r>
        <w:t xml:space="preserve">Table </w:t>
      </w:r>
      <w:fldSimple w:instr=" SEQ Table \* ARABIC ">
        <w:r w:rsidR="004911B7">
          <w:rPr>
            <w:noProof/>
          </w:rPr>
          <w:t>7</w:t>
        </w:r>
      </w:fldSimple>
      <w:bookmarkEnd w:id="130"/>
      <w:bookmarkEnd w:id="131"/>
      <w:r>
        <w:t>: Full list of papers included in the review</w:t>
      </w:r>
      <w:r w:rsidR="00B47306">
        <w:t xml:space="preserve"> and the findings to questions 1-7 in section </w:t>
      </w:r>
      <w:r w:rsidR="00E729BA">
        <w:fldChar w:fldCharType="begin"/>
      </w:r>
      <w:r w:rsidR="00B47306">
        <w:instrText xml:space="preserve"> REF _Ref333405417 \r \h </w:instrText>
      </w:r>
      <w:r w:rsidR="00E729BA">
        <w:fldChar w:fldCharType="separate"/>
      </w:r>
      <w:r w:rsidR="004911B7">
        <w:rPr>
          <w:cs/>
        </w:rPr>
        <w:t>‎</w:t>
      </w:r>
      <w:r w:rsidR="004911B7">
        <w:t>3.2.3</w:t>
      </w:r>
      <w:r w:rsidR="00E729BA">
        <w:fldChar w:fldCharType="end"/>
      </w:r>
    </w:p>
    <w:tbl>
      <w:tblPr>
        <w:tblW w:w="8270" w:type="dxa"/>
        <w:tblBorders>
          <w:top w:val="single" w:sz="12" w:space="0" w:color="auto"/>
          <w:bottom w:val="single" w:sz="12" w:space="0" w:color="auto"/>
        </w:tblBorders>
        <w:tblLayout w:type="fixed"/>
        <w:tblCellMar>
          <w:left w:w="28" w:type="dxa"/>
          <w:right w:w="28" w:type="dxa"/>
        </w:tblCellMar>
        <w:tblLook w:val="04A0"/>
      </w:tblPr>
      <w:tblGrid>
        <w:gridCol w:w="1417"/>
        <w:gridCol w:w="5663"/>
        <w:gridCol w:w="170"/>
        <w:gridCol w:w="170"/>
        <w:gridCol w:w="170"/>
        <w:gridCol w:w="170"/>
        <w:gridCol w:w="170"/>
        <w:gridCol w:w="170"/>
        <w:gridCol w:w="170"/>
      </w:tblGrid>
      <w:tr w:rsidR="004E70E9" w:rsidRPr="004E70E9" w:rsidTr="004E70E9">
        <w:trPr>
          <w:trHeight w:val="20"/>
          <w:tblHeader/>
        </w:trPr>
        <w:tc>
          <w:tcPr>
            <w:tcW w:w="1417" w:type="dxa"/>
            <w:tcBorders>
              <w:top w:val="single" w:sz="12" w:space="0" w:color="auto"/>
              <w:bottom w:val="single" w:sz="4" w:space="0" w:color="auto"/>
            </w:tcBorders>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First Author</w:t>
            </w:r>
          </w:p>
        </w:tc>
        <w:tc>
          <w:tcPr>
            <w:tcW w:w="5663" w:type="dxa"/>
            <w:tcBorders>
              <w:top w:val="single" w:sz="12" w:space="0" w:color="auto"/>
              <w:bottom w:val="single" w:sz="4" w:space="0" w:color="auto"/>
            </w:tcBorders>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Title</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1</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2</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3</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4</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5</w:t>
            </w:r>
          </w:p>
        </w:tc>
        <w:tc>
          <w:tcPr>
            <w:tcW w:w="170" w:type="dxa"/>
            <w:tcBorders>
              <w:top w:val="single" w:sz="12" w:space="0" w:color="auto"/>
              <w:bottom w:val="single" w:sz="4" w:space="0" w:color="auto"/>
            </w:tcBorders>
            <w:shd w:val="clear" w:color="auto" w:fill="auto"/>
            <w:noWrap/>
            <w:vAlign w:val="bottom"/>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6</w:t>
            </w:r>
          </w:p>
        </w:tc>
        <w:tc>
          <w:tcPr>
            <w:tcW w:w="170" w:type="dxa"/>
            <w:tcBorders>
              <w:top w:val="single" w:sz="12" w:space="0" w:color="auto"/>
              <w:bottom w:val="single" w:sz="4" w:space="0" w:color="auto"/>
            </w:tcBorders>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7</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Halpern 2001</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&lt;Refman&gt;&lt;Cite&gt;&lt;Author&gt;Halpern&lt;/Author&gt;&lt;Year&gt;2001&lt;/Year&gt;&lt;RecNum&gt;406&lt;/RecNum&gt;&lt;IDText&gt;The sample size for a clinical trial: A Bayesian-decision theoretic approach&lt;/IDText&gt;&lt;MDL Ref_Type="Journal"&gt;&lt;Ref_Type&gt;Journal&lt;/Ref_Type&gt;&lt;Ref_ID&gt;406&lt;/Ref_ID&gt;&lt;Title_Primary&gt;The sample size for a clinical trial: A Bayesian-decision theoretic approach&lt;/Title_Primary&gt;&lt;Authors_Primary&gt;Halpern,J.&lt;/Authors_Primary&gt;&lt;Authors_Primary&gt;Brown,B.W.&lt;/Authors_Primary&gt;&lt;Authors_Primary&gt;Hornberger,J.&lt;/Authors_Primary&gt;&lt;Date_Primary&gt;2001&lt;/Date_Primary&gt;&lt;Keywords&gt;clinical trial&lt;/Keywords&gt;&lt;Keywords&gt;Decision Theory&lt;/Keywords&gt;&lt;Keywords&gt;sample&lt;/Keywords&gt;&lt;Keywords&gt;Sample Size&lt;/Keywords&gt;&lt;Reprint&gt;Not in File&lt;/Reprint&gt;&lt;Start_Page&gt;841&lt;/Start_Page&gt;&lt;End_Page&gt;858&lt;/End_Page&gt;&lt;Periodical&gt;Statistics in Medicine&lt;/Periodical&gt;&lt;Volume&gt;20&lt;/Volume&gt;&lt;Issue&gt;6&lt;/Issue&gt;&lt;User_Def_1&gt;yes&lt;/User_Def_1&gt;&lt;User_Def_2&gt;yes&lt;/User_Def_2&gt;&lt;ISSN_ISBN&gt;0277-6715&lt;/ISSN_ISBN&gt;&lt;Web_URL&gt;WOS:000167670800002&lt;/Web_URL&gt;&lt;ZZ_JournalFull&gt;&lt;f name="System"&gt;Statistics in Medicine&lt;/f&gt;&lt;/ZZ_JournalFull&gt;&lt;ZZ_WorkformID&gt;1&lt;/ZZ_WorkformID&gt;&lt;/MDL&gt;&lt;/Cite&gt;&lt;/Refman&gt;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(96)</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The sample size for a clinical trial: a bayesian-decision theoretic approach</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Koerkamp 2008</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&lt;Refman&gt;&lt;Cite&gt;&lt;Author&gt;Koerkamp&lt;/Author&gt;&lt;Year&gt;2008&lt;/Year&gt;&lt;RecNum&gt;259&lt;/RecNum&gt;&lt;IDText&gt;Value of information analysis used to determine the necessity of additional research: MR imaging in acute knee trauma as an example&lt;/IDText&gt;&lt;MDL Ref_Type="Journal"&gt;&lt;Ref_Type&gt;Journal&lt;/Ref_Type&gt;&lt;Ref_ID&gt;259&lt;/Ref_ID&gt;&lt;Title_Primary&gt;Value of information analysis used to determine the necessity of additional research: MR imaging in acute knee trauma as an example&lt;/Title_Primary&gt;&lt;Authors_Primary&gt;Koerkamp,Bas Groot&lt;/Authors_Primary&gt;&lt;Authors_Primary&gt;Nikken,Jeroen J.&lt;/Authors_Primary&gt;&lt;Authors_Primary&gt;Oei,Edwin H.&lt;/Authors_Primary&gt;&lt;Authors_Primary&gt;Stijnen,Theo&lt;/Authors_Primary&gt;&lt;Authors_Primary&gt;Ginai,Abida Z.&lt;/Authors_Primary&gt;&lt;Authors_Primary&gt;Hunink,M.&lt;/Authors_Primary&gt;&lt;Date_Primary&gt;2008&lt;/Date_Primary&gt;&lt;Keywords&gt;age&lt;/Keywords&gt;&lt;Keywords&gt;analysis&lt;/Keywords&gt;&lt;Keywords&gt;clinical trial&lt;/Keywords&gt;&lt;Keywords&gt;Female&lt;/Keywords&gt;&lt;Keywords&gt;follow up&lt;/Keywords&gt;&lt;Keywords&gt;hospital&lt;/Keywords&gt;&lt;Keywords&gt;Informed Consent&lt;/Keywords&gt;&lt;Keywords&gt;Knee&lt;/Keywords&gt;&lt;Keywords&gt;Life&lt;/Keywords&gt;&lt;Keywords&gt;Male&lt;/Keywords&gt;&lt;Keywords&gt;methods&lt;/Keywords&gt;&lt;Keywords&gt;patient&lt;/Keywords&gt;&lt;Keywords&gt;Patients&lt;/Keywords&gt;&lt;Keywords&gt;Quality of Life&lt;/Keywords&gt;&lt;Keywords&gt;radiography&lt;/Keywords&gt;&lt;Keywords&gt;Research&lt;/Keywords&gt;&lt;Keywords&gt;sample&lt;/Keywords&gt;&lt;Keywords&gt;Sample Size&lt;/Keywords&gt;&lt;Keywords&gt;Uncertainty&lt;/Keywords&gt;&lt;Reprint&gt;Not in File&lt;/Reprint&gt;&lt;Start_Page&gt;420&lt;/Start_Page&gt;&lt;End_Page&gt;425&lt;/End_Page&gt;&lt;Periodical&gt;Radiology&lt;/Periodical&gt;&lt;Volume&gt;246&lt;/Volume&gt;&lt;Issue&gt;2&lt;/Issue&gt;&lt;User_Def_1&gt;yes&lt;/User_Def_1&gt;&lt;User_Def_2&gt;yes&lt;/User_Def_2&gt;&lt;ISSN_ISBN&gt;0033-8419&lt;/ISSN_ISBN&gt;&lt;Web_URL&gt;WOS:000252796300011&lt;/Web_URL&gt;&lt;ZZ_JournalFull&gt;&lt;f name="System"&gt;Radiology&lt;/f&gt;&lt;/ZZ_JournalFull&gt;&lt;ZZ_WorkformID&gt;1&lt;/ZZ_WorkformID&gt;&lt;/MDL&gt;&lt;/Cite&gt;&lt;/Refman&gt;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(97)</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4D7951">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Value of information analysis used to determine the necessity of additional research: </w:t>
            </w:r>
            <w:r>
              <w:rPr>
                <w:rFonts w:eastAsia="Times New Roman" w:cs="Times New Roman"/>
                <w:sz w:val="17"/>
                <w:szCs w:val="17"/>
                <w:lang w:eastAsia="zh-CN" w:bidi="ar-SA"/>
              </w:rPr>
              <w:t>MR</w:t>
            </w:r>
            <w:r w:rsidRPr="004E70E9">
              <w:rPr>
                <w:rFonts w:eastAsia="Times New Roman" w:cs="Times New Roman"/>
                <w:sz w:val="17"/>
                <w:szCs w:val="17"/>
                <w:lang w:eastAsia="zh-CN" w:bidi="ar-SA"/>
              </w:rPr>
              <w:t xml:space="preserve"> imaging in acute knee trauma as an example</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Koerkamp 2010</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&lt;Refman&gt;&lt;Cite&gt;&lt;Author&gt;Koerkamp&lt;/Author&gt;&lt;Year&gt;2010&lt;/Year&gt;&lt;RecNum&gt;1526&lt;/RecNum&gt;&lt;IDText&gt;Value of Information Analyses of Economic Randomized Controlled Trials: The Treatment of Intermittent Claudication&lt;/IDText&gt;&lt;MDL Ref_Type="Journal"&gt;&lt;Ref_Type&gt;Journal&lt;/Ref_Type&gt;&lt;Ref_ID&gt;1526&lt;/Ref_ID&gt;&lt;Title_Primary&gt;Value of Information Analyses of Economic Randomized Controlled Trials: The Treatment of Intermittent Claudication&lt;/Title_Primary&gt;&lt;Authors_Primary&gt;Koerkamp,Bas Groot&lt;/Authors_Primary&gt;&lt;Authors_Primary&gt;Spronk,Sandra&lt;/Authors_Primary&gt;&lt;Authors_Primary&gt;Stijnen,Theo&lt;/Authors_Primary&gt;&lt;Authors_Primary&gt;Hunink,M.&lt;/Authors_Primary&gt;&lt;Date_Primary&gt;2010&lt;/Date_Primary&gt;&lt;Keywords&gt;analysis&lt;/Keywords&gt;&lt;Keywords&gt;clinical trial&lt;/Keywords&gt;&lt;Keywords&gt;Life&lt;/Keywords&gt;&lt;Keywords&gt;Life Expectancy&lt;/Keywords&gt;&lt;Keywords&gt;methods&lt;/Keywords&gt;&lt;Keywords&gt;patient&lt;/Keywords&gt;&lt;Keywords&gt;Patients&lt;/Keywords&gt;&lt;Keywords&gt;population&lt;/Keywords&gt;&lt;Keywords&gt;Quality of Life&lt;/Keywords&gt;&lt;Keywords&gt;randomized controlled trial&lt;/Keywords&gt;&lt;Keywords&gt;Research&lt;/Keywords&gt;&lt;Keywords&gt;sample&lt;/Keywords&gt;&lt;Keywords&gt;Sample Size&lt;/Keywords&gt;&lt;Keywords&gt;Software&lt;/Keywords&gt;&lt;Reprint&gt;Not in File&lt;/Reprint&gt;&lt;Start_Page&gt;242&lt;/Start_Page&gt;&lt;End_Page&gt;250&lt;/End_Page&gt;&lt;Periodical&gt;Value in Health&lt;/Periodical&gt;&lt;Volume&gt;13&lt;/Volume&gt;&lt;Issue&gt;2&lt;/Issue&gt;&lt;User_Def_1&gt;yes&lt;/User_Def_1&gt;&lt;User_Def_2&gt;yes&lt;/User_Def_2&gt;&lt;ISSN_ISBN&gt;1098-3015&lt;/ISSN_ISBN&gt;&lt;Web_URL&gt;WOS:000274668300011&lt;/Web_URL&gt;&lt;ZZ_JournalFull&gt;&lt;f name="System"&gt;Value in Health&lt;/f&gt;&lt;/ZZ_JournalFull&gt;&lt;ZZ_WorkformID&gt;1&lt;/ZZ_WorkformID&gt;&lt;/MDL&gt;&lt;/Cite&gt;&lt;/Refman&gt;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(98)</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16510D">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Value of information analyses of economic </w:t>
            </w:r>
            <w:r w:rsidR="0016510D">
              <w:rPr>
                <w:rFonts w:eastAsia="Times New Roman" w:cs="Times New Roman"/>
                <w:sz w:val="17"/>
                <w:szCs w:val="17"/>
                <w:lang w:eastAsia="zh-CN" w:bidi="ar-SA"/>
              </w:rPr>
              <w:t>RCTs</w:t>
            </w:r>
            <w:r w:rsidRPr="004E70E9">
              <w:rPr>
                <w:rFonts w:eastAsia="Times New Roman" w:cs="Times New Roman"/>
                <w:sz w:val="17"/>
                <w:szCs w:val="17"/>
                <w:lang w:eastAsia="zh-CN" w:bidi="ar-SA"/>
              </w:rPr>
              <w:t>: the treatment of intermittent claudication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Claxton 1996</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F12F58">
              <w:rPr>
                <w:rFonts w:eastAsia="Times New Roman" w:cs="Times New Roman"/>
                <w:sz w:val="17"/>
                <w:szCs w:val="17"/>
                <w:lang w:eastAsia="zh-CN" w:bidi="ar-SA"/>
              </w:rPr>
              <w:t>(33)</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An economic approach to clinical trial design and research priority setting</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Claxton 1999</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&lt;Refman&gt;&lt;Cite&gt;&lt;Author&gt;Claxton&lt;/Author&gt;&lt;Year&gt;1999&lt;/Year&gt;&lt;RecNum&gt;137&lt;/RecNum&gt;&lt;IDText&gt;The irrelevance of inference: a decision-making approach to the stochastic evaluation of health care technologies&lt;/IDText&gt;&lt;MDL Ref_Type="Journal"&gt;&lt;Ref_Type&gt;Journal&lt;/Ref_Type&gt;&lt;Ref_ID&gt;137&lt;/Ref_ID&gt;&lt;Title_Primary&gt;The irrelevance of inference: a decision-making approach to the stochastic evaluation of health care technologies&lt;/Title_Primary&gt;&lt;Authors_Primary&gt;Claxton,K.&lt;/Authors_Primary&gt;&lt;Date_Primary&gt;1999&lt;/Date_Primary&gt;&lt;Keywords&gt;analysis&lt;/Keywords&gt;&lt;Keywords&gt;classification&lt;/Keywords&gt;&lt;Keywords&gt;Decision Making&lt;/Keywords&gt;&lt;Keywords&gt;evaluation&lt;/Keywords&gt;&lt;Keywords&gt;Health&lt;/Keywords&gt;&lt;Keywords&gt;Research&lt;/Keywords&gt;&lt;Reprint&gt;Not in File&lt;/Reprint&gt;&lt;Start_Page&gt;341&lt;/Start_Page&gt;&lt;End_Page&gt;364&lt;/End_Page&gt;&lt;Periodical&gt;Journal of Health Economics&lt;/Periodical&gt;&lt;Volume&gt;18&lt;/Volume&gt;&lt;Issue&gt;3&lt;/Issue&gt;&lt;User_Def_1&gt;yes&lt;/User_Def_1&gt;&lt;User_Def_2&gt;yes&lt;/User_Def_2&gt;&lt;ISSN_ISBN&gt;0167-6296&lt;/ISSN_ISBN&gt;&lt;Web_URL&gt;WOS:000080526900004&lt;/Web_URL&gt;&lt;ZZ_JournalFull&gt;&lt;f name="System"&gt;Journal of 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(94)</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The irrelevance of inference: a decision-making approach to the stochastic evaluation of health care technologies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Claxton 2001</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&lt;Refman&gt;&lt;Cite&gt;&lt;Author&gt;Claxton&lt;/Author&gt;&lt;Year&gt;2001&lt;/Year&gt;&lt;RecNum&gt;1522&lt;/RecNum&gt;&lt;IDText&gt;A dynamic programming approach to the efficient design of clinical trials&lt;/IDText&gt;&lt;MDL Ref_Type="Journal"&gt;&lt;Ref_Type&gt;Journal&lt;/Ref_Type&gt;&lt;Ref_ID&gt;1522&lt;/Ref_ID&gt;&lt;Title_Primary&gt;A dynamic programming approach to the efficient design of clinical trials&lt;/Title_Primary&gt;&lt;Authors_Primary&gt;Claxton,K.&lt;/Authors_Primary&gt;&lt;Authors_Primary&gt;Thompson,K.M.&lt;/Authors_Primary&gt;&lt;Date_Primary&gt;2001&lt;/Date_Primary&gt;&lt;Keywords&gt;analysis&lt;/Keywords&gt;&lt;Keywords&gt;clinical trial&lt;/Keywords&gt;&lt;Keywords&gt;Decision Making&lt;/Keywords&gt;&lt;Keywords&gt;Decision Theory&lt;/Keywords&gt;&lt;Keywords&gt;evaluation&lt;/Keywords&gt;&lt;Keywords&gt;patient&lt;/Keywords&gt;&lt;Keywords&gt;Research&lt;/Keywords&gt;&lt;Keywords&gt;sample&lt;/Keywords&gt;&lt;Keywords&gt;Sample Size&lt;/Keywords&gt;&lt;Reprint&gt;Not in File&lt;/Reprint&gt;&lt;Start_Page&gt;797&lt;/Start_Page&gt;&lt;End_Page&gt;822&lt;/End_Page&gt;&lt;Periodical&gt;Journal of Health Economics&lt;/Periodical&gt;&lt;Volume&gt;20&lt;/Volume&gt;&lt;Issue&gt;5&lt;/Issue&gt;&lt;User_Def_1&gt;yes&lt;/User_Def_1&gt;&lt;User_Def_2&gt;yes&lt;/User_Def_2&gt;&lt;ISSN_ISBN&gt;0167-6296&lt;/ISSN_ISBN&gt;&lt;Web_URL&gt;WOS:000170859600006&lt;/Web_URL&gt;&lt;ZZ_JournalFull&gt;&lt;f name="System"&gt;Journal of 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(99)</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dynamic programming approach to the efficient design of clinical trials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cantSplit/>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Willan 2005</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&lt;Refman&gt;&lt;Cite&gt;&lt;Author&gt;Willan&lt;/Author&gt;&lt;Year&gt;2005&lt;/Year&gt;&lt;RecNum&gt;87&lt;/RecNum&gt;&lt;IDText&gt;The value of information and optimal clinical trial design&lt;/IDText&gt;&lt;MDL Ref_Type="Journal"&gt;&lt;Ref_Type&gt;Journal&lt;/Ref_Type&gt;&lt;Ref_ID&gt;87&lt;/Ref_ID&gt;&lt;Title_Primary&gt;The value of information and optimal clinical trial design&lt;/Title_Primary&gt;&lt;Authors_Primary&gt;Willan,A.R.&lt;/Authors_Primary&gt;&lt;Authors_Primary&gt;Pinto,E.M.&lt;/Authors_Primary&gt;&lt;Date_Primary&gt;2005&lt;/Date_Primary&gt;&lt;Keywords&gt;clinical trial&lt;/Keywords&gt;&lt;Keywords&gt;Decision Making&lt;/Keywords&gt;&lt;Keywords&gt;methods&lt;/Keywords&gt;&lt;Keywords&gt;Probability&lt;/Keywords&gt;&lt;Keywords&gt;sample&lt;/Keywords&gt;&lt;Keywords&gt;Sample Size&lt;/Keywords&gt;&lt;Keywords&gt;Time&lt;/Keywords&gt;&lt;Reprint&gt;Not in File&lt;/Reprint&gt;&lt;Start_Page&gt;1791&lt;/Start_Page&gt;&lt;End_Page&gt;1806&lt;/End_Page&gt;&lt;Periodical&gt;Statistics in Medicine&lt;/Periodical&gt;&lt;Volume&gt;24&lt;/Volume&gt;&lt;Issue&gt;12&lt;/Issue&gt;&lt;User_Def_1&gt;yes&lt;/User_Def_1&gt;&lt;User_Def_2&gt;yes&lt;/User_Def_2&gt;&lt;ISSN_ISBN&gt;0277-6715&lt;/ISSN_ISBN&gt;&lt;Web_URL&gt;WOS:000229688600002&lt;/Web_URL&gt;&lt;ZZ_JournalFull&gt;&lt;f name="System"&gt;Statistics in Medicine&lt;/f&gt;&lt;/ZZ_JournalFull&gt;&lt;ZZ_WorkformID&gt;1&lt;/ZZ_WorkformID&gt;&lt;/MDL&gt;&lt;/Cite&gt;&lt;/Refman&gt;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(100)</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The value of information and optimal clinical trial design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Willan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&lt;Refman&gt;&lt;Cite&gt;&lt;Author&gt;Willan&lt;/Author&gt;&lt;Year&gt;2007&lt;/Year&gt;&lt;RecNum&gt;59&lt;/RecNum&gt;&lt;IDText&gt;Clinical decision making and the expected value of information&lt;/IDText&gt;&lt;MDL Ref_Type="Journal"&gt;&lt;Ref_Type&gt;Journal&lt;/Ref_Type&gt;&lt;Ref_ID&gt;59&lt;/Ref_ID&gt;&lt;Title_Primary&gt;Clinical decision making and the expected value of information&lt;/Title_Primary&gt;&lt;Authors_Primary&gt;Willan,Andrew R.&lt;/Authors_Primary&gt;&lt;Date_Primary&gt;2007&lt;/Date_Primary&gt;&lt;Keywords&gt;Canada&lt;/Keywords&gt;&lt;Keywords&gt;clinical trial&lt;/Keywords&gt;&lt;Keywords&gt;death&lt;/Keywords&gt;&lt;Keywords&gt;Decision Making&lt;/Keywords&gt;&lt;Keywords&gt;Health&lt;/Keywords&gt;&lt;Keywords&gt;Infarction&lt;/Keywords&gt;&lt;Keywords&gt;methods&lt;/Keywords&gt;&lt;Keywords&gt;Myocardial Infarction&lt;/Keywords&gt;&lt;Keywords&gt;patient&lt;/Keywords&gt;&lt;Keywords&gt;Patients&lt;/Keywords&gt;&lt;Keywords&gt;Risk&lt;/Keywords&gt;&lt;Keywords&gt;sample&lt;/Keywords&gt;&lt;Keywords&gt;Sample Size&lt;/Keywords&gt;&lt;Keywords&gt;Stroke&lt;/Keywords&gt;&lt;Reprint&gt;Not in File&lt;/Reprint&gt;&lt;Start_Page&gt;279&lt;/Start_Page&gt;&lt;End_Page&gt;285&lt;/End_Page&gt;&lt;Periodical&gt;Clinical Trials&lt;/Periodical&gt;&lt;Volume&gt;4&lt;/Volume&gt;&lt;Issue&gt;3&lt;/Issue&gt;&lt;User_Def_1&gt;yes&lt;/User_Def_1&gt;&lt;User_Def_2&gt;yes&lt;/User_Def_2&gt;&lt;ISSN_ISBN&gt;1740-7745&lt;/ISSN_ISBN&gt;&lt;Web_URL&gt;WOS:000249489200013&lt;/Web_URL&gt;&lt;ZZ_JournalFull&gt;&lt;f name="System"&gt;Clinical Trials&lt;/f&gt;&lt;/ZZ_JournalFull&gt;&lt;ZZ_WorkformID&gt;1&lt;/ZZ_WorkformID&gt;&lt;/MDL&gt;&lt;/Cite&gt;&lt;/Refman&gt;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(101)</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Clinical decision making and the expected value of information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Willan 2008</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&lt;Refman&gt;&lt;Cite&gt;&lt;Author&gt;Willan&lt;/Author&gt;&lt;Year&gt;2008&lt;/Year&gt;&lt;RecNum&gt;1523&lt;/RecNum&gt;&lt;IDText&gt;Determining optimal sample sizes for multi-stage randomized clinical trials using value of information methods&lt;/IDText&gt;&lt;MDL Ref_Type="Journal"&gt;&lt;Ref_Type&gt;Journal&lt;/Ref_Type&gt;&lt;Ref_ID&gt;1523&lt;/Ref_ID&gt;&lt;Title_Primary&gt;Determining optimal sample sizes for multi-stage randomized clinical trials using value of information methods&lt;/Title_Primary&gt;&lt;Authors_Primary&gt;Willan,Andrew&lt;/Authors_Primary&gt;&lt;Authors_Primary&gt;Kowgier,Matthew&lt;/Authors_Primary&gt;&lt;Date_Primary&gt;2008&lt;/Date_Primary&gt;&lt;Keywords&gt;clinical trial&lt;/Keywords&gt;&lt;Keywords&gt;Decision Making&lt;/Keywords&gt;&lt;Keywords&gt;Decision Theory&lt;/Keywords&gt;&lt;Keywords&gt;methods&lt;/Keywords&gt;&lt;Keywords&gt;sample&lt;/Keywords&gt;&lt;Keywords&gt;Sample Size&lt;/Keywords&gt;&lt;Reprint&gt;Not in File&lt;/Reprint&gt;&lt;Start_Page&gt;289&lt;/Start_Page&gt;&lt;End_Page&gt;300&lt;/End_Page&gt;&lt;Periodical&gt;Clinical Trials&lt;/Periodical&gt;&lt;Volume&gt;5&lt;/Volume&gt;&lt;Issue&gt;4&lt;/Issue&gt;&lt;User_Def_1&gt;yes&lt;/User_Def_1&gt;&lt;User_Def_2&gt;yes&lt;/User_Def_2&gt;&lt;ISSN_ISBN&gt;1740-7745&lt;/ISSN_ISBN&gt;&lt;Web_URL&gt;WOS:000258809000001&lt;/Web_URL&gt;&lt;ZZ_JournalFull&gt;&lt;f name="System"&gt;Clinical Trials&lt;/f&gt;&lt;/ZZ_JournalFull&gt;&lt;ZZ_WorkformID&gt;1&lt;/ZZ_WorkformID&gt;&lt;/MDL&gt;&lt;/Cite&gt;&lt;/Refman&gt;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(102)</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Determining optimal sample sizes for multi-stage randomized clinical trials using value of information methods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Eckerman</w:t>
            </w:r>
            <w:r w:rsidR="0016510D">
              <w:rPr>
                <w:rFonts w:eastAsia="Times New Roman" w:cs="Times New Roman"/>
                <w:sz w:val="17"/>
                <w:szCs w:val="17"/>
                <w:lang w:eastAsia="zh-CN" w:bidi="ar-SA"/>
              </w:rPr>
              <w:t>n</w:t>
            </w:r>
            <w:r w:rsidRPr="004E70E9">
              <w:rPr>
                <w:rFonts w:eastAsia="Times New Roman" w:cs="Times New Roman"/>
                <w:sz w:val="17"/>
                <w:szCs w:val="17"/>
                <w:lang w:eastAsia="zh-CN" w:bidi="ar-SA"/>
              </w:rPr>
              <w:t xml:space="preserve"> 2008</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&lt;Refman&gt;&lt;Cite&gt;&lt;Author&gt;Eckermann&lt;/Author&gt;&lt;Year&gt;2008&lt;/Year&gt;&lt;RecNum&gt;252&lt;/RecNum&gt;&lt;IDText&gt;The option value of delay in health technology assessment&lt;/IDText&gt;&lt;MDL Ref_Type="Journal"&gt;&lt;Ref_Type&gt;Journal&lt;/Ref_Type&gt;&lt;Ref_ID&gt;252&lt;/Ref_ID&gt;&lt;Title_Primary&gt;The option value of delay in health technology assessment&lt;/Title_Primary&gt;&lt;Authors_Primary&gt;Eckermann,Simon&lt;/Authors_Primary&gt;&lt;Authors_Primary&gt;Willan,Andrew R.&lt;/Authors_Primary&gt;&lt;Date_Primary&gt;2008&lt;/Date_Primary&gt;&lt;Keywords&gt;article&lt;/Keywords&gt;&lt;Keywords&gt;Health&lt;/Keywords&gt;&lt;Keywords&gt;methods&lt;/Keywords&gt;&lt;Keywords&gt;patient&lt;/Keywords&gt;&lt;Keywords&gt;Patients&lt;/Keywords&gt;&lt;Keywords&gt;Probability&lt;/Keywords&gt;&lt;Keywords&gt;Research&lt;/Keywords&gt;&lt;Keywords&gt;sample&lt;/Keywords&gt;&lt;Keywords&gt;therapy&lt;/Keywords&gt;&lt;Keywords&gt;Time&lt;/Keywords&gt;&lt;Keywords&gt;Uncertainty&lt;/Keywords&gt;&lt;Reprint&gt;Not in File&lt;/Reprint&gt;&lt;Start_Page&gt;300&lt;/Start_Page&gt;&lt;End_Page&gt;305&lt;/End_Page&gt;&lt;Periodical&gt;Medical Decision Making&lt;/Periodical&gt;&lt;Volume&gt;28&lt;/Volume&gt;&lt;Issue&gt;3&lt;/Issue&gt;&lt;User_Def_1&gt;yes&lt;/User_Def_1&gt;&lt;User_Def_2&gt;yes&lt;/User_Def_2&gt;&lt;ISSN_ISBN&gt;0272-989X&lt;/ISSN_ISBN&gt;&lt;Web_URL&gt;WOS:000256264500002&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(103)</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The option value of delay in health technology assessment</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Eckerman</w:t>
            </w:r>
            <w:r w:rsidR="0016510D">
              <w:rPr>
                <w:rFonts w:eastAsia="Times New Roman" w:cs="Times New Roman"/>
                <w:sz w:val="17"/>
                <w:szCs w:val="17"/>
                <w:lang w:eastAsia="zh-CN" w:bidi="ar-SA"/>
              </w:rPr>
              <w:t>n</w:t>
            </w:r>
            <w:r w:rsidRPr="004E70E9">
              <w:rPr>
                <w:rFonts w:eastAsia="Times New Roman" w:cs="Times New Roman"/>
                <w:sz w:val="17"/>
                <w:szCs w:val="17"/>
                <w:lang w:eastAsia="zh-CN" w:bidi="ar-SA"/>
              </w:rPr>
              <w:t xml:space="preserve"> 2009</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&lt;Refman&gt;&lt;Cite&gt;&lt;Author&gt;Eckermann&lt;/Author&gt;&lt;Year&gt;2009&lt;/Year&gt;&lt;RecNum&gt;30&lt;/RecNum&gt;&lt;IDText&gt;Globally Optimal Trial Design for Local Decision Making&lt;/IDText&gt;&lt;MDL Ref_Type="Journal"&gt;&lt;Ref_Type&gt;Journal&lt;/Ref_Type&gt;&lt;Ref_ID&gt;30&lt;/Ref_ID&gt;&lt;Title_Primary&gt;Globally Optimal Trial Design for Local Decision Making&lt;/Title_Primary&gt;&lt;Authors_Primary&gt;Eckermann,Simon&lt;/Authors_Primary&gt;&lt;Authors_Primary&gt;Willan,Andrew R.&lt;/Authors_Primary&gt;&lt;Date_Primary&gt;2009&lt;/Date_Primary&gt;&lt;Keywords&gt;Australia&lt;/Keywords&gt;&lt;Keywords&gt;Decision Making&lt;/Keywords&gt;&lt;Keywords&gt;Health&lt;/Keywords&gt;&lt;Keywords&gt;methods&lt;/Keywords&gt;&lt;Keywords&gt;Research&lt;/Keywords&gt;&lt;Keywords&gt;sample&lt;/Keywords&gt;&lt;Keywords&gt;Women&lt;/Keywords&gt;&lt;Reprint&gt;Not in File&lt;/Reprint&gt;&lt;Start_Page&gt;203&lt;/Start_Page&gt;&lt;End_Page&gt;216&lt;/End_Page&gt;&lt;Periodical&gt;Health Economics&lt;/Periodical&gt;&lt;Volume&gt;18&lt;/Volume&gt;&lt;Issue&gt;2&lt;/Issue&gt;&lt;User_Def_1&gt;yes&lt;/User_Def_1&gt;&lt;User_Def_2&gt;yes&lt;/User_Def_2&gt;&lt;ISSN_ISBN&gt;1057-9230&lt;/ISSN_ISBN&gt;&lt;Web_URL&gt;WOS:000262706800005&lt;/Web_URL&gt;&lt;ZZ_JournalFull&gt;&lt;f name="System"&gt;Health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(104)</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Globally optimal trial design for local decision making</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Willan 2010</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&lt;Refman&gt;&lt;Cite&gt;&lt;Author&gt;Willan&lt;/Author&gt;&lt;Year&gt;2010&lt;/Year&gt;&lt;RecNum&gt;1525&lt;/RecNum&gt;&lt;IDText&gt;Optimal Clinical Trial Design Using Value of Information Methods with Imperfect Implementation&lt;/IDText&gt;&lt;MDL Ref_Type="Journal"&gt;&lt;Ref_Type&gt;Journal&lt;/Ref_Type&gt;&lt;Ref_ID&gt;1525&lt;/Ref_ID&gt;&lt;Title_Primary&gt;Optimal Clinical Trial Design Using Value of Information Methods with Imperfect Implementation&lt;/Title_Primary&gt;&lt;Authors_Primary&gt;Willan,Andrew R.&lt;/Authors_Primary&gt;&lt;Authors_Primary&gt;Eckermann,Simon&lt;/Authors_Primary&gt;&lt;Date_Primary&gt;2010&lt;/Date_Primary&gt;&lt;Keywords&gt;clinical trial&lt;/Keywords&gt;&lt;Keywords&gt;methods&lt;/Keywords&gt;&lt;Keywords&gt;patient&lt;/Keywords&gt;&lt;Keywords&gt;Patients&lt;/Keywords&gt;&lt;Keywords&gt;sample&lt;/Keywords&gt;&lt;Keywords&gt;Sample Size&lt;/Keywords&gt;&lt;Reprint&gt;Not in File&lt;/Reprint&gt;&lt;Start_Page&gt;549&lt;/Start_Page&gt;&lt;End_Page&gt;561&lt;/End_Page&gt;&lt;Periodical&gt;Health Economics&lt;/Periodical&gt;&lt;Volume&gt;19&lt;/Volume&gt;&lt;Issue&gt;5&lt;/Issue&gt;&lt;User_Def_1&gt;yes&lt;/User_Def_1&gt;&lt;User_Def_2&gt;yes&lt;/User_Def_2&gt;&lt;ISSN_ISBN&gt;1057-9230&lt;/ISSN_ISBN&gt;&lt;Web_URL&gt;WOS:000277346800004&lt;/Web_URL&gt;&lt;ZZ_JournalFull&gt;&lt;f name="System"&gt;Health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(105)</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Optimal clinical trial design using value of information methods with imperfect implementation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Eckermann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&lt;Refman&gt;&lt;Cite&gt;&lt;Author&gt;Eckermann&lt;/Author&gt;&lt;Year&gt;2007&lt;/Year&gt;&lt;RecNum&gt;294&lt;/RecNum&gt;&lt;IDText&gt;Expected value of information and decision making in HTA&lt;/IDText&gt;&lt;MDL Ref_Type="Journal"&gt;&lt;Ref_Type&gt;Journal&lt;/Ref_Type&gt;&lt;Ref_ID&gt;294&lt;/Ref_ID&gt;&lt;Title_Primary&gt;Expected value of information and decision making in HTA&lt;/Title_Primary&gt;&lt;Authors_Primary&gt;Eckermann,Simon&lt;/Authors_Primary&gt;&lt;Authors_Primary&gt;Willan,Andrew R.&lt;/Authors_Primary&gt;&lt;Date_Primary&gt;2007&lt;/Date_Primary&gt;&lt;Keywords&gt;clinical trial&lt;/Keywords&gt;&lt;Keywords&gt;Decision Making&lt;/Keywords&gt;&lt;Keywords&gt;Health&lt;/Keywords&gt;&lt;Keywords&gt;methods&lt;/Keywords&gt;&lt;Keywords&gt;Research&lt;/Keywords&gt;&lt;Keywords&gt;sample&lt;/Keywords&gt;&lt;Reprint&gt;Not in File&lt;/Reprint&gt;&lt;Start_Page&gt;195&lt;/Start_Page&gt;&lt;End_Page&gt;209&lt;/End_Page&gt;&lt;Periodical&gt;Health Economics&lt;/Periodical&gt;&lt;Volume&gt;16&lt;/Volume&gt;&lt;Issue&gt;2&lt;/Issue&gt;&lt;User_Def_1&gt;yes&lt;/User_Def_1&gt;&lt;User_Def_2&gt;yes&lt;/User_Def_2&gt;&lt;ISSN_ISBN&gt;1057-9230&lt;/ISSN_ISBN&gt;&lt;Web_URL&gt;WOS:000244233500007&lt;/Web_URL&gt;&lt;ZZ_JournalFull&gt;&lt;f name="System"&gt;Health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(106)</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4D7951">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Expected value of information and decision making in </w:t>
            </w:r>
            <w:r>
              <w:rPr>
                <w:rFonts w:eastAsia="Times New Roman" w:cs="Times New Roman"/>
                <w:sz w:val="17"/>
                <w:szCs w:val="17"/>
                <w:lang w:eastAsia="zh-CN" w:bidi="ar-SA"/>
              </w:rPr>
              <w:t>HTA</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Eckermann 2008</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&lt;Refman&gt;&lt;Cite&gt;&lt;Author&gt;Eckermann&lt;/Author&gt;&lt;Year&gt;2008&lt;/Year&gt;&lt;RecNum&gt;255&lt;/RecNum&gt;&lt;IDText&gt;Time and expected value of sample information wait for no patient&lt;/IDText&gt;&lt;MDL Ref_Type="Journal"&gt;&lt;Ref_Type&gt;Journal&lt;/Ref_Type&gt;&lt;Ref_ID&gt;255&lt;/Ref_ID&gt;&lt;Title_Primary&gt;Time and expected value of sample information wait for no patient&lt;/Title_Primary&gt;&lt;Authors_Primary&gt;Eckermann,Simon&lt;/Authors_Primary&gt;&lt;Authors_Primary&gt;Willan,Andrew R.&lt;/Authors_Primary&gt;&lt;Date_Primary&gt;2008&lt;/Date_Primary&gt;&lt;Keywords&gt;analysis&lt;/Keywords&gt;&lt;Keywords&gt;article&lt;/Keywords&gt;&lt;Keywords&gt;follow up&lt;/Keywords&gt;&lt;Keywords&gt;Incidence&lt;/Keywords&gt;&lt;Keywords&gt;methods&lt;/Keywords&gt;&lt;Keywords&gt;patient&lt;/Keywords&gt;&lt;Keywords&gt;Patients&lt;/Keywords&gt;&lt;Keywords&gt;population&lt;/Keywords&gt;&lt;Keywords&gt;sample&lt;/Keywords&gt;&lt;Keywords&gt;Time&lt;/Keywords&gt;&lt;Reprint&gt;Not in File&lt;/Reprint&gt;&lt;Start_Page&gt;522&lt;/Start_Page&gt;&lt;End_Page&gt;526&lt;/End_Page&gt;&lt;Periodical&gt;Value in Health&lt;/Periodical&gt;&lt;Volume&gt;11&lt;/Volume&gt;&lt;Issue&gt;3&lt;/Issue&gt;&lt;User_Def_1&gt;yes&lt;/User_Def_1&gt;&lt;User_Def_2&gt;yes&lt;/User_Def_2&gt;&lt;ISSN_ISBN&gt;1098-3015&lt;/ISSN_ISBN&gt;&lt;Web_URL&gt;WOS:000255945400019&lt;/Web_URL&gt;&lt;ZZ_JournalFull&gt;&lt;f name="System"&gt;Value in Health&lt;/f&gt;&lt;/ZZ_JournalFull&gt;&lt;ZZ_WorkformID&gt;1&lt;/ZZ_WorkformID&gt;&lt;/MDL&gt;&lt;/Cite&gt;&lt;/Refman&gt;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(107)</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Time and expected value of sample information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Ades 2004</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&lt;Refman&gt;&lt;Cite&gt;&lt;Author&gt;Ades&lt;/Author&gt;&lt;Year&gt;2004&lt;/Year&gt;&lt;RecNum&gt;101&lt;/RecNum&gt;&lt;IDText&gt;Expected value of sample information calculations in medical decision modeling&lt;/IDText&gt;&lt;MDL Ref_Type="Journal"&gt;&lt;Ref_Type&gt;Journal&lt;/Ref_Type&gt;&lt;Ref_ID&gt;101&lt;/Ref_ID&gt;&lt;Title_Primary&gt;Expected value of sample information calculations in medical decision modeling&lt;/Title_Primary&gt;&lt;Authors_Primary&gt;Ades,A.E.&lt;/Authors_Primary&gt;&lt;Authors_Primary&gt;Lu,G.&lt;/Authors_Primary&gt;&lt;Authors_Primary&gt;Claxton,K.&lt;/Authors_Primary&gt;&lt;Date_Primary&gt;2004&lt;/Date_Primary&gt;&lt;Keywords&gt;analysis&lt;/Keywords&gt;&lt;Keywords&gt;article&lt;/Keywords&gt;&lt;Keywords&gt;Attention&lt;/Keywords&gt;&lt;Keywords&gt;clinical trial&lt;/Keywords&gt;&lt;Keywords&gt;Decision Making&lt;/Keywords&gt;&lt;Keywords&gt;methods&lt;/Keywords&gt;&lt;Keywords&gt;Odds Ratio&lt;/Keywords&gt;&lt;Keywords&gt;patient&lt;/Keywords&gt;&lt;Keywords&gt;population&lt;/Keywords&gt;&lt;Keywords&gt;Probability&lt;/Keywords&gt;&lt;Keywords&gt;Research&lt;/Keywords&gt;&lt;Keywords&gt;Risk&lt;/Keywords&gt;&lt;Keywords&gt;sample&lt;/Keywords&gt;&lt;Keywords&gt;Sample Size&lt;/Keywords&gt;&lt;Keywords&gt;Uncertainty&lt;/Keywords&gt;&lt;Reprint&gt;Not in File&lt;/Reprint&gt;&lt;Start_Page&gt;207&lt;/Start_Page&gt;&lt;End_Page&gt;227&lt;/End_Page&gt;&lt;Periodical&gt;Medical Decision Making&lt;/Periodical&gt;&lt;Volume&gt;24&lt;/Volume&gt;&lt;Issue&gt;2&lt;/Issue&gt;&lt;User_Def_1&gt;yes&lt;/User_Def_1&gt;&lt;User_Def_2&gt;yes&lt;/User_Def_2&gt;&lt;ISSN_ISBN&gt;0272-989X&lt;/ISSN_ISBN&gt;&lt;Web_URL&gt;WOS:000220392600009&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(108)</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Expected value of sample information calculations in medical decision modelling</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Conti 2009</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&lt;Refman&gt;&lt;Cite&gt;&lt;Author&gt;Conti&lt;/Author&gt;&lt;Year&gt;2009&lt;/Year&gt;&lt;RecNum&gt;209&lt;/RecNum&gt;&lt;IDText&gt;Dimensions of Design Space: A Decision-Theoretic Approach to Optimal Research Design&lt;/IDText&gt;&lt;MDL Ref_Type="Journal"&gt;&lt;Ref_Type&gt;Journal&lt;/Ref_Type&gt;&lt;Ref_ID&gt;209&lt;/Ref_ID&gt;&lt;Title_Primary&gt;Dimensions of Design Space: A Decision-Theoretic Approach to Optimal Research Design&lt;/Title_Primary&gt;&lt;Authors_Primary&gt;Conti,Stefano&lt;/Authors_Primary&gt;&lt;Authors_Primary&gt;Claxton,Karl&lt;/Authors_Primary&gt;&lt;Date_Primary&gt;2009&lt;/Date_Primary&gt;&lt;Keywords&gt;Algorithms&lt;/Keywords&gt;&lt;Keywords&gt;clinical trial&lt;/Keywords&gt;&lt;Keywords&gt;Decision Theory&lt;/Keywords&gt;&lt;Keywords&gt;Disease&lt;/Keywords&gt;&lt;Keywords&gt;Life&lt;/Keywords&gt;&lt;Keywords&gt;Quality of Life&lt;/Keywords&gt;&lt;Keywords&gt;Research&lt;/Keywords&gt;&lt;Keywords&gt;Research Design&lt;/Keywords&gt;&lt;Keywords&gt;sample&lt;/Keywords&gt;&lt;Keywords&gt;Sample Size&lt;/Keywords&gt;&lt;Reprint&gt;Not in File&lt;/Reprint&gt;&lt;Start_Page&gt;643&lt;/Start_Page&gt;&lt;End_Page&gt;660&lt;/End_Page&gt;&lt;Periodical&gt;Medical Decision Making&lt;/Periodical&gt;&lt;Volume&gt;29&lt;/Volume&gt;&lt;Issue&gt;6&lt;/Issue&gt;&lt;User_Def_1&gt;yes&lt;/User_Def_1&gt;&lt;User_Def_2&gt;yes&lt;/User_Def_2&gt;&lt;ISSN_ISBN&gt;0272-989X&lt;/ISSN_ISBN&gt;&lt;Web_URL&gt;WOS:000272382400002&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(109)</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Dimensions of design space: a decision-theoretic approach to optimal research design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Stevenson 2009</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&lt;Refman&gt;&lt;Cite&gt;&lt;Author&gt;Stevenson&lt;/Author&gt;&lt;Year&gt;2009&lt;/Year&gt;&lt;RecNum&gt;466&lt;/RecNum&gt;&lt;IDText&gt;Vitamin K to prevent fractures in older women: systematic review and economic evaluation&lt;/IDText&gt;&lt;MDL Ref_Type="Journal"&gt;&lt;Ref_Type&gt;Journal&lt;/Ref_Type&gt;&lt;Ref_ID&gt;466&lt;/Ref_ID&gt;&lt;Title_Primary&gt;Vitamin K to prevent fractures in older women: systematic review and economic evaluation&lt;/Title_Primary&gt;&lt;Authors_Primary&gt;Stevenson,M.&lt;/Authors_Primary&gt;&lt;Authors_Primary&gt;Lloyd-Jones,M.&lt;/Authors_Primary&gt;&lt;Authors_Primary&gt;Papaioannou,D.&lt;/Authors_Primary&gt;&lt;Date_Primary&gt;2009&lt;/Date_Primary&gt;&lt;Keywords&gt;article&lt;/Keywords&gt;&lt;Keywords&gt;confidence interval&lt;/Keywords&gt;&lt;Keywords&gt;evaluation&lt;/Keywords&gt;&lt;Keywords&gt;Incidence&lt;/Keywords&gt;&lt;Keywords&gt;Medline&lt;/Keywords&gt;&lt;Keywords&gt;methods&lt;/Keywords&gt;&lt;Keywords&gt;Osteoporosis&lt;/Keywords&gt;&lt;Keywords&gt;placebo&lt;/Keywords&gt;&lt;Keywords&gt;Research&lt;/Keywords&gt;&lt;Keywords&gt;Risk&lt;/Keywords&gt;&lt;Keywords&gt;Skin&lt;/Keywords&gt;&lt;Keywords&gt;Uncertainty&lt;/Keywords&gt;&lt;Keywords&gt;Women&lt;/Keywords&gt;&lt;Reprint&gt;Not in File&lt;/Reprint&gt;&lt;Start_Page&gt;1&lt;/Start_Page&gt;&lt;End_Page&gt;+&lt;/End_Page&gt;&lt;Periodical&gt;Health Technology Assessment&lt;/Periodical&gt;&lt;Volume&gt;13&lt;/Volume&gt;&lt;Issue&gt;45&lt;/Issue&gt;&lt;User_Def_1&gt;yes&lt;/User_Def_1&gt;&lt;User_Def_2&gt;yes&lt;/User_Def_2&gt;&lt;ISSN_ISBN&gt;1366-5278&lt;/ISSN_ISBN&gt;&lt;Web_URL&gt;WOS:000272034000001&lt;/Web_URL&gt;&lt;ZZ_JournalFull&gt;&lt;f name="System"&gt;Health Technology Assessment&lt;/f&gt;&lt;/ZZ_JournalFull&gt;&lt;ZZ_WorkformID&gt;1&lt;/ZZ_WorkformID&gt;&lt;/MDL&gt;&lt;/Cite&gt;&lt;/Refman&gt;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(110)</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Vitamin k to prevent fractures in older women: systematic review and economic evaluation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Stevenson 2009</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(111)</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4D7951">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The cost-effectiveness of an </w:t>
            </w:r>
            <w:r>
              <w:rPr>
                <w:rFonts w:eastAsia="Times New Roman" w:cs="Times New Roman"/>
                <w:sz w:val="17"/>
                <w:szCs w:val="17"/>
                <w:lang w:eastAsia="zh-CN" w:bidi="ar-SA"/>
              </w:rPr>
              <w:t xml:space="preserve">RCT </w:t>
            </w:r>
            <w:r w:rsidRPr="004E70E9">
              <w:rPr>
                <w:rFonts w:eastAsia="Times New Roman" w:cs="Times New Roman"/>
                <w:sz w:val="17"/>
                <w:szCs w:val="17"/>
                <w:lang w:eastAsia="zh-CN" w:bidi="ar-SA"/>
              </w:rPr>
              <w:t>to establish whether 5 or 10 years of bisphosphonate treatment is the better duration for women with a prior fracture</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McKenna 2011</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(112)</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Addressing adoption and research design decisions simultaneously: the role of value of sample information analysis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Stevenson 2011</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(113)</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16510D">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The cost-effectiveness of an </w:t>
            </w:r>
            <w:r w:rsidR="0016510D">
              <w:rPr>
                <w:rFonts w:eastAsia="Times New Roman" w:cs="Times New Roman"/>
                <w:sz w:val="17"/>
                <w:szCs w:val="17"/>
                <w:lang w:eastAsia="zh-CN" w:bidi="ar-SA"/>
              </w:rPr>
              <w:t>RCT</w:t>
            </w:r>
            <w:r w:rsidR="0016510D" w:rsidRPr="004E70E9">
              <w:rPr>
                <w:rFonts w:eastAsia="Times New Roman" w:cs="Times New Roman"/>
                <w:sz w:val="17"/>
                <w:szCs w:val="17"/>
                <w:lang w:eastAsia="zh-CN" w:bidi="ar-SA"/>
              </w:rPr>
              <w:t xml:space="preserve"> </w:t>
            </w:r>
            <w:r w:rsidRPr="004E70E9">
              <w:rPr>
                <w:rFonts w:eastAsia="Times New Roman" w:cs="Times New Roman"/>
                <w:sz w:val="17"/>
                <w:szCs w:val="17"/>
                <w:lang w:eastAsia="zh-CN" w:bidi="ar-SA"/>
              </w:rPr>
              <w:t>to establish the relative efficacy of vitamin k(1) compared with alendronate</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Kharroubi 2011</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&lt;Refman&gt;&lt;Cite&gt;&lt;Author&gt;Kharroubi&lt;/Author&gt;&lt;Year&gt;2011&lt;/Year&gt;&lt;RecNum&gt;681&lt;/RecNum&gt;&lt;IDText&gt;Estimating Expected Value of Sample Information for Incomplete Data Models Using Bayesian Approximation&lt;/IDText&gt;&lt;MDL Ref_Type="Journal"&gt;&lt;Ref_Type&gt;Journal&lt;/Ref_Type&gt;&lt;Ref_ID&gt;681&lt;/Ref_ID&gt;&lt;Title_Primary&gt;Estimating Expected Value of Sample Information for Incomplete Data Models Using Bayesian Approximation&lt;/Title_Primary&gt;&lt;Authors_Primary&gt;Kharroubi,Samer A.&lt;/Authors_Primary&gt;&lt;Authors_Primary&gt;Brennan,Alan&lt;/Authors_Primary&gt;&lt;Authors_Primary&gt;Strong,Mark&lt;/Authors_Primary&gt;&lt;Date_Primary&gt;2011&lt;/Date_Primary&gt;&lt;Keywords&gt;article&lt;/Keywords&gt;&lt;Keywords&gt;Data Collection&lt;/Keywords&gt;&lt;Keywords&gt;Health&lt;/Keywords&gt;&lt;Keywords&gt;methods&lt;/Keywords&gt;&lt;Keywords&gt;sample&lt;/Keywords&gt;&lt;Reprint&gt;Not in File&lt;/Reprint&gt;&lt;Start_Page&gt;839&lt;/Start_Page&gt;&lt;End_Page&gt;852&lt;/End_Page&gt;&lt;Periodical&gt;Medical Decision Making&lt;/Periodical&gt;&lt;Volume&gt;31&lt;/Volume&gt;&lt;Issue&gt;6&lt;/Issue&gt;&lt;User_Def_1&gt;yes&lt;/User_Def_1&gt;&lt;ISSN_ISBN&gt;0272-989X&lt;/ISSN_ISBN&gt;&lt;Web_URL&gt;WOS:000296697100011&lt;/Web_URL&gt;&lt;ZZ_JournalFull&gt;&lt;f name="System"&gt;Medical Decision Making&lt;/f&gt;&lt;/ZZ_JournalFull&gt;&lt;ZZ_WorkformID&gt;1&lt;/ZZ_WorkformID&gt;&lt;/MDL&gt;&lt;/Cite&gt;&lt;/Refman&gt;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(114)</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Estimating expected value of sample information for incomplete data models using bayesian approximation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Brennan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(115)</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Expected value of sample information for weibull survival data</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Brennan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&lt;Refman&gt;&lt;Cite&gt;&lt;Author&gt;Brennan&lt;/Author&gt;&lt;Year&gt;2007&lt;/Year&gt;&lt;RecNum&gt;60&lt;/RecNum&gt;&lt;IDText&gt;Efficient computation of partial expected value of sample information using Bayesian approximation&lt;/IDText&gt;&lt;MDL Ref_Type="Journal"&gt;&lt;Ref_Type&gt;Journal&lt;/Ref_Type&gt;&lt;Ref_ID&gt;60&lt;/Ref_ID&gt;&lt;Title_Primary&gt;Efficient computation of partial expected value of sample information using Bayesian approximation&lt;/Title_Primary&gt;&lt;Authors_Primary&gt;Brennan,Alan&lt;/Authors_Primary&gt;&lt;Authors_Primary&gt;Kharroubi,Samer A.&lt;/Authors_Primary&gt;&lt;Date_Primary&gt;2007&lt;/Date_Primary&gt;&lt;Keywords&gt;Health&lt;/Keywords&gt;&lt;Keywords&gt;methods&lt;/Keywords&gt;&lt;Keywords&gt;sample&lt;/Keywords&gt;&lt;Keywords&gt;Sample Size&lt;/Keywords&gt;&lt;Reprint&gt;Not in File&lt;/Reprint&gt;&lt;Start_Page&gt;122&lt;/Start_Page&gt;&lt;End_Page&gt;148&lt;/End_Page&gt;&lt;Periodical&gt;Journal of Health Economics&lt;/Periodical&gt;&lt;Volume&gt;26&lt;/Volume&gt;&lt;Issue&gt;1&lt;/Issue&gt;&lt;User_Def_1&gt;yes&lt;/User_Def_1&gt;&lt;User_Def_2&gt;yes&lt;/User_Def_2&gt;&lt;ISSN_ISBN&gt;0167-6296&lt;/ISSN_ISBN&gt;&lt;Web_URL&gt;WOS:000243808700007&lt;/Web_URL&gt;&lt;ZZ_JournalFull&gt;&lt;f name="System"&gt;Journal of Health 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(116)</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Efficient computation of partial expected value of sample information using bayesian approximation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Thompson 1981</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&lt;Refman&gt;&lt;Cite&gt;&lt;Author&gt;Thompson&lt;/Author&gt;&lt;Year&gt;1981&lt;/Year&gt;&lt;RecNum&gt;788&lt;/RecNum&gt;&lt;IDText&gt;Decision-analytic determination of study size. The case of electronic fetal monitoring&lt;/IDText&gt;&lt;MDL Ref_Type="Journal"&gt;&lt;Ref_Type&gt;Journal&lt;/Ref_Type&gt;&lt;Ref_ID&gt;788&lt;/Ref_ID&gt;&lt;Title_Primary&gt;Decision-analytic determination of study size. The case of electronic fetal monitoring&lt;/Title_Primary&gt;&lt;Authors_Primary&gt;Thompson,M.S.&lt;/Authors_Primary&gt;&lt;Date_Primary&gt;1981&lt;/Date_Primary&gt;&lt;Keywords&gt;Brain Injuries&lt;/Keywords&gt;&lt;Keywords&gt;Clinical Trials as Topic&lt;/Keywords&gt;&lt;Keywords&gt;Costs and Cost Analysis&lt;/Keywords&gt;&lt;Keywords&gt;Decision Making&lt;/Keywords&gt;&lt;Keywords&gt;etiology&lt;/Keywords&gt;&lt;Keywords&gt;evaluation&lt;/Keywords&gt;&lt;Keywords&gt;Evaluation Studies as Topic&lt;/Keywords&gt;&lt;Keywords&gt;Female&lt;/Keywords&gt;&lt;Keywords&gt;Fetal Monitoring&lt;/Keywords&gt;&lt;Keywords&gt;Humans&lt;/Keywords&gt;&lt;Keywords&gt;Infant Mortality&lt;/Keywords&gt;&lt;Keywords&gt;methods&lt;/Keywords&gt;&lt;Keywords&gt;mortality&lt;/Keywords&gt;&lt;Keywords&gt;Pregnancy&lt;/Keywords&gt;&lt;Keywords&gt;randomized controlled trial&lt;/Keywords&gt;&lt;Keywords&gt;Research Design&lt;/Keywords&gt;&lt;Keywords&gt;Risk&lt;/Keywords&gt;&lt;Keywords&gt;Sampling Studies&lt;/Keywords&gt;&lt;Keywords&gt;Uncertainty&lt;/Keywords&gt;&lt;Reprint&gt;Not in File&lt;/Reprint&gt;&lt;Start_Page&gt;165&lt;/Start_Page&gt;&lt;End_Page&gt;179&lt;/End_Page&gt;&lt;Periodical&gt;Med.Decis.Making.&lt;/Periodical&gt;&lt;Volume&gt;1&lt;/Volume&gt;&lt;Issue&gt;2&lt;/Issue&gt;&lt;User_Def_1&gt;yes&lt;/User_Def_1&gt;&lt;User_Def_2&gt;yes&lt;/User_Def_2&gt;&lt;ZZ_JournalStdAbbrev&gt;&lt;f name="System"&gt;Med.Decis.Making.&lt;/f&gt;&lt;/ZZ_JournalStdAbbrev&gt;&lt;ZZ_WorkformID&gt;1&lt;/ZZ_WorkformID&gt;&lt;/MDL&gt;&lt;/Cite&gt;&lt;/Refman&gt;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(95)</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4D7951">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Decision-analytic determination of study size: the case of electronic fetal monitoring (</w:t>
            </w:r>
            <w:r>
              <w:rPr>
                <w:rFonts w:eastAsia="Times New Roman" w:cs="Times New Roman"/>
                <w:sz w:val="17"/>
                <w:szCs w:val="17"/>
                <w:lang w:eastAsia="zh-CN" w:bidi="ar-SA"/>
              </w:rPr>
              <w:t>EFM</w:t>
            </w:r>
            <w:r w:rsidRPr="004E70E9">
              <w:rPr>
                <w:rFonts w:eastAsia="Times New Roman" w:cs="Times New Roman"/>
                <w:sz w:val="17"/>
                <w:szCs w:val="17"/>
                <w:lang w:eastAsia="zh-CN" w:bidi="ar-SA"/>
              </w:rPr>
              <w:t>)</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Shavit 2005</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&lt;Refman&gt;&lt;Cite&gt;&lt;Author&gt;Shavit&lt;/Author&gt;&lt;Year&gt;2007&lt;/Year&gt;&lt;RecNum&gt;503&lt;/RecNum&gt;&lt;IDText&gt;It&amp;apos;s time to choose the study design! Net benefit analysis of alternative study designs to acquire information for evaluation of health technologies&lt;/IDText&gt;&lt;MDL Ref_Type="Journal"&gt;&lt;Ref_Type&gt;Journal&lt;/Ref_Type&gt;&lt;Ref_ID&gt;503&lt;/Ref_ID&gt;&lt;Title_Primary&gt;It&amp;apos;s time to choose the study design! Net benefit analysis of alternative study designs to acquire information for evaluation of health technologies&lt;/Title_Primary&gt;&lt;Authors_Primary&gt;Shavit,Oren&lt;/Authors_Primary&gt;&lt;Authors_Primary&gt;Leshno,Moshe&lt;/Authors_Primary&gt;&lt;Authors_Primary&gt;Goldberger,Assaf&lt;/Authors_Primary&gt;&lt;Authors_Primary&gt;Shmueli,Amir&lt;/Authors_Primary&gt;&lt;Authors_Primary&gt;Hoffman,Amnon&lt;/Authors_Primary&gt;&lt;Date_Primary&gt;2007&lt;/Date_Primary&gt;&lt;Keywords&gt;analysis&lt;/Keywords&gt;&lt;Keywords&gt;Decision Making&lt;/Keywords&gt;&lt;Keywords&gt;evaluation&lt;/Keywords&gt;&lt;Keywords&gt;Health&lt;/Keywords&gt;&lt;Keywords&gt;methods&lt;/Keywords&gt;&lt;Keywords&gt;Retrospective Studies&lt;/Keywords&gt;&lt;Keywords&gt;Time&lt;/Keywords&gt;&lt;Keywords&gt;Uncertainty&lt;/Keywords&gt;&lt;Reprint&gt;Not in File&lt;/Reprint&gt;&lt;Start_Page&gt;903&lt;/Start_Page&gt;&lt;End_Page&gt;911&lt;/End_Page&gt;&lt;Periodical&gt;Pharmacoeconomics&lt;/Periodical&gt;&lt;Volume&gt;25&lt;/Volume&gt;&lt;Issue&gt;11&lt;/Issue&gt;&lt;User_Def_1&gt;yes&lt;/User_Def_1&gt;&lt;ISSN_ISBN&gt;1170-7690&lt;/ISSN_ISBN&gt;&lt;Web_URL&gt;WOS:000251204500002&lt;/Web_URL&gt;&lt;ZZ_JournalFull&gt;&lt;f name="System"&gt;Pharmacoeconomics&lt;/f&gt;&lt;/ZZ_JournalFull&gt;&lt;ZZ_WorkformID&gt;1&lt;/ZZ_WorkformID&gt;&lt;/MDL&gt;&lt;/Cite&gt;&lt;/Refman&gt;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(117)</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It’s time to choose the study design! Net benefit analysis of alternative study designs to </w:t>
            </w:r>
            <w:r w:rsidR="0016510D" w:rsidRPr="004E70E9">
              <w:rPr>
                <w:rFonts w:eastAsia="Times New Roman" w:cs="Times New Roman"/>
                <w:sz w:val="17"/>
                <w:szCs w:val="17"/>
                <w:lang w:eastAsia="zh-CN" w:bidi="ar-SA"/>
              </w:rPr>
              <w:t>acquire</w:t>
            </w:r>
            <w:r w:rsidRPr="004E70E9">
              <w:rPr>
                <w:rFonts w:eastAsia="Times New Roman" w:cs="Times New Roman"/>
                <w:sz w:val="17"/>
                <w:szCs w:val="17"/>
                <w:lang w:eastAsia="zh-CN" w:bidi="ar-SA"/>
              </w:rPr>
              <w:t xml:space="preserve"> information for evaluation of health technologies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r>
      <w:tr w:rsidR="004E70E9" w:rsidRPr="004E70E9" w:rsidTr="004E70E9">
        <w:trPr>
          <w:trHeight w:val="20"/>
          <w:tblHeader/>
        </w:trPr>
        <w:tc>
          <w:tcPr>
            <w:tcW w:w="1417" w:type="dxa"/>
            <w:shd w:val="clear" w:color="auto" w:fill="auto"/>
            <w:hideMark/>
          </w:tcPr>
          <w:p w:rsidR="004E70E9" w:rsidRPr="004E70E9" w:rsidRDefault="004E70E9" w:rsidP="00C01347">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Kikuchi 2009</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&lt;Refman&gt;&lt;Cite&gt;&lt;Author&gt;Kikuchi&lt;/Author&gt;&lt;Year&gt;2009&lt;/Year&gt;&lt;RecNum&gt;291&lt;/RecNum&gt;&lt;IDText&gt;A behavioral Bayes method to determine the sample size of a clinical trial considering efficacy and safety&lt;/IDText&gt;&lt;MDL Ref_Type="Journal"&gt;&lt;Ref_Type&gt;Journal&lt;/Ref_Type&gt;&lt;Ref_ID&gt;291&lt;/Ref_ID&gt;&lt;Title_Primary&gt;A behavioral Bayes method to determine the sample size of a clinical trial considering efficacy and safety&lt;/Title_Primary&gt;&lt;Authors_Primary&gt;Kikuchi,Takashi&lt;/Authors_Primary&gt;&lt;Authors_Primary&gt;Gittins,John&lt;/Authors_Primary&gt;&lt;Date_Primary&gt;2009&lt;/Date_Primary&gt;&lt;Keywords&gt;clinical trial&lt;/Keywords&gt;&lt;Keywords&gt;Health&lt;/Keywords&gt;&lt;Keywords&gt;Incidence&lt;/Keywords&gt;&lt;Keywords&gt;patient&lt;/Keywords&gt;&lt;Keywords&gt;Patients&lt;/Keywords&gt;&lt;Keywords&gt;safety&lt;/Keywords&gt;&lt;Keywords&gt;sample&lt;/Keywords&gt;&lt;Keywords&gt;Sample Size&lt;/Keywords&gt;&lt;Reprint&gt;Not in File&lt;/Reprint&gt;&lt;Start_Page&gt;2293&lt;/Start_Page&gt;&lt;End_Page&gt;2306&lt;/End_Page&gt;&lt;Periodical&gt;Statistics in Medicine&lt;/Periodical&gt;&lt;Volume&gt;28&lt;/Volume&gt;&lt;Issue&gt;18&lt;/Issue&gt;&lt;User_Def_1&gt;yes&lt;/User_Def_1&gt;&lt;ISSN_ISBN&gt;0277-6715&lt;/ISSN_ISBN&gt;&lt;Web_URL&gt;WOS:000268287000001&lt;/Web_URL&gt;&lt;ZZ_JournalFull&gt;&lt;f name="System"&gt;Statistics in Medicine&lt;/f&gt;&lt;/ZZ_JournalFull&gt;&lt;ZZ_WorkformID&gt;1&lt;/ZZ_WorkformID&gt;&lt;/MDL&gt;&lt;/Cite&gt;&lt;/Refman&gt;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(118)</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bebayes method to determine the sample size of a clinical trial considering efficacy and safety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Kikuchi 2011</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&lt;Refman&gt;&lt;Cite&gt;&lt;Author&gt;Kikuchi&lt;/Author&gt;&lt;Year&gt;2011&lt;/Year&gt;&lt;RecNum&gt;1550&lt;/RecNum&gt;&lt;IDText&gt;A behavioural Bayes approach to the determination of sample size for clinical trials considering efficacy and safety: imbalanced sample size in treatment groups&lt;/IDText&gt;&lt;MDL Ref_Type="Journal"&gt;&lt;Ref_Type&gt;Journal&lt;/Ref_Type&gt;&lt;Ref_ID&gt;1550&lt;/Ref_ID&gt;&lt;Title_Primary&gt;A behavioural Bayes approach to the determination of sample size for clinical trials considering efficacy and safety: imbalanced sample size in treatment groups&lt;/Title_Primary&gt;&lt;Authors_Primary&gt;Kikuchi,T.&lt;/Authors_Primary&gt;&lt;Authors_Primary&gt;Gittins,J.&lt;/Authors_Primary&gt;&lt;Date_Primary&gt;2011/8&lt;/Date_Primary&gt;&lt;Keywords&gt;administration &amp;amp; dosage&lt;/Keywords&gt;&lt;Keywords&gt;adverse effects&lt;/Keywords&gt;&lt;Keywords&gt;article&lt;/Keywords&gt;&lt;Keywords&gt;Bayes Theorem&lt;/Keywords&gt;&lt;Keywords&gt;clinical trial&lt;/Keywords&gt;&lt;Keywords&gt;Clinical Trials,Phase III as Topic&lt;/Keywords&gt;&lt;Keywords&gt;Computer Simulation&lt;/Keywords&gt;&lt;Keywords&gt;Decision Theory&lt;/Keywords&gt;&lt;Keywords&gt;economics&lt;/Keywords&gt;&lt;Keywords&gt;evaluation&lt;/Keywords&gt;&lt;Keywords&gt;Humans&lt;/Keywords&gt;&lt;Keywords&gt;Hydroxymethylglutaryl-CoA Reductase Inhibitors&lt;/Keywords&gt;&lt;Keywords&gt;Logistic Models&lt;/Keywords&gt;&lt;Keywords&gt;Monte Carlo Method&lt;/Keywords&gt;&lt;Keywords&gt;patient&lt;/Keywords&gt;&lt;Keywords&gt;Patients&lt;/Keywords&gt;&lt;Keywords&gt;Randomized Controlled Trials as Topic&lt;/Keywords&gt;&lt;Keywords&gt;Research Design&lt;/Keywords&gt;&lt;Keywords&gt;safety&lt;/Keywords&gt;&lt;Keywords&gt;sample&lt;/Keywords&gt;&lt;Keywords&gt;Sample Size&lt;/Keywords&gt;&lt;Keywords&gt;statistics&lt;/Keywords&gt;&lt;Keywords&gt;statistics &amp;amp; numerical data&lt;/Keywords&gt;&lt;Reprint&gt;Not in File&lt;/Reprint&gt;&lt;Start_Page&gt;389&lt;/Start_Page&gt;&lt;End_Page&gt;400&lt;/End_Page&gt;&lt;Periodical&gt;Stat.Methods Med.Res.&lt;/Periodical&gt;&lt;Volume&gt;20&lt;/Volume&gt;&lt;Issue&gt;4&lt;/Issue&gt;&lt;ZZ_JournalStdAbbrev&gt;&lt;f name="System"&gt;Stat.Methods Med.Res.&lt;/f&gt;&lt;/ZZ_JournalStdAbbrev&gt;&lt;ZZ_WorkformID&gt;1&lt;/ZZ_WorkformID&gt;&lt;/MDL&gt;&lt;/Cite&gt;&lt;/Refman&gt;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(119)</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behavioural bayesian approach to the determination of sample size for clinical trials considering efficacy and safety: imbalanced sample size in treatment groups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Kikuchi 2010</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&lt;Refman&gt;&lt;Cite&gt;&lt;Author&gt;Kikuchi&lt;/Author&gt;&lt;Year&gt;2010&lt;/Year&gt;&lt;RecNum&gt;1615&lt;/RecNum&gt;&lt;IDText&gt;A behavioural Bayes approach for sample size determination in cluster randomized clinical trials&lt;/IDText&gt;&lt;MDL Ref_Type="Journal"&gt;&lt;Ref_Type&gt;Journal&lt;/Ref_Type&gt;&lt;Ref_ID&gt;1615&lt;/Ref_ID&gt;&lt;Title_Primary&gt;A behavioural Bayes approach for sample size determination in cluster randomized clinical trials&lt;/Title_Primary&gt;&lt;Authors_Primary&gt;Kikuchi,Takashi&lt;/Authors_Primary&gt;&lt;Authors_Primary&gt;Gittins,John&lt;/Authors_Primary&gt;&lt;Date_Primary&gt;2010&lt;/Date_Primary&gt;&lt;Keywords&gt;clinical trial&lt;/Keywords&gt;&lt;Keywords&gt;Disease&lt;/Keywords&gt;&lt;Keywords&gt;Health&lt;/Keywords&gt;&lt;Keywords&gt;sample&lt;/Keywords&gt;&lt;Keywords&gt;Sample Size&lt;/Keywords&gt;&lt;Reprint&gt;Not in File&lt;/Reprint&gt;&lt;Start_Page&gt;875&lt;/Start_Page&gt;&lt;End_Page&gt;888&lt;/End_Page&gt;&lt;Periodical&gt;Journal of the Royal Statistical Society Series C-Applied Statistics&lt;/Periodical&gt;&lt;Volume&gt;59&lt;/Volume&gt;&lt;User_Def_1&gt;yes&lt;/User_Def_1&gt;&lt;ISSN_ISBN&gt;0035-9254&lt;/ISSN_ISBN&gt;&lt;Web_URL&gt;WOS:000283168000008&lt;/Web_URL&gt;&lt;ZZ_JournalFull&gt;&lt;f name="System"&gt;Journal of the Royal Statistical Society Series C-Applied Statistics&lt;/f&gt;&lt;/ZZ_JournalFull&gt;&lt;ZZ_WorkformID&gt;1&lt;/ZZ_WorkformID&gt;&lt;/MDL&gt;&lt;/Cite&gt;&lt;/Refman&gt;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(120)</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4D7951">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bebayes approach to sample size determination in cluster</w:t>
            </w:r>
            <w:r>
              <w:rPr>
                <w:rFonts w:eastAsia="Times New Roman" w:cs="Times New Roman"/>
                <w:sz w:val="17"/>
                <w:szCs w:val="17"/>
                <w:lang w:eastAsia="zh-CN" w:bidi="ar-SA"/>
              </w:rPr>
              <w:t xml:space="preserve"> RCTs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Kikuchi 2008</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&lt;Refman&gt;&lt;Cite&gt;&lt;Author&gt;Kikuchi&lt;/Author&gt;&lt;Year&gt;2008&lt;/Year&gt;&lt;RecNum&gt;1548&lt;/RecNum&gt;&lt;IDText&gt;A Bayesian cost-benefit approach to the determination of sample size in clinical trials&lt;/IDText&gt;&lt;MDL Ref_Type="Journal"&gt;&lt;Ref_Type&gt;Journal&lt;/Ref_Type&gt;&lt;Ref_ID&gt;1548&lt;/Ref_ID&gt;&lt;Title_Primary&gt;A Bayesian cost-benefit approach to the determination of sample size in clinical trials&lt;/Title_Primary&gt;&lt;Authors_Primary&gt;Kikuchi,T.&lt;/Authors_Primary&gt;&lt;Authors_Primary&gt;Pezeshk,H.&lt;/Authors_Primary&gt;&lt;Authors_Primary&gt;Gittins,J.&lt;/Authors_Primary&gt;&lt;Date_Primary&gt;2008/1/15&lt;/Date_Primary&gt;&lt;Keywords&gt;Analysis of Variance&lt;/Keywords&gt;&lt;Keywords&gt;Bayes Theorem&lt;/Keywords&gt;&lt;Keywords&gt;clinical trial&lt;/Keywords&gt;&lt;Keywords&gt;Clinical Trials as Topic&lt;/Keywords&gt;&lt;Keywords&gt;Cost-Benefit Analysis&lt;/Keywords&gt;&lt;Keywords&gt;economics&lt;/Keywords&gt;&lt;Keywords&gt;Health&lt;/Keywords&gt;&lt;Keywords&gt;Humans&lt;/Keywords&gt;&lt;Keywords&gt;methods&lt;/Keywords&gt;&lt;Keywords&gt;Monte Carlo Method&lt;/Keywords&gt;&lt;Keywords&gt;patient&lt;/Keywords&gt;&lt;Keywords&gt;Patients&lt;/Keywords&gt;&lt;Keywords&gt;sample&lt;/Keywords&gt;&lt;Keywords&gt;Sample Size&lt;/Keywords&gt;&lt;Reprint&gt;Not in File&lt;/Reprint&gt;&lt;Start_Page&gt;68&lt;/Start_Page&gt;&lt;End_Page&gt;82&lt;/End_Page&gt;&lt;Periodical&gt;Stat.Med.&lt;/Periodical&gt;&lt;Volume&gt;27&lt;/Volume&gt;&lt;Issue&gt;1&lt;/Issue&gt;&lt;ZZ_JournalStdAbbrev&gt;&lt;f name="System"&gt;Stat.Med.&lt;/f&gt;&lt;/ZZ_JournalStdAbbrev&gt;&lt;ZZ_WorkformID&gt;1&lt;/ZZ_WorkformID&gt;&lt;/MDL&gt;&lt;/Cite&gt;&lt;/Refman&gt;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(121)</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cost-benefit approach to the amount of experimentation in clinical trials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Willan 2008</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(122)</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Optimal sample size determinations from an industry perspective based on the expected value of information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Pezeshk 2002</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&lt;Refman&gt;&lt;Cite&gt;&lt;Author&gt;Pezeshk&lt;/Author&gt;&lt;Year&gt;2002&lt;/Year&gt;&lt;RecNum&gt;1613&lt;/RecNum&gt;&lt;IDText&gt;A fully Bayesian Approach to Calculating Sample Sizes for Clinical Trials with Binary Responses&lt;/IDText&gt;&lt;MDL Ref_Type="Journal"&gt;&lt;Ref_Type&gt;Journal&lt;/Ref_Type&gt;&lt;Ref_ID&gt;1613&lt;/Ref_ID&gt;&lt;Title_Primary&gt;A fully Bayesian Approach to Calculating Sample Sizes for Clinical Trials with Binary Responses&lt;/Title_Primary&gt;&lt;Authors_Primary&gt;Pezeshk,H.&lt;/Authors_Primary&gt;&lt;Authors_Primary&gt;Gittins,J.&lt;/Authors_Primary&gt;&lt;Date_Primary&gt;2002&lt;/Date_Primary&gt;&lt;Keywords&gt;clinical trial&lt;/Keywords&gt;&lt;Keywords&gt;sample&lt;/Keywords&gt;&lt;Reprint&gt;In File&lt;/Reprint&gt;&lt;Start_Page&gt;143&lt;/Start_Page&gt;&lt;End_Page&gt;150&lt;/End_Page&gt;&lt;Periodical&gt;Drug Information Journal&lt;/Periodical&gt;&lt;Volume&gt;36&lt;/Volume&gt;&lt;User_Def_1&gt;yes&lt;/User_Def_1&gt;&lt;ZZ_JournalFull&gt;&lt;f name="System"&gt;Drug Information Journal&lt;/f&gt;&lt;/ZZ_JournalFull&gt;&lt;ZZ_WorkformID&gt;1&lt;/ZZ_WorkformID&gt;&lt;/MDL&gt;&lt;/Cite&gt;&lt;/Refman&gt;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(123)</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fully bayesian approach to calculating sample sizes for clinical trials with binary responses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Gittens 2000</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&lt;Refman&gt;&lt;Cite&gt;&lt;Author&gt;Gittins&lt;/Author&gt;&lt;Year&gt;2000&lt;/Year&gt;&lt;RecNum&gt;1612&lt;/RecNum&gt;&lt;IDText&gt;How large should a trial be?&lt;/IDText&gt;&lt;MDL Ref_Type="Journal"&gt;&lt;Ref_Type&gt;Journal&lt;/Ref_Type&gt;&lt;Ref_ID&gt;1612&lt;/Ref_ID&gt;&lt;Title_Primary&gt;How large should a trial be?&lt;/Title_Primary&gt;&lt;Authors_Primary&gt;Gittins,J.&lt;/Authors_Primary&gt;&lt;Authors_Primary&gt;Pezeshk,H.&lt;/Authors_Primary&gt;&lt;Date_Primary&gt;2000&lt;/Date_Primary&gt;&lt;Reprint&gt;In File&lt;/Reprint&gt;&lt;Start_Page&gt;177&lt;/Start_Page&gt;&lt;End_Page&gt;187&lt;/End_Page&gt;&lt;Periodical&gt;Journal of the Royal Statistical Society Seies D&lt;/Periodical&gt;&lt;Volume&gt;49&lt;/Volume&gt;&lt;Issue&gt;2&lt;/Issue&gt;&lt;User_Def_1&gt;yes&lt;/User_Def_1&gt;&lt;ZZ_JournalFull&gt;&lt;f name="System"&gt;Journal of the Royal Statistical Society Seies D&lt;/f&gt;&lt;/ZZ_JournalFull&gt;&lt;ZZ_WorkformID&gt;1&lt;/ZZ_WorkformID&gt;&lt;/MDL&gt;&lt;/Cite&gt;&lt;/Refman&gt;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(124)</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How large should a clinical trial be?</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Gittens  2000</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&lt;Refman&gt;&lt;Cite&gt;&lt;Author&gt;Gittins&lt;/Author&gt;&lt;Year&gt;2000&lt;/Year&gt;&lt;RecNum&gt;1614&lt;/RecNum&gt;&lt;IDText&gt;A behavioral bayes method for determining the size of a clinical trial&lt;/IDText&gt;&lt;MDL Ref_Type="Journal"&gt;&lt;Ref_Type&gt;Journal&lt;/Ref_Type&gt;&lt;Ref_ID&gt;1614&lt;/Ref_ID&gt;&lt;Title_Primary&gt;A behavioral bayes method for determining the size of a clinical trial&lt;/Title_Primary&gt;&lt;Authors_Primary&gt;Gittins,J.&lt;/Authors_Primary&gt;&lt;Authors_Primary&gt;Pezeshk,H.&lt;/Authors_Primary&gt;&lt;Date_Primary&gt;2000&lt;/Date_Primary&gt;&lt;Keywords&gt;clinical trial&lt;/Keywords&gt;&lt;Keywords&gt;sample&lt;/Keywords&gt;&lt;Keywords&gt;Sample Size&lt;/Keywords&gt;&lt;Reprint&gt;Not in File&lt;/Reprint&gt;&lt;Start_Page&gt;355&lt;/Start_Page&gt;&lt;End_Page&gt;363&lt;/End_Page&gt;&lt;Periodical&gt;Drug Information Journal&lt;/Periodical&gt;&lt;Volume&gt;34&lt;/Volume&gt;&lt;Issue&gt;2&lt;/Issue&gt;&lt;User_Def_1&gt;yes&lt;/User_Def_1&gt;&lt;ISSN_ISBN&gt;0092-8615&lt;/ISSN_ISBN&gt;&lt;Web_URL&gt;WOS:000087220200004&lt;/Web_URL&gt;&lt;ZZ_JournalFull&gt;&lt;f name="System"&gt;Drug Information Journal&lt;/f&gt;&lt;/ZZ_JournalFull&gt;&lt;ZZ_WorkformID&gt;1&lt;/ZZ_WorkformID&gt;&lt;/MDL&gt;&lt;/Cite&gt;&lt;/Refman&gt;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(125)</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 xml:space="preserve">A behavioural bayes method for determining the size of a clinical trial </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O'Hagan 2005</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&lt;Refman&gt;&lt;Cite&gt;&lt;Author&gt;O&amp;apos;Hagan&lt;/Author&gt;&lt;Year&gt;2005&lt;/Year&gt;&lt;RecNum&gt;1498&lt;/RecNum&gt;&lt;IDText&gt;Assurance in Clinical Trial Design&lt;/IDText&gt;&lt;MDL Ref_Type="Journal"&gt;&lt;Ref_Type&gt;Journal&lt;/Ref_Type&gt;&lt;Ref_ID&gt;1498&lt;/Ref_ID&gt;&lt;Title_Primary&gt;Assurance in Clinical Trial Design&lt;/Title_Primary&gt;&lt;Authors_Primary&gt;O&amp;apos;Hagan,A.&lt;/Authors_Primary&gt;&lt;Authors_Primary&gt;Stevens,J.&lt;/Authors_Primary&gt;&lt;Authors_Primary&gt;Campbell,M.&lt;/Authors_Primary&gt;&lt;Date_Primary&gt;2005&lt;/Date_Primary&gt;&lt;Keywords&gt;clinical trial&lt;/Keywords&gt;&lt;Reprint&gt;Not in File&lt;/Reprint&gt;&lt;Start_Page&gt;187-204&lt;/Start_Page&gt;&lt;Periodical&gt;Pharmaceutical Statistics&lt;/Periodical&gt;&lt;Volume&gt;4&lt;/Volume&gt;&lt;ZZ_JournalFull&gt;&lt;f name="System"&gt;Pharmaceutical Statistics&lt;/f&gt;&lt;/ZZ_JournalFull&gt;&lt;ZZ_WorkformID&gt;1&lt;/ZZ_WorkformID&gt;&lt;/MDL&gt;&lt;/Cite&gt;&lt;/Refman&gt;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(126)</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Assurance in clinical trial design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Nixon 2009</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&lt;Refman&gt;&lt;Cite&gt;&lt;Author&gt;Nixon&lt;/Author&gt;&lt;Year&gt;2009&lt;/Year&gt;&lt;RecNum&gt;1496&lt;/RecNum&gt;&lt;IDText&gt;The Rheumatoid Arthritis Drug Development Model: a case study in Bayesian clinical trial simulation&lt;/IDText&gt;&lt;MDL Ref_Type="Journal"&gt;&lt;Ref_Type&gt;Journal&lt;/Ref_Type&gt;&lt;Ref_ID&gt;1496&lt;/Ref_ID&gt;&lt;Title_Primary&gt;The Rheumatoid Arthritis Drug Development Model: a case study in Bayesian clinical trial simulation&lt;/Title_Primary&gt;&lt;Authors_Primary&gt;Nixon,R.M.&lt;/Authors_Primary&gt;&lt;Authors_Primary&gt;O&amp;apos;Hagan,A.&lt;/Authors_Primary&gt;&lt;Authors_Primary&gt;Oakley,J.&lt;/Authors_Primary&gt;&lt;Authors_Primary&gt;Madan,J.&lt;/Authors_Primary&gt;&lt;Authors_Primary&gt;Stevens,J.W.&lt;/Authors_Primary&gt;&lt;Authors_Primary&gt;Bansback,N.&lt;/Authors_Primary&gt;&lt;Authors_Primary&gt;Brennan,A.&lt;/Authors_Primary&gt;&lt;Date_Primary&gt;2009/10&lt;/Date_Primary&gt;&lt;Keywords&gt;Algorithms&lt;/Keywords&gt;&lt;Keywords&gt;Antirheumatic Agents&lt;/Keywords&gt;&lt;Keywords&gt;Arthritis&lt;/Keywords&gt;&lt;Keywords&gt;Arthritis,Rheumatoid&lt;/Keywords&gt;&lt;Keywords&gt;Bayes Theorem&lt;/Keywords&gt;&lt;Keywords&gt;clinical trial&lt;/Keywords&gt;&lt;Keywords&gt;Clinical Trials,Phase III as Topic&lt;/Keywords&gt;&lt;Keywords&gt;Clinical Trials,Phase II as Topic&lt;/Keywords&gt;&lt;Keywords&gt;Computer Simulation&lt;/Keywords&gt;&lt;Keywords&gt;Disease&lt;/Keywords&gt;&lt;Keywords&gt;Drug Discovery&lt;/Keywords&gt;&lt;Keywords&gt;drug therapy&lt;/Keywords&gt;&lt;Keywords&gt;Humans&lt;/Keywords&gt;&lt;Keywords&gt;Models,Statistical&lt;/Keywords&gt;&lt;Keywords&gt;population&lt;/Keywords&gt;&lt;Keywords&gt;Probability&lt;/Keywords&gt;&lt;Keywords&gt;safety&lt;/Keywords&gt;&lt;Keywords&gt;sample&lt;/Keywords&gt;&lt;Keywords&gt;statistics &amp;amp; numerical data&lt;/Keywords&gt;&lt;Keywords&gt;therapeutic use&lt;/Keywords&gt;&lt;Keywords&gt;Treatment Outcome&lt;/Keywords&gt;&lt;Reprint&gt;Not in File&lt;/Reprint&gt;&lt;Start_Page&gt;371&lt;/Start_Page&gt;&lt;End_Page&gt;389&lt;/End_Page&gt;&lt;Periodical&gt;Pharm.Stat.&lt;/Periodical&gt;&lt;Volume&gt;8&lt;/Volume&gt;&lt;Issue&gt;4&lt;/Issue&gt;&lt;ZZ_JournalStdAbbrev&gt;&lt;f name="System"&gt;Pharm.Stat.&lt;/f&gt;&lt;/ZZ_JournalStdAbbrev&gt;&lt;ZZ_WorkformID&gt;1&lt;/ZZ_WorkformID&gt;&lt;/MDL&gt;&lt;/Cite&gt;&lt;/Refman&gt;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F12F58">
              <w:rPr>
                <w:rFonts w:eastAsia="Times New Roman" w:cs="Times New Roman"/>
                <w:sz w:val="17"/>
                <w:szCs w:val="17"/>
                <w:lang w:eastAsia="zh-CN" w:bidi="ar-SA"/>
              </w:rPr>
              <w:t>(63)</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The rheumatoid arthritis drug development model: a case study in bayesian clinical trial simulation</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sz w:val="17"/>
                <w:szCs w:val="17"/>
              </w:rPr>
            </w:pPr>
            <w:r w:rsidRPr="004E70E9">
              <w:rPr>
                <w:rFonts w:eastAsia="Times New Roman" w:cs="Times New Roman"/>
                <w:sz w:val="17"/>
                <w:szCs w:val="17"/>
                <w:lang w:eastAsia="zh-CN" w:bidi="ar-SA"/>
              </w:rPr>
              <w:t>Y</w:t>
            </w: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Girling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&lt;Refman&gt;&lt;Cite&gt;&lt;Author&gt;Girling&lt;/Author&gt;&lt;Year&gt;2007&lt;/Year&gt;&lt;RecNum&gt;508&lt;/RecNum&gt;&lt;IDText&gt;Sample-size calculations for trials that inform individual treatment decisions: a &amp;apos;true-choice&amp;apos; approach&lt;/IDText&gt;&lt;MDL Ref_Type="Journal"&gt;&lt;Ref_Type&gt;Journal&lt;/Ref_Type&gt;&lt;Ref_ID&gt;508&lt;/Ref_ID&gt;&lt;Title_Primary&gt;Sample-size calculations for trials that inform individual treatment decisions: a &amp;apos;true-choice&amp;apos; approach&lt;/Title_Primary&gt;&lt;Authors_Primary&gt;Girling,Alan J.&lt;/Authors_Primary&gt;&lt;Authors_Primary&gt;Lilford,Richard J.&lt;/Authors_Primary&gt;&lt;Authors_Primary&gt;Braunholtz,David A.&lt;/Authors_Primary&gt;&lt;Authors_Primary&gt;Gillett,Wayne R.&lt;/Authors_Primary&gt;&lt;Date_Primary&gt;2007&lt;/Date_Primary&gt;&lt;Keywords&gt;clinical trial&lt;/Keywords&gt;&lt;Keywords&gt;Decision Making&lt;/Keywords&gt;&lt;Keywords&gt;Decision Theory&lt;/Keywords&gt;&lt;Keywords&gt;methods&lt;/Keywords&gt;&lt;Keywords&gt;patient&lt;/Keywords&gt;&lt;Keywords&gt;Patient Preference&lt;/Keywords&gt;&lt;Keywords&gt;Patients&lt;/Keywords&gt;&lt;Keywords&gt;sample&lt;/Keywords&gt;&lt;Keywords&gt;Sample Size&lt;/Keywords&gt;&lt;Keywords&gt;Uncertainty&lt;/Keywords&gt;&lt;Reprint&gt;Not in File&lt;/Reprint&gt;&lt;Start_Page&gt;15&lt;/Start_Page&gt;&lt;End_Page&gt;24&lt;/End_Page&gt;&lt;Periodical&gt;Clinical Trials&lt;/Periodical&gt;&lt;Volume&gt;4&lt;/Volume&gt;&lt;Issue&gt;1&lt;/Issue&gt;&lt;User_Def_1&gt;yes&lt;/User_Def_1&gt;&lt;User_Def_2&gt;yes&lt;/User_Def_2&gt;&lt;ISSN_ISBN&gt;1740-7745&lt;/ISSN_ISBN&gt;&lt;Web_URL&gt;WOS:000245199700002&lt;/Web_URL&gt;&lt;ZZ_JournalFull&gt;&lt;f name="System"&gt;Clinical Trials&lt;/f&gt;&lt;/ZZ_JournalFull&gt;&lt;ZZ_WorkformID&gt;1&lt;/ZZ_WorkformID&gt;&lt;/MDL&gt;&lt;/Cite&gt;&lt;/Refman&gt;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(127)</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Sample-size calculations for trials that inform individual treatment decisions: a ‘true-choice’ approach</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tcPr>
          <w:p w:rsidR="004E70E9" w:rsidRPr="004E70E9" w:rsidRDefault="004E70E9" w:rsidP="00647F7E">
            <w:pPr>
              <w:spacing w:after="0" w:afterAutospacing="0" w:line="240" w:lineRule="auto"/>
              <w:jc w:val="center"/>
              <w:rPr>
                <w:sz w:val="17"/>
                <w:szCs w:val="17"/>
              </w:rPr>
            </w:pPr>
          </w:p>
        </w:tc>
      </w:tr>
      <w:tr w:rsidR="004E70E9" w:rsidRPr="004E70E9" w:rsidTr="004E70E9">
        <w:trPr>
          <w:trHeight w:val="20"/>
          <w:tblHeader/>
        </w:trPr>
        <w:tc>
          <w:tcPr>
            <w:tcW w:w="1417" w:type="dxa"/>
            <w:shd w:val="clear" w:color="auto" w:fill="auto"/>
            <w:hideMark/>
          </w:tcPr>
          <w:p w:rsidR="004E70E9" w:rsidRPr="004E70E9" w:rsidRDefault="004E70E9"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Patel 2007</w:t>
            </w:r>
            <w:r w:rsidR="008731E8">
              <w:rPr>
                <w:rFonts w:eastAsia="Times New Roman" w:cs="Times New Roman"/>
                <w:sz w:val="17"/>
                <w:szCs w:val="17"/>
                <w:lang w:eastAsia="zh-CN" w:bidi="ar-SA"/>
              </w:rPr>
              <w:t xml:space="preserve"> </w:t>
            </w:r>
            <w:r w:rsidR="00E729BA" w:rsidRPr="004E70E9">
              <w:rPr>
                <w:rFonts w:eastAsia="Times New Roman" w:cs="Times New Roman"/>
                <w:sz w:val="17"/>
                <w:szCs w:val="17"/>
                <w:lang w:eastAsia="zh-CN" w:bidi="ar-SA"/>
              </w:rPr>
              <w:fldChar w:fldCharType="begin"/>
            </w:r>
            <w:r w:rsidR="00FC61FD">
              <w:rPr>
                <w:rFonts w:eastAsia="Times New Roman" w:cs="Times New Roman"/>
                <w:sz w:val="17"/>
                <w:szCs w:val="17"/>
                <w:lang w:eastAsia="zh-CN" w:bidi="ar-SA"/>
              </w:rPr>
              <w:instrText xml:space="preserve"> ADDIN REFMGR.CITE &lt;Refman&gt;&lt;Cite&gt;&lt;Author&gt;Patel&lt;/Author&gt;&lt;Year&gt;2006&lt;/Year&gt;&lt;RecNum&gt;1442&lt;/RecNum&gt;&lt;IDText&gt;The prevalence and incidence of biopsy-proven lupus nephritis in the UK: Evidence of an ethnic gradient&lt;/IDText&gt;&lt;MDL Ref_Type="Journal"&gt;&lt;Ref_Type&gt;Journal&lt;/Ref_Type&gt;&lt;Ref_ID&gt;1442&lt;/Ref_ID&gt;&lt;Title_Primary&gt;The prevalence and incidence of biopsy-proven lupus nephritis in the UK: Evidence of an ethnic gradient&lt;/Title_Primary&gt;&lt;Authors_Primary&gt;Patel,M.&lt;/Authors_Primary&gt;&lt;Authors_Primary&gt;Clarke,A.M.&lt;/Authors_Primary&gt;&lt;Authors_Primary&gt;Bruce,I.N.&lt;/Authors_Primary&gt;&lt;Authors_Primary&gt;Symmons,D.P.&lt;/Authors_Primary&gt;&lt;Date_Primary&gt;2006/9&lt;/Date_Primary&gt;&lt;Keywords&gt;Adolescent&lt;/Keywords&gt;&lt;Keywords&gt;Adult&lt;/Keywords&gt;&lt;Keywords&gt;age&lt;/Keywords&gt;&lt;Keywords&gt;Aged&lt;/Keywords&gt;&lt;Keywords&gt;Aged,80 and over&lt;/Keywords&gt;&lt;Keywords&gt;Biopsy&lt;/Keywords&gt;&lt;Keywords&gt;Chinese&lt;/Keywords&gt;&lt;Keywords&gt;Cohort Studies&lt;/Keywords&gt;&lt;Keywords&gt;confidence interval&lt;/Keywords&gt;&lt;Keywords&gt;Databases as Topic&lt;/Keywords&gt;&lt;Keywords&gt;England&lt;/Keywords&gt;&lt;Keywords&gt;epidemiology&lt;/Keywords&gt;&lt;Keywords&gt;erythematosus&lt;/Keywords&gt;&lt;Keywords&gt;Ethnic Groups&lt;/Keywords&gt;&lt;Keywords&gt;Female&lt;/Keywords&gt;&lt;Keywords&gt;Geography&lt;/Keywords&gt;&lt;Keywords&gt;Great Britain&lt;/Keywords&gt;&lt;Keywords&gt;Humans&lt;/Keywords&gt;&lt;Keywords&gt;Incidence&lt;/Keywords&gt;&lt;Keywords&gt;lupus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Nephritis&lt;/Keywords&gt;&lt;Keywords&gt;pathology&lt;/Keywords&gt;&lt;Keywords&gt;patient&lt;/Keywords&gt;&lt;Keywords&gt;Patients&lt;/Keywords&gt;&lt;Keywords&gt;population&lt;/Keywords&gt;&lt;Keywords&gt;Prevalence&lt;/Keywords&gt;&lt;Keywords&gt;sex&lt;/Keywords&gt;&lt;Keywords&gt;Sex Characteristics&lt;/Keywords&gt;&lt;Keywords&gt;Survival Analysis&lt;/Keywords&gt;&lt;Keywords&gt;systemic lupus erythematosus&lt;/Keywords&gt;&lt;Keywords&gt;Women&lt;/Keywords&gt;&lt;Reprint&gt;Not in File&lt;/Reprint&gt;&lt;Start_Page&gt;2963&lt;/Start_Page&gt;&lt;End_Page&gt;2969&lt;/End_Page&gt;&lt;Periodical&gt;Arthritis Rheum.&lt;/Periodical&gt;&lt;Volume&gt;54&lt;/Volume&gt;&lt;Issue&gt;9&lt;/Issue&gt;&lt;ZZ_JournalStdAbbrev&gt;&lt;f name="System"&gt;Arthritis Rheum.&lt;/f&gt;&lt;/ZZ_JournalStdAbbrev&gt;&lt;ZZ_WorkformID&gt;1&lt;/ZZ_WorkformID&gt;&lt;/MDL&gt;&lt;/Cite&gt;&lt;/Refman&gt;</w:instrText>
            </w:r>
            <w:r w:rsidR="00E729BA" w:rsidRPr="004E70E9">
              <w:rPr>
                <w:rFonts w:eastAsia="Times New Roman" w:cs="Times New Roman"/>
                <w:sz w:val="17"/>
                <w:szCs w:val="17"/>
                <w:lang w:eastAsia="zh-CN" w:bidi="ar-SA"/>
              </w:rPr>
              <w:fldChar w:fldCharType="separate"/>
            </w:r>
            <w:r w:rsidR="004D7951">
              <w:rPr>
                <w:rFonts w:eastAsia="Times New Roman" w:cs="Times New Roman"/>
                <w:sz w:val="17"/>
                <w:szCs w:val="17"/>
                <w:lang w:eastAsia="zh-CN" w:bidi="ar-SA"/>
              </w:rPr>
              <w:t>(128)</w:t>
            </w:r>
            <w:r w:rsidR="00E729BA" w:rsidRPr="004E70E9">
              <w:rPr>
                <w:rFonts w:eastAsia="Times New Roman" w:cs="Times New Roman"/>
                <w:sz w:val="17"/>
                <w:szCs w:val="17"/>
                <w:lang w:eastAsia="zh-CN" w:bidi="ar-SA"/>
              </w:rPr>
              <w:fldChar w:fldCharType="end"/>
            </w:r>
          </w:p>
        </w:tc>
        <w:tc>
          <w:tcPr>
            <w:tcW w:w="5663" w:type="dxa"/>
            <w:shd w:val="clear" w:color="auto" w:fill="auto"/>
            <w:hideMark/>
          </w:tcPr>
          <w:p w:rsidR="004E70E9" w:rsidRPr="004E70E9" w:rsidRDefault="004D7951" w:rsidP="00647F7E">
            <w:pPr>
              <w:spacing w:after="0" w:afterAutospacing="0" w:line="240" w:lineRule="auto"/>
              <w:rPr>
                <w:rFonts w:eastAsia="Times New Roman" w:cs="Times New Roman"/>
                <w:sz w:val="17"/>
                <w:szCs w:val="17"/>
                <w:lang w:eastAsia="zh-CN" w:bidi="ar-SA"/>
              </w:rPr>
            </w:pPr>
            <w:r w:rsidRPr="004E70E9">
              <w:rPr>
                <w:rFonts w:eastAsia="Times New Roman" w:cs="Times New Roman"/>
                <w:sz w:val="17"/>
                <w:szCs w:val="17"/>
                <w:lang w:eastAsia="zh-CN" w:bidi="ar-SA"/>
              </w:rPr>
              <w:t>A bayesian approach for incorporating economic factors in sample size design for clinical trials of individual drugs and portfolios of drugs</w:t>
            </w: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p>
        </w:tc>
        <w:tc>
          <w:tcPr>
            <w:tcW w:w="170" w:type="dxa"/>
            <w:shd w:val="clear" w:color="auto" w:fill="auto"/>
            <w:hideMark/>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c>
          <w:tcPr>
            <w:tcW w:w="170" w:type="dxa"/>
          </w:tcPr>
          <w:p w:rsidR="004E70E9" w:rsidRPr="004E70E9" w:rsidRDefault="004E70E9" w:rsidP="00647F7E">
            <w:pPr>
              <w:spacing w:after="0" w:afterAutospacing="0" w:line="240" w:lineRule="auto"/>
              <w:jc w:val="center"/>
              <w:rPr>
                <w:rFonts w:eastAsia="Times New Roman" w:cs="Times New Roman"/>
                <w:sz w:val="17"/>
                <w:szCs w:val="17"/>
                <w:lang w:eastAsia="zh-CN" w:bidi="ar-SA"/>
              </w:rPr>
            </w:pPr>
            <w:r w:rsidRPr="004E70E9">
              <w:rPr>
                <w:rFonts w:eastAsia="Times New Roman" w:cs="Times New Roman"/>
                <w:sz w:val="17"/>
                <w:szCs w:val="17"/>
                <w:lang w:eastAsia="zh-CN" w:bidi="ar-SA"/>
              </w:rPr>
              <w:t>Y</w:t>
            </w:r>
          </w:p>
        </w:tc>
      </w:tr>
    </w:tbl>
    <w:p w:rsidR="004E70E9" w:rsidRDefault="004E70E9" w:rsidP="004E70E9">
      <w:pPr>
        <w:pStyle w:val="Heading3"/>
        <w:numPr>
          <w:ilvl w:val="0"/>
          <w:numId w:val="0"/>
        </w:numPr>
      </w:pPr>
      <w:bookmarkStart w:id="132" w:name="_Toc332984774"/>
    </w:p>
    <w:p w:rsidR="00453A27" w:rsidRDefault="00796D40" w:rsidP="00236C8F">
      <w:pPr>
        <w:pStyle w:val="Heading3"/>
      </w:pPr>
      <w:bookmarkStart w:id="133" w:name="_Toc379467578"/>
      <w:r>
        <w:t>ENBS</w:t>
      </w:r>
      <w:r w:rsidR="002F1C54">
        <w:t xml:space="preserve"> assuming </w:t>
      </w:r>
      <w:r w:rsidR="00236C8F">
        <w:t>N</w:t>
      </w:r>
      <w:r w:rsidR="002F1C54">
        <w:t xml:space="preserve">et </w:t>
      </w:r>
      <w:r w:rsidR="00236C8F">
        <w:t>B</w:t>
      </w:r>
      <w:r w:rsidR="002F1C54">
        <w:t xml:space="preserve">enefit is </w:t>
      </w:r>
      <w:r w:rsidR="00A10E8D">
        <w:t>Normal</w:t>
      </w:r>
      <w:r w:rsidR="002F1C54">
        <w:t>ly</w:t>
      </w:r>
      <w:r w:rsidR="00033D17">
        <w:t xml:space="preserve"> Di</w:t>
      </w:r>
      <w:r w:rsidR="00A10E8D">
        <w:t>stribut</w:t>
      </w:r>
      <w:bookmarkEnd w:id="132"/>
      <w:r w:rsidR="002F1C54">
        <w:t>ed</w:t>
      </w:r>
      <w:bookmarkEnd w:id="133"/>
    </w:p>
    <w:p w:rsidR="00D73B66" w:rsidRDefault="00691F84" w:rsidP="00A27713">
      <w:r>
        <w:t>Four</w:t>
      </w:r>
      <w:r w:rsidR="00565F59">
        <w:t xml:space="preserve"> E</w:t>
      </w:r>
      <w:r w:rsidR="00E91E80">
        <w:t>NBS</w:t>
      </w:r>
      <w:r w:rsidR="008D5E51">
        <w:t xml:space="preserve"> studies</w:t>
      </w:r>
      <w:r w:rsidR="00993BA4">
        <w:t xml:space="preserve"> </w:t>
      </w:r>
      <w:r w:rsidR="00565F59">
        <w:t>assumed that</w:t>
      </w:r>
      <w:r w:rsidR="00A10E8D">
        <w:t xml:space="preserve"> the incremental net benefit </w:t>
      </w:r>
      <w:r w:rsidR="0090393D">
        <w:t>was</w:t>
      </w:r>
      <w:r w:rsidR="00A10E8D">
        <w:t xml:space="preserve"> normally distributed</w:t>
      </w:r>
      <w:r w:rsidR="00326554">
        <w:t>, which enables</w:t>
      </w:r>
      <w:r w:rsidR="00A10E8D">
        <w:t xml:space="preserve"> the expected net benefit of future research </w:t>
      </w:r>
      <w:r w:rsidR="00326554">
        <w:t>to</w:t>
      </w:r>
      <w:r w:rsidR="00565F59">
        <w:t xml:space="preserve"> </w:t>
      </w:r>
      <w:r w:rsidR="00A10E8D">
        <w:t xml:space="preserve">be estimated with </w:t>
      </w:r>
      <w:r w:rsidR="00793E8B">
        <w:t>analytic procedures</w:t>
      </w:r>
      <w:r w:rsidR="00E91E80">
        <w:t xml:space="preserve">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Econ.&lt;/f&gt;&lt;/ZZ_JournalStdAbbrev&gt;&lt;ZZ_WorkformID&gt;1&lt;/ZZ_WorkformID&gt;&lt;/MDL&gt;&lt;/Cite&gt;&lt;Cite&gt;&lt;Author&gt;Claxton&lt;/Author&gt;&lt;Year&gt;1999&lt;/Year&gt;&lt;RecNum&gt;137&lt;/RecNum&gt;&lt;IDText&gt;The irrelevance of inference: a decision-making approach to the stochastic evaluation of health care technologies&lt;/IDText&gt;&lt;MDL Ref_Type="Journal"&gt;&lt;Ref_Type&gt;Journal&lt;/Ref_Type&gt;&lt;Ref_ID&gt;137&lt;/Ref_ID&gt;&lt;Title_Primary&gt;The irrelevance of inference: a decision-making approach to the stochastic evaluation of health care technologies&lt;/Title_Primary&gt;&lt;Authors_Primary&gt;Claxton,K.&lt;/Authors_Primary&gt;&lt;Date_Primary&gt;1999&lt;/Date_Primary&gt;&lt;Keywords&gt;analysis&lt;/Keywords&gt;&lt;Keywords&gt;classification&lt;/Keywords&gt;&lt;Keywords&gt;Decision Making&lt;/Keywords&gt;&lt;Keywords&gt;evaluation&lt;/Keywords&gt;&lt;Keywords&gt;Health&lt;/Keywords&gt;&lt;Keywords&gt;Research&lt;/Keywords&gt;&lt;Reprint&gt;Not in File&lt;/Reprint&gt;&lt;Start_Page&gt;341&lt;/Start_Page&gt;&lt;End_Page&gt;364&lt;/End_Page&gt;&lt;Periodical&gt;Journal of Health Economics&lt;/Periodical&gt;&lt;Volume&gt;18&lt;/Volume&gt;&lt;Issue&gt;3&lt;/Issue&gt;&lt;User_Def_1&gt;yes&lt;/User_Def_1&gt;&lt;User_Def_2&gt;yes&lt;/User_Def_2&gt;&lt;ISSN_ISBN&gt;0167-6296&lt;/ISSN_ISBN&gt;&lt;Web_URL&gt;WOS:000080526900004&lt;/Web_URL&gt;&lt;ZZ_JournalFull&gt;&lt;f name="System"&gt;Journal of Health Economics&lt;/f&gt;&lt;/ZZ_JournalFull&gt;&lt;ZZ_WorkformID&gt;1&lt;/ZZ_WorkformID&gt;&lt;/MDL&gt;&lt;/Cite&gt;&lt;Cite&gt;&lt;Author&gt;Willan&lt;/Author&gt;&lt;Year&gt;2005&lt;/Year&gt;&lt;RecNum&gt;87&lt;/RecNum&gt;&lt;IDText&gt;The value of information and optimal clinical trial design&lt;/IDText&gt;&lt;MDL Ref_Type="Journal"&gt;&lt;Ref_Type&gt;Journal&lt;/Ref_Type&gt;&lt;Ref_ID&gt;87&lt;/Ref_ID&gt;&lt;Title_Primary&gt;The value of information and optimal clinical trial design&lt;/Title_Primary&gt;&lt;Authors_Primary&gt;Willan,A.R.&lt;/Authors_Primary&gt;&lt;Authors_Primary&gt;Pinto,E.M.&lt;/Authors_Primary&gt;&lt;Date_Primary&gt;2005&lt;/Date_Primary&gt;&lt;Keywords&gt;clinical trial&lt;/Keywords&gt;&lt;Keywords&gt;Decision Making&lt;/Keywords&gt;&lt;Keywords&gt;methods&lt;/Keywords&gt;&lt;Keywords&gt;Probability&lt;/Keywords&gt;&lt;Keywords&gt;sample&lt;/Keywords&gt;&lt;Keywords&gt;Sample Size&lt;/Keywords&gt;&lt;Keywords&gt;Time&lt;/Keywords&gt;&lt;Reprint&gt;Not in File&lt;/Reprint&gt;&lt;Start_Page&gt;1791&lt;/Start_Page&gt;&lt;End_Page&gt;1806&lt;/End_Page&gt;&lt;Periodical&gt;Statistics in Medicine&lt;/Periodical&gt;&lt;Volume&gt;24&lt;/Volume&gt;&lt;Issue&gt;12&lt;/Issue&gt;&lt;User_Def_1&gt;yes&lt;/User_Def_1&gt;&lt;User_Def_2&gt;yes&lt;/User_Def_2&gt;&lt;ISSN_ISBN&gt;0277-6715&lt;/ISSN_ISBN&gt;&lt;Web_URL&gt;WOS:000229688600002&lt;/Web_URL&gt;&lt;ZZ_JournalFull&gt;&lt;f name="System"&gt;Statistics in Medicine&lt;/f&gt;&lt;/ZZ_JournalFull&gt;&lt;ZZ_WorkformID&gt;1&lt;/ZZ_WorkformID&gt;&lt;/MDL&gt;&lt;/Cite&gt;&lt;Cite&gt;&lt;Author&gt;Willan&lt;/Author&gt;&lt;Year&gt;2007&lt;/Year&gt;&lt;RecNum&gt;59&lt;/RecNum&gt;&lt;IDText&gt;Clinical decision making and the expected value of information&lt;/IDText&gt;&lt;MDL Ref_Type="Journal"&gt;&lt;Ref_Type&gt;Journal&lt;/Ref_Type&gt;&lt;Ref_ID&gt;59&lt;/Ref_ID&gt;&lt;Title_Primary&gt;Clinical decision making and the expected value of information&lt;/Title_Primary&gt;&lt;Authors_Primary&gt;Willan,Andrew R.&lt;/Authors_Primary&gt;&lt;Date_Primary&gt;2007&lt;/Date_Primary&gt;&lt;Keywords&gt;Canada&lt;/Keywords&gt;&lt;Keywords&gt;clinical trial&lt;/Keywords&gt;&lt;Keywords&gt;death&lt;/Keywords&gt;&lt;Keywords&gt;Decision Making&lt;/Keywords&gt;&lt;Keywords&gt;Health&lt;/Keywords&gt;&lt;Keywords&gt;Infarction&lt;/Keywords&gt;&lt;Keywords&gt;methods&lt;/Keywords&gt;&lt;Keywords&gt;Myocardial Infarction&lt;/Keywords&gt;&lt;Keywords&gt;patient&lt;/Keywords&gt;&lt;Keywords&gt;Patients&lt;/Keywords&gt;&lt;Keywords&gt;Risk&lt;/Keywords&gt;&lt;Keywords&gt;sample&lt;/Keywords&gt;&lt;Keywords&gt;Sample Size&lt;/Keywords&gt;&lt;Keywords&gt;Stroke&lt;/Keywords&gt;&lt;Reprint&gt;Not in File&lt;/Reprint&gt;&lt;Start_Page&gt;279&lt;/Start_Page&gt;&lt;End_Page&gt;285&lt;/End_Page&gt;&lt;Periodical&gt;Clinical Trials&lt;/Periodical&gt;&lt;Volume&gt;4&lt;/Volume&gt;&lt;Issue&gt;3&lt;/Issue&gt;&lt;User_Def_1&gt;yes&lt;/User_Def_1&gt;&lt;User_Def_2&gt;yes&lt;/User_Def_2&gt;&lt;ISSN_ISBN&gt;1740-7745&lt;/ISSN_ISBN&gt;&lt;Web_URL&gt;WOS:000249489200013&lt;/Web_URL&gt;&lt;ZZ_JournalFull&gt;&lt;f name="System"&gt;Clinical Trials&lt;/f&gt;&lt;/ZZ_JournalFull&gt;&lt;ZZ_WorkformID&gt;1&lt;/ZZ_WorkformID&gt;&lt;/MDL&gt;&lt;/Cite&gt;&lt;/Refman&gt;</w:instrText>
      </w:r>
      <w:r w:rsidR="00E729BA">
        <w:fldChar w:fldCharType="separate"/>
      </w:r>
      <w:r w:rsidR="004D7951">
        <w:t>(33;94;100;101)</w:t>
      </w:r>
      <w:r w:rsidR="00E729BA">
        <w:fldChar w:fldCharType="end"/>
      </w:r>
      <w:r w:rsidR="00793E8B">
        <w:t xml:space="preserve">. </w:t>
      </w:r>
      <w:r w:rsidR="004D7951">
        <w:t xml:space="preserve">In these studies sample size is chosen to maximise the difference between the costs of a trial and the expected value of the results. </w:t>
      </w:r>
      <w:r>
        <w:t>If the expected Net Benefit is norm</w:t>
      </w:r>
      <w:r w:rsidR="00E44A19">
        <w:t>ally distributed then analytic</w:t>
      </w:r>
      <w:r>
        <w:t xml:space="preserve"> solutions can be used to estimate the posterior distribution.</w:t>
      </w:r>
      <w:r w:rsidR="004D7951">
        <w:t xml:space="preserve"> Full details of the analytic solution are described elsewhere </w:t>
      </w:r>
      <w:r w:rsidR="00E729BA">
        <w:fldChar w:fldCharType="begin"/>
      </w:r>
      <w:r w:rsidR="00FC61FD">
        <w:instrText xml:space="preserve"> ADDIN REFMGR.CITE &lt;Refman&gt;&lt;Cite&gt;&lt;Author&gt;Willan&lt;/Author&gt;&lt;Year&gt;2005&lt;/Year&gt;&lt;RecNum&gt;87&lt;/RecNum&gt;&lt;IDText&gt;The value of information and optimal clinical trial design&lt;/IDText&gt;&lt;MDL Ref_Type="Journal"&gt;&lt;Ref_Type&gt;Journal&lt;/Ref_Type&gt;&lt;Ref_ID&gt;87&lt;/Ref_ID&gt;&lt;Title_Primary&gt;The value of information and optimal clinical trial design&lt;/Title_Primary&gt;&lt;Authors_Primary&gt;Willan,A.R.&lt;/Authors_Primary&gt;&lt;Authors_Primary&gt;Pinto,E.M.&lt;/Authors_Primary&gt;&lt;Date_Primary&gt;2005&lt;/Date_Primary&gt;&lt;Keywords&gt;clinical trial&lt;/Keywords&gt;&lt;Keywords&gt;Decision Making&lt;/Keywords&gt;&lt;Keywords&gt;methods&lt;/Keywords&gt;&lt;Keywords&gt;Probability&lt;/Keywords&gt;&lt;Keywords&gt;sample&lt;/Keywords&gt;&lt;Keywords&gt;Sample Size&lt;/Keywords&gt;&lt;Keywords&gt;Time&lt;/Keywords&gt;&lt;Reprint&gt;Not in File&lt;/Reprint&gt;&lt;Start_Page&gt;1791&lt;/Start_Page&gt;&lt;End_Page&gt;1806&lt;/End_Page&gt;&lt;Periodical&gt;Statistics in Medicine&lt;/Periodical&gt;&lt;Volume&gt;24&lt;/Volume&gt;&lt;Issue&gt;12&lt;/Issue&gt;&lt;User_Def_1&gt;yes&lt;/User_Def_1&gt;&lt;User_Def_2&gt;yes&lt;/User_Def_2&gt;&lt;ISSN_ISBN&gt;0277-6715&lt;/ISSN_ISBN&gt;&lt;Web_URL&gt;WOS:000229688600002&lt;/Web_URL&gt;&lt;ZZ_JournalFull&gt;&lt;f name="System"&gt;Statistics in Medicine&lt;/f&gt;&lt;/ZZ_JournalFull&gt;&lt;ZZ_WorkformID&gt;1&lt;/ZZ_WorkformID&gt;&lt;/MDL&gt;&lt;/Cite&gt;&lt;/Refman&gt;</w:instrText>
      </w:r>
      <w:r w:rsidR="00E729BA">
        <w:fldChar w:fldCharType="separate"/>
      </w:r>
      <w:r w:rsidR="004D7951">
        <w:t>(100)</w:t>
      </w:r>
      <w:r w:rsidR="00E729BA">
        <w:fldChar w:fldCharType="end"/>
      </w:r>
      <w:r w:rsidR="004D7951">
        <w:t>.</w:t>
      </w:r>
      <w:r>
        <w:t xml:space="preserve"> The analytic solution is easy to compute relative to other methodologies identified in the review. As such many of the case studies have used this method to test and demonstrate other theoretical principles in </w:t>
      </w:r>
      <w:r w:rsidR="00A27713">
        <w:t>decision-making</w:t>
      </w:r>
      <w:r>
        <w:t>.</w:t>
      </w:r>
      <w:r w:rsidR="006A38FE">
        <w:t xml:space="preserve"> </w:t>
      </w:r>
      <w:r>
        <w:t>The case studies consider a</w:t>
      </w:r>
      <w:r w:rsidR="004773CC">
        <w:t xml:space="preserve"> decision maker </w:t>
      </w:r>
      <w:r>
        <w:t>choosing</w:t>
      </w:r>
      <w:r w:rsidR="004773CC">
        <w:t xml:space="preserve"> whether to adopt a new treatment, adopt and run a trial, or delay a decision until a trial was complete </w:t>
      </w:r>
      <w:r w:rsidR="00E729BA">
        <w:fldChar w:fldCharType="begin"/>
      </w:r>
      <w:r w:rsidR="00FC61FD">
        <w:instrText xml:space="preserve"> ADDIN REFMGR.CITE &lt;Refman&gt;&lt;Cite&gt;&lt;Author&gt;Eckermann&lt;/Author&gt;&lt;Year&gt;2007&lt;/Year&gt;&lt;RecNum&gt;294&lt;/RecNum&gt;&lt;IDText&gt;Expected value of information and decision making in HTA&lt;/IDText&gt;&lt;MDL Ref_Type="Journal"&gt;&lt;Ref_Type&gt;Journal&lt;/Ref_Type&gt;&lt;Ref_ID&gt;294&lt;/Ref_ID&gt;&lt;Title_Primary&gt;Expected value of information and decision making in HTA&lt;/Title_Primary&gt;&lt;Authors_Primary&gt;Eckermann,Simon&lt;/Authors_Primary&gt;&lt;Authors_Primary&gt;Willan,Andrew R.&lt;/Authors_Primary&gt;&lt;Date_Primary&gt;2007&lt;/Date_Primary&gt;&lt;Keywords&gt;clinical trial&lt;/Keywords&gt;&lt;Keywords&gt;Decision Making&lt;/Keywords&gt;&lt;Keywords&gt;Health&lt;/Keywords&gt;&lt;Keywords&gt;methods&lt;/Keywords&gt;&lt;Keywords&gt;Research&lt;/Keywords&gt;&lt;Keywords&gt;sample&lt;/Keywords&gt;&lt;Reprint&gt;Not in File&lt;/Reprint&gt;&lt;Start_Page&gt;195&lt;/Start_Page&gt;&lt;End_Page&gt;209&lt;/End_Page&gt;&lt;Periodical&gt;Health Economics&lt;/Periodical&gt;&lt;Volume&gt;16&lt;/Volume&gt;&lt;Issue&gt;2&lt;/Issue&gt;&lt;User_Def_1&gt;yes&lt;/User_Def_1&gt;&lt;User_Def_2&gt;yes&lt;/User_Def_2&gt;&lt;ISSN_ISBN&gt;1057-9230&lt;/ISSN_ISBN&gt;&lt;Web_URL&gt;WOS:000244233500007&lt;/Web_URL&gt;&lt;ZZ_JournalFull&gt;&lt;f name="System"&gt;Health Economics&lt;/f&gt;&lt;/ZZ_JournalFull&gt;&lt;ZZ_WorkformID&gt;1&lt;/ZZ_WorkformID&gt;&lt;/MDL&gt;&lt;/Cite&gt;&lt;/Refman&gt;</w:instrText>
      </w:r>
      <w:r w:rsidR="00E729BA">
        <w:fldChar w:fldCharType="separate"/>
      </w:r>
      <w:r w:rsidR="004D7951">
        <w:t>(106)</w:t>
      </w:r>
      <w:r w:rsidR="00E729BA">
        <w:fldChar w:fldCharType="end"/>
      </w:r>
      <w:r w:rsidR="004773CC">
        <w:t xml:space="preserve">. </w:t>
      </w:r>
      <w:r w:rsidR="00993BA4">
        <w:t xml:space="preserve">The </w:t>
      </w:r>
      <w:r w:rsidR="00D73B66">
        <w:t xml:space="preserve">impacts of alternative assumptions </w:t>
      </w:r>
      <w:r w:rsidR="008D5E51">
        <w:t>about the context of the decision and the options available to the decision-maker</w:t>
      </w:r>
      <w:r w:rsidR="00D73B66">
        <w:t xml:space="preserve"> have</w:t>
      </w:r>
      <w:r w:rsidR="00993BA4">
        <w:t xml:space="preserve"> been evaluated using the normally distributed Net Benefit assumption. </w:t>
      </w:r>
    </w:p>
    <w:p w:rsidR="004773CC" w:rsidRDefault="004773CC" w:rsidP="004D7951">
      <w:r>
        <w:t xml:space="preserve">Eckermann and Willan extend this analysis to consider the costs of reversing a decision to adopt if further data </w:t>
      </w:r>
      <w:r w:rsidR="004D7951">
        <w:t xml:space="preserve">were </w:t>
      </w:r>
      <w:r>
        <w:t xml:space="preserve">collected </w:t>
      </w:r>
      <w:r w:rsidR="00E729BA">
        <w:fldChar w:fldCharType="begin"/>
      </w:r>
      <w:r w:rsidR="00FC61FD">
        <w:instrText xml:space="preserve"> ADDIN REFMGR.CITE &lt;Refman&gt;&lt;Cite&gt;&lt;Author&gt;Eckermann&lt;/Author&gt;&lt;Year&gt;2008&lt;/Year&gt;&lt;RecNum&gt;252&lt;/RecNum&gt;&lt;IDText&gt;The option value of delay in health technology assessment&lt;/IDText&gt;&lt;MDL Ref_Type="Journal"&gt;&lt;Ref_Type&gt;Journal&lt;/Ref_Type&gt;&lt;Ref_ID&gt;252&lt;/Ref_ID&gt;&lt;Title_Primary&gt;The option value of delay in health technology assessment&lt;/Title_Primary&gt;&lt;Authors_Primary&gt;Eckermann,Simon&lt;/Authors_Primary&gt;&lt;Authors_Primary&gt;Willan,Andrew R.&lt;/Authors_Primary&gt;&lt;Date_Primary&gt;2008&lt;/Date_Primary&gt;&lt;Keywords&gt;article&lt;/Keywords&gt;&lt;Keywords&gt;Health&lt;/Keywords&gt;&lt;Keywords&gt;methods&lt;/Keywords&gt;&lt;Keywords&gt;patient&lt;/Keywords&gt;&lt;Keywords&gt;Patients&lt;/Keywords&gt;&lt;Keywords&gt;Probability&lt;/Keywords&gt;&lt;Keywords&gt;Research&lt;/Keywords&gt;&lt;Keywords&gt;sample&lt;/Keywords&gt;&lt;Keywords&gt;therapy&lt;/Keywords&gt;&lt;Keywords&gt;Time&lt;/Keywords&gt;&lt;Keywords&gt;Uncertainty&lt;/Keywords&gt;&lt;Reprint&gt;Not in File&lt;/Reprint&gt;&lt;Start_Page&gt;300&lt;/Start_Page&gt;&lt;End_Page&gt;305&lt;/End_Page&gt;&lt;Periodical&gt;Medical Decision Making&lt;/Periodical&gt;&lt;Volume&gt;28&lt;/Volume&gt;&lt;Issue&gt;3&lt;/Issue&gt;&lt;User_Def_1&gt;yes&lt;/User_Def_1&gt;&lt;User_Def_2&gt;yes&lt;/User_Def_2&gt;&lt;ISSN_ISBN&gt;0272-989X&lt;/ISSN_ISBN&gt;&lt;Web_URL&gt;WOS:000256264500002&lt;/Web_URL&gt;&lt;ZZ_JournalFull&gt;&lt;f name="System"&gt;Medical Decision Making&lt;/f&gt;&lt;/ZZ_JournalFull&gt;&lt;ZZ_WorkformID&gt;1&lt;/ZZ_WorkformID&gt;&lt;/MDL&gt;&lt;/Cite&gt;&lt;/Refman&gt;</w:instrText>
      </w:r>
      <w:r w:rsidR="00E729BA">
        <w:fldChar w:fldCharType="separate"/>
      </w:r>
      <w:r w:rsidR="004D7951">
        <w:t>(103)</w:t>
      </w:r>
      <w:r w:rsidR="00E729BA">
        <w:fldChar w:fldCharType="end"/>
      </w:r>
      <w:r>
        <w:t>. They find that the cost of reversing the decision impacts on the value of an “adopt and run a trial” decision in HTA.</w:t>
      </w:r>
      <w:r w:rsidR="00993BA4" w:rsidRPr="00993BA4">
        <w:t xml:space="preserve"> </w:t>
      </w:r>
    </w:p>
    <w:p w:rsidR="003B68F2" w:rsidRDefault="006C71AE" w:rsidP="0093103D">
      <w:r>
        <w:t>Eckermann and Willan</w:t>
      </w:r>
      <w:r w:rsidR="003B68F2">
        <w:t xml:space="preserve"> consider the effect on </w:t>
      </w:r>
      <w:r w:rsidR="00796D40">
        <w:t>ENBS</w:t>
      </w:r>
      <w:r w:rsidR="003B68F2">
        <w:t xml:space="preserve"> calculations of including patients outside of the clinical trial, who potentially receive sub-optimal treatment whilst a trial is being conducted. This increases the opportunity cost of the trial compared to a decision to adopt immediately </w:t>
      </w:r>
      <w:r w:rsidR="00E729BA">
        <w:fldChar w:fldCharType="begin"/>
      </w:r>
      <w:r w:rsidR="00FC61FD">
        <w:instrText xml:space="preserve"> ADDIN REFMGR.CITE &lt;Refman&gt;&lt;Cite&gt;&lt;Author&gt;Eckermann&lt;/Author&gt;&lt;Year&gt;2008&lt;/Year&gt;&lt;RecNum&gt;255&lt;/RecNum&gt;&lt;IDText&gt;Time and expected value of sample information wait for no patient&lt;/IDText&gt;&lt;MDL Ref_Type="Journal"&gt;&lt;Ref_Type&gt;Journal&lt;/Ref_Type&gt;&lt;Ref_ID&gt;255&lt;/Ref_ID&gt;&lt;Title_Primary&gt;Time and expected value of sample information wait for no patient&lt;/Title_Primary&gt;&lt;Authors_Primary&gt;Eckermann,Simon&lt;/Authors_Primary&gt;&lt;Authors_Primary&gt;Willan,Andrew R.&lt;/Authors_Primary&gt;&lt;Date_Primary&gt;2008&lt;/Date_Primary&gt;&lt;Keywords&gt;analysis&lt;/Keywords&gt;&lt;Keywords&gt;article&lt;/Keywords&gt;&lt;Keywords&gt;follow up&lt;/Keywords&gt;&lt;Keywords&gt;Incidence&lt;/Keywords&gt;&lt;Keywords&gt;methods&lt;/Keywords&gt;&lt;Keywords&gt;patient&lt;/Keywords&gt;&lt;Keywords&gt;Patients&lt;/Keywords&gt;&lt;Keywords&gt;population&lt;/Keywords&gt;&lt;Keywords&gt;sample&lt;/Keywords&gt;&lt;Keywords&gt;Time&lt;/Keywords&gt;&lt;Reprint&gt;Not in File&lt;/Reprint&gt;&lt;Start_Page&gt;522&lt;/Start_Page&gt;&lt;End_Page&gt;526&lt;/End_Page&gt;&lt;Periodical&gt;Value in Health&lt;/Periodical&gt;&lt;Volume&gt;11&lt;/Volume&gt;&lt;Issue&gt;3&lt;/Issue&gt;&lt;User_Def_1&gt;yes&lt;/User_Def_1&gt;&lt;User_Def_2&gt;yes&lt;/User_Def_2&gt;&lt;ISSN_ISBN&gt;1098-3015&lt;/ISSN_ISBN&gt;&lt;Web_URL&gt;WOS:000255945400019&lt;/Web_URL&gt;&lt;ZZ_JournalFull&gt;&lt;f name="System"&gt;Value in Health&lt;/f&gt;&lt;/ZZ_JournalFull&gt;&lt;ZZ_WorkformID&gt;1&lt;/ZZ_WorkformID&gt;&lt;/MDL&gt;&lt;/Cite&gt;&lt;/Refman&gt;</w:instrText>
      </w:r>
      <w:r w:rsidR="00E729BA">
        <w:fldChar w:fldCharType="separate"/>
      </w:r>
      <w:r w:rsidR="004D7951">
        <w:t>(107)</w:t>
      </w:r>
      <w:r w:rsidR="00E729BA">
        <w:fldChar w:fldCharType="end"/>
      </w:r>
      <w:r w:rsidR="003B68F2">
        <w:t xml:space="preserve">. </w:t>
      </w:r>
    </w:p>
    <w:p w:rsidR="00B326B9" w:rsidRDefault="006C71AE" w:rsidP="008D5E51">
      <w:r>
        <w:t>Willan and Eckermann</w:t>
      </w:r>
      <w:r w:rsidR="00B326B9">
        <w:t xml:space="preserve"> relax the assumption of perfect implementation of new treatments, and suggest that the probability that a patient receives the new treatment increases linearly with time </w:t>
      </w:r>
      <w:r w:rsidR="00E729BA">
        <w:fldChar w:fldCharType="begin"/>
      </w:r>
      <w:r w:rsidR="00FC61FD">
        <w:instrText xml:space="preserve"> ADDIN REFMGR.CITE &lt;Refman&gt;&lt;Cite&gt;&lt;Author&gt;Willan&lt;/Author&gt;&lt;Year&gt;2010&lt;/Year&gt;&lt;RecNum&gt;1525&lt;/RecNum&gt;&lt;IDText&gt;Optimal Clinical Trial Design Using Value of Information Methods with Imperfect Implementation&lt;/IDText&gt;&lt;MDL Ref_Type="Journal"&gt;&lt;Ref_Type&gt;Journal&lt;/Ref_Type&gt;&lt;Ref_ID&gt;1525&lt;/Ref_ID&gt;&lt;Title_Primary&gt;Optimal Clinical Trial Design Using Value of Information Methods with Imperfect Implementation&lt;/Title_Primary&gt;&lt;Authors_Primary&gt;Willan,Andrew R.&lt;/Authors_Primary&gt;&lt;Authors_Primary&gt;Eckermann,Simon&lt;/Authors_Primary&gt;&lt;Date_Primary&gt;2010&lt;/Date_Primary&gt;&lt;Keywords&gt;clinical trial&lt;/Keywords&gt;&lt;Keywords&gt;methods&lt;/Keywords&gt;&lt;Keywords&gt;patient&lt;/Keywords&gt;&lt;Keywords&gt;Patients&lt;/Keywords&gt;&lt;Keywords&gt;sample&lt;/Keywords&gt;&lt;Keywords&gt;Sample Size&lt;/Keywords&gt;&lt;Reprint&gt;Not in File&lt;/Reprint&gt;&lt;Start_Page&gt;549&lt;/Start_Page&gt;&lt;End_Page&gt;561&lt;/End_Page&gt;&lt;Periodical&gt;Health Economics&lt;/Periodical&gt;&lt;Volume&gt;19&lt;/Volume&gt;&lt;Issue&gt;5&lt;/Issue&gt;&lt;User_Def_1&gt;yes&lt;/User_Def_1&gt;&lt;User_Def_2&gt;yes&lt;/User_Def_2&gt;&lt;ISSN_ISBN&gt;1057-9230&lt;/ISSN_ISBN&gt;&lt;Web_URL&gt;WOS:000277346800004&lt;/Web_URL&gt;&lt;ZZ_JournalFull&gt;&lt;f name="System"&gt;Health Economics&lt;/f&gt;&lt;/ZZ_JournalFull&gt;&lt;ZZ_WorkformID&gt;1&lt;/ZZ_WorkformID&gt;&lt;/MDL&gt;&lt;/Cite&gt;&lt;/Refman&gt;</w:instrText>
      </w:r>
      <w:r w:rsidR="00E729BA">
        <w:fldChar w:fldCharType="separate"/>
      </w:r>
      <w:r w:rsidR="004D7951">
        <w:t>(105)</w:t>
      </w:r>
      <w:r w:rsidR="00E729BA">
        <w:fldChar w:fldCharType="end"/>
      </w:r>
      <w:r w:rsidR="00B326B9">
        <w:t xml:space="preserve">. </w:t>
      </w:r>
      <w:r w:rsidR="009A247B">
        <w:t>T</w:t>
      </w:r>
      <w:r w:rsidR="00B326B9">
        <w:t xml:space="preserve">hey demonstrate that imperfect implementation </w:t>
      </w:r>
      <w:r w:rsidR="009A247B">
        <w:t xml:space="preserve">impacts on the value of further research and the optimum sample size of a trial. The study proposes that the implementation rate be a function of the incremental benefit of the new treatment, however no recommendations on how this can be estimated </w:t>
      </w:r>
      <w:r w:rsidR="0013370E">
        <w:t>were</w:t>
      </w:r>
      <w:r w:rsidR="009A247B">
        <w:t xml:space="preserve"> provided.</w:t>
      </w:r>
    </w:p>
    <w:p w:rsidR="004773CC" w:rsidRDefault="008D5E51" w:rsidP="008D5E51">
      <w:r>
        <w:t>C</w:t>
      </w:r>
      <w:r w:rsidR="004773CC">
        <w:t xml:space="preserve">omplex </w:t>
      </w:r>
      <w:r>
        <w:t>decision problems including a number of different trial options have been evaluated by adopting</w:t>
      </w:r>
      <w:r w:rsidR="004773CC">
        <w:t xml:space="preserve"> normally distributed Net Benefit assumptions. Dynamic programming was used to evaluate clinical decision problems that have a sequence of contingent decisions </w:t>
      </w:r>
      <w:r w:rsidR="00E729BA">
        <w:fldChar w:fldCharType="begin"/>
      </w:r>
      <w:r w:rsidR="00FC61FD">
        <w:instrText xml:space="preserve"> ADDIN REFMGR.CITE &lt;Refman&gt;&lt;Cite&gt;&lt;Author&gt;Claxton&lt;/Author&gt;&lt;Year&gt;2001&lt;/Year&gt;&lt;RecNum&gt;1522&lt;/RecNum&gt;&lt;IDText&gt;A dynamic programming approach to the efficient design of clinical trials&lt;/IDText&gt;&lt;MDL Ref_Type="Journal"&gt;&lt;Ref_Type&gt;Journal&lt;/Ref_Type&gt;&lt;Ref_ID&gt;1522&lt;/Ref_ID&gt;&lt;Title_Primary&gt;A dynamic programming approach to the efficient design of clinical trials&lt;/Title_Primary&gt;&lt;Authors_Primary&gt;Claxton,K.&lt;/Authors_Primary&gt;&lt;Authors_Primary&gt;Thompson,K.M.&lt;/Authors_Primary&gt;&lt;Date_Primary&gt;2001&lt;/Date_Primary&gt;&lt;Keywords&gt;analysis&lt;/Keywords&gt;&lt;Keywords&gt;clinical trial&lt;/Keywords&gt;&lt;Keywords&gt;Decision Making&lt;/Keywords&gt;&lt;Keywords&gt;Decision Theory&lt;/Keywords&gt;&lt;Keywords&gt;evaluation&lt;/Keywords&gt;&lt;Keywords&gt;patient&lt;/Keywords&gt;&lt;Keywords&gt;Research&lt;/Keywords&gt;&lt;Keywords&gt;sample&lt;/Keywords&gt;&lt;Keywords&gt;Sample Size&lt;/Keywords&gt;&lt;Reprint&gt;Not in File&lt;/Reprint&gt;&lt;Start_Page&gt;797&lt;/Start_Page&gt;&lt;End_Page&gt;822&lt;/End_Page&gt;&lt;Periodical&gt;Journal of Health Economics&lt;/Periodical&gt;&lt;Volume&gt;20&lt;/Volume&gt;&lt;Issue&gt;5&lt;/Issue&gt;&lt;User_Def_1&gt;yes&lt;/User_Def_1&gt;&lt;User_Def_2&gt;yes&lt;/User_Def_2&gt;&lt;ISSN_ISBN&gt;0167-6296&lt;/ISSN_ISBN&gt;&lt;Web_URL&gt;WOS:000170859600006&lt;/Web_URL&gt;&lt;ZZ_JournalFull&gt;&lt;f name="System"&gt;Journal of Health Economics&lt;/f&gt;&lt;/ZZ_JournalFull&gt;&lt;ZZ_WorkformID&gt;1&lt;/ZZ_WorkformID&gt;&lt;/MDL&gt;&lt;/Cite&gt;&lt;/Refman&gt;</w:instrText>
      </w:r>
      <w:r w:rsidR="00E729BA">
        <w:fldChar w:fldCharType="separate"/>
      </w:r>
      <w:r w:rsidR="004D7951">
        <w:t>(99)</w:t>
      </w:r>
      <w:r w:rsidR="00E729BA">
        <w:fldChar w:fldCharType="end"/>
      </w:r>
      <w:r w:rsidR="004773CC">
        <w:t xml:space="preserve">. The analysis identified a portfolio of research, where optimal sample sizes were balanced between stages of the research. Willan and Kowgier  (2008) consider  multi-stage adaptive design trials using ENBS to evaluate a sequence of trial designs </w:t>
      </w:r>
      <w:r w:rsidR="00E729BA">
        <w:fldChar w:fldCharType="begin"/>
      </w:r>
      <w:r w:rsidR="00FC61FD">
        <w:instrText xml:space="preserve"> ADDIN REFMGR.CITE &lt;Refman&gt;&lt;Cite&gt;&lt;Author&gt;Willan&lt;/Author&gt;&lt;Year&gt;2008&lt;/Year&gt;&lt;RecNum&gt;1523&lt;/RecNum&gt;&lt;IDText&gt;Determining optimal sample sizes for multi-stage randomized clinical trials using value of information methods&lt;/IDText&gt;&lt;MDL Ref_Type="Journal"&gt;&lt;Ref_Type&gt;Journal&lt;/Ref_Type&gt;&lt;Ref_ID&gt;1523&lt;/Ref_ID&gt;&lt;Title_Primary&gt;Determining optimal sample sizes for multi-stage randomized clinical trials using value of information methods&lt;/Title_Primary&gt;&lt;Authors_Primary&gt;Willan,Andrew&lt;/Authors_Primary&gt;&lt;Authors_Primary&gt;Kowgier,Matthew&lt;/Authors_Primary&gt;&lt;Date_Primary&gt;2008&lt;/Date_Primary&gt;&lt;Keywords&gt;clinical trial&lt;/Keywords&gt;&lt;Keywords&gt;Decision Making&lt;/Keywords&gt;&lt;Keywords&gt;Decision Theory&lt;/Keywords&gt;&lt;Keywords&gt;methods&lt;/Keywords&gt;&lt;Keywords&gt;sample&lt;/Keywords&gt;&lt;Keywords&gt;Sample Size&lt;/Keywords&gt;&lt;Reprint&gt;Not in File&lt;/Reprint&gt;&lt;Start_Page&gt;289&lt;/Start_Page&gt;&lt;End_Page&gt;300&lt;/End_Page&gt;&lt;Periodical&gt;Clinical Trials&lt;/Periodical&gt;&lt;Volume&gt;5&lt;/Volume&gt;&lt;Issue&gt;4&lt;/Issue&gt;&lt;User_Def_1&gt;yes&lt;/User_Def_1&gt;&lt;User_Def_2&gt;yes&lt;/User_Def_2&gt;&lt;ISSN_ISBN&gt;1740-7745&lt;/ISSN_ISBN&gt;&lt;Web_URL&gt;WOS:000258809000001&lt;/Web_URL&gt;&lt;ZZ_JournalFull&gt;&lt;f name="System"&gt;Clinical Trials&lt;/f&gt;&lt;/ZZ_JournalFull&gt;&lt;ZZ_WorkformID&gt;1&lt;/ZZ_WorkformID&gt;&lt;/MDL&gt;&lt;/Cite&gt;&lt;/Refman&gt;</w:instrText>
      </w:r>
      <w:r w:rsidR="00E729BA">
        <w:fldChar w:fldCharType="separate"/>
      </w:r>
      <w:r w:rsidR="004D7951">
        <w:t>(102)</w:t>
      </w:r>
      <w:r w:rsidR="00E729BA">
        <w:fldChar w:fldCharType="end"/>
      </w:r>
      <w:r w:rsidR="004773CC">
        <w:t>. They use ENBS methods to identify the optimum sample size and proportion of patients that should be recruited into two stages of the trial. They demonstrate that multi-stage adaptive design trials have substantial expected net gains over a single stage trial.</w:t>
      </w:r>
    </w:p>
    <w:p w:rsidR="004773CC" w:rsidRDefault="004773CC" w:rsidP="008D5E51">
      <w:r>
        <w:t xml:space="preserve">Eckermann and Willan consider the difference between local and global optimal decisions and trial designs. They show that where information was exchangeable between jurisdictions, the globally optimal trial design conveys greater benefits than </w:t>
      </w:r>
      <w:r w:rsidR="008D5E51">
        <w:t>individual</w:t>
      </w:r>
      <w:r>
        <w:t xml:space="preserve"> locally optimal decisions </w:t>
      </w:r>
      <w:r w:rsidR="00E729BA">
        <w:fldChar w:fldCharType="begin"/>
      </w:r>
      <w:r w:rsidR="00FC61FD">
        <w:instrText xml:space="preserve"> ADDIN REFMGR.CITE &lt;Refman&gt;&lt;Cite&gt;&lt;Author&gt;Eckermann&lt;/Author&gt;&lt;Year&gt;2009&lt;/Year&gt;&lt;RecNum&gt;30&lt;/RecNum&gt;&lt;IDText&gt;Globally Optimal Trial Design for Local Decision Making&lt;/IDText&gt;&lt;MDL Ref_Type="Journal"&gt;&lt;Ref_Type&gt;Journal&lt;/Ref_Type&gt;&lt;Ref_ID&gt;30&lt;/Ref_ID&gt;&lt;Title_Primary&gt;Globally Optimal Trial Design for Local Decision Making&lt;/Title_Primary&gt;&lt;Authors_Primary&gt;Eckermann,Simon&lt;/Authors_Primary&gt;&lt;Authors_Primary&gt;Willan,Andrew R.&lt;/Authors_Primary&gt;&lt;Date_Primary&gt;2009&lt;/Date_Primary&gt;&lt;Keywords&gt;Australia&lt;/Keywords&gt;&lt;Keywords&gt;Decision Making&lt;/Keywords&gt;&lt;Keywords&gt;Health&lt;/Keywords&gt;&lt;Keywords&gt;methods&lt;/Keywords&gt;&lt;Keywords&gt;Research&lt;/Keywords&gt;&lt;Keywords&gt;sample&lt;/Keywords&gt;&lt;Keywords&gt;Women&lt;/Keywords&gt;&lt;Reprint&gt;Not in File&lt;/Reprint&gt;&lt;Start_Page&gt;203&lt;/Start_Page&gt;&lt;End_Page&gt;216&lt;/End_Page&gt;&lt;Periodical&gt;Health Economics&lt;/Periodical&gt;&lt;Volume&gt;18&lt;/Volume&gt;&lt;Issue&gt;2&lt;/Issue&gt;&lt;User_Def_1&gt;yes&lt;/User_Def_1&gt;&lt;User_Def_2&gt;yes&lt;/User_Def_2&gt;&lt;ISSN_ISBN&gt;1057-9230&lt;/ISSN_ISBN&gt;&lt;Web_URL&gt;WOS:000262706800005&lt;/Web_URL&gt;&lt;ZZ_JournalFull&gt;&lt;f name="System"&gt;Health Economics&lt;/f&gt;&lt;/ZZ_JournalFull&gt;&lt;ZZ_WorkformID&gt;1&lt;/ZZ_WorkformID&gt;&lt;/MDL&gt;&lt;/Cite&gt;&lt;/Refman&gt;</w:instrText>
      </w:r>
      <w:r w:rsidR="00E729BA">
        <w:fldChar w:fldCharType="separate"/>
      </w:r>
      <w:r w:rsidR="004D7951">
        <w:t>(104)</w:t>
      </w:r>
      <w:r w:rsidR="00E729BA">
        <w:fldChar w:fldCharType="end"/>
      </w:r>
      <w:r>
        <w:t xml:space="preserve">. </w:t>
      </w:r>
    </w:p>
    <w:p w:rsidR="003707CD" w:rsidRDefault="003707CD" w:rsidP="008D5E51">
      <w:r>
        <w:t xml:space="preserve">Koerkamp </w:t>
      </w:r>
      <w:r w:rsidRPr="007B66BC">
        <w:rPr>
          <w:i/>
          <w:iCs/>
        </w:rPr>
        <w:t>et al</w:t>
      </w:r>
      <w:r>
        <w:t xml:space="preserve">. </w:t>
      </w:r>
      <w:r w:rsidR="007B66BC">
        <w:t xml:space="preserve">(2008,2010) </w:t>
      </w:r>
      <w:r>
        <w:t>conduct a partial EVSI on some of the parameters of the net benefit function</w:t>
      </w:r>
      <w:r w:rsidR="00735D67">
        <w:t xml:space="preserve"> </w:t>
      </w:r>
      <w:r w:rsidR="00E729BA">
        <w:fldChar w:fldCharType="begin"/>
      </w:r>
      <w:r w:rsidR="00FC61FD">
        <w:instrText xml:space="preserve"> ADDIN REFMGR.CITE &lt;Refman&gt;&lt;Cite&gt;&lt;Author&gt;Koerkamp&lt;/Author&gt;&lt;Year&gt;2008&lt;/Year&gt;&lt;RecNum&gt;259&lt;/RecNum&gt;&lt;IDText&gt;Value of information analysis used to determine the necessity of additional research: MR imaging in acute knee trauma as an example&lt;/IDText&gt;&lt;MDL Ref_Type="Journal"&gt;&lt;Ref_Type&gt;Journal&lt;/Ref_Type&gt;&lt;Ref_ID&gt;259&lt;/Ref_ID&gt;&lt;Title_Primary&gt;Value of information analysis used to determine the necessity of additional research: MR imaging in acute knee trauma as an example&lt;/Title_Primary&gt;&lt;Authors_Primary&gt;Koerkamp,Bas Groot&lt;/Authors_Primary&gt;&lt;Authors_Primary&gt;Nikken,Jeroen J.&lt;/Authors_Primary&gt;&lt;Authors_Primary&gt;Oei,Edwin H.&lt;/Authors_Primary&gt;&lt;Authors_Primary&gt;Stijnen,Theo&lt;/Authors_Primary&gt;&lt;Authors_Primary&gt;Ginai,Abida Z.&lt;/Authors_Primary&gt;&lt;Authors_Primary&gt;Hunink,M.&lt;/Authors_Primary&gt;&lt;Date_Primary&gt;2008&lt;/Date_Primary&gt;&lt;Keywords&gt;age&lt;/Keywords&gt;&lt;Keywords&gt;analysis&lt;/Keywords&gt;&lt;Keywords&gt;clinical trial&lt;/Keywords&gt;&lt;Keywords&gt;Female&lt;/Keywords&gt;&lt;Keywords&gt;follow up&lt;/Keywords&gt;&lt;Keywords&gt;hospital&lt;/Keywords&gt;&lt;Keywords&gt;Informed Consent&lt;/Keywords&gt;&lt;Keywords&gt;Knee&lt;/Keywords&gt;&lt;Keywords&gt;Life&lt;/Keywords&gt;&lt;Keywords&gt;Male&lt;/Keywords&gt;&lt;Keywords&gt;methods&lt;/Keywords&gt;&lt;Keywords&gt;patient&lt;/Keywords&gt;&lt;Keywords&gt;Patients&lt;/Keywords&gt;&lt;Keywords&gt;Quality of Life&lt;/Keywords&gt;&lt;Keywords&gt;radiography&lt;/Keywords&gt;&lt;Keywords&gt;Research&lt;/Keywords&gt;&lt;Keywords&gt;sample&lt;/Keywords&gt;&lt;Keywords&gt;Sample Size&lt;/Keywords&gt;&lt;Keywords&gt;Uncertainty&lt;/Keywords&gt;&lt;Reprint&gt;Not in File&lt;/Reprint&gt;&lt;Start_Page&gt;420&lt;/Start_Page&gt;&lt;End_Page&gt;425&lt;/End_Page&gt;&lt;Periodical&gt;Radiology&lt;/Periodical&gt;&lt;Volume&gt;246&lt;/Volume&gt;&lt;Issue&gt;2&lt;/Issue&gt;&lt;User_Def_1&gt;yes&lt;/User_Def_1&gt;&lt;User_Def_2&gt;yes&lt;/User_Def_2&gt;&lt;ISSN_ISBN&gt;0033-8419&lt;/ISSN_ISBN&gt;&lt;Web_URL&gt;WOS:000252796300011&lt;/Web_URL&gt;&lt;ZZ_JournalFull&gt;&lt;f name="System"&gt;Radiology&lt;/f&gt;&lt;/ZZ_JournalFull&gt;&lt;ZZ_WorkformID&gt;1&lt;/ZZ_WorkformID&gt;&lt;/MDL&gt;&lt;/Cite&gt;&lt;Cite&gt;&lt;Author&gt;Koerkamp&lt;/Author&gt;&lt;Year&gt;2010&lt;/Year&gt;&lt;RecNum&gt;1526&lt;/RecNum&gt;&lt;IDText&gt;Value of Information Analyses of Economic Randomized Controlled Trials: The Treatment of Intermittent Claudication&lt;/IDText&gt;&lt;MDL Ref_Type="Journal"&gt;&lt;Ref_Type&gt;Journal&lt;/Ref_Type&gt;&lt;Ref_ID&gt;1526&lt;/Ref_ID&gt;&lt;Title_Primary&gt;Value of Information Analyses of Economic Randomized Controlled Trials: The Treatment of Intermittent Claudication&lt;/Title_Primary&gt;&lt;Authors_Primary&gt;Koerkamp,Bas Groot&lt;/Authors_Primary&gt;&lt;Authors_Primary&gt;Spronk,Sandra&lt;/Authors_Primary&gt;&lt;Authors_Primary&gt;Stijnen,Theo&lt;/Authors_Primary&gt;&lt;Authors_Primary&gt;Hunink,M.&lt;/Authors_Primary&gt;&lt;Date_Primary&gt;2010&lt;/Date_Primary&gt;&lt;Keywords&gt;analysis&lt;/Keywords&gt;&lt;Keywords&gt;clinical trial&lt;/Keywords&gt;&lt;Keywords&gt;Life&lt;/Keywords&gt;&lt;Keywords&gt;Life Expectancy&lt;/Keywords&gt;&lt;Keywords&gt;methods&lt;/Keywords&gt;&lt;Keywords&gt;patient&lt;/Keywords&gt;&lt;Keywords&gt;Patients&lt;/Keywords&gt;&lt;Keywords&gt;population&lt;/Keywords&gt;&lt;Keywords&gt;Quality of Life&lt;/Keywords&gt;&lt;Keywords&gt;randomized controlled trial&lt;/Keywords&gt;&lt;Keywords&gt;Research&lt;/Keywords&gt;&lt;Keywords&gt;sample&lt;/Keywords&gt;&lt;Keywords&gt;Sample Size&lt;/Keywords&gt;&lt;Keywords&gt;Software&lt;/Keywords&gt;&lt;Reprint&gt;Not in File&lt;/Reprint&gt;&lt;Start_Page&gt;242&lt;/Start_Page&gt;&lt;End_Page&gt;250&lt;/End_Page&gt;&lt;Periodical&gt;Value in Health&lt;/Periodical&gt;&lt;Volume&gt;13&lt;/Volume&gt;&lt;Issue&gt;2&lt;/Issue&gt;&lt;User_Def_1&gt;yes&lt;/User_Def_1&gt;&lt;User_Def_2&gt;yes&lt;/User_Def_2&gt;&lt;ISSN_ISBN&gt;1098-3015&lt;/ISSN_ISBN&gt;&lt;Web_URL&gt;WOS:000274668300011&lt;/Web_URL&gt;&lt;ZZ_JournalFull&gt;&lt;f name="System"&gt;Value in Health&lt;/f&gt;&lt;/ZZ_JournalFull&gt;&lt;ZZ_WorkformID&gt;1&lt;/ZZ_WorkformID&gt;&lt;/MDL&gt;&lt;/Cite&gt;&lt;/Refman&gt;</w:instrText>
      </w:r>
      <w:r w:rsidR="00E729BA">
        <w:fldChar w:fldCharType="separate"/>
      </w:r>
      <w:r w:rsidR="004D7951">
        <w:t>(97;98)</w:t>
      </w:r>
      <w:r w:rsidR="00E729BA">
        <w:fldChar w:fldCharType="end"/>
      </w:r>
      <w:r>
        <w:t>. They consider a clinical trial</w:t>
      </w:r>
      <w:r w:rsidR="007B66BC">
        <w:t xml:space="preserve"> that</w:t>
      </w:r>
      <w:r>
        <w:t xml:space="preserve"> would </w:t>
      </w:r>
      <w:r w:rsidR="00735D67">
        <w:t xml:space="preserve">collect </w:t>
      </w:r>
      <w:r>
        <w:t>data on the parameters of interest</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They disaggregate the </w:t>
      </w:r>
      <w:r w:rsidR="008D5E51">
        <w:t>Net B</w:t>
      </w:r>
      <w:r>
        <w:t>enefit into two calculations for the parameters of interest</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and the parameters not of interest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with correlation </w:t>
      </w:r>
      <m:oMath>
        <m:r>
          <w:rPr>
            <w:rFonts w:ascii="Cambria Math" w:hAnsi="Cambria Math"/>
          </w:rPr>
          <m:t>ρ</m:t>
        </m:r>
      </m:oMath>
      <w:r>
        <w:t>. They update</w:t>
      </w:r>
      <w:r w:rsidR="006A67FB">
        <w:t>d</w:t>
      </w:r>
      <w:r>
        <w:t xml:space="preserve"> the </w:t>
      </w:r>
      <w:r w:rsidR="008D5E51">
        <w:t>Net B</w:t>
      </w:r>
      <w:r>
        <w:t xml:space="preserve">enefit for the parameters of interest from sampled data, and update the net benefit for the parameters </w:t>
      </w:r>
      <w:r w:rsidR="007B66BC">
        <w:t>of no interest</w:t>
      </w:r>
      <w:r>
        <w:t xml:space="preserve"> using the correlation parameter. Revised total benefit i</w:t>
      </w:r>
      <w:r w:rsidR="006A67FB">
        <w:t>s</w:t>
      </w:r>
      <w:r>
        <w:t xml:space="preserve"> calculated as the sum of the two </w:t>
      </w:r>
      <w:r w:rsidR="008D5E51">
        <w:t>Net B</w:t>
      </w:r>
      <w:r>
        <w:t xml:space="preserve">enefit estimates. </w:t>
      </w:r>
      <w:r w:rsidR="008D5E51">
        <w:t>This method could not be used</w:t>
      </w:r>
      <w:r w:rsidR="006E4871">
        <w:t xml:space="preserve"> to evaluate a study of QALYs only, or treatment effectiveness </w:t>
      </w:r>
      <w:r w:rsidR="008D5E51">
        <w:t>if each subset of the</w:t>
      </w:r>
      <w:r w:rsidR="004773CC">
        <w:t xml:space="preserve"> parameters </w:t>
      </w:r>
      <w:r w:rsidR="008D5E51">
        <w:t>does not</w:t>
      </w:r>
      <w:r w:rsidR="004773CC">
        <w:t xml:space="preserve"> estimate Net Benefit</w:t>
      </w:r>
      <w:r w:rsidR="006E4871">
        <w:t>.</w:t>
      </w:r>
    </w:p>
    <w:p w:rsidR="00691F84" w:rsidRDefault="00691F84" w:rsidP="00F12F58">
      <w:r>
        <w:t xml:space="preserve">The studies assumed that the between patient variance was known. The method is most appropriate to determine sample size for cost-effectiveness trials where Net Benefit is calculated from within trial data. In this case there is a clear relationship between trial sample size and Net Benefit uncertainty. Previous trials, or pilot studies, could provide estimates of between patient variance. However, CE models are used to synthesise data from multiple data sources to extrapolate the benefits over a lifetime. The Phase III trial only collects data for a sub-section of the parameters of the CE model, such as the effectiveness of treatment in an RCT. The impact of individual CE model parameters on Net Benefit is difficult to estimate. This approach to Bayesian updating enabled other assumptions in ENBS calculations to be tested and </w:t>
      </w:r>
      <w:r w:rsidR="00F12F58">
        <w:t>explore</w:t>
      </w:r>
      <w:r>
        <w:t xml:space="preserve"> </w:t>
      </w:r>
      <w:r w:rsidR="00F12F58">
        <w:t xml:space="preserve">more complex </w:t>
      </w:r>
      <w:r>
        <w:t>decision problems.</w:t>
      </w:r>
    </w:p>
    <w:p w:rsidR="004E70E9" w:rsidRDefault="00397582" w:rsidP="003E4435">
      <w:r>
        <w:t xml:space="preserve">In </w:t>
      </w:r>
      <w:r w:rsidR="009C3B53">
        <w:t>summary</w:t>
      </w:r>
      <w:r>
        <w:t xml:space="preserve">, studies </w:t>
      </w:r>
      <w:r w:rsidR="007B66BC">
        <w:t>that assume</w:t>
      </w:r>
      <w:r>
        <w:t xml:space="preserve"> </w:t>
      </w:r>
      <w:r w:rsidR="007B66BC">
        <w:t xml:space="preserve">that </w:t>
      </w:r>
      <w:r w:rsidR="008D5E51">
        <w:t>Net B</w:t>
      </w:r>
      <w:r>
        <w:t xml:space="preserve">enefit </w:t>
      </w:r>
      <w:r w:rsidR="0090393D">
        <w:t>was</w:t>
      </w:r>
      <w:r>
        <w:t xml:space="preserve"> normally distributed have made a major contribution in introducing E</w:t>
      </w:r>
      <w:r w:rsidR="00796D40">
        <w:t>NBS</w:t>
      </w:r>
      <w:r>
        <w:t xml:space="preserve"> as a method to estimate the optimum sample size. The simplifying assumptions </w:t>
      </w:r>
      <w:r w:rsidR="003707CD">
        <w:t xml:space="preserve">have </w:t>
      </w:r>
      <w:r>
        <w:t xml:space="preserve">allowed </w:t>
      </w:r>
      <w:r w:rsidR="008D5E51">
        <w:t>the method to be applied in real-world examples</w:t>
      </w:r>
      <w:r w:rsidR="003E4435">
        <w:t>,</w:t>
      </w:r>
      <w:r w:rsidR="008D5E51">
        <w:t xml:space="preserve"> and </w:t>
      </w:r>
      <w:r w:rsidR="003E4435">
        <w:t>more complex decision problems</w:t>
      </w:r>
      <w:r w:rsidR="00C13133">
        <w:t xml:space="preserve">. </w:t>
      </w:r>
      <w:r w:rsidR="006A67FB">
        <w:t xml:space="preserve">However, the limitations of the approach </w:t>
      </w:r>
      <w:r w:rsidR="00D73B66">
        <w:t>arise if</w:t>
      </w:r>
      <w:r w:rsidR="006A67FB">
        <w:t xml:space="preserve"> Net Benefit is </w:t>
      </w:r>
      <w:r w:rsidR="00D73B66">
        <w:t xml:space="preserve">not </w:t>
      </w:r>
      <w:r w:rsidR="006A67FB">
        <w:t xml:space="preserve">normally distributed, </w:t>
      </w:r>
      <w:r w:rsidR="00D73B66">
        <w:t>or if the</w:t>
      </w:r>
      <w:r w:rsidR="006A67FB">
        <w:t xml:space="preserve"> variance in Net Benefit is </w:t>
      </w:r>
      <w:r w:rsidR="003E4435">
        <w:t xml:space="preserve">not </w:t>
      </w:r>
      <w:r w:rsidR="006A67FB">
        <w:t xml:space="preserve">known. </w:t>
      </w:r>
    </w:p>
    <w:p w:rsidR="00397582" w:rsidRDefault="00397582" w:rsidP="00796D40">
      <w:pPr>
        <w:pStyle w:val="Heading3"/>
      </w:pPr>
      <w:bookmarkStart w:id="134" w:name="_Toc379467579"/>
      <w:r>
        <w:t>E</w:t>
      </w:r>
      <w:r w:rsidR="00796D40">
        <w:t>NBS</w:t>
      </w:r>
      <w:r>
        <w:t xml:space="preserve"> assuming </w:t>
      </w:r>
      <w:r w:rsidR="00761A6E">
        <w:t>Conjugate Priors</w:t>
      </w:r>
      <w:bookmarkEnd w:id="134"/>
    </w:p>
    <w:p w:rsidR="00CE0DAC" w:rsidRDefault="004773CC" w:rsidP="009554D6">
      <w:r>
        <w:t>If Net Benefit cannot be assumed to be normally distributed it is possible to</w:t>
      </w:r>
      <w:r w:rsidR="00C13133">
        <w:t xml:space="preserve"> use conjugate distributions to simplify the estimation of the Bayesian posterior distribution. </w:t>
      </w:r>
      <w:r w:rsidR="00F27A30">
        <w:t xml:space="preserve">Ades </w:t>
      </w:r>
      <w:r w:rsidR="00F27A30" w:rsidRPr="00EF173E">
        <w:rPr>
          <w:i/>
          <w:iCs/>
        </w:rPr>
        <w:t>et al</w:t>
      </w:r>
      <w:r w:rsidR="00F27A30">
        <w:t xml:space="preserve">. (2004) describe extensions to </w:t>
      </w:r>
      <w:r w:rsidR="004C2813">
        <w:t>normally distributed Net Benefit method</w:t>
      </w:r>
      <w:r w:rsidR="004D7951">
        <w:t>s</w:t>
      </w:r>
      <w:r w:rsidR="00F27A30">
        <w:t xml:space="preserve"> to deal with </w:t>
      </w:r>
      <w:r w:rsidR="009554D6">
        <w:t xml:space="preserve">model parameter uncertainty </w:t>
      </w:r>
      <w:r w:rsidR="00E729BA">
        <w:fldChar w:fldCharType="begin"/>
      </w:r>
      <w:r w:rsidR="00FC61FD">
        <w:instrText xml:space="preserve"> ADDIN REFMGR.CITE &lt;Refman&gt;&lt;Cite&gt;&lt;Author&gt;Ades&lt;/Author&gt;&lt;Year&gt;2004&lt;/Year&gt;&lt;RecNum&gt;101&lt;/RecNum&gt;&lt;IDText&gt;Expected value of sample information calculations in medical decision modeling&lt;/IDText&gt;&lt;MDL Ref_Type="Journal"&gt;&lt;Ref_Type&gt;Journal&lt;/Ref_Type&gt;&lt;Ref_ID&gt;101&lt;/Ref_ID&gt;&lt;Title_Primary&gt;Expected value of sample information calculations in medical decision modeling&lt;/Title_Primary&gt;&lt;Authors_Primary&gt;Ades,A.E.&lt;/Authors_Primary&gt;&lt;Authors_Primary&gt;Lu,G.&lt;/Authors_Primary&gt;&lt;Authors_Primary&gt;Claxton,K.&lt;/Authors_Primary&gt;&lt;Date_Primary&gt;2004&lt;/Date_Primary&gt;&lt;Keywords&gt;analysis&lt;/Keywords&gt;&lt;Keywords&gt;article&lt;/Keywords&gt;&lt;Keywords&gt;Attention&lt;/Keywords&gt;&lt;Keywords&gt;clinical trial&lt;/Keywords&gt;&lt;Keywords&gt;Decision Making&lt;/Keywords&gt;&lt;Keywords&gt;methods&lt;/Keywords&gt;&lt;Keywords&gt;Odds Ratio&lt;/Keywords&gt;&lt;Keywords&gt;patient&lt;/Keywords&gt;&lt;Keywords&gt;population&lt;/Keywords&gt;&lt;Keywords&gt;Probability&lt;/Keywords&gt;&lt;Keywords&gt;Research&lt;/Keywords&gt;&lt;Keywords&gt;Risk&lt;/Keywords&gt;&lt;Keywords&gt;sample&lt;/Keywords&gt;&lt;Keywords&gt;Sample Size&lt;/Keywords&gt;&lt;Keywords&gt;Uncertainty&lt;/Keywords&gt;&lt;Reprint&gt;Not in File&lt;/Reprint&gt;&lt;Start_Page&gt;207&lt;/Start_Page&gt;&lt;End_Page&gt;227&lt;/End_Page&gt;&lt;Periodical&gt;Medical Decision Making&lt;/Periodical&gt;&lt;Volume&gt;24&lt;/Volume&gt;&lt;Issue&gt;2&lt;/Issue&gt;&lt;User_Def_1&gt;yes&lt;/User_Def_1&gt;&lt;User_Def_2&gt;yes&lt;/User_Def_2&gt;&lt;ISSN_ISBN&gt;0272-989X&lt;/ISSN_ISBN&gt;&lt;Web_URL&gt;WOS:000220392600009&lt;/Web_URL&gt;&lt;ZZ_JournalFull&gt;&lt;f name="System"&gt;Medical Decision Making&lt;/f&gt;&lt;/ZZ_JournalFull&gt;&lt;ZZ_WorkformID&gt;1&lt;/ZZ_WorkformID&gt;&lt;/MDL&gt;&lt;/Cite&gt;&lt;/Refman&gt;</w:instrText>
      </w:r>
      <w:r w:rsidR="00E729BA">
        <w:fldChar w:fldCharType="separate"/>
      </w:r>
      <w:r w:rsidR="004D7951">
        <w:t>(108)</w:t>
      </w:r>
      <w:r w:rsidR="00E729BA">
        <w:fldChar w:fldCharType="end"/>
      </w:r>
      <w:r w:rsidR="00F27A30">
        <w:t xml:space="preserve">. </w:t>
      </w:r>
      <w:r w:rsidR="00EF173E">
        <w:t xml:space="preserve">It </w:t>
      </w:r>
      <w:r w:rsidR="00CA7E85">
        <w:t>is a pivotal publication in the field of VOI for health economics and provide</w:t>
      </w:r>
      <w:r w:rsidR="008905A5">
        <w:t xml:space="preserve">s </w:t>
      </w:r>
      <w:r w:rsidR="00D73B66">
        <w:t xml:space="preserve">many useful </w:t>
      </w:r>
      <w:r w:rsidR="008905A5">
        <w:t>methodological guidelines.</w:t>
      </w:r>
    </w:p>
    <w:p w:rsidR="0064493C" w:rsidRDefault="006C71AE" w:rsidP="009B51DE">
      <w:r>
        <w:t>They a</w:t>
      </w:r>
      <w:r w:rsidR="0064493C">
        <w:t>ssume</w:t>
      </w:r>
      <w:r>
        <w:t>d</w:t>
      </w:r>
      <w:r w:rsidR="0064493C">
        <w:t xml:space="preserve"> that net benefit</w:t>
      </w:r>
      <w:r w:rsidR="00CE0DAC">
        <w:t xml:space="preserve"> for treatment D</w:t>
      </w:r>
      <w:r w:rsidR="0064493C">
        <w:t xml:space="preserve"> </w:t>
      </w:r>
      <w:r w:rsidR="0090393D">
        <w:t>was</w:t>
      </w:r>
      <w:r w:rsidR="0064493C">
        <w:t xml:space="preserve"> a function of </w:t>
      </w:r>
      <m:oMath>
        <m:r>
          <w:rPr>
            <w:rFonts w:ascii="Cambria Math" w:hAnsi="Cambria Math"/>
          </w:rPr>
          <m:t>θ</m:t>
        </m:r>
      </m:oMath>
      <w:r w:rsidR="0064493C">
        <w:t xml:space="preserve"> parameters</w:t>
      </w:r>
      <w:r w:rsidR="00CE0DAC">
        <w:t xml:space="preserve">, </w:t>
      </w:r>
      <m:oMath>
        <m:r>
          <w:rPr>
            <w:rFonts w:ascii="Cambria Math" w:hAnsi="Cambria Math"/>
          </w:rPr>
          <m:t>NB(θ,D)</m:t>
        </m:r>
      </m:oMath>
      <w:r w:rsidR="0064493C">
        <w:t xml:space="preserve">. Future data collection </w:t>
      </w:r>
      <w:r w:rsidR="00126BF2">
        <w:t>obtains data</w:t>
      </w:r>
      <w:r w:rsidR="0064493C">
        <w:t xml:space="preserve"> for a subset of parameters</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rsidR="0064493C">
        <w:t xml:space="preserve">, but not the complement parameters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rsidR="0064493C">
        <w:t>that</w:t>
      </w:r>
      <w:r w:rsidR="004D7951">
        <w:t xml:space="preserve"> were not updated with new information and</w:t>
      </w:r>
      <w:r w:rsidR="0064493C">
        <w:t xml:space="preserve"> </w:t>
      </w:r>
      <w:r w:rsidR="0013370E">
        <w:t>were</w:t>
      </w:r>
      <w:r w:rsidR="0064493C">
        <w:t xml:space="preserve"> assumed</w:t>
      </w:r>
      <w:r w:rsidR="00EF173E">
        <w:t xml:space="preserve"> to be</w:t>
      </w:r>
      <w:r w:rsidR="0064493C">
        <w:t xml:space="preserve"> independent. </w:t>
      </w:r>
      <w:r w:rsidR="008D7685">
        <w:t>Firstly, t</w:t>
      </w:r>
      <w:r w:rsidR="00CE0DAC">
        <w:t xml:space="preserve">hey describe </w:t>
      </w:r>
      <w:r w:rsidR="003D6EC0">
        <w:t xml:space="preserve">guidelines on how to update </w:t>
      </w:r>
      <w:r w:rsidR="009B51DE">
        <w:t>Net B</w:t>
      </w:r>
      <w:r w:rsidR="003D6EC0">
        <w:t>enefit after</w:t>
      </w:r>
      <w:r w:rsidR="00D73B66">
        <w:t xml:space="preserve"> </w:t>
      </w:r>
      <w:r w:rsidR="00CE0DAC">
        <w:t>data collection.</w:t>
      </w:r>
    </w:p>
    <w:p w:rsidR="00CE0DAC" w:rsidRDefault="00CE0DAC" w:rsidP="002A0F3D">
      <w:pPr>
        <w:pStyle w:val="ListParagraph"/>
        <w:numPr>
          <w:ilvl w:val="0"/>
          <w:numId w:val="6"/>
        </w:numPr>
      </w:pPr>
      <w:r>
        <w:t xml:space="preserve">If </w:t>
      </w:r>
      <m:oMath>
        <m:r>
          <w:rPr>
            <w:rFonts w:ascii="Cambria Math" w:hAnsi="Cambria Math"/>
          </w:rPr>
          <m:t>NB(θ,D)</m:t>
        </m:r>
      </m:oMath>
      <w:r>
        <w:t xml:space="preserve"> is linear or multi-linear in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and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then </w:t>
      </w:r>
      <w:r w:rsidR="00EF173E">
        <w:t xml:space="preserve">evaluate CE outcomes with </w:t>
      </w:r>
      <w:r>
        <w:t xml:space="preserve">the posterior mean for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and prior mean for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w:t>
      </w:r>
    </w:p>
    <w:p w:rsidR="00CE0DAC" w:rsidRDefault="00CE0DAC" w:rsidP="002A0F3D">
      <w:pPr>
        <w:pStyle w:val="ListParagraph"/>
        <w:numPr>
          <w:ilvl w:val="0"/>
          <w:numId w:val="6"/>
        </w:numPr>
      </w:pPr>
      <w:r>
        <w:t xml:space="preserve">If </w:t>
      </w:r>
      <m:oMath>
        <m:r>
          <w:rPr>
            <w:rFonts w:ascii="Cambria Math" w:hAnsi="Cambria Math"/>
          </w:rPr>
          <m:t>NB(θ,D)</m:t>
        </m:r>
      </m:oMath>
      <w:r>
        <w:t xml:space="preserve"> is linear in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but non-linear in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carry out a nested Monte Carlo integration over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using samples from the prior distribution, and fix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at the posterior mean.</w:t>
      </w:r>
    </w:p>
    <w:p w:rsidR="00CE0DAC" w:rsidRDefault="00CE0DAC" w:rsidP="007171F5">
      <w:pPr>
        <w:pStyle w:val="ListParagraph"/>
        <w:numPr>
          <w:ilvl w:val="0"/>
          <w:numId w:val="6"/>
        </w:numPr>
      </w:pPr>
      <w:r>
        <w:t xml:space="preserve">If </w:t>
      </w:r>
      <m:oMath>
        <m:r>
          <w:rPr>
            <w:rFonts w:ascii="Cambria Math" w:hAnsi="Cambria Math"/>
          </w:rPr>
          <m:t>NB(θ,D)</m:t>
        </m:r>
      </m:oMath>
      <w:r>
        <w:t xml:space="preserve"> is non-linear in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but linear in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carry out a nested Monte Carlo integration over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using samples from the prior distribution, and fix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at the prior mean.</w:t>
      </w:r>
    </w:p>
    <w:p w:rsidR="00CE0DAC" w:rsidRDefault="00CE0DAC" w:rsidP="002A0F3D">
      <w:pPr>
        <w:pStyle w:val="ListParagraph"/>
        <w:numPr>
          <w:ilvl w:val="0"/>
          <w:numId w:val="6"/>
        </w:numPr>
      </w:pPr>
      <w:r>
        <w:t xml:space="preserve">If </w:t>
      </w:r>
      <m:oMath>
        <m:r>
          <w:rPr>
            <w:rFonts w:ascii="Cambria Math" w:hAnsi="Cambria Math"/>
          </w:rPr>
          <m:t>NB(θ,D)</m:t>
        </m:r>
      </m:oMath>
      <w:r>
        <w:t xml:space="preserve"> is non-linear in both, carry out Monte Carlo integration over </w:t>
      </w:r>
      <m:oMath>
        <m:sSub>
          <m:sSubPr>
            <m:ctrlPr>
              <w:rPr>
                <w:rFonts w:ascii="Cambria Math" w:hAnsi="Cambria Math"/>
                <w:i/>
              </w:rPr>
            </m:ctrlPr>
          </m:sSubPr>
          <m:e>
            <m:r>
              <w:rPr>
                <w:rFonts w:ascii="Cambria Math" w:hAnsi="Cambria Math"/>
              </w:rPr>
              <m:t xml:space="preserve"> θ</m:t>
            </m:r>
          </m:e>
          <m:sub>
            <m:r>
              <w:rPr>
                <w:rFonts w:ascii="Cambria Math" w:hAnsi="Cambria Math"/>
              </w:rPr>
              <m:t>I</m:t>
            </m:r>
          </m:sub>
        </m:sSub>
      </m:oMath>
      <w:r>
        <w:t xml:space="preserve"> and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using samples from the posterior and prior distributions respectively. </w:t>
      </w:r>
    </w:p>
    <w:p w:rsidR="001226DD" w:rsidRDefault="00F07258" w:rsidP="008905A5">
      <w:r>
        <w:t>T</w:t>
      </w:r>
      <w:r w:rsidR="008D7685">
        <w:t xml:space="preserve">hey present alternative methods to estimate the posterior distribution for </w:t>
      </w:r>
      <w:r w:rsidR="006C71AE">
        <w:t>non-</w:t>
      </w:r>
      <w:r w:rsidR="008D7685">
        <w:t>normally distributed</w:t>
      </w:r>
      <w:r w:rsidR="00EF173E">
        <w:t xml:space="preserve"> data</w:t>
      </w:r>
      <w:r w:rsidR="008D7685">
        <w:t xml:space="preserve"> with </w:t>
      </w:r>
      <w:r w:rsidR="006C71AE">
        <w:t>un</w:t>
      </w:r>
      <w:r w:rsidR="008D7685">
        <w:t xml:space="preserve">known variance. </w:t>
      </w:r>
      <w:r w:rsidR="0064493C">
        <w:t xml:space="preserve">This includes </w:t>
      </w:r>
      <w:r w:rsidR="008D7685">
        <w:t xml:space="preserve">the </w:t>
      </w:r>
      <w:r w:rsidR="00B311A6">
        <w:t>Beta-B</w:t>
      </w:r>
      <w:r w:rsidR="0064493C">
        <w:t>inomial</w:t>
      </w:r>
      <w:r w:rsidR="008D7685">
        <w:t xml:space="preserve"> conjugate relationship</w:t>
      </w:r>
      <w:r w:rsidR="00B311A6">
        <w:t xml:space="preserve"> for probabilities, G</w:t>
      </w:r>
      <w:r w:rsidR="0064493C">
        <w:t>amma-</w:t>
      </w:r>
      <w:r w:rsidR="00B311A6">
        <w:t>P</w:t>
      </w:r>
      <w:r w:rsidR="0064493C">
        <w:t xml:space="preserve">oisson for rates, and </w:t>
      </w:r>
      <w:r w:rsidR="00B311A6">
        <w:t>N</w:t>
      </w:r>
      <w:r w:rsidR="0064493C">
        <w:t>ormal with unknown variance</w:t>
      </w:r>
      <w:r w:rsidR="008D7685">
        <w:t xml:space="preserve"> for other parameters</w:t>
      </w:r>
      <w:r w:rsidR="0064493C">
        <w:t xml:space="preserve">. </w:t>
      </w:r>
      <w:r w:rsidR="008D7685">
        <w:t>They also identify transformations of data and parameters to the normal distribution so that the posterior distribution can be estimated on the transformed scale.</w:t>
      </w:r>
      <w:r w:rsidR="008905A5">
        <w:t xml:space="preserve"> T</w:t>
      </w:r>
      <w:r>
        <w:t>he article discusses situation</w:t>
      </w:r>
      <w:r w:rsidR="006C71AE">
        <w:t>s</w:t>
      </w:r>
      <w:r>
        <w:t xml:space="preserve"> where the decision problem includes probabilities of an event for two treatment options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t xml:space="preserve"> </w:t>
      </w:r>
      <w:r w:rsidR="00E555ED">
        <w:t>and</w:t>
      </w:r>
      <m:oMath>
        <m:sSub>
          <m:sSubPr>
            <m:ctrlPr>
              <w:rPr>
                <w:rFonts w:ascii="Cambria Math" w:hAnsi="Cambria Math"/>
                <w:i/>
              </w:rPr>
            </m:ctrlPr>
          </m:sSubPr>
          <m:e>
            <m:r>
              <w:rPr>
                <w:rFonts w:ascii="Cambria Math" w:hAnsi="Cambria Math"/>
              </w:rPr>
              <m:t xml:space="preserve"> θ</m:t>
            </m:r>
          </m:e>
          <m:sub>
            <m:r>
              <w:rPr>
                <w:rFonts w:ascii="Cambria Math" w:hAnsi="Cambria Math"/>
              </w:rPr>
              <m:t>2</m:t>
            </m:r>
          </m:sub>
        </m:sSub>
      </m:oMath>
      <w:r>
        <w:t xml:space="preserve">. These could be expressed as two probabilities, but </w:t>
      </w:r>
      <w:r w:rsidR="006C71AE">
        <w:t>are commonly</w:t>
      </w:r>
      <w:r>
        <w:t xml:space="preserve"> described by the standard of case baseline probability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t xml:space="preserve"> and a relative risk, or odds ratio for the new treatment</w:t>
      </w:r>
      <w:r w:rsidR="000738E7">
        <w:t xml:space="preserve"> from whi</w:t>
      </w:r>
      <w:r w:rsidR="008905A5">
        <w:t>c</w:t>
      </w:r>
      <w:r w:rsidR="000738E7">
        <w:t>h we can estimate</w:t>
      </w:r>
      <m:oMath>
        <m:r>
          <w:rPr>
            <w:rFonts w:ascii="Cambria Math" w:hAnsi="Cambria Math"/>
          </w:rPr>
          <m:t xml:space="preserve"> </m:t>
        </m:r>
        <m:sSub>
          <m:sSubPr>
            <m:ctrlPr>
              <w:rPr>
                <w:rFonts w:ascii="Cambria Math" w:hAnsi="Cambria Math"/>
                <w:i/>
              </w:rPr>
            </m:ctrlPr>
          </m:sSubPr>
          <m:e>
            <m:r>
              <w:rPr>
                <w:rFonts w:ascii="Cambria Math" w:hAnsi="Cambria Math"/>
              </w:rPr>
              <m:t xml:space="preserve"> θ</m:t>
            </m:r>
          </m:e>
          <m:sub>
            <m:r>
              <w:rPr>
                <w:rFonts w:ascii="Cambria Math" w:hAnsi="Cambria Math"/>
              </w:rPr>
              <m:t>2</m:t>
            </m:r>
          </m:sub>
        </m:sSub>
      </m:oMath>
      <w:r>
        <w:t>. Ades et al. (2004) demonstrate that the baseline ri</w:t>
      </w:r>
      <w:r w:rsidR="001226DD">
        <w:t>sk</w:t>
      </w:r>
      <w:r>
        <w:t xml:space="preserve"> </w:t>
      </w:r>
      <w:r w:rsidR="001226DD">
        <w:t>does not have to be updated with the new trial data, providing that the relative risk is used because this can be assumed to be independent of baseline risk</w:t>
      </w:r>
      <w:r w:rsidR="006C71AE">
        <w:t xml:space="preserve">. </w:t>
      </w:r>
    </w:p>
    <w:p w:rsidR="004F599F" w:rsidRDefault="004F599F" w:rsidP="00667022">
      <w:r>
        <w:t>Conti and Claxton (2009)</w:t>
      </w:r>
      <w:r w:rsidR="00D73B5F">
        <w:t xml:space="preserve"> use the</w:t>
      </w:r>
      <w:r w:rsidR="001226DD">
        <w:t>se</w:t>
      </w:r>
      <w:r w:rsidR="00D73B5F">
        <w:t xml:space="preserve"> methods to develop an optimisation procedure to identify a portfolio of research designs with optimum sample size. The log odds ratios </w:t>
      </w:r>
      <w:r w:rsidR="0013370E">
        <w:t>were</w:t>
      </w:r>
      <w:r w:rsidR="00D73B5F">
        <w:t xml:space="preserve"> modelled via a normal approximation to binomial likelihoods. </w:t>
      </w:r>
      <w:r w:rsidR="00EF173E">
        <w:t>This</w:t>
      </w:r>
      <w:r w:rsidR="003746CD">
        <w:t xml:space="preserve"> simplifies the calculation of the net benefit function for a given set of parameters. </w:t>
      </w:r>
      <w:r w:rsidR="00667022">
        <w:t xml:space="preserve">McKenna and Claxton (2011) explore some of the issues involved with an “adopt and research decision” for institutions such as NICE </w:t>
      </w:r>
      <w:r w:rsidR="00E729BA">
        <w:fldChar w:fldCharType="begin"/>
      </w:r>
      <w:r w:rsidR="00FC61FD">
        <w:instrText xml:space="preserve"> ADDIN REFMGR.CITE &lt;Refman&gt;&lt;Cite&gt;&lt;Author&gt;McKenna&lt;/Author&gt;&lt;Year&gt;2011&lt;/Year&gt;&lt;RecNum&gt;682&lt;/RecNum&gt;&lt;IDText&gt;Addressing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00E729BA">
        <w:fldChar w:fldCharType="separate"/>
      </w:r>
      <w:r w:rsidR="004D7951">
        <w:t>(112)</w:t>
      </w:r>
      <w:r w:rsidR="00E729BA">
        <w:fldChar w:fldCharType="end"/>
      </w:r>
      <w:r w:rsidR="00667022">
        <w:t xml:space="preserve">. They demonstrate a practical example of ENBS and highlight that it was important to consider all groups of patients, whether in the trial, or out of the trial and how the data collection affects them. </w:t>
      </w:r>
    </w:p>
    <w:p w:rsidR="006219E3" w:rsidRDefault="008905A5" w:rsidP="008905A5">
      <w:r>
        <w:t>The literature review identified</w:t>
      </w:r>
      <w:r w:rsidR="009C4BFA">
        <w:t xml:space="preserve"> </w:t>
      </w:r>
      <w:r w:rsidR="006E4871">
        <w:t>three</w:t>
      </w:r>
      <w:r w:rsidR="009C4BFA">
        <w:t xml:space="preserve"> practical </w:t>
      </w:r>
      <w:r>
        <w:t>ENBS case studies</w:t>
      </w:r>
      <w:r w:rsidR="009C4BFA">
        <w:t xml:space="preserve"> in which individual or groups of parameters </w:t>
      </w:r>
      <w:r w:rsidR="001226DD">
        <w:t>would</w:t>
      </w:r>
      <w:r w:rsidR="009C4BFA">
        <w:t xml:space="preserve"> be updated in a future clinical trial </w:t>
      </w:r>
      <w:r w:rsidR="006E4871">
        <w:t xml:space="preserve">using analytical methods to estimate the posterior distribution </w:t>
      </w:r>
      <w:r w:rsidR="00E729BA">
        <w:fldChar w:fldCharType="begin"/>
      </w:r>
      <w:r w:rsidR="00FC61FD">
        <w:instrText xml:space="preserve"> ADDIN REFMGR.CITE &lt;Refman&gt;&lt;Cite&gt;&lt;Author&gt;Stevenson&lt;/Author&gt;&lt;Year&gt;2009&lt;/Year&gt;&lt;RecNum&gt;466&lt;/RecNum&gt;&lt;IDText&gt;Vitamin K to prevent fractures in older women: systematic review and economic evaluation&lt;/IDText&gt;&lt;MDL Ref_Type="Journal"&gt;&lt;Ref_Type&gt;Journal&lt;/Ref_Type&gt;&lt;Ref_ID&gt;466&lt;/Ref_ID&gt;&lt;Title_Primary&gt;Vitamin K to prevent fractures in older women: systematic review and economic evaluation&lt;/Title_Primary&gt;&lt;Authors_Primary&gt;Stevenson,M.&lt;/Authors_Primary&gt;&lt;Authors_Primary&gt;Lloyd-Jones,M.&lt;/Authors_Primary&gt;&lt;Authors_Primary&gt;Papaioannou,D.&lt;/Authors_Primary&gt;&lt;Date_Primary&gt;2009&lt;/Date_Primary&gt;&lt;Keywords&gt;article&lt;/Keywords&gt;&lt;Keywords&gt;confidence interval&lt;/Keywords&gt;&lt;Keywords&gt;evaluation&lt;/Keywords&gt;&lt;Keywords&gt;Incidence&lt;/Keywords&gt;&lt;Keywords&gt;Medline&lt;/Keywords&gt;&lt;Keywords&gt;methods&lt;/Keywords&gt;&lt;Keywords&gt;Osteoporosis&lt;/Keywords&gt;&lt;Keywords&gt;placebo&lt;/Keywords&gt;&lt;Keywords&gt;Research&lt;/Keywords&gt;&lt;Keywords&gt;Risk&lt;/Keywords&gt;&lt;Keywords&gt;Skin&lt;/Keywords&gt;&lt;Keywords&gt;Uncertainty&lt;/Keywords&gt;&lt;Keywords&gt;Women&lt;/Keywords&gt;&lt;Reprint&gt;Not in File&lt;/Reprint&gt;&lt;Start_Page&gt;1&lt;/Start_Page&gt;&lt;End_Page&gt;+&lt;/End_Page&gt;&lt;Periodical&gt;Health Technology Assessment&lt;/Periodical&gt;&lt;Volume&gt;13&lt;/Volume&gt;&lt;Issue&gt;45&lt;/Issue&gt;&lt;User_Def_1&gt;yes&lt;/User_Def_1&gt;&lt;User_Def_2&gt;yes&lt;/User_Def_2&gt;&lt;ISSN_ISBN&gt;1366-5278&lt;/ISSN_ISBN&gt;&lt;Web_URL&gt;WOS:000272034000001&lt;/Web_URL&gt;&lt;ZZ_JournalFull&gt;&lt;f name="System"&gt;Health Technology Assessment&lt;/f&gt;&lt;/ZZ_JournalFull&gt;&lt;ZZ_WorkformID&gt;1&lt;/ZZ_WorkformID&gt;&lt;/MDL&gt;&lt;/Cite&gt;&lt;Cite&gt;&lt;Author&gt;Stevenson&lt;/Author&gt;&lt;Year&gt;2009&lt;/Year&gt;&lt;RecNum&gt;464&lt;/RecNum&gt;&lt;IDText&gt;The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4D7951">
        <w:t>(110;111;113)</w:t>
      </w:r>
      <w:r w:rsidR="00E729BA">
        <w:fldChar w:fldCharType="end"/>
      </w:r>
      <w:r w:rsidR="009C4BFA">
        <w:t>.</w:t>
      </w:r>
      <w:r w:rsidR="000467E3">
        <w:t xml:space="preserve"> </w:t>
      </w:r>
      <w:r w:rsidR="00F927AD">
        <w:t xml:space="preserve">In all three studies </w:t>
      </w:r>
      <w:r w:rsidR="00275EFA">
        <w:t>t</w:t>
      </w:r>
      <w:r w:rsidR="000467E3">
        <w:t xml:space="preserve">he parameters collected in the data collection were assumed to be normal or log-normal, which allowed a conjugate relationship to be used. The posterior distribution of the sampled parameters were then used in an inner-level Monte Carlo </w:t>
      </w:r>
      <w:r w:rsidR="00E44A19">
        <w:t xml:space="preserve">(MC) </w:t>
      </w:r>
      <w:r w:rsidR="000467E3">
        <w:t>sampling</w:t>
      </w:r>
      <w:r>
        <w:t xml:space="preserve"> of a CE model</w:t>
      </w:r>
      <w:r w:rsidR="000467E3">
        <w:t xml:space="preserve"> to estimate the expected net benefit after the data sampling. </w:t>
      </w:r>
    </w:p>
    <w:p w:rsidR="00BF12F7" w:rsidRDefault="006219E3" w:rsidP="004D7951">
      <w:r>
        <w:t xml:space="preserve">The problem with the computational burden of the inner-loop MC calculation </w:t>
      </w:r>
      <w:r w:rsidR="0090393D">
        <w:t>was</w:t>
      </w:r>
      <w:r>
        <w:t xml:space="preserve"> raised in these studies. </w:t>
      </w:r>
      <w:r w:rsidR="000738E7">
        <w:t xml:space="preserve">For each probabilistic sample from the trial outcomes it is necessary to run a complete PSA analysis to evaluate whether the trial will change the reimbursement decision. PSA analyses can be time consuming, so repeating the process for many </w:t>
      </w:r>
      <w:r w:rsidR="008905A5">
        <w:t>data samples will</w:t>
      </w:r>
      <w:r w:rsidR="000738E7">
        <w:t xml:space="preserve"> escalate the computation time. </w:t>
      </w:r>
      <w:r>
        <w:t>In one study t</w:t>
      </w:r>
      <w:r w:rsidR="00F927AD">
        <w:t xml:space="preserve">he authors note that they adopt a relatively simple </w:t>
      </w:r>
      <w:r w:rsidR="00B0148C">
        <w:t>CE</w:t>
      </w:r>
      <w:r w:rsidR="00F927AD">
        <w:t xml:space="preserve"> model for osteoporosis because of the computational burden of EVSI analysis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Making&lt;/f&gt;&lt;/ZZ_JournalFull&gt;&lt;ZZ_WorkformID&gt;1&lt;/ZZ_WorkformID&gt;&lt;/MDL&gt;&lt;/Cite&gt;&lt;/Refman&gt;</w:instrText>
      </w:r>
      <w:r w:rsidR="00E729BA">
        <w:fldChar w:fldCharType="separate"/>
      </w:r>
      <w:r w:rsidR="004D7951">
        <w:t>(111)</w:t>
      </w:r>
      <w:r w:rsidR="00E729BA">
        <w:fldChar w:fldCharType="end"/>
      </w:r>
      <w:r w:rsidR="00F927AD">
        <w:t xml:space="preserve">. They claim that the simple </w:t>
      </w:r>
      <w:r w:rsidR="00462E08">
        <w:t xml:space="preserve">CE </w:t>
      </w:r>
      <w:r w:rsidR="00F927AD">
        <w:t xml:space="preserve">model </w:t>
      </w:r>
      <w:r w:rsidR="0090393D">
        <w:t>was</w:t>
      </w:r>
      <w:r w:rsidR="00F927AD">
        <w:t xml:space="preserve"> unlikely to affect the </w:t>
      </w:r>
      <w:r w:rsidR="004D7951">
        <w:t>decision recommendation compared with the more detailed model</w:t>
      </w:r>
      <w:r w:rsidR="00EF173E">
        <w:t>.</w:t>
      </w:r>
      <w:r w:rsidR="00F927AD">
        <w:t xml:space="preserve"> </w:t>
      </w:r>
      <w:r w:rsidR="00EF173E">
        <w:t>H</w:t>
      </w:r>
      <w:r w:rsidR="00F927AD">
        <w:t xml:space="preserve">owever no comparisons between the simple and complex </w:t>
      </w:r>
      <w:r w:rsidR="00462E08">
        <w:t xml:space="preserve">CE </w:t>
      </w:r>
      <w:r w:rsidR="00F927AD">
        <w:t xml:space="preserve">model </w:t>
      </w:r>
      <w:r w:rsidR="0013370E">
        <w:t>were</w:t>
      </w:r>
      <w:r w:rsidR="00F927AD">
        <w:t xml:space="preserve"> presented to support this assumption. </w:t>
      </w:r>
      <w:r w:rsidR="00E555ED">
        <w:t>In the studies of Vitamin K a</w:t>
      </w:r>
      <w:r w:rsidR="00F927AD">
        <w:t xml:space="preserve"> meta-model based on the outputs of an individual patient model to predict costs and QALYs for the efficacy of a treatment </w:t>
      </w:r>
      <w:r w:rsidR="0090393D">
        <w:t>was</w:t>
      </w:r>
      <w:r w:rsidR="00E555ED">
        <w:t xml:space="preserve"> us</w:t>
      </w:r>
      <w:r>
        <w:t>ed to simplify the inner-loop MC process</w:t>
      </w:r>
      <w:r w:rsidR="00E555ED">
        <w:t xml:space="preserve"> </w:t>
      </w:r>
      <w:r w:rsidR="00E729BA">
        <w:fldChar w:fldCharType="begin"/>
      </w:r>
      <w:r w:rsidR="00FC61FD">
        <w:instrText xml:space="preserve"> ADDIN REFMGR.CITE &lt;Refman&gt;&lt;Cite&gt;&lt;Author&gt;Stevenson&lt;/Author&gt;&lt;Year&gt;2009&lt;/Year&gt;&lt;RecNum&gt;466&lt;/RecNum&gt;&lt;IDText&gt;Vitamin K to prevent fractures in older women: systematic review and economic evaluation&lt;/IDText&gt;&lt;MDL Ref_Type="Journal"&gt;&lt;Ref_Type&gt;Journal&lt;/Ref_Type&gt;&lt;Ref_ID&gt;466&lt;/Ref_ID&gt;&lt;Title_Primary&gt;Vitamin K to prevent fractures in older women: systematic review and economic evaluation&lt;/Title_Primary&gt;&lt;Authors_Primary&gt;Stevenson,M.&lt;/Authors_Primary&gt;&lt;Authors_Primary&gt;Lloyd-Jones,M.&lt;/Authors_Primary&gt;&lt;Authors_Primary&gt;Papaioannou,D.&lt;/Authors_Primary&gt;&lt;Date_Primary&gt;2009&lt;/Date_Primary&gt;&lt;Keywords&gt;article&lt;/Keywords&gt;&lt;Keywords&gt;confidence interval&lt;/Keywords&gt;&lt;Keywords&gt;evaluation&lt;/Keywords&gt;&lt;Keywords&gt;Incidence&lt;/Keywords&gt;&lt;Keywords&gt;Medline&lt;/Keywords&gt;&lt;Keywords&gt;methods&lt;/Keywords&gt;&lt;Keywords&gt;Osteoporosis&lt;/Keywords&gt;&lt;Keywords&gt;placebo&lt;/Keywords&gt;&lt;Keywords&gt;Research&lt;/Keywords&gt;&lt;Keywords&gt;Risk&lt;/Keywords&gt;&lt;Keywords&gt;Skin&lt;/Keywords&gt;&lt;Keywords&gt;Uncertainty&lt;/Keywords&gt;&lt;Keywords&gt;Women&lt;/Keywords&gt;&lt;Reprint&gt;Not in File&lt;/Reprint&gt;&lt;Start_Page&gt;1&lt;/Start_Page&gt;&lt;End_Page&gt;+&lt;/End_Page&gt;&lt;Periodical&gt;Health Technology Assessment&lt;/Periodical&gt;&lt;Volume&gt;13&lt;/Volume&gt;&lt;Issue&gt;45&lt;/Issue&gt;&lt;User_Def_1&gt;yes&lt;/User_Def_1&gt;&lt;User_Def_2&gt;yes&lt;/User_Def_2&gt;&lt;ISSN_ISBN&gt;1366-5278&lt;/ISSN_ISBN&gt;&lt;Web_URL&gt;WOS:000272034000001&lt;/Web_URL&gt;&lt;ZZ_JournalFull&gt;&lt;f name="System"&gt;Health Technology Assessment&lt;/f&gt;&lt;/ZZ_JournalFull&gt;&lt;ZZ_WorkformID&gt;1&lt;/ZZ_WorkformID&gt;&lt;/MDL&gt;&lt;/Cite&gt;&lt;Cite&gt;&lt;Author&gt;Stevenson&lt;/Author&gt;&lt;Year&gt;2011&lt;/Year&gt;&lt;RecNum&gt;1527&lt;/RecNum&gt;&lt;IDText&gt;The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4D7951">
        <w:t>(110;113)</w:t>
      </w:r>
      <w:r w:rsidR="00E729BA">
        <w:fldChar w:fldCharType="end"/>
      </w:r>
      <w:r>
        <w:t xml:space="preserve">. This method </w:t>
      </w:r>
      <w:r w:rsidR="001226DD">
        <w:t>had</w:t>
      </w:r>
      <w:r>
        <w:t xml:space="preserve"> been calibrated against a more complex </w:t>
      </w:r>
      <w:r w:rsidR="00462E08">
        <w:t xml:space="preserve">CE </w:t>
      </w:r>
      <w:r>
        <w:t>model</w:t>
      </w:r>
      <w:r w:rsidR="00E555ED">
        <w:t xml:space="preserve"> </w:t>
      </w:r>
      <w:r w:rsidR="00E729BA">
        <w:fldChar w:fldCharType="begin"/>
      </w:r>
      <w:r w:rsidR="00FC61FD">
        <w:instrText xml:space="preserve"> ADDIN REFMGR.CITE &lt;Refman&gt;&lt;Cite&gt;&lt;Author&gt;Stevenson&lt;/Author&gt;&lt;Year&gt;2009&lt;/Year&gt;&lt;RecNum&gt;466&lt;/RecNum&gt;&lt;IDText&gt;Vitamin K to prevent fractures in older women: systematic review and economic evaluation&lt;/IDText&gt;&lt;MDL Ref_Type="Journal"&gt;&lt;Ref_Type&gt;Journal&lt;/Ref_Type&gt;&lt;Ref_ID&gt;466&lt;/Ref_ID&gt;&lt;Title_Primary&gt;Vitamin K to prevent fractures in older women: systematic review and economic evaluation&lt;/Title_Primary&gt;&lt;Authors_Primary&gt;Stevenson,M.&lt;/Authors_Primary&gt;&lt;Authors_Primary&gt;Lloyd-Jones,M.&lt;/Authors_Primary&gt;&lt;Authors_Primary&gt;Papaioannou,D.&lt;/Authors_Primary&gt;&lt;Date_Primary&gt;2009&lt;/Date_Primary&gt;&lt;Keywords&gt;article&lt;/Keywords&gt;&lt;Keywords&gt;confidence interval&lt;/Keywords&gt;&lt;Keywords&gt;evaluation&lt;/Keywords&gt;&lt;Keywords&gt;Incidence&lt;/Keywords&gt;&lt;Keywords&gt;Medline&lt;/Keywords&gt;&lt;Keywords&gt;methods&lt;/Keywords&gt;&lt;Keywords&gt;Osteoporosis&lt;/Keywords&gt;&lt;Keywords&gt;placebo&lt;/Keywords&gt;&lt;Keywords&gt;Research&lt;/Keywords&gt;&lt;Keywords&gt;Risk&lt;/Keywords&gt;&lt;Keywords&gt;Skin&lt;/Keywords&gt;&lt;Keywords&gt;Uncertainty&lt;/Keywords&gt;&lt;Keywords&gt;Women&lt;/Keywords&gt;&lt;Reprint&gt;Not in File&lt;/Reprint&gt;&lt;Start_Page&gt;1&lt;/Start_Page&gt;&lt;End_Page&gt;+&lt;/End_Page&gt;&lt;Periodical&gt;Health Technology Assessment&lt;/Periodical&gt;&lt;Volume&gt;13&lt;/Volume&gt;&lt;Issue&gt;45&lt;/Issue&gt;&lt;User_Def_1&gt;yes&lt;/User_Def_1&gt;&lt;User_Def_2&gt;yes&lt;/User_Def_2&gt;&lt;ISSN_ISBN&gt;1366-5278&lt;/ISSN_ISBN&gt;&lt;Web_URL&gt;WOS:000272034000001&lt;/Web_URL&gt;&lt;ZZ_JournalFull&gt;&lt;f name="System"&gt;Health Technology Assessment&lt;/f&gt;&lt;/ZZ_JournalFull&gt;&lt;ZZ_WorkformID&gt;1&lt;/ZZ_WorkformID&gt;&lt;/MDL&gt;&lt;/Cite&gt;&lt;/Refman&gt;</w:instrText>
      </w:r>
      <w:r w:rsidR="00E729BA">
        <w:fldChar w:fldCharType="separate"/>
      </w:r>
      <w:r w:rsidR="004D7951">
        <w:t>(110)</w:t>
      </w:r>
      <w:r w:rsidR="00E729BA">
        <w:fldChar w:fldCharType="end"/>
      </w:r>
      <w:r w:rsidR="00F927AD">
        <w:t>.</w:t>
      </w:r>
    </w:p>
    <w:p w:rsidR="00E82702" w:rsidRDefault="00667022" w:rsidP="00EE2E22">
      <w:r>
        <w:t>The assumption of conjugate distributions will simplify the process of Bayesian updating but does not eliminate the computational burden of an EVSI analysis. The evaluation of the inner level Monte Carlo Sampling can still be very time consuming with complex CE models. Conjugate methods cannot be applied if there is correlation between the parameters to be updated, and the complement</w:t>
      </w:r>
      <w:r w:rsidR="004D7951">
        <w:t xml:space="preserve"> set of parameter not updated with trial data. </w:t>
      </w:r>
      <w:r w:rsidR="00D0049C">
        <w:t>Conjugate</w:t>
      </w:r>
      <w:r w:rsidR="004D7951">
        <w:t xml:space="preserve"> methods cannot be used if</w:t>
      </w:r>
      <w:r>
        <w:t xml:space="preserve"> the parameters of the </w:t>
      </w:r>
      <w:r w:rsidR="00462E08">
        <w:t xml:space="preserve">CE </w:t>
      </w:r>
      <w:r>
        <w:t xml:space="preserve">model cannot be described by conjugate distributions. </w:t>
      </w:r>
    </w:p>
    <w:p w:rsidR="00667022" w:rsidRDefault="00E82702" w:rsidP="00E82702">
      <w:r>
        <w:t xml:space="preserve">In summary, studies that utilise conjugate distributions to update parameters of a CE model have demonstrated practical examples in which simple CE models have informed the design of clinical trials. </w:t>
      </w:r>
    </w:p>
    <w:p w:rsidR="00761A6E" w:rsidRDefault="00761A6E" w:rsidP="008905A5">
      <w:pPr>
        <w:pStyle w:val="Heading3"/>
      </w:pPr>
      <w:bookmarkStart w:id="135" w:name="_Toc379467580"/>
      <w:r>
        <w:t>E</w:t>
      </w:r>
      <w:r w:rsidR="00796D40">
        <w:t>NBS</w:t>
      </w:r>
      <w:r>
        <w:t xml:space="preserve"> </w:t>
      </w:r>
      <w:r w:rsidR="008905A5">
        <w:t>With</w:t>
      </w:r>
      <w:r>
        <w:t xml:space="preserve"> Non-Conjugate Priors</w:t>
      </w:r>
      <w:bookmarkEnd w:id="135"/>
    </w:p>
    <w:p w:rsidR="006274CB" w:rsidRDefault="00CD4B3D" w:rsidP="004D7951">
      <w:r>
        <w:t xml:space="preserve">Not all statistical distributions used in </w:t>
      </w:r>
      <w:r w:rsidR="00462E08">
        <w:t>CE</w:t>
      </w:r>
      <w:r>
        <w:t xml:space="preserve"> models can be updated using conjugate distributions. In this situation, </w:t>
      </w:r>
      <w:r w:rsidR="00761A6E">
        <w:t xml:space="preserve">Bayesian updating can be undertaken using </w:t>
      </w:r>
      <w:r w:rsidR="0058086E">
        <w:t>MCMC</w:t>
      </w:r>
      <w:r w:rsidR="00761A6E">
        <w:t xml:space="preserve"> methods</w:t>
      </w:r>
      <w:r w:rsidR="00E82702">
        <w:t xml:space="preserve"> </w:t>
      </w:r>
      <w:r w:rsidR="00E729BA">
        <w:fldChar w:fldCharType="begin"/>
      </w:r>
      <w:r w:rsidR="00FC61FD">
        <w:instrText xml:space="preserve"> ADDIN REFMGR.CITE &lt;Refman&gt;&lt;Cite&gt;&lt;Author&gt;Spiegelhalter&lt;/Author&gt;&lt;Year&gt;2004&lt;/Year&gt;&lt;RecNum&gt;1663&lt;/RecNum&gt;&lt;IDText&gt;Bayesian Approaches to Clinical Trials and Health Care Evaluation&lt;/IDText&gt;&lt;MDL Ref_Type="Book, Whole"&gt;&lt;Ref_Type&gt;Book, Whole&lt;/Ref_Type&gt;&lt;Ref_ID&gt;1663&lt;/Ref_ID&gt;&lt;Title_Primary&gt;Bayesian Approaches to Clinical Trials and Health Care Evaluation&lt;/Title_Primary&gt;&lt;Authors_Primary&gt;Spiegelhalter,D.J.&lt;/Authors_Primary&gt;&lt;Authors_Primary&gt;Abrams,K.R.&lt;/Authors_Primary&gt;&lt;Authors_Primary&gt;Myles,J.P.&lt;/Authors_Primary&gt;&lt;Date_Primary&gt;2004&lt;/Date_Primary&gt;&lt;Keywords&gt;clinical trial&lt;/Keywords&gt;&lt;Keywords&gt;Health&lt;/Keywords&gt;&lt;Keywords&gt;evaluation&lt;/Keywords&gt;&lt;Reprint&gt;In File&lt;/Reprint&gt;&lt;Pub_Place&gt;Chicester&lt;/Pub_Place&gt;&lt;Publisher&gt;John Wiley and Sons Ltd.&lt;/Publisher&gt;&lt;ZZ_WorkformID&gt;2&lt;/ZZ_WorkformID&gt;&lt;/MDL&gt;&lt;/Cite&gt;&lt;/Refman&gt;</w:instrText>
      </w:r>
      <w:r w:rsidR="00E729BA">
        <w:fldChar w:fldCharType="separate"/>
      </w:r>
      <w:r w:rsidR="007171F5">
        <w:t>(10)</w:t>
      </w:r>
      <w:r w:rsidR="00E729BA">
        <w:fldChar w:fldCharType="end"/>
      </w:r>
      <w:r w:rsidR="00761A6E">
        <w:t xml:space="preserve">. </w:t>
      </w:r>
      <w:r w:rsidR="004D7951">
        <w:t xml:space="preserve">Bayesian </w:t>
      </w:r>
      <w:r w:rsidR="00761A6E">
        <w:t>software</w:t>
      </w:r>
      <w:r w:rsidR="004D7951">
        <w:t>, such as WinBUGS,</w:t>
      </w:r>
      <w:r w:rsidR="006274CB">
        <w:t xml:space="preserve"> can be used to specify the</w:t>
      </w:r>
      <w:r w:rsidR="00761A6E">
        <w:t xml:space="preserve"> prior distributio</w:t>
      </w:r>
      <w:r w:rsidR="006274CB">
        <w:t xml:space="preserve">n, </w:t>
      </w:r>
      <w:r w:rsidR="0058086E">
        <w:t xml:space="preserve">the model for the data, </w:t>
      </w:r>
      <w:r w:rsidR="006274CB">
        <w:t>and data</w:t>
      </w:r>
      <w:r w:rsidR="0058086E">
        <w:t xml:space="preserve">. WinBUGS samples values from the posterior distribution of the parameters </w:t>
      </w:r>
      <w:r w:rsidR="00E82702">
        <w:t xml:space="preserve">which can then be used </w:t>
      </w:r>
      <w:r w:rsidR="0058086E">
        <w:t xml:space="preserve">in the </w:t>
      </w:r>
      <w:r w:rsidR="00462E08">
        <w:t xml:space="preserve">CE </w:t>
      </w:r>
      <w:r w:rsidR="0058086E">
        <w:t>model</w:t>
      </w:r>
      <w:r w:rsidR="00761A6E">
        <w:t>.</w:t>
      </w:r>
      <w:r w:rsidR="006274CB">
        <w:t xml:space="preserve"> The process </w:t>
      </w:r>
      <w:r w:rsidR="00E82702">
        <w:t>can</w:t>
      </w:r>
      <w:r w:rsidR="0090393D">
        <w:t xml:space="preserve"> be</w:t>
      </w:r>
      <w:r w:rsidR="006274CB">
        <w:t xml:space="preserve"> computationally expensive, </w:t>
      </w:r>
      <w:r w:rsidR="008905A5">
        <w:t>because the data sampling and nested Monte Carlo are both time consuming</w:t>
      </w:r>
      <w:r w:rsidR="006274CB">
        <w:t xml:space="preserve">, which restricts the use of EVSI to simple </w:t>
      </w:r>
      <w:r w:rsidR="00462E08">
        <w:t>CE</w:t>
      </w:r>
      <w:r w:rsidR="006274CB">
        <w:t xml:space="preserve"> models. </w:t>
      </w:r>
    </w:p>
    <w:p w:rsidR="003B6ABD" w:rsidRDefault="006274CB" w:rsidP="00E44A19">
      <w:r>
        <w:t>Brennan and Karroubi (2007) developed a method of Bayesian approximation</w:t>
      </w:r>
      <w:r w:rsidR="00CD4B3D">
        <w:t xml:space="preserve"> (B&amp;K approximation)</w:t>
      </w:r>
      <w:r>
        <w:t xml:space="preserve"> that can be used in EVSI calculations</w:t>
      </w:r>
      <w:r w:rsidR="003B6ABD">
        <w:t xml:space="preserve"> </w:t>
      </w:r>
      <w:r w:rsidR="00E729BA">
        <w:fldChar w:fldCharType="begin"/>
      </w:r>
      <w:r w:rsidR="00FC61FD">
        <w:instrText xml:space="preserve"> ADDIN REFMGR.CITE &lt;Refman&gt;&lt;Cite&gt;&lt;Author&gt;Brennan&lt;/Author&gt;&lt;Year&gt;2007&lt;/Year&gt;&lt;RecNum&gt;60&lt;/RecNum&gt;&lt;IDText&gt;Efficient computation of partial expected value of sample information using Bayesian approximation&lt;/IDText&gt;&lt;MDL Ref_Type="Journal"&gt;&lt;Ref_Type&gt;Journal&lt;/Ref_Type&gt;&lt;Ref_ID&gt;60&lt;/Ref_ID&gt;&lt;Title_Primary&gt;Efficient computation of partial expected value of sample information using Bayesian approximation&lt;/Title_Primary&gt;&lt;Authors_Primary&gt;Brennan,Alan&lt;/Authors_Primary&gt;&lt;Authors_Primary&gt;Kharroubi,Samer A.&lt;/Authors_Primary&gt;&lt;Date_Primary&gt;2007&lt;/Date_Primary&gt;&lt;Keywords&gt;Health&lt;/Keywords&gt;&lt;Keywords&gt;methods&lt;/Keywords&gt;&lt;Keywords&gt;sample&lt;/Keywords&gt;&lt;Keywords&gt;Sample Size&lt;/Keywords&gt;&lt;Reprint&gt;Not in File&lt;/Reprint&gt;&lt;Start_Page&gt;122&lt;/Start_Page&gt;&lt;End_Page&gt;148&lt;/End_Page&gt;&lt;Periodical&gt;Journal of Health Economics&lt;/Periodical&gt;&lt;Volume&gt;26&lt;/Volume&gt;&lt;Issue&gt;1&lt;/Issue&gt;&lt;User_Def_1&gt;yes&lt;/User_Def_1&gt;&lt;User_Def_2&gt;yes&lt;/User_Def_2&gt;&lt;ISSN_ISBN&gt;0167-6296&lt;/ISSN_ISBN&gt;&lt;Web_URL&gt;WOS:000243808700007&lt;/Web_URL&gt;&lt;ZZ_JournalFull&gt;&lt;f name="System"&gt;Journal of Health Economics&lt;/f&gt;&lt;/ZZ_JournalFull&gt;&lt;ZZ_WorkformID&gt;1&lt;/ZZ_WorkformID&gt;&lt;/MDL&gt;&lt;/Cite&gt;&lt;/Refman&gt;</w:instrText>
      </w:r>
      <w:r w:rsidR="00E729BA">
        <w:fldChar w:fldCharType="separate"/>
      </w:r>
      <w:r w:rsidR="004D7951">
        <w:t>(116)</w:t>
      </w:r>
      <w:r w:rsidR="00E729BA">
        <w:fldChar w:fldCharType="end"/>
      </w:r>
      <w:r>
        <w:t xml:space="preserve">. The </w:t>
      </w:r>
      <w:r w:rsidR="00667022">
        <w:t xml:space="preserve">B&amp;K </w:t>
      </w:r>
      <w:r>
        <w:t xml:space="preserve">approximation formula estimates the posterior expectation of a </w:t>
      </w:r>
      <w:r w:rsidR="003B6ABD">
        <w:t xml:space="preserve">Net Benefit </w:t>
      </w:r>
      <w:r>
        <w:t>function given data</w:t>
      </w:r>
      <w:r w:rsidR="003B6ABD">
        <w:t xml:space="preserve"> collected </w:t>
      </w:r>
      <w:r w:rsidR="0058086E">
        <w:t>for a</w:t>
      </w:r>
      <w:r w:rsidR="003B6ABD">
        <w:t xml:space="preserve"> subset of parameters</w:t>
      </w:r>
      <w:r>
        <w:t>.</w:t>
      </w:r>
      <w:r w:rsidR="00761A6E">
        <w:t xml:space="preserve"> </w:t>
      </w:r>
      <w:r w:rsidR="00E44A19">
        <w:t>In the article t</w:t>
      </w:r>
      <w:r w:rsidR="003B6ABD">
        <w:t xml:space="preserve">he </w:t>
      </w:r>
      <w:r w:rsidR="00667022">
        <w:t xml:space="preserve">B&amp;K </w:t>
      </w:r>
      <w:r w:rsidR="003B6ABD">
        <w:t xml:space="preserve">approximation formula </w:t>
      </w:r>
      <w:r w:rsidR="0090393D">
        <w:t>was</w:t>
      </w:r>
      <w:r w:rsidR="003B6ABD">
        <w:t xml:space="preserve"> shown to estimate similar expected Net Benefit to </w:t>
      </w:r>
      <w:r w:rsidR="004D7951">
        <w:t xml:space="preserve">the </w:t>
      </w:r>
      <w:r w:rsidR="003B6ABD">
        <w:t xml:space="preserve">MCMC sampling method. The methods have also been demonstrated to work with Weibull survival data where the data and prior distribution </w:t>
      </w:r>
      <w:r w:rsidR="0013370E">
        <w:t>were</w:t>
      </w:r>
      <w:r w:rsidR="003B6ABD">
        <w:t xml:space="preserve"> not conjugate </w:t>
      </w:r>
      <w:r w:rsidR="00E729BA">
        <w:fldChar w:fldCharType="begin"/>
      </w:r>
      <w:r w:rsidR="00FC61FD">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fldChar w:fldCharType="separate"/>
      </w:r>
      <w:r w:rsidR="004D7951">
        <w:t>(115)</w:t>
      </w:r>
      <w:r w:rsidR="00E729BA">
        <w:fldChar w:fldCharType="end"/>
      </w:r>
      <w:r w:rsidR="003B6ABD">
        <w:t>. The method offers substantial efficiency gains over convention</w:t>
      </w:r>
      <w:r w:rsidR="00E82702">
        <w:t>al</w:t>
      </w:r>
      <w:r w:rsidR="003B6ABD">
        <w:t xml:space="preserve"> MCMC Bayesian updating</w:t>
      </w:r>
      <w:r w:rsidR="00CD4B3D">
        <w:t xml:space="preserve"> in two ways. Firstly, </w:t>
      </w:r>
      <w:r w:rsidR="003B6ABD">
        <w:t xml:space="preserve">the Bayesian updating </w:t>
      </w:r>
      <w:r w:rsidR="0090393D">
        <w:t>was</w:t>
      </w:r>
      <w:r w:rsidR="003B6ABD">
        <w:t xml:space="preserve"> faster to compute than MCMC sampling</w:t>
      </w:r>
      <w:r w:rsidR="00CD4B3D">
        <w:t>. Secondly, it</w:t>
      </w:r>
      <w:r w:rsidR="003B6ABD">
        <w:t xml:space="preserve"> avoids the need to perform a nested Monte Carlo sample of Net Benefit given the posterior estimates of the </w:t>
      </w:r>
      <w:r w:rsidR="0058086E">
        <w:t>subset of parameters</w:t>
      </w:r>
      <w:r w:rsidR="003B6ABD">
        <w:t>.</w:t>
      </w:r>
      <w:r w:rsidR="00486A32">
        <w:t xml:space="preserve"> The approximation method requires </w:t>
      </w:r>
      <w:r w:rsidR="00486A32" w:rsidRPr="00EF173E">
        <w:rPr>
          <w:i/>
          <w:iCs/>
        </w:rPr>
        <w:t>2d+1</w:t>
      </w:r>
      <w:r w:rsidR="00486A32">
        <w:t xml:space="preserve"> evaluations of net benefit, where </w:t>
      </w:r>
      <w:r w:rsidR="00486A32" w:rsidRPr="00CD4B3D">
        <w:rPr>
          <w:i/>
          <w:iCs/>
        </w:rPr>
        <w:t>d</w:t>
      </w:r>
      <w:r w:rsidR="00486A32">
        <w:t xml:space="preserve"> is the number of uncertain parameters in the Net Benefit function. </w:t>
      </w:r>
      <w:r w:rsidR="009017E2">
        <w:t>In contrast</w:t>
      </w:r>
      <w:r w:rsidR="00486A32">
        <w:t xml:space="preserve">, MCMC sampling would require </w:t>
      </w:r>
      <w:r w:rsidR="008905A5">
        <w:t>substantially more</w:t>
      </w:r>
      <w:r w:rsidR="00486A32">
        <w:t xml:space="preserve"> evaluations of Net Benefit for the sampled posterior distributions of θ</w:t>
      </w:r>
      <w:r w:rsidR="008905A5">
        <w:t xml:space="preserve"> to get accurate estimates of Net Benefit</w:t>
      </w:r>
      <w:r w:rsidR="00486A32">
        <w:t xml:space="preserve">. </w:t>
      </w:r>
    </w:p>
    <w:p w:rsidR="00761A6E" w:rsidRDefault="003B6ABD" w:rsidP="00E82702">
      <w:r>
        <w:t xml:space="preserve">A recent development from Karroubi et al. (2011) has demonstrated that the method can be used to evaluate research programmes of different size. The previous </w:t>
      </w:r>
      <w:r w:rsidR="00CD4B3D">
        <w:t xml:space="preserve">B&amp;K approximation </w:t>
      </w:r>
      <w:r>
        <w:t xml:space="preserve">studies assumed that the same amount of data </w:t>
      </w:r>
      <w:r w:rsidR="0090393D">
        <w:t>was</w:t>
      </w:r>
      <w:r>
        <w:t xml:space="preserve"> collect</w:t>
      </w:r>
      <w:r w:rsidR="0090393D">
        <w:t>ed</w:t>
      </w:r>
      <w:r>
        <w:t xml:space="preserve"> for all parameters of interest. The authors refer to this as a “balanced” case. The study design </w:t>
      </w:r>
      <w:r w:rsidR="0090393D">
        <w:t>would be</w:t>
      </w:r>
      <w:r>
        <w:t xml:space="preserve"> “unbalanced” if, for example, the samples for the efficacy parameter </w:t>
      </w:r>
      <w:r w:rsidR="0090393D">
        <w:t>were</w:t>
      </w:r>
      <w:r>
        <w:t xml:space="preserve"> </w:t>
      </w:r>
      <w:r w:rsidR="0090393D">
        <w:t>larger</w:t>
      </w:r>
      <w:r>
        <w:t xml:space="preserve"> </w:t>
      </w:r>
      <w:r w:rsidR="00E82702">
        <w:t>than</w:t>
      </w:r>
      <w:r>
        <w:t xml:space="preserve"> that of utility data.</w:t>
      </w:r>
      <w:r w:rsidR="00C83E4B">
        <w:t xml:space="preserve"> In the example, the prior distribution </w:t>
      </w:r>
      <w:r w:rsidR="0090393D">
        <w:t>was</w:t>
      </w:r>
      <w:r w:rsidR="00C83E4B">
        <w:t xml:space="preserve"> updated sequentially with </w:t>
      </w:r>
      <w:r w:rsidR="00486A32">
        <w:t xml:space="preserve">six </w:t>
      </w:r>
      <w:r w:rsidR="00C83E4B">
        <w:t>sets of data</w:t>
      </w:r>
      <w:r w:rsidR="009017E2">
        <w:t xml:space="preserve"> of different size</w:t>
      </w:r>
      <w:r w:rsidR="00C83E4B">
        <w:t xml:space="preserve">. </w:t>
      </w:r>
      <w:r w:rsidR="00667022">
        <w:t>This study demonstrates that the multivariate normal prior can be analysed independently within the B&amp;K approximation method</w:t>
      </w:r>
      <w:r w:rsidR="00E82702">
        <w:t xml:space="preserve"> if it needs to be divided into smaller sub-groups of parameters</w:t>
      </w:r>
      <w:r w:rsidR="00667022">
        <w:t>.</w:t>
      </w:r>
    </w:p>
    <w:p w:rsidR="00844749" w:rsidRDefault="009017E2" w:rsidP="00462E08">
      <w:r>
        <w:t xml:space="preserve">In summary, the Brennan and Karroubi (B&amp;K) approximation provides an efficient method to calculate EVSI if the data collected </w:t>
      </w:r>
      <w:r w:rsidR="00844749">
        <w:t>would</w:t>
      </w:r>
      <w:r>
        <w:t xml:space="preserve"> not</w:t>
      </w:r>
      <w:r w:rsidR="00844749">
        <w:t xml:space="preserve"> be</w:t>
      </w:r>
      <w:r>
        <w:t xml:space="preserve"> conjugate with the prior or from imbalanced datasets. This method reduces the computational burden of conducting MCMC sampling in these situations and opens up the possibility of conducting EVSI in more complex </w:t>
      </w:r>
      <w:r w:rsidR="00462E08">
        <w:t>CE</w:t>
      </w:r>
      <w:r>
        <w:t xml:space="preserve"> models where MCMC sampling could not be completed within a </w:t>
      </w:r>
      <w:r w:rsidR="00844749">
        <w:t>reasonable</w:t>
      </w:r>
      <w:r>
        <w:t xml:space="preserve"> time-frame. </w:t>
      </w:r>
      <w:r w:rsidR="00844749">
        <w:t xml:space="preserve"> </w:t>
      </w:r>
    </w:p>
    <w:p w:rsidR="009017E2" w:rsidRDefault="008032ED" w:rsidP="002B3518">
      <w:pPr>
        <w:pStyle w:val="Heading3"/>
      </w:pPr>
      <w:bookmarkStart w:id="136" w:name="_Toc379467581"/>
      <w:r>
        <w:t>Behavioural</w:t>
      </w:r>
      <w:r w:rsidR="009E1EFA">
        <w:t xml:space="preserve"> Bayesian Approaches to Clinical Trial Design</w:t>
      </w:r>
      <w:bookmarkEnd w:id="136"/>
    </w:p>
    <w:p w:rsidR="00485D36" w:rsidRDefault="00E25680" w:rsidP="00D538A8">
      <w:r>
        <w:t xml:space="preserve">A series of articles </w:t>
      </w:r>
      <w:r w:rsidR="00485D36">
        <w:t xml:space="preserve">have considered methods to determine sample size based on the assumption that the number of subsequent </w:t>
      </w:r>
      <w:r w:rsidR="0093103D">
        <w:t>patients receiving the intervention</w:t>
      </w:r>
      <w:r w:rsidR="00485D36">
        <w:t xml:space="preserve"> </w:t>
      </w:r>
      <w:r w:rsidR="00126BF2">
        <w:t>was</w:t>
      </w:r>
      <w:r w:rsidR="00485D36">
        <w:t xml:space="preserve"> a function of </w:t>
      </w:r>
      <w:r w:rsidR="00D538A8">
        <w:t>the distribution of the standardised difference between the treatments</w:t>
      </w:r>
      <w:r w:rsidR="00485D36">
        <w:t>.</w:t>
      </w:r>
      <w:r w:rsidR="00D538A8">
        <w:t xml:space="preserve"> Therefore, the greater the difference and the smaller the variance the more likely it was that patients would switch.</w:t>
      </w:r>
      <w:r w:rsidR="00485D36">
        <w:t xml:space="preserve"> </w:t>
      </w:r>
      <w:r>
        <w:t xml:space="preserve">The method is referred to in the literature as </w:t>
      </w:r>
      <w:r w:rsidR="00202611">
        <w:t>the</w:t>
      </w:r>
      <w:r>
        <w:t xml:space="preserve"> Behavioural Bayesian </w:t>
      </w:r>
      <w:r w:rsidR="005D7025">
        <w:t xml:space="preserve">(BeBay) </w:t>
      </w:r>
      <w:r>
        <w:t>approach to sample size determination</w:t>
      </w:r>
      <w:r w:rsidR="006D0711">
        <w:t xml:space="preserve"> </w:t>
      </w:r>
      <w:r w:rsidR="00E729BA">
        <w:fldChar w:fldCharType="begin"/>
      </w:r>
      <w:r w:rsidR="00FC61FD">
        <w:instrText xml:space="preserve"> ADDIN REFMGR.CITE &lt;Refman&gt;&lt;Cite&gt;&lt;Author&gt;Gittins&lt;/Author&gt;&lt;Year&gt;2000&lt;/Year&gt;&lt;RecNum&gt;1612&lt;/RecNum&gt;&lt;IDText&gt;How large should a trial be?&lt;/IDText&gt;&lt;MDL Ref_Type="Journal"&gt;&lt;Ref_Type&gt;Journal&lt;/Ref_Type&gt;&lt;Ref_ID&gt;1612&lt;/Ref_ID&gt;&lt;Title_Primary&gt;How large should a trial be?&lt;/Title_Primary&gt;&lt;Authors_Primary&gt;Gittins,J.&lt;/Authors_Primary&gt;&lt;Authors_Primary&gt;Pezeshk,H.&lt;/Authors_Primary&gt;&lt;Date_Primary&gt;2000&lt;/Date_Primary&gt;&lt;Reprint&gt;In File&lt;/Reprint&gt;&lt;Start_Page&gt;177&lt;/Start_Page&gt;&lt;End_Page&gt;187&lt;/End_Page&gt;&lt;Periodical&gt;Journal of the Royal Statistical Society Seies D&lt;/Periodical&gt;&lt;Volume&gt;49&lt;/Volume&gt;&lt;Issue&gt;2&lt;/Issue&gt;&lt;User_Def_1&gt;yes&lt;/User_Def_1&gt;&lt;ZZ_JournalFull&gt;&lt;f name="System"&gt;Journal of the Royal Statistical Society Seies D&lt;/f&gt;&lt;/ZZ_JournalFull&gt;&lt;ZZ_WorkformID&gt;1&lt;/ZZ_WorkformID&gt;&lt;/MDL&gt;&lt;/Cite&gt;&lt;/Refman&gt;</w:instrText>
      </w:r>
      <w:r w:rsidR="00E729BA">
        <w:fldChar w:fldCharType="separate"/>
      </w:r>
      <w:r w:rsidR="004D7951">
        <w:t>(124)</w:t>
      </w:r>
      <w:r w:rsidR="00E729BA">
        <w:fldChar w:fldCharType="end"/>
      </w:r>
      <w:r>
        <w:t xml:space="preserve">. </w:t>
      </w:r>
      <w:r w:rsidR="00485D36">
        <w:t xml:space="preserve">The articles present methods relevant for the public health perspective and the industry perspective. This review </w:t>
      </w:r>
      <w:r>
        <w:t>focuses on the method developed from</w:t>
      </w:r>
      <w:r w:rsidR="00485D36">
        <w:t xml:space="preserve"> the industry</w:t>
      </w:r>
      <w:r w:rsidR="00E66FDF">
        <w:t xml:space="preserve"> perspective. </w:t>
      </w:r>
    </w:p>
    <w:p w:rsidR="00B01552" w:rsidRDefault="00D538A8" w:rsidP="00E44A19">
      <w:r>
        <w:t>The</w:t>
      </w:r>
      <w:r w:rsidR="004D7951">
        <w:t xml:space="preserve"> authors utilising the BeBay approach</w:t>
      </w:r>
      <w:r w:rsidR="003B608F">
        <w:t xml:space="preserve"> assume</w:t>
      </w:r>
      <w:r>
        <w:t>d</w:t>
      </w:r>
      <w:r w:rsidR="003B608F">
        <w:t xml:space="preserve"> that the</w:t>
      </w:r>
      <w:r w:rsidR="00FB7FA6">
        <w:t xml:space="preserve"> difference between two treatments</w:t>
      </w:r>
      <w:r w:rsidR="003B608F">
        <w:t xml:space="preserve"> has a mean</w:t>
      </w:r>
      <w:r w:rsidR="00FB7FA6">
        <w:t xml:space="preserve"> </w:t>
      </w:r>
      <m:oMath>
        <m:r>
          <w:rPr>
            <w:rFonts w:ascii="Cambria Math" w:hAnsi="Cambria Math"/>
          </w:rPr>
          <m:t>δ</m:t>
        </m:r>
      </m:oMath>
      <w:r w:rsidR="003B608F">
        <w:t xml:space="preserve"> and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rsidR="004D7951">
        <w:t xml:space="preserve"> (124)</w:t>
      </w:r>
      <w:r w:rsidR="003B608F">
        <w:t xml:space="preserve">. The prior distribution for </w:t>
      </w:r>
      <m:oMath>
        <m:r>
          <w:rPr>
            <w:rFonts w:ascii="Cambria Math" w:hAnsi="Cambria Math"/>
          </w:rPr>
          <m:t>δ</m:t>
        </m:r>
      </m:oMath>
      <w:r w:rsidR="003B608F">
        <w:t xml:space="preserve"> </w:t>
      </w:r>
      <w:r>
        <w:t>was</w:t>
      </w:r>
      <w:r w:rsidR="003B608F">
        <w:t xml:space="preserve"> normally distributed </w:t>
      </w:r>
      <m:oMath>
        <m:r>
          <w:rPr>
            <w:rFonts w:ascii="Cambria Math" w:hAnsi="Cambria Math"/>
          </w:rPr>
          <m:t>N(µ,</m:t>
        </m:r>
        <m:sSup>
          <m:sSupPr>
            <m:ctrlPr>
              <w:rPr>
                <w:rFonts w:ascii="Cambria Math" w:hAnsi="Cambria Math"/>
                <w:i/>
              </w:rPr>
            </m:ctrlPr>
          </m:sSupPr>
          <m:e>
            <m:r>
              <w:rPr>
                <w:rFonts w:ascii="Cambria Math" w:hAnsi="Cambria Math"/>
              </w:rPr>
              <m:t>τ</m:t>
            </m:r>
          </m:e>
          <m:sup>
            <m:r>
              <w:rPr>
                <w:rFonts w:ascii="Cambria Math" w:hAnsi="Cambria Math"/>
              </w:rPr>
              <m:t>2</m:t>
            </m:r>
          </m:sup>
        </m:sSup>
        <m:r>
          <w:rPr>
            <w:rFonts w:ascii="Cambria Math" w:hAnsi="Cambria Math"/>
          </w:rPr>
          <m:t>)</m:t>
        </m:r>
      </m:oMath>
      <w:r w:rsidR="003B608F">
        <w:t xml:space="preserve">. In the basic case the variance </w:t>
      </w:r>
      <m:oMath>
        <m:sSup>
          <m:sSupPr>
            <m:ctrlPr>
              <w:rPr>
                <w:rFonts w:ascii="Cambria Math" w:hAnsi="Cambria Math"/>
                <w:i/>
              </w:rPr>
            </m:ctrlPr>
          </m:sSupPr>
          <m:e>
            <m:r>
              <w:rPr>
                <w:rFonts w:ascii="Cambria Math" w:hAnsi="Cambria Math"/>
              </w:rPr>
              <m:t>σ</m:t>
            </m:r>
          </m:e>
          <m:sup>
            <m:r>
              <w:rPr>
                <w:rFonts w:ascii="Cambria Math" w:hAnsi="Cambria Math"/>
              </w:rPr>
              <m:t>2</m:t>
            </m:r>
          </m:sup>
        </m:sSup>
      </m:oMath>
      <w:r>
        <w:t xml:space="preserve"> was</w:t>
      </w:r>
      <w:r w:rsidR="003B608F">
        <w:t xml:space="preserve"> assumed known.</w:t>
      </w:r>
      <w:r w:rsidR="00FB7FA6">
        <w:t xml:space="preserve"> </w:t>
      </w:r>
      <w:r w:rsidR="003B608F">
        <w:t xml:space="preserve">The number of users of the new treatment depends on the posterior distribution of </w:t>
      </w:r>
      <m:oMath>
        <m:r>
          <w:rPr>
            <w:rFonts w:ascii="Cambria Math" w:hAnsi="Cambria Math"/>
          </w:rPr>
          <m:t>δ</m:t>
        </m:r>
      </m:oMath>
      <w:r w:rsidR="003B608F">
        <w:t xml:space="preserve"> contingent on the prior distribution and data collected. The benefit of the trial is measured in terms of the number of patients who will switch to the treatment after the data is collected</w:t>
      </w:r>
      <w:r>
        <w:t xml:space="preserve"> multiplied by the profits from that patient</w:t>
      </w:r>
      <w:r w:rsidR="003B608F">
        <w:t xml:space="preserve">. </w:t>
      </w:r>
      <w:r w:rsidR="001239C1">
        <w:t xml:space="preserve">This benefit is offset by the costs of the trial. </w:t>
      </w:r>
      <w:r w:rsidR="003B608F">
        <w:t xml:space="preserve">The </w:t>
      </w:r>
      <w:r w:rsidR="001239C1">
        <w:t>analyses seek</w:t>
      </w:r>
      <w:r w:rsidR="003B608F">
        <w:t xml:space="preserve"> to maximise</w:t>
      </w:r>
      <w:r w:rsidR="001239C1">
        <w:t xml:space="preserve"> expected Net Benefit of the trial for varying sample sizes. </w:t>
      </w:r>
      <w:r w:rsidR="001A5046">
        <w:t xml:space="preserve">The method assumes that the cost of the trial and variance in the treatment effect </w:t>
      </w:r>
      <w:r w:rsidR="0013370E">
        <w:t>were</w:t>
      </w:r>
      <w:r w:rsidR="001A5046">
        <w:t xml:space="preserve"> known. </w:t>
      </w:r>
      <w:r w:rsidR="006A67FB">
        <w:t>Halpern (2001) develop a programme to identify the optimum sample size for a clinical trial with a binary outcome</w:t>
      </w:r>
      <w:r w:rsidR="00F12F58">
        <w:t xml:space="preserve"> </w:t>
      </w:r>
      <w:r w:rsidR="00E729BA">
        <w:fldChar w:fldCharType="begin"/>
      </w:r>
      <w:r w:rsidR="00FC61FD">
        <w:instrText xml:space="preserve"> ADDIN REFMGR.CITE &lt;Refman&gt;&lt;Cite&gt;&lt;Author&gt;Halpern&lt;/Author&gt;&lt;Year&gt;2001&lt;/Year&gt;&lt;RecNum&gt;406&lt;/RecNum&gt;&lt;IDText&gt;The sample size for a clinical trial: A Bayesian-decision theoretic approach&lt;/IDText&gt;&lt;MDL Ref_Type="Journal"&gt;&lt;Ref_Type&gt;Journal&lt;/Ref_Type&gt;&lt;Ref_ID&gt;406&lt;/Ref_ID&gt;&lt;Title_Primary&gt;The sample size for a clinical trial: A Bayesian-decision theoretic approach&lt;/Title_Primary&gt;&lt;Authors_Primary&gt;Halpern,J.&lt;/Authors_Primary&gt;&lt;Authors_Primary&gt;Brown,B.W.&lt;/Authors_Primary&gt;&lt;Authors_Primary&gt;Hornberger,J.&lt;/Authors_Primary&gt;&lt;Date_Primary&gt;2001&lt;/Date_Primary&gt;&lt;Keywords&gt;clinical trial&lt;/Keywords&gt;&lt;Keywords&gt;Decision Theory&lt;/Keywords&gt;&lt;Keywords&gt;sample&lt;/Keywords&gt;&lt;Keywords&gt;Sample Size&lt;/Keywords&gt;&lt;Reprint&gt;Not in File&lt;/Reprint&gt;&lt;Start_Page&gt;841&lt;/Start_Page&gt;&lt;End_Page&gt;858&lt;/End_Page&gt;&lt;Periodical&gt;Statistics in Medicine&lt;/Periodical&gt;&lt;Volume&gt;20&lt;/Volume&gt;&lt;Issue&gt;6&lt;/Issue&gt;&lt;User_Def_1&gt;yes&lt;/User_Def_1&gt;&lt;User_Def_2&gt;yes&lt;/User_Def_2&gt;&lt;ISSN_ISBN&gt;0277-6715&lt;/ISSN_ISBN&gt;&lt;Web_URL&gt;WOS:000167670800002&lt;/Web_URL&gt;&lt;ZZ_JournalFull&gt;&lt;f name="System"&gt;Statistics in Medicine&lt;/f&gt;&lt;/ZZ_JournalFull&gt;&lt;ZZ_WorkformID&gt;1&lt;/ZZ_WorkformID&gt;&lt;/MDL&gt;&lt;/Cite&gt;&lt;/Refman&gt;</w:instrText>
      </w:r>
      <w:r w:rsidR="00E729BA">
        <w:fldChar w:fldCharType="separate"/>
      </w:r>
      <w:r w:rsidR="004D7951">
        <w:t>(96)</w:t>
      </w:r>
      <w:r w:rsidR="00E729BA">
        <w:fldChar w:fldCharType="end"/>
      </w:r>
      <w:r w:rsidR="006A67FB">
        <w:t>. They assume a bivariate normal distribution for the probability of success on an experimental treatment, P</w:t>
      </w:r>
      <w:r w:rsidR="006A67FB">
        <w:rPr>
          <w:vertAlign w:val="subscript"/>
        </w:rPr>
        <w:t>2</w:t>
      </w:r>
      <w:r w:rsidR="006A67FB">
        <w:t xml:space="preserve"> and standard treatment P</w:t>
      </w:r>
      <w:r w:rsidR="006A67FB">
        <w:rPr>
          <w:vertAlign w:val="subscript"/>
        </w:rPr>
        <w:t>1</w:t>
      </w:r>
      <w:r w:rsidR="00EC23F3">
        <w:t xml:space="preserve"> to </w:t>
      </w:r>
      <w:r w:rsidR="006A67FB">
        <w:t>reduce</w:t>
      </w:r>
      <w:r w:rsidR="00EC23F3">
        <w:t xml:space="preserve"> </w:t>
      </w:r>
      <w:r w:rsidR="006A67FB">
        <w:t xml:space="preserve">calculation time. </w:t>
      </w:r>
      <w:r w:rsidR="00E44A19">
        <w:t>The authors subsequently showed</w:t>
      </w:r>
      <w:r w:rsidR="00A0268C">
        <w:t xml:space="preserve"> the method can be used with </w:t>
      </w:r>
      <w:r w:rsidR="00202611">
        <w:t>N</w:t>
      </w:r>
      <w:r w:rsidR="00A0268C">
        <w:t xml:space="preserve">ormal data, </w:t>
      </w:r>
      <w:r w:rsidR="00202611">
        <w:t>B</w:t>
      </w:r>
      <w:r w:rsidR="00A0268C">
        <w:t xml:space="preserve">inary data, </w:t>
      </w:r>
      <w:r w:rsidR="00202611">
        <w:t>P</w:t>
      </w:r>
      <w:r w:rsidR="00A0268C">
        <w:t>oisson data, and survival analysis assuming that the central limit theor</w:t>
      </w:r>
      <w:r w:rsidR="00E82702">
        <w:t>em</w:t>
      </w:r>
      <w:r w:rsidR="00A0268C">
        <w:t xml:space="preserve"> to justify the assumption of normality</w:t>
      </w:r>
      <w:r w:rsidR="006D0711">
        <w:t xml:space="preserve"> </w:t>
      </w:r>
      <w:r w:rsidR="00E729BA">
        <w:fldChar w:fldCharType="begin"/>
      </w:r>
      <w:r w:rsidR="00FC61FD">
        <w:instrText xml:space="preserve"> ADDIN REFMGR.CITE &lt;Refman&gt;&lt;Cite&gt;&lt;Author&gt;Gittins&lt;/Author&gt;&lt;Year&gt;2000&lt;/Year&gt;&lt;RecNum&gt;1612&lt;/RecNum&gt;&lt;IDText&gt;How large should a trial be?&lt;/IDText&gt;&lt;MDL Ref_Type="Journal"&gt;&lt;Ref_Type&gt;Journal&lt;/Ref_Type&gt;&lt;Ref_ID&gt;1612&lt;/Ref_ID&gt;&lt;Title_Primary&gt;How large should a trial be?&lt;/Title_Primary&gt;&lt;Authors_Primary&gt;Gittins,J.&lt;/Authors_Primary&gt;&lt;Authors_Primary&gt;Pezeshk,H.&lt;/Authors_Primary&gt;&lt;Date_Primary&gt;2000&lt;/Date_Primary&gt;&lt;Reprint&gt;In File&lt;/Reprint&gt;&lt;Start_Page&gt;177&lt;/Start_Page&gt;&lt;End_Page&gt;187&lt;/End_Page&gt;&lt;Periodical&gt;Journal of the Royal Statistical Society Seies D&lt;/Periodical&gt;&lt;Volume&gt;49&lt;/Volume&gt;&lt;Issue&gt;2&lt;/Issue&gt;&lt;User_Def_1&gt;yes&lt;/User_Def_1&gt;&lt;ZZ_JournalFull&gt;&lt;f name="System"&gt;Journal of the Royal Statistical Society Seies D&lt;/f&gt;&lt;/ZZ_JournalFull&gt;&lt;ZZ_WorkformID&gt;1&lt;/ZZ_WorkformID&gt;&lt;/MDL&gt;&lt;/Cite&gt;&lt;/Refman&gt;</w:instrText>
      </w:r>
      <w:r w:rsidR="00E729BA">
        <w:fldChar w:fldCharType="separate"/>
      </w:r>
      <w:r w:rsidR="004D7951">
        <w:t>(124)</w:t>
      </w:r>
      <w:r w:rsidR="00E729BA">
        <w:fldChar w:fldCharType="end"/>
      </w:r>
      <w:r w:rsidR="00A0268C">
        <w:t>.</w:t>
      </w:r>
      <w:r w:rsidR="00B01552">
        <w:t xml:space="preserve"> </w:t>
      </w:r>
    </w:p>
    <w:p w:rsidR="00B01552" w:rsidRDefault="007B5AD8" w:rsidP="00EC23F3">
      <w:r>
        <w:t xml:space="preserve">In this framework the </w:t>
      </w:r>
      <w:r w:rsidR="00D538A8">
        <w:t xml:space="preserve">commercial </w:t>
      </w:r>
      <w:r w:rsidR="00202611">
        <w:t>Net B</w:t>
      </w:r>
      <w:r>
        <w:t xml:space="preserve">enefit of the trial depends on the number of subsequent users of the treatment. They assume that patients </w:t>
      </w:r>
      <w:r w:rsidR="0013370E">
        <w:t>were</w:t>
      </w:r>
      <w:r>
        <w:t xml:space="preserve"> more likely to adopt the new trea</w:t>
      </w:r>
      <w:r w:rsidR="00E82702">
        <w:t>tment if the posterior estimate</w:t>
      </w:r>
      <w:r>
        <w:t xml:space="preserve"> for </w:t>
      </w:r>
      <m:oMath>
        <m:r>
          <w:rPr>
            <w:rFonts w:ascii="Cambria Math" w:hAnsi="Cambria Math"/>
          </w:rPr>
          <m:t>δ</m:t>
        </m:r>
      </m:oMath>
      <w:r>
        <w:t xml:space="preserve"> </w:t>
      </w:r>
      <w:r w:rsidR="0090393D">
        <w:t>was</w:t>
      </w:r>
      <w:r>
        <w:t xml:space="preserve"> large and the standard deviation </w:t>
      </w:r>
      <w:r w:rsidR="0090393D">
        <w:t>was</w:t>
      </w:r>
      <w:r>
        <w:t xml:space="preserve"> small. They define two parameters A and B that represent threshold at which some patients will switch to the new treatment and all patients will switch to the new treatment respectively</w:t>
      </w:r>
      <w:r w:rsidR="00CD5A24">
        <w:t xml:space="preserve"> (</w:t>
      </w:r>
      <w:r w:rsidR="00E729BA">
        <w:fldChar w:fldCharType="begin"/>
      </w:r>
      <w:r w:rsidR="00CD5A24">
        <w:instrText xml:space="preserve"> REF _Ref345766765 \h </w:instrText>
      </w:r>
      <w:r w:rsidR="00E729BA">
        <w:fldChar w:fldCharType="separate"/>
      </w:r>
      <w:r w:rsidR="004911B7">
        <w:t xml:space="preserve">Figure </w:t>
      </w:r>
      <w:r w:rsidR="004911B7">
        <w:rPr>
          <w:noProof/>
        </w:rPr>
        <w:t>4</w:t>
      </w:r>
      <w:r w:rsidR="00E729BA">
        <w:fldChar w:fldCharType="end"/>
      </w:r>
      <w:r w:rsidR="00CD5A24">
        <w:t>)</w:t>
      </w:r>
      <w:r>
        <w:t xml:space="preserve">. </w:t>
      </w:r>
      <w:r w:rsidR="00B01552">
        <w:t xml:space="preserve">The method allows for </w:t>
      </w:r>
      <w:r w:rsidR="00EC23F3">
        <w:t xml:space="preserve">partial adoption of the new treatment. </w:t>
      </w:r>
    </w:p>
    <w:p w:rsidR="00CD5A24" w:rsidRDefault="00CD5A24" w:rsidP="00234693">
      <w:pPr>
        <w:pStyle w:val="Caption"/>
      </w:pPr>
      <w:bookmarkStart w:id="137" w:name="_Ref345766765"/>
      <w:r>
        <w:t xml:space="preserve">Figure </w:t>
      </w:r>
      <w:r w:rsidR="00E729BA">
        <w:fldChar w:fldCharType="begin"/>
      </w:r>
      <w:r w:rsidR="000B0EDB">
        <w:instrText xml:space="preserve"> SEQ Figure \* ARABIC </w:instrText>
      </w:r>
      <w:r w:rsidR="00E729BA">
        <w:fldChar w:fldCharType="separate"/>
      </w:r>
      <w:r w:rsidR="004911B7">
        <w:rPr>
          <w:noProof/>
        </w:rPr>
        <w:t>4</w:t>
      </w:r>
      <w:r w:rsidR="00E729BA">
        <w:fldChar w:fldCharType="end"/>
      </w:r>
      <w:bookmarkEnd w:id="137"/>
      <w:r>
        <w:t>: Number of subsequent users</w:t>
      </w:r>
    </w:p>
    <w:p w:rsidR="00CD5A24" w:rsidRDefault="00CD5A24" w:rsidP="00CD5A24">
      <w:pPr>
        <w:keepNext/>
      </w:pPr>
      <w:r w:rsidRPr="00CD5A24">
        <w:rPr>
          <w:noProof/>
          <w:lang w:eastAsia="zh-CN" w:bidi="ar-SA"/>
        </w:rPr>
        <w:drawing>
          <wp:inline distT="0" distB="0" distL="0" distR="0">
            <wp:extent cx="2495550" cy="1952625"/>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495550" cy="1952625"/>
                    </a:xfrm>
                    <a:prstGeom prst="rect">
                      <a:avLst/>
                    </a:prstGeom>
                    <a:noFill/>
                    <a:ln w="9525">
                      <a:noFill/>
                      <a:miter lim="800000"/>
                      <a:headEnd/>
                      <a:tailEnd/>
                    </a:ln>
                  </pic:spPr>
                </pic:pic>
              </a:graphicData>
            </a:graphic>
          </wp:inline>
        </w:drawing>
      </w:r>
    </w:p>
    <w:p w:rsidR="00134F56" w:rsidRDefault="00A0268C" w:rsidP="00F12F58">
      <w:r>
        <w:t>Several extensions to the fund</w:t>
      </w:r>
      <w:r w:rsidR="000801F6">
        <w:t xml:space="preserve">amental structure </w:t>
      </w:r>
      <w:r>
        <w:t xml:space="preserve">have been </w:t>
      </w:r>
      <w:r w:rsidR="00CD5A24">
        <w:t>published</w:t>
      </w:r>
      <w:r w:rsidR="00B01552">
        <w:t>.</w:t>
      </w:r>
      <w:r w:rsidR="00CD5A24">
        <w:t xml:space="preserve"> </w:t>
      </w:r>
      <w:r w:rsidR="00134F56">
        <w:t xml:space="preserve">Pezeshk and Gittens (2002) introduced a method of estimating sample size for binary data </w:t>
      </w:r>
      <w:r w:rsidR="00CD5A24">
        <w:t>when</w:t>
      </w:r>
      <w:r w:rsidR="00134F56">
        <w:t xml:space="preserve"> the central limit theorem does not provide an accurate approximation </w:t>
      </w:r>
      <w:r w:rsidR="00E729BA">
        <w:fldChar w:fldCharType="begin"/>
      </w:r>
      <w:r w:rsidR="00FC61FD">
        <w:instrText xml:space="preserve"> ADDIN REFMGR.CITE &lt;Refman&gt;&lt;Cite&gt;&lt;Author&gt;Pezeshk&lt;/Author&gt;&lt;Year&gt;2002&lt;/Year&gt;&lt;RecNum&gt;1613&lt;/RecNum&gt;&lt;IDText&gt;A fully Bayesian Approach to Calculating Sample Sizes for Clinical Trials with Binary Responses&lt;/IDText&gt;&lt;MDL Ref_Type="Journal"&gt;&lt;Ref_Type&gt;Journal&lt;/Ref_Type&gt;&lt;Ref_ID&gt;1613&lt;/Ref_ID&gt;&lt;Title_Primary&gt;A fully Bayesian Approach to Calculating Sample Sizes for Clinical Trials with Binary Responses&lt;/Title_Primary&gt;&lt;Authors_Primary&gt;Pezeshk,H.&lt;/Authors_Primary&gt;&lt;Authors_Primary&gt;Gittins,J.&lt;/Authors_Primary&gt;&lt;Date_Primary&gt;2002&lt;/Date_Primary&gt;&lt;Keywords&gt;clinical trial&lt;/Keywords&gt;&lt;Keywords&gt;sample&lt;/Keywords&gt;&lt;Reprint&gt;In File&lt;/Reprint&gt;&lt;Start_Page&gt;143&lt;/Start_Page&gt;&lt;End_Page&gt;150&lt;/End_Page&gt;&lt;Periodical&gt;Drug Information Journal&lt;/Periodical&gt;&lt;Volume&gt;36&lt;/Volume&gt;&lt;User_Def_1&gt;yes&lt;/User_Def_1&gt;&lt;ZZ_JournalFull&gt;&lt;f name="System"&gt;Drug Information Journal&lt;/f&gt;&lt;/ZZ_JournalFull&gt;&lt;ZZ_WorkformID&gt;1&lt;/ZZ_WorkformID&gt;&lt;/MDL&gt;&lt;/Cite&gt;&lt;/Refman&gt;</w:instrText>
      </w:r>
      <w:r w:rsidR="00E729BA">
        <w:fldChar w:fldCharType="separate"/>
      </w:r>
      <w:r w:rsidR="004D7951">
        <w:t>(123)</w:t>
      </w:r>
      <w:r w:rsidR="00E729BA">
        <w:fldChar w:fldCharType="end"/>
      </w:r>
      <w:r w:rsidR="00CD5A24">
        <w:t xml:space="preserve">. </w:t>
      </w:r>
      <w:r w:rsidR="00134F56">
        <w:t>Kikuchi and Gittens (200</w:t>
      </w:r>
      <w:r w:rsidR="006018FD">
        <w:t>8</w:t>
      </w:r>
      <w:r w:rsidR="00134F56">
        <w:t xml:space="preserve">) update the weight function </w:t>
      </w:r>
      <w:r w:rsidR="00CD5A24">
        <w:t xml:space="preserve">illustrated in </w:t>
      </w:r>
      <w:r w:rsidR="00E729BA">
        <w:fldChar w:fldCharType="begin"/>
      </w:r>
      <w:r w:rsidR="00CD5A24">
        <w:instrText xml:space="preserve"> REF _Ref345766765 \h </w:instrText>
      </w:r>
      <w:r w:rsidR="00E729BA">
        <w:fldChar w:fldCharType="separate"/>
      </w:r>
      <w:r w:rsidR="004911B7">
        <w:t xml:space="preserve">Figure </w:t>
      </w:r>
      <w:r w:rsidR="004911B7">
        <w:rPr>
          <w:noProof/>
        </w:rPr>
        <w:t>4</w:t>
      </w:r>
      <w:r w:rsidR="00E729BA">
        <w:fldChar w:fldCharType="end"/>
      </w:r>
      <w:r w:rsidR="00CD5A24">
        <w:t xml:space="preserve"> </w:t>
      </w:r>
      <w:r w:rsidR="00134F56">
        <w:t xml:space="preserve">to describe the probability that patients adopt the new treatment between the thresholds A and B </w:t>
      </w:r>
      <w:r w:rsidR="00AD5D1B">
        <w:t>described by</w:t>
      </w:r>
      <w:r w:rsidR="00134F56">
        <w:t xml:space="preserve"> logistic </w:t>
      </w:r>
      <w:r w:rsidR="00AD5D1B">
        <w:t>weight function</w:t>
      </w:r>
      <w:r w:rsidR="00134F56">
        <w:t xml:space="preserve">. The logistic regression approximates the linear gradient used in previous studies. The authors use Monte Carlo simulation to calculate sample size and </w:t>
      </w:r>
      <w:r w:rsidR="00CD5A24">
        <w:t xml:space="preserve">relax the assumption that variance </w:t>
      </w:r>
      <w:r w:rsidR="00F12F58">
        <w:t xml:space="preserve">is </w:t>
      </w:r>
      <w:r w:rsidR="00CD5A24">
        <w:t>known</w:t>
      </w:r>
      <w:r w:rsidR="00134F56">
        <w:t xml:space="preserve"> </w:t>
      </w:r>
      <w:r w:rsidR="00E729BA">
        <w:fldChar w:fldCharType="begin"/>
      </w:r>
      <w:r w:rsidR="00FC61FD">
        <w:instrText xml:space="preserve"> ADDIN REFMGR.CITE &lt;Refman&gt;&lt;Cite&gt;&lt;Author&gt;Kikuchi&lt;/Author&gt;&lt;Year&gt;2008&lt;/Year&gt;&lt;RecNum&gt;1548&lt;/RecNum&gt;&lt;IDText&gt;A Bayesian cost-benefit approach to the determination of sample size in clinical trials&lt;/IDText&gt;&lt;MDL Ref_Type="Journal"&gt;&lt;Ref_Type&gt;Journal&lt;/Ref_Type&gt;&lt;Ref_ID&gt;1548&lt;/Ref_ID&gt;&lt;Title_Primary&gt;A Bayesian cost-benefit approach to the determination of sample size in clinical trials&lt;/Title_Primary&gt;&lt;Authors_Primary&gt;Kikuchi,T.&lt;/Authors_Primary&gt;&lt;Authors_Primary&gt;Pezeshk,H.&lt;/Authors_Primary&gt;&lt;Authors_Primary&gt;Gittins,J.&lt;/Authors_Primary&gt;&lt;Date_Primary&gt;2008/1/15&lt;/Date_Primary&gt;&lt;Keywords&gt;Analysis of Variance&lt;/Keywords&gt;&lt;Keywords&gt;Bayes Theorem&lt;/Keywords&gt;&lt;Keywords&gt;clinical trial&lt;/Keywords&gt;&lt;Keywords&gt;Clinical Trials as Topic&lt;/Keywords&gt;&lt;Keywords&gt;Cost-Benefit Analysis&lt;/Keywords&gt;&lt;Keywords&gt;economics&lt;/Keywords&gt;&lt;Keywords&gt;Health&lt;/Keywords&gt;&lt;Keywords&gt;Humans&lt;/Keywords&gt;&lt;Keywords&gt;methods&lt;/Keywords&gt;&lt;Keywords&gt;Monte Carlo Method&lt;/Keywords&gt;&lt;Keywords&gt;patient&lt;/Keywords&gt;&lt;Keywords&gt;Patients&lt;/Keywords&gt;&lt;Keywords&gt;sample&lt;/Keywords&gt;&lt;Keywords&gt;Sample Size&lt;/Keywords&gt;&lt;Reprint&gt;Not in File&lt;/Reprint&gt;&lt;Start_Page&gt;68&lt;/Start_Page&gt;&lt;End_Page&gt;82&lt;/End_Page&gt;&lt;Periodical&gt;Stat.Med.&lt;/Periodical&gt;&lt;Volume&gt;27&lt;/Volume&gt;&lt;Issue&gt;1&lt;/Issue&gt;&lt;ZZ_JournalStdAbbrev&gt;&lt;f name="System"&gt;Stat.Med.&lt;/f&gt;&lt;/ZZ_JournalStdAbbrev&gt;&lt;ZZ_WorkformID&gt;1&lt;/ZZ_WorkformID&gt;&lt;/MDL&gt;&lt;/Cite&gt;&lt;/Refman&gt;</w:instrText>
      </w:r>
      <w:r w:rsidR="00E729BA">
        <w:fldChar w:fldCharType="separate"/>
      </w:r>
      <w:r w:rsidR="004D7951">
        <w:t>(121)</w:t>
      </w:r>
      <w:r w:rsidR="00E729BA">
        <w:fldChar w:fldCharType="end"/>
      </w:r>
      <w:r w:rsidR="00134F56">
        <w:t>.</w:t>
      </w:r>
      <w:r w:rsidR="00C50080" w:rsidRPr="00C50080">
        <w:t xml:space="preserve"> </w:t>
      </w:r>
      <w:r w:rsidR="00C50080">
        <w:t xml:space="preserve">Other extensions of the approach were to determine sample size calculations for cluster randomized controlled trials </w:t>
      </w:r>
      <w:r w:rsidR="00E729BA">
        <w:fldChar w:fldCharType="begin"/>
      </w:r>
      <w:r w:rsidR="00FC61FD">
        <w:instrText xml:space="preserve"> ADDIN REFMGR.CITE &lt;Refman&gt;&lt;Cite&gt;&lt;Author&gt;Kikuchi&lt;/Author&gt;&lt;Year&gt;2010&lt;/Year&gt;&lt;RecNum&gt;1615&lt;/RecNum&gt;&lt;IDText&gt;A behavioural Bayes approach for sample size determination in cluster randomized clinical trials&lt;/IDText&gt;&lt;MDL Ref_Type="Journal"&gt;&lt;Ref_Type&gt;Journal&lt;/Ref_Type&gt;&lt;Ref_ID&gt;1615&lt;/Ref_ID&gt;&lt;Title_Primary&gt;A behavioural Bayes approach for sample size determination in cluster randomized clinical trials&lt;/Title_Primary&gt;&lt;Authors_Primary&gt;Kikuchi,Takashi&lt;/Authors_Primary&gt;&lt;Authors_Primary&gt;Gittins,John&lt;/Authors_Primary&gt;&lt;Date_Primary&gt;2010&lt;/Date_Primary&gt;&lt;Keywords&gt;clinical trial&lt;/Keywords&gt;&lt;Keywords&gt;Disease&lt;/Keywords&gt;&lt;Keywords&gt;Health&lt;/Keywords&gt;&lt;Keywords&gt;sample&lt;/Keywords&gt;&lt;Keywords&gt;Sample Size&lt;/Keywords&gt;&lt;Reprint&gt;Not in File&lt;/Reprint&gt;&lt;Start_Page&gt;875&lt;/Start_Page&gt;&lt;End_Page&gt;888&lt;/End_Page&gt;&lt;Periodical&gt;Journal of the Royal Statistical Society Series C-Applied Statistics&lt;/Periodical&gt;&lt;Volume&gt;59&lt;/Volume&gt;&lt;User_Def_1&gt;yes&lt;/User_Def_1&gt;&lt;ISSN_ISBN&gt;0035-9254&lt;/ISSN_ISBN&gt;&lt;Web_URL&gt;WOS:000283168000008&lt;/Web_URL&gt;&lt;ZZ_JournalFull&gt;&lt;f name="System"&gt;Journal of the Royal Statistical Society Series C-Applied Statistics&lt;/f&gt;&lt;/ZZ_JournalFull&gt;&lt;ZZ_WorkformID&gt;1&lt;/ZZ_WorkformID&gt;&lt;/MDL&gt;&lt;/Cite&gt;&lt;/Refman&gt;</w:instrText>
      </w:r>
      <w:r w:rsidR="00E729BA">
        <w:fldChar w:fldCharType="separate"/>
      </w:r>
      <w:r w:rsidR="004D7951">
        <w:t>(120)</w:t>
      </w:r>
      <w:r w:rsidR="00E729BA">
        <w:fldChar w:fldCharType="end"/>
      </w:r>
      <w:r w:rsidR="00C50080">
        <w:t>, and trials with imbalanced sample sizes betwe</w:t>
      </w:r>
      <w:r w:rsidR="00E44A19">
        <w:t>en trial arms</w:t>
      </w:r>
      <w:r w:rsidR="00C50080">
        <w:t xml:space="preserve"> </w:t>
      </w:r>
      <w:r w:rsidR="00E729BA">
        <w:fldChar w:fldCharType="begin"/>
      </w:r>
      <w:r w:rsidR="00FC61FD">
        <w:instrText xml:space="preserve"> ADDIN REFMGR.CITE &lt;Refman&gt;&lt;Cite&gt;&lt;Author&gt;Kikuchi&lt;/Author&gt;&lt;Year&gt;2011&lt;/Year&gt;&lt;RecNum&gt;1550&lt;/RecNum&gt;&lt;IDText&gt;A behavioural Bayes approach to the determination of sample size for clinical trials considering efficacy and safety: imbalanced sample size in treatment groups&lt;/IDText&gt;&lt;MDL Ref_Type="Journal"&gt;&lt;Ref_Type&gt;Journal&lt;/Ref_Type&gt;&lt;Ref_ID&gt;1550&lt;/Ref_ID&gt;&lt;Title_Primary&gt;A behavioural Bayes approach to the determination of sample size for clinical trials considering efficacy and safety: imbalanced sample size in treatment groups&lt;/Title_Primary&gt;&lt;Authors_Primary&gt;Kikuchi,T.&lt;/Authors_Primary&gt;&lt;Authors_Primary&gt;Gittins,J.&lt;/Authors_Primary&gt;&lt;Date_Primary&gt;2011/8&lt;/Date_Primary&gt;&lt;Keywords&gt;administration &amp;amp; dosage&lt;/Keywords&gt;&lt;Keywords&gt;adverse effects&lt;/Keywords&gt;&lt;Keywords&gt;article&lt;/Keywords&gt;&lt;Keywords&gt;Bayes Theorem&lt;/Keywords&gt;&lt;Keywords&gt;clinical trial&lt;/Keywords&gt;&lt;Keywords&gt;Clinical Trials,Phase III as Topic&lt;/Keywords&gt;&lt;Keywords&gt;Computer Simulation&lt;/Keywords&gt;&lt;Keywords&gt;Decision Theory&lt;/Keywords&gt;&lt;Keywords&gt;economics&lt;/Keywords&gt;&lt;Keywords&gt;evaluation&lt;/Keywords&gt;&lt;Keywords&gt;Humans&lt;/Keywords&gt;&lt;Keywords&gt;Hydroxymethylglutaryl-CoA Reductase Inhibitors&lt;/Keywords&gt;&lt;Keywords&gt;Logistic Models&lt;/Keywords&gt;&lt;Keywords&gt;Monte Carlo Method&lt;/Keywords&gt;&lt;Keywords&gt;patient&lt;/Keywords&gt;&lt;Keywords&gt;Patients&lt;/Keywords&gt;&lt;Keywords&gt;Randomized Controlled Trials as Topic&lt;/Keywords&gt;&lt;Keywords&gt;Research Design&lt;/Keywords&gt;&lt;Keywords&gt;safety&lt;/Keywords&gt;&lt;Keywords&gt;sample&lt;/Keywords&gt;&lt;Keywords&gt;Sample Size&lt;/Keywords&gt;&lt;Keywords&gt;statistics&lt;/Keywords&gt;&lt;Keywords&gt;statistics &amp;amp; numerical data&lt;/Keywords&gt;&lt;Reprint&gt;Not in File&lt;/Reprint&gt;&lt;Start_Page&gt;389&lt;/Start_Page&gt;&lt;End_Page&gt;400&lt;/End_Page&gt;&lt;Periodical&gt;Stat.Methods Med.Res.&lt;/Periodical&gt;&lt;Volume&gt;20&lt;/Volume&gt;&lt;Issue&gt;4&lt;/Issue&gt;&lt;ZZ_JournalStdAbbrev&gt;&lt;f name="System"&gt;Stat.Methods Med.Res.&lt;/f&gt;&lt;/ZZ_JournalStdAbbrev&gt;&lt;ZZ_WorkformID&gt;1&lt;/ZZ_WorkformID&gt;&lt;/MDL&gt;&lt;/Cite&gt;&lt;/Refman&gt;</w:instrText>
      </w:r>
      <w:r w:rsidR="00E729BA">
        <w:fldChar w:fldCharType="separate"/>
      </w:r>
      <w:r w:rsidR="004D7951">
        <w:t>(119)</w:t>
      </w:r>
      <w:r w:rsidR="00E729BA">
        <w:fldChar w:fldCharType="end"/>
      </w:r>
      <w:r w:rsidR="00C50080">
        <w:t>.</w:t>
      </w:r>
    </w:p>
    <w:p w:rsidR="00C50080" w:rsidRDefault="00C50080" w:rsidP="00D11C28">
      <w:r>
        <w:t xml:space="preserve">In recent adaptations of the method </w:t>
      </w:r>
      <w:r w:rsidR="00D11C28">
        <w:t>Kikuchi and Gittens (2010)</w:t>
      </w:r>
      <w:r>
        <w:t xml:space="preserve"> have </w:t>
      </w:r>
      <w:r w:rsidR="00D11C28">
        <w:t>introduced the behaviour of licensing authorities on the trial size calculations</w:t>
      </w:r>
      <w:r>
        <w:t xml:space="preserve">. The </w:t>
      </w:r>
      <w:r w:rsidR="002C404F">
        <w:t xml:space="preserve">licence </w:t>
      </w:r>
      <w:r>
        <w:t>regulator’s decision was based on classical theory and requires a statistically significant result in</w:t>
      </w:r>
      <m:oMath>
        <m:r>
          <w:rPr>
            <w:rFonts w:ascii="Cambria Math" w:hAnsi="Cambria Math"/>
          </w:rPr>
          <m:t xml:space="preserve"> δ</m:t>
        </m:r>
      </m:oMath>
      <w:r>
        <w:t>. Th</w:t>
      </w:r>
      <w:r w:rsidR="00D11C28">
        <w:t xml:space="preserve">is decision </w:t>
      </w:r>
      <w:r>
        <w:t xml:space="preserve">has an impact on the result if the minimum probability of success required by the regulator was greater than the lower threshold that would motivate subsequent users to switch treatments </w:t>
      </w:r>
      <w:r w:rsidR="00E729BA">
        <w:fldChar w:fldCharType="begin"/>
      </w:r>
      <w:r w:rsidR="00FC61FD">
        <w:instrText xml:space="preserve"> ADDIN REFMGR.CITE &lt;Refman&gt;&lt;Cite&gt;&lt;Author&gt;Gittins&lt;/Author&gt;&lt;Year&gt;2000&lt;/Year&gt;&lt;RecNum&gt;1614&lt;/RecNum&gt;&lt;IDText&gt;A behavioral bayes method for determining the size of a clinical trial&lt;/IDText&gt;&lt;MDL Ref_Type="Journal"&gt;&lt;Ref_Type&gt;Journal&lt;/Ref_Type&gt;&lt;Ref_ID&gt;1614&lt;/Ref_ID&gt;&lt;Title_Primary&gt;A behavioral bayes method for determining the size of a clinical trial&lt;/Title_Primary&gt;&lt;Authors_Primary&gt;Gittins,J.&lt;/Authors_Primary&gt;&lt;Authors_Primary&gt;Pezeshk,H.&lt;/Authors_Primary&gt;&lt;Date_Primary&gt;2000&lt;/Date_Primary&gt;&lt;Keywords&gt;clinical trial&lt;/Keywords&gt;&lt;Keywords&gt;sample&lt;/Keywords&gt;&lt;Keywords&gt;Sample Size&lt;/Keywords&gt;&lt;Reprint&gt;Not in File&lt;/Reprint&gt;&lt;Start_Page&gt;355&lt;/Start_Page&gt;&lt;End_Page&gt;363&lt;/End_Page&gt;&lt;Periodical&gt;Drug Information Journal&lt;/Periodical&gt;&lt;Volume&gt;34&lt;/Volume&gt;&lt;Issue&gt;2&lt;/Issue&gt;&lt;User_Def_1&gt;yes&lt;/User_Def_1&gt;&lt;ISSN_ISBN&gt;0092-8615&lt;/ISSN_ISBN&gt;&lt;Web_URL&gt;WOS:000087220200004&lt;/Web_URL&gt;&lt;ZZ_JournalFull&gt;&lt;f name="System"&gt;Drug Information Journal&lt;/f&gt;&lt;/ZZ_JournalFull&gt;&lt;ZZ_WorkformID&gt;1&lt;/ZZ_WorkformID&gt;&lt;/MDL&gt;&lt;/Cite&gt;&lt;/Refman&gt;</w:instrText>
      </w:r>
      <w:r w:rsidR="00E729BA">
        <w:fldChar w:fldCharType="separate"/>
      </w:r>
      <w:r w:rsidR="004D7951">
        <w:t>(125)</w:t>
      </w:r>
      <w:r w:rsidR="00E729BA">
        <w:fldChar w:fldCharType="end"/>
      </w:r>
      <w:r>
        <w:t xml:space="preserve">. The </w:t>
      </w:r>
      <w:r w:rsidR="002C404F">
        <w:t xml:space="preserve">license </w:t>
      </w:r>
      <w:r>
        <w:t xml:space="preserve">regulator would </w:t>
      </w:r>
      <w:r w:rsidR="002C404F">
        <w:t>prevent</w:t>
      </w:r>
      <w:r>
        <w:t xml:space="preserve"> access to treatment for a proportion of patients </w:t>
      </w:r>
      <w:r w:rsidR="002C404F">
        <w:t>who would otherwise have switched based on the evidence</w:t>
      </w:r>
      <w:r>
        <w:t>.</w:t>
      </w:r>
    </w:p>
    <w:p w:rsidR="00202611" w:rsidRDefault="00D11C28" w:rsidP="004D7951">
      <w:r>
        <w:t>Recent BeBay publications have</w:t>
      </w:r>
      <w:r w:rsidR="00AD5D1B">
        <w:t xml:space="preserve"> incorporate</w:t>
      </w:r>
      <w:r>
        <w:t>d</w:t>
      </w:r>
      <w:r w:rsidR="00C50080">
        <w:t xml:space="preserve"> costs of the treatment to the health authority</w:t>
      </w:r>
      <w:r w:rsidR="006018FD">
        <w:t xml:space="preserve"> </w:t>
      </w:r>
      <w:r w:rsidR="00C50080">
        <w:t xml:space="preserve">introducing a health economics framework for treatment access. </w:t>
      </w:r>
      <w:r w:rsidR="006018FD">
        <w:t>This has primarily included the</w:t>
      </w:r>
      <w:r w:rsidR="00134F56">
        <w:t xml:space="preserve"> costs of adverse events into the methodology</w:t>
      </w:r>
      <w:r w:rsidR="006018FD">
        <w:t xml:space="preserve"> </w:t>
      </w:r>
      <w:r w:rsidR="00E729BA">
        <w:fldChar w:fldCharType="begin"/>
      </w:r>
      <w:r w:rsidR="00FC61FD">
        <w:instrText xml:space="preserve"> ADDIN REFMGR.CITE &lt;Refman&gt;&lt;Cite&gt;&lt;Author&gt;Kikuchi&lt;/Author&gt;&lt;Year&gt;2009&lt;/Year&gt;&lt;RecNum&gt;291&lt;/RecNum&gt;&lt;IDText&gt;A behavioral Bayes method to determine the sample size of a clinical trial considering efficacy and safety&lt;/IDText&gt;&lt;MDL Ref_Type="Journal"&gt;&lt;Ref_Type&gt;Journal&lt;/Ref_Type&gt;&lt;Ref_ID&gt;291&lt;/Ref_ID&gt;&lt;Title_Primary&gt;A behavioral Bayes method to determine the sample size of a clinical trial considering efficacy and safety&lt;/Title_Primary&gt;&lt;Authors_Primary&gt;Kikuchi,Takashi&lt;/Authors_Primary&gt;&lt;Authors_Primary&gt;Gittins,John&lt;/Authors_Primary&gt;&lt;Date_Primary&gt;2009&lt;/Date_Primary&gt;&lt;Keywords&gt;clinical trial&lt;/Keywords&gt;&lt;Keywords&gt;Health&lt;/Keywords&gt;&lt;Keywords&gt;Incidence&lt;/Keywords&gt;&lt;Keywords&gt;patient&lt;/Keywords&gt;&lt;Keywords&gt;Patients&lt;/Keywords&gt;&lt;Keywords&gt;safety&lt;/Keywords&gt;&lt;Keywords&gt;sample&lt;/Keywords&gt;&lt;Keywords&gt;Sample Size&lt;/Keywords&gt;&lt;Reprint&gt;Not in File&lt;/Reprint&gt;&lt;Start_Page&gt;2293&lt;/Start_Page&gt;&lt;End_Page&gt;2306&lt;/End_Page&gt;&lt;Periodical&gt;Statistics in Medicine&lt;/Periodical&gt;&lt;Volume&gt;28&lt;/Volume&gt;&lt;Issue&gt;18&lt;/Issue&gt;&lt;User_Def_1&gt;yes&lt;/User_Def_1&gt;&lt;ISSN_ISBN&gt;0277-6715&lt;/ISSN_ISBN&gt;&lt;Web_URL&gt;WOS:000268287000001&lt;/Web_URL&gt;&lt;ZZ_JournalFull&gt;&lt;f name="System"&gt;Statistics in Medicine&lt;/f&gt;&lt;/ZZ_JournalFull&gt;&lt;ZZ_WorkformID&gt;1&lt;/ZZ_WorkformID&gt;&lt;/MDL&gt;&lt;/Cite&gt;&lt;/Refman&gt;</w:instrText>
      </w:r>
      <w:r w:rsidR="00E729BA">
        <w:fldChar w:fldCharType="separate"/>
      </w:r>
      <w:r w:rsidR="004D7951">
        <w:t>(118)</w:t>
      </w:r>
      <w:r w:rsidR="00E729BA">
        <w:fldChar w:fldCharType="end"/>
      </w:r>
      <w:r w:rsidR="00134F56">
        <w:t xml:space="preserve">. The adverse reactions were simulated to occur at a Poisson rate, and the prior expectation for the rate was expressed by the gamma distribution to allow conjugate updating. The cost of adverse events was included in the cost of the clinical trial and the incremental cost of treating subsequent patients. </w:t>
      </w:r>
      <w:r w:rsidR="004D7951">
        <w:t xml:space="preserve">Kikuchi and Gittens </w:t>
      </w:r>
      <w:r w:rsidR="00B01552">
        <w:t xml:space="preserve">adopt Monte Carlo simulation in this approach to </w:t>
      </w:r>
      <w:r w:rsidR="00EC19FE">
        <w:t>estimating the dependence of expected Net Benefit on sample size</w:t>
      </w:r>
      <w:r w:rsidR="004D7951">
        <w:t xml:space="preserve"> (118)</w:t>
      </w:r>
      <w:r w:rsidR="00B01552">
        <w:t xml:space="preserve">. </w:t>
      </w:r>
      <w:r w:rsidR="00134F56">
        <w:t>The probability of subsequent users adopting the new treatment was calculated by logistic regression accounting for the magnitude of</w:t>
      </w:r>
      <m:oMath>
        <m:r>
          <w:rPr>
            <w:rFonts w:ascii="Cambria Math" w:hAnsi="Cambria Math"/>
          </w:rPr>
          <m:t xml:space="preserve"> δ</m:t>
        </m:r>
      </m:oMath>
      <w:r w:rsidR="00134F56">
        <w:t>,</w:t>
      </w:r>
      <w:r w:rsidR="00CD5A24">
        <w:t xml:space="preserve"> </w:t>
      </w:r>
      <w:r w:rsidR="00134F56">
        <w:t xml:space="preserve">and the difference in adverse events between the treatments. </w:t>
      </w:r>
      <w:r w:rsidR="000801F6">
        <w:t>T</w:t>
      </w:r>
      <w:r w:rsidR="00202611">
        <w:t xml:space="preserve">hey include the costs and benefits from the perspective of the health authority, but they exclude the costs of the treatment. The authors argue that this approach allows the company to consider what </w:t>
      </w:r>
      <w:r w:rsidR="000801F6">
        <w:t>treatment costs</w:t>
      </w:r>
      <w:r w:rsidR="00202611">
        <w:t xml:space="preserve"> </w:t>
      </w:r>
      <w:r w:rsidR="000801F6">
        <w:t>would be considered reasonable for the health authority</w:t>
      </w:r>
      <w:r w:rsidR="00202611">
        <w:t xml:space="preserve">. </w:t>
      </w:r>
      <w:r w:rsidR="00B01552">
        <w:t xml:space="preserve">Although, the authors discuss the possibility of investigating the potential prices that could be charged by the company, given the expected evidence, they do not explore </w:t>
      </w:r>
      <w:r w:rsidR="000801F6">
        <w:t>further</w:t>
      </w:r>
      <w:r w:rsidR="00202611">
        <w:t>.</w:t>
      </w:r>
      <w:r w:rsidR="009C4D58">
        <w:t xml:space="preserve"> </w:t>
      </w:r>
    </w:p>
    <w:p w:rsidR="009C4D58" w:rsidRDefault="009C4D58" w:rsidP="002C404F">
      <w:r>
        <w:t xml:space="preserve">Willan (2008) adopts the BeBay approach </w:t>
      </w:r>
      <w:r w:rsidR="00B01552">
        <w:t>t</w:t>
      </w:r>
      <w:r>
        <w:t>o specify that the value of additional information relate</w:t>
      </w:r>
      <w:r w:rsidR="00C06EBE">
        <w:t>s</w:t>
      </w:r>
      <w:r>
        <w:t xml:space="preserve"> to the increase in expected profit resulting from an increase in the probability of </w:t>
      </w:r>
      <w:r w:rsidR="002C404F">
        <w:t>reimbursement</w:t>
      </w:r>
      <w:r>
        <w:t xml:space="preserve"> approval </w:t>
      </w:r>
      <w:r w:rsidR="00E729BA">
        <w:fldChar w:fldCharType="begin"/>
      </w:r>
      <w:r w:rsidR="00FC61FD">
        <w:instrText xml:space="preserve"> ADDIN REFMGR.CITE &lt;Refman&gt;&lt;Cite&gt;&lt;Author&gt;Willan&lt;/Author&gt;&lt;Year&gt;2008&lt;/Year&gt;&lt;RecNum&gt;47&lt;/RecNum&gt;&lt;IDText&gt;Optimal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fldChar w:fldCharType="separate"/>
      </w:r>
      <w:r w:rsidR="004D7951">
        <w:t>(122)</w:t>
      </w:r>
      <w:r w:rsidR="00E729BA">
        <w:fldChar w:fldCharType="end"/>
      </w:r>
      <w:r>
        <w:t xml:space="preserve">. </w:t>
      </w:r>
      <w:r w:rsidR="006018FD">
        <w:t xml:space="preserve">This article is the first explicit </w:t>
      </w:r>
      <w:r w:rsidR="00DC2F68">
        <w:t>connection made between the Health Economics EVSI methods and the BeBay approach.</w:t>
      </w:r>
      <w:r w:rsidR="006018FD">
        <w:t xml:space="preserve"> </w:t>
      </w:r>
      <w:r>
        <w:t xml:space="preserve">The expected profit was formulated as a function of profit per patient, </w:t>
      </w:r>
      <w:r w:rsidRPr="00EF173E">
        <w:rPr>
          <w:i/>
          <w:iCs/>
        </w:rPr>
        <w:t>p</w:t>
      </w:r>
      <w:r>
        <w:t xml:space="preserve">, the annual incidence of treatable patients, k, the time horizon of treatment, </w:t>
      </w:r>
      <w:r w:rsidRPr="00EF173E">
        <w:rPr>
          <w:i/>
          <w:iCs/>
        </w:rPr>
        <w:t>h</w:t>
      </w:r>
      <w:r>
        <w:t xml:space="preserve">, market share </w:t>
      </w:r>
      <w:r w:rsidRPr="00EC19FE">
        <w:rPr>
          <w:i/>
          <w:iCs/>
        </w:rPr>
        <w:t>s</w:t>
      </w:r>
      <w:r>
        <w:t xml:space="preserve">, and the probability of </w:t>
      </w:r>
      <w:r w:rsidR="002C404F">
        <w:t>reimbursement</w:t>
      </w:r>
      <w:r>
        <w:t xml:space="preserve"> approval as a function of the strength of evidence, </w:t>
      </w:r>
      <m:oMath>
        <m:r>
          <w:rPr>
            <w:rFonts w:ascii="Cambria Math" w:hAnsi="Cambria Math"/>
          </w:rPr>
          <m:t>g(</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oMath>
      <w:r w:rsidR="002367E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
        <w:gridCol w:w="6837"/>
        <w:gridCol w:w="1080"/>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rPr>
                  <m:t>Expected Profit=p k h s g(</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oMath>
            </m:oMathPara>
          </w:p>
        </w:tc>
        <w:tc>
          <w:tcPr>
            <w:tcW w:w="1196" w:type="dxa"/>
          </w:tcPr>
          <w:p w:rsidR="002737EE" w:rsidRDefault="002737EE" w:rsidP="00597CF5">
            <w:pPr>
              <w:pStyle w:val="ListParagraph"/>
              <w:numPr>
                <w:ilvl w:val="1"/>
                <w:numId w:val="30"/>
              </w:numPr>
              <w:bidi/>
              <w:ind w:right="220"/>
              <w:jc w:val="right"/>
            </w:pPr>
          </w:p>
        </w:tc>
      </w:tr>
    </w:tbl>
    <w:p w:rsidR="009C4D58" w:rsidRDefault="00C06EBE" w:rsidP="00EC19FE">
      <w:r>
        <w:t>T</w:t>
      </w:r>
      <w:r w:rsidR="009C4D58">
        <w:t xml:space="preserve">he probability of </w:t>
      </w:r>
      <w:r w:rsidR="002C404F">
        <w:t>reimbursement</w:t>
      </w:r>
      <w:r w:rsidR="009C4D58">
        <w:t xml:space="preserve"> approval </w:t>
      </w:r>
      <w:r>
        <w:t xml:space="preserve">is estimated using a simple step function </w:t>
      </w:r>
      <w:r w:rsidR="00C32A4C">
        <w:t xml:space="preserve">according to the z-statistic. They specify </w:t>
      </w:r>
      <w:r w:rsidR="009C4D58">
        <w:t xml:space="preserve">a lower and upper threshold for the z-statistic at which the drug would be firmly accepted or rejected. </w:t>
      </w:r>
      <w:r w:rsidR="00C32A4C">
        <w:t>The probability between these thresholds can take a value between 0 and 1.</w:t>
      </w:r>
      <w:r w:rsidR="009C4D58">
        <w:t>The z-statistic was estimated from the mean and variance of the sample data combined with prior estimates using the using the algorithms for the normal distribution. In the case where the upper and lower</w:t>
      </w:r>
      <w:r w:rsidR="00EC19FE">
        <w:t xml:space="preserve"> thresholds for z were the same. This</w:t>
      </w:r>
      <w:r w:rsidR="009C4D58">
        <w:t xml:space="preserve"> was equivalent to assuming a threshold for statistical significance. The limitations to this method are that it relies on the outcome of the trial to be normally distributed with known population variance. </w:t>
      </w:r>
    </w:p>
    <w:p w:rsidR="009C4D58" w:rsidRDefault="009C4D58" w:rsidP="00CD5A24">
      <w:r>
        <w:t>Patel et al. (2007) develop a similar method for selecting sample size to optimise the expected profit for the company</w:t>
      </w:r>
      <w:r w:rsidR="00F12F58">
        <w:t xml:space="preserve"> </w:t>
      </w:r>
      <w:r w:rsidR="00E729BA">
        <w:fldChar w:fldCharType="begin"/>
      </w:r>
      <w:r w:rsidR="00FC61FD">
        <w:instrText xml:space="preserve"> ADDIN REFMGR.CITE &lt;Refman&gt;&lt;Cite&gt;&lt;Author&gt;Patel&lt;/Author&gt;&lt;Year&gt;2006&lt;/Year&gt;&lt;RecNum&gt;1442&lt;/RecNum&gt;&lt;IDText&gt;The prevalence and incidence of biopsy-proven lupus nephritis in the UK: Evidence of an ethnic gradient&lt;/IDText&gt;&lt;MDL Ref_Type="Journal"&gt;&lt;Ref_Type&gt;Journal&lt;/Ref_Type&gt;&lt;Ref_ID&gt;1442&lt;/Ref_ID&gt;&lt;Title_Primary&gt;The prevalence and incidence of biopsy-proven lupus nephritis in the UK: Evidence of an ethnic gradient&lt;/Title_Primary&gt;&lt;Authors_Primary&gt;Patel,M.&lt;/Authors_Primary&gt;&lt;Authors_Primary&gt;Clarke,A.M.&lt;/Authors_Primary&gt;&lt;Authors_Primary&gt;Bruce,I.N.&lt;/Authors_Primary&gt;&lt;Authors_Primary&gt;Symmons,D.P.&lt;/Authors_Primary&gt;&lt;Date_Primary&gt;2006/9&lt;/Date_Primary&gt;&lt;Keywords&gt;Adolescent&lt;/Keywords&gt;&lt;Keywords&gt;Adult&lt;/Keywords&gt;&lt;Keywords&gt;age&lt;/Keywords&gt;&lt;Keywords&gt;Aged&lt;/Keywords&gt;&lt;Keywords&gt;Aged,80 and over&lt;/Keywords&gt;&lt;Keywords&gt;Biopsy&lt;/Keywords&gt;&lt;Keywords&gt;Chinese&lt;/Keywords&gt;&lt;Keywords&gt;Cohort Studies&lt;/Keywords&gt;&lt;Keywords&gt;confidence interval&lt;/Keywords&gt;&lt;Keywords&gt;Databases as Topic&lt;/Keywords&gt;&lt;Keywords&gt;England&lt;/Keywords&gt;&lt;Keywords&gt;epidemiology&lt;/Keywords&gt;&lt;Keywords&gt;erythematosus&lt;/Keywords&gt;&lt;Keywords&gt;Ethnic Groups&lt;/Keywords&gt;&lt;Keywords&gt;Female&lt;/Keywords&gt;&lt;Keywords&gt;Geography&lt;/Keywords&gt;&lt;Keywords&gt;Great Britain&lt;/Keywords&gt;&lt;Keywords&gt;Humans&lt;/Keywords&gt;&lt;Keywords&gt;Incidence&lt;/Keywords&gt;&lt;Keywords&gt;lupus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Nephritis&lt;/Keywords&gt;&lt;Keywords&gt;pathology&lt;/Keywords&gt;&lt;Keywords&gt;patient&lt;/Keywords&gt;&lt;Keywords&gt;Patients&lt;/Keywords&gt;&lt;Keywords&gt;population&lt;/Keywords&gt;&lt;Keywords&gt;Prevalence&lt;/Keywords&gt;&lt;Keywords&gt;sex&lt;/Keywords&gt;&lt;Keywords&gt;Sex Characteristics&lt;/Keywords&gt;&lt;Keywords&gt;Survival Analysis&lt;/Keywords&gt;&lt;Keywords&gt;systemic lupus erythematosus&lt;/Keywords&gt;&lt;Keywords&gt;Women&lt;/Keywords&gt;&lt;Reprint&gt;Not in File&lt;/Reprint&gt;&lt;Start_Page&gt;2963&lt;/Start_Page&gt;&lt;End_Page&gt;2969&lt;/End_Page&gt;&lt;Periodical&gt;Arthritis Rheum.&lt;/Periodical&gt;&lt;Volume&gt;54&lt;/Volume&gt;&lt;Issue&gt;9&lt;/Issue&gt;&lt;ZZ_JournalStdAbbrev&gt;&lt;f name="System"&gt;Arthritis Rheum.&lt;/f&gt;&lt;/ZZ_JournalStdAbbrev&gt;&lt;ZZ_WorkformID&gt;1&lt;/ZZ_WorkformID&gt;&lt;/MDL&gt;&lt;/Cite&gt;&lt;/Refman&gt;</w:instrText>
      </w:r>
      <w:r w:rsidR="00E729BA">
        <w:fldChar w:fldCharType="separate"/>
      </w:r>
      <w:r w:rsidR="004D7951">
        <w:t>(128)</w:t>
      </w:r>
      <w:r w:rsidR="00E729BA">
        <w:fldChar w:fldCharType="end"/>
      </w:r>
      <w:r>
        <w:t xml:space="preserve">. However, they consider the situation where the pharmaceutical company has a fixed budget to be assigned to a portfolio of drug development options. This approach would be useful for pharmaceutical companies </w:t>
      </w:r>
      <w:r w:rsidR="00CD5A24">
        <w:t>to decide research priorities</w:t>
      </w:r>
      <w:r>
        <w:t xml:space="preserve">.  </w:t>
      </w:r>
    </w:p>
    <w:p w:rsidR="001239C1" w:rsidRDefault="001239C1" w:rsidP="001239C1">
      <w:r>
        <w:t xml:space="preserve">In summary, a substantial number of studies have adopted a BeBay approach to trial design. The foundations of the methods are very similar to those employed in health economic studies. In recent applications the objectives of the regulators have focussed on cost-effectiveness criteria. However, the </w:t>
      </w:r>
      <w:r w:rsidR="0016510D">
        <w:t>formula for estimating cost-effectiveness outcomes is</w:t>
      </w:r>
      <w:r>
        <w:t xml:space="preserve"> not complex.</w:t>
      </w:r>
    </w:p>
    <w:p w:rsidR="009E1EFA" w:rsidRPr="00E66FDF" w:rsidRDefault="009E1EFA" w:rsidP="009E1EFA">
      <w:pPr>
        <w:pStyle w:val="Heading3"/>
      </w:pPr>
      <w:bookmarkStart w:id="138" w:name="_Toc379467582"/>
      <w:r>
        <w:t>Probability of success Approaches to Clinical Trial Design</w:t>
      </w:r>
      <w:bookmarkEnd w:id="138"/>
    </w:p>
    <w:p w:rsidR="00DC2F68" w:rsidRDefault="00A82A36" w:rsidP="002C404F">
      <w:r>
        <w:t xml:space="preserve">Assurance </w:t>
      </w:r>
      <w:r w:rsidR="00D11C28">
        <w:t xml:space="preserve">in trial design </w:t>
      </w:r>
      <w:r w:rsidR="00DC2F68">
        <w:t>describes</w:t>
      </w:r>
      <w:r>
        <w:t xml:space="preserve"> the unconditional </w:t>
      </w:r>
      <w:r w:rsidR="00126BF2">
        <w:t xml:space="preserve">probability that the trial </w:t>
      </w:r>
      <w:r>
        <w:t>end</w:t>
      </w:r>
      <w:r w:rsidR="00126BF2">
        <w:t>s</w:t>
      </w:r>
      <w:r>
        <w:t xml:space="preserve"> with a desired outcome. </w:t>
      </w:r>
      <w:r w:rsidR="00471B63">
        <w:t xml:space="preserve">The desired outcome can be set to any result observed in the trial, but usually concerns a statistically significant difference between treatments. The assurance </w:t>
      </w:r>
      <w:r w:rsidR="00420ADE">
        <w:t>is</w:t>
      </w:r>
      <w:r w:rsidR="00471B63">
        <w:t xml:space="preserve"> often described as the expected power of a trial, but </w:t>
      </w:r>
      <w:r w:rsidR="00420ADE">
        <w:t>is</w:t>
      </w:r>
      <w:r w:rsidR="00471B63">
        <w:t xml:space="preserve"> estimated by averaging over the prior distribution of the trial outcomes. The probability of </w:t>
      </w:r>
      <w:r w:rsidR="002C404F">
        <w:t>reimbursement</w:t>
      </w:r>
      <w:r w:rsidR="00471B63">
        <w:t xml:space="preserve"> approval </w:t>
      </w:r>
      <m:oMath>
        <m:r>
          <w:rPr>
            <w:rFonts w:ascii="Cambria Math" w:hAnsi="Cambria Math"/>
          </w:rPr>
          <m:t>g(</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oMath>
      <w:r w:rsidR="00471B63">
        <w:t xml:space="preserve"> describe</w:t>
      </w:r>
      <w:r w:rsidR="0013370E">
        <w:t>d</w:t>
      </w:r>
      <w:r w:rsidR="00471B63">
        <w:t xml:space="preserve"> in Willan (2008) </w:t>
      </w:r>
      <w:r w:rsidR="0013370E">
        <w:t>was</w:t>
      </w:r>
      <w:r w:rsidR="00471B63">
        <w:t xml:space="preserve"> a form of assurance calculated under the condition of a one-sided test where data </w:t>
      </w:r>
      <w:r w:rsidR="00126BF2">
        <w:t>were</w:t>
      </w:r>
      <w:r w:rsidR="00471B63">
        <w:t xml:space="preserve"> normally distributed with known variance, and where a conjugate normal prior distribution </w:t>
      </w:r>
      <w:r w:rsidR="0013370E">
        <w:t>was</w:t>
      </w:r>
      <w:r w:rsidR="00471B63">
        <w:t xml:space="preserve"> assumed for the unknown treatment effect</w:t>
      </w:r>
      <w:r w:rsidR="00F12F58">
        <w:t xml:space="preserve"> </w:t>
      </w:r>
      <w:r w:rsidR="00E729BA">
        <w:fldChar w:fldCharType="begin"/>
      </w:r>
      <w:r w:rsidR="00FC61FD">
        <w:instrText xml:space="preserve"> ADDIN REFMGR.CITE &lt;Refman&gt;&lt;Cite&gt;&lt;Author&gt;Willan&lt;/Author&gt;&lt;Year&gt;2008&lt;/Year&gt;&lt;RecNum&gt;47&lt;/RecNum&gt;&lt;IDText&gt;Optimal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fldChar w:fldCharType="separate"/>
      </w:r>
      <w:r w:rsidR="004D7951">
        <w:t>(122)</w:t>
      </w:r>
      <w:r w:rsidR="00E729BA">
        <w:fldChar w:fldCharType="end"/>
      </w:r>
      <w:r w:rsidR="00471B63">
        <w:t xml:space="preserve">. </w:t>
      </w:r>
    </w:p>
    <w:p w:rsidR="00C664C5" w:rsidRDefault="000D6DC4" w:rsidP="00DC2F68">
      <w:r>
        <w:t xml:space="preserve">O’Hagan </w:t>
      </w:r>
      <w:r w:rsidRPr="00EF173E">
        <w:rPr>
          <w:i/>
          <w:iCs/>
        </w:rPr>
        <w:t>et al</w:t>
      </w:r>
      <w:r>
        <w:t xml:space="preserve">. </w:t>
      </w:r>
      <w:r w:rsidR="00471B63">
        <w:t xml:space="preserve">demonstrate that the approach can be generalised to </w:t>
      </w:r>
      <w:r w:rsidR="00CD5A24">
        <w:t xml:space="preserve">a </w:t>
      </w:r>
      <w:r w:rsidR="00420ADE">
        <w:t>wide range</w:t>
      </w:r>
      <w:r w:rsidR="00471B63">
        <w:t xml:space="preserve"> of trial outcomes to include: two sided superiority trials; non-inferiority trial; equivalence trials; normal data with unknown variance; and binary data</w:t>
      </w:r>
      <w:r>
        <w:t xml:space="preserve"> </w:t>
      </w:r>
      <w:r w:rsidR="00E729BA">
        <w:fldChar w:fldCharType="begin"/>
      </w:r>
      <w:r w:rsidR="00FC61FD">
        <w:instrText xml:space="preserve"> ADDIN REFMGR.CITE &lt;Refman&gt;&lt;Cite&gt;&lt;Author&gt;O&amp;apos;Hagan&lt;/Author&gt;&lt;Year&gt;2005&lt;/Year&gt;&lt;RecNum&gt;1498&lt;/RecNum&gt;&lt;IDText&gt;Assurance in Clinical Trial Design&lt;/IDText&gt;&lt;MDL Ref_Type="Journal"&gt;&lt;Ref_Type&gt;Journal&lt;/Ref_Type&gt;&lt;Ref_ID&gt;1498&lt;/Ref_ID&gt;&lt;Title_Primary&gt;Assurance in Clinical Trial Design&lt;/Title_Primary&gt;&lt;Authors_Primary&gt;O&amp;apos;Hagan,A.&lt;/Authors_Primary&gt;&lt;Authors_Primary&gt;Stevens,J.&lt;/Authors_Primary&gt;&lt;Authors_Primary&gt;Campbell,M.&lt;/Authors_Primary&gt;&lt;Date_Primary&gt;2005&lt;/Date_Primary&gt;&lt;Keywords&gt;clinical trial&lt;/Keywords&gt;&lt;Reprint&gt;Not in File&lt;/Reprint&gt;&lt;Start_Page&gt;187-204&lt;/Start_Page&gt;&lt;Periodical&gt;Pharmaceutical Statistics&lt;/Periodical&gt;&lt;Volume&gt;4&lt;/Volume&gt;&lt;ZZ_JournalFull&gt;&lt;f name="System"&gt;Pharmaceutical Statistics&lt;/f&gt;&lt;/ZZ_JournalFull&gt;&lt;ZZ_WorkformID&gt;1&lt;/ZZ_WorkformID&gt;&lt;/MDL&gt;&lt;/Cite&gt;&lt;/Refman&gt;</w:instrText>
      </w:r>
      <w:r w:rsidR="00E729BA">
        <w:fldChar w:fldCharType="separate"/>
      </w:r>
      <w:r w:rsidR="004D7951">
        <w:t>(126)</w:t>
      </w:r>
      <w:r w:rsidR="00E729BA">
        <w:fldChar w:fldCharType="end"/>
      </w:r>
      <w:r>
        <w:t xml:space="preserve">. </w:t>
      </w:r>
      <w:r w:rsidR="00471B63">
        <w:t xml:space="preserve">They identify mathematical expressions for assurances for simple problems and introduce a general purpose technique for calculating assurance using simulation. </w:t>
      </w:r>
      <w:r w:rsidR="00C664C5">
        <w:t xml:space="preserve">They demonstrate that assurances can be calculated for normal data with unknown variance and binary data using Bayesian Clinical Trial Simulation (BCTS). This process involves the following process as described by O’Hagan et al. where θ represents the prior distributions for the outcome variables </w:t>
      </w:r>
      <w:r w:rsidR="00E729BA">
        <w:fldChar w:fldCharType="begin"/>
      </w:r>
      <w:r w:rsidR="00FC61FD">
        <w:instrText xml:space="preserve"> ADDIN REFMGR.CITE &lt;Refman&gt;&lt;Cite&gt;&lt;Author&gt;O&amp;apos;Hagan&lt;/Author&gt;&lt;Year&gt;2005&lt;/Year&gt;&lt;RecNum&gt;1498&lt;/RecNum&gt;&lt;IDText&gt;Assurance in Clinical Trial Design&lt;/IDText&gt;&lt;MDL Ref_Type="Journal"&gt;&lt;Ref_Type&gt;Journal&lt;/Ref_Type&gt;&lt;Ref_ID&gt;1498&lt;/Ref_ID&gt;&lt;Title_Primary&gt;Assurance in Clinical Trial Design&lt;/Title_Primary&gt;&lt;Authors_Primary&gt;O&amp;apos;Hagan,A.&lt;/Authors_Primary&gt;&lt;Authors_Primary&gt;Stevens,J.&lt;/Authors_Primary&gt;&lt;Authors_Primary&gt;Campbell,M.&lt;/Authors_Primary&gt;&lt;Date_Primary&gt;2005&lt;/Date_Primary&gt;&lt;Keywords&gt;clinical trial&lt;/Keywords&gt;&lt;Reprint&gt;Not in File&lt;/Reprint&gt;&lt;Start_Page&gt;187-204&lt;/Start_Page&gt;&lt;Periodical&gt;Pharmaceutical Statistics&lt;/Periodical&gt;&lt;Volume&gt;4&lt;/Volume&gt;&lt;ZZ_JournalFull&gt;&lt;f name="System"&gt;Pharmaceutical Statistics&lt;/f&gt;&lt;/ZZ_JournalFull&gt;&lt;ZZ_WorkformID&gt;1&lt;/ZZ_WorkformID&gt;&lt;/MDL&gt;&lt;/Cite&gt;&lt;/Refman&gt;</w:instrText>
      </w:r>
      <w:r w:rsidR="00E729BA">
        <w:fldChar w:fldCharType="separate"/>
      </w:r>
      <w:r w:rsidR="004D7951">
        <w:t>(126)</w:t>
      </w:r>
      <w:r w:rsidR="00E729BA">
        <w:fldChar w:fldCharType="end"/>
      </w:r>
      <w:r w:rsidR="00C664C5">
        <w:t>.</w:t>
      </w:r>
    </w:p>
    <w:p w:rsidR="00A82A36" w:rsidRDefault="00C664C5" w:rsidP="002A0F3D">
      <w:pPr>
        <w:pStyle w:val="ListParagraph"/>
        <w:numPr>
          <w:ilvl w:val="0"/>
          <w:numId w:val="7"/>
        </w:numPr>
      </w:pPr>
      <w:r>
        <w:t xml:space="preserve">Define counters I for iteration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for the assurances, and set all counters to 0.</w:t>
      </w:r>
    </w:p>
    <w:p w:rsidR="00C664C5" w:rsidRDefault="00C664C5" w:rsidP="002A0F3D">
      <w:pPr>
        <w:pStyle w:val="ListParagraph"/>
        <w:numPr>
          <w:ilvl w:val="0"/>
          <w:numId w:val="7"/>
        </w:numPr>
      </w:pPr>
      <w:r>
        <w:t>Sample θ from the prior distribution</w:t>
      </w:r>
    </w:p>
    <w:p w:rsidR="00C664C5" w:rsidRDefault="00C664C5" w:rsidP="002A0F3D">
      <w:pPr>
        <w:pStyle w:val="ListParagraph"/>
        <w:numPr>
          <w:ilvl w:val="0"/>
          <w:numId w:val="7"/>
        </w:numPr>
      </w:pPr>
      <w:r>
        <w:t>Sample the sufficient statistics using the model and the sampled value of θ.</w:t>
      </w:r>
    </w:p>
    <w:p w:rsidR="00C664C5" w:rsidRDefault="00C664C5" w:rsidP="002A0F3D">
      <w:pPr>
        <w:pStyle w:val="ListParagraph"/>
        <w:numPr>
          <w:ilvl w:val="0"/>
          <w:numId w:val="7"/>
        </w:numPr>
      </w:pPr>
      <w:r>
        <w:t xml:space="preserve">For </w:t>
      </w:r>
      <m:oMath>
        <m:r>
          <w:rPr>
            <w:rFonts w:ascii="Cambria Math" w:hAnsi="Cambria Math"/>
          </w:rPr>
          <m:t>j=1,2,…k</m:t>
        </m:r>
      </m:oMath>
      <w:r>
        <w:t xml:space="preserve"> increment </w:t>
      </w:r>
      <m:oMath>
        <m:sSub>
          <m:sSubPr>
            <m:ctrlPr>
              <w:rPr>
                <w:rFonts w:ascii="Cambria Math" w:hAnsi="Cambria Math"/>
                <w:i/>
              </w:rPr>
            </m:ctrlPr>
          </m:sSubPr>
          <m:e>
            <m:r>
              <w:rPr>
                <w:rFonts w:ascii="Cambria Math" w:hAnsi="Cambria Math"/>
              </w:rPr>
              <m:t>T</m:t>
            </m:r>
          </m:e>
          <m:sub>
            <m:r>
              <w:rPr>
                <w:rFonts w:ascii="Cambria Math" w:hAnsi="Cambria Math"/>
              </w:rPr>
              <m:t>k</m:t>
            </m:r>
          </m:sub>
        </m:sSub>
      </m:oMath>
      <w:r>
        <w:t xml:space="preserve"> if the outcome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t xml:space="preserve"> has occurred.</w:t>
      </w:r>
    </w:p>
    <w:p w:rsidR="00C664C5" w:rsidRDefault="00C664C5" w:rsidP="002A0F3D">
      <w:pPr>
        <w:pStyle w:val="ListParagraph"/>
        <w:numPr>
          <w:ilvl w:val="0"/>
          <w:numId w:val="7"/>
        </w:numPr>
      </w:pPr>
      <w:r>
        <w:t>Increment</w:t>
      </w:r>
      <m:oMath>
        <m:r>
          <w:rPr>
            <w:rFonts w:ascii="Cambria Math" w:hAnsi="Cambria Math"/>
          </w:rPr>
          <m:t xml:space="preserve"> I</m:t>
        </m:r>
      </m:oMath>
      <w:r>
        <w:t>. If</w:t>
      </w:r>
      <m:oMath>
        <m:r>
          <w:rPr>
            <w:rFonts w:ascii="Cambria Math" w:hAnsi="Cambria Math"/>
          </w:rPr>
          <m:t xml:space="preserve"> I≤N</m:t>
        </m:r>
      </m:oMath>
      <w:r>
        <w:t xml:space="preserve">, go to step 2. </w:t>
      </w:r>
    </w:p>
    <w:p w:rsidR="00C664C5" w:rsidRDefault="00C664C5" w:rsidP="002A0F3D">
      <w:pPr>
        <w:pStyle w:val="ListParagraph"/>
        <w:numPr>
          <w:ilvl w:val="0"/>
          <w:numId w:val="7"/>
        </w:numPr>
      </w:pPr>
      <w:r>
        <w:t xml:space="preserve">For </w:t>
      </w:r>
      <m:oMath>
        <m:r>
          <w:rPr>
            <w:rFonts w:ascii="Cambria Math" w:hAnsi="Cambria Math"/>
          </w:rPr>
          <m:t>j=1,2,…k</m:t>
        </m:r>
      </m:oMath>
      <w:r>
        <w:t xml:space="preserve">, estimate assurance </w:t>
      </w:r>
      <m:oMath>
        <m:sSub>
          <m:sSubPr>
            <m:ctrlPr>
              <w:rPr>
                <w:rFonts w:ascii="Cambria Math" w:hAnsi="Cambria Math"/>
                <w:i/>
              </w:rPr>
            </m:ctrlPr>
          </m:sSubPr>
          <m:e>
            <m:r>
              <w:rPr>
                <w:rFonts w:ascii="Cambria Math" w:hAnsi="Cambria Math"/>
              </w:rPr>
              <m:t>γ</m:t>
            </m:r>
          </m:e>
          <m:sub>
            <m:r>
              <w:rPr>
                <w:rFonts w:ascii="Cambria Math" w:hAnsi="Cambria Math"/>
              </w:rPr>
              <m:t>j</m:t>
            </m:r>
          </m:sub>
        </m:sSub>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e>
        </m:d>
      </m:oMath>
      <w:r>
        <w:t xml:space="preserve">by </w:t>
      </w:r>
      <m:oMath>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/N</m:t>
        </m:r>
      </m:oMath>
      <w:r>
        <w:t>.</w:t>
      </w:r>
    </w:p>
    <w:p w:rsidR="00F66420" w:rsidRDefault="00F66420" w:rsidP="00CD5A24">
      <w:r>
        <w:t xml:space="preserve">A simulation approach to calculating assurance </w:t>
      </w:r>
      <w:r w:rsidR="0013370E">
        <w:t>was</w:t>
      </w:r>
      <w:r>
        <w:t xml:space="preserve"> adopted in a </w:t>
      </w:r>
      <w:r w:rsidR="00420ADE">
        <w:t>separate</w:t>
      </w:r>
      <w:r>
        <w:t xml:space="preserve"> paper to evaluate a sequential series of Phase IIb and Phase III trials for a new drug for Rheumatoid Arthritis</w:t>
      </w:r>
      <w:r w:rsidR="0021424F">
        <w:t xml:space="preserve"> </w:t>
      </w:r>
      <w:r w:rsidR="00F1769F">
        <w:t xml:space="preserve">using the Rheumatoid Arthritis Drug Development Model (RADDM) </w:t>
      </w:r>
      <w:r w:rsidR="00E729BA">
        <w:fldChar w:fldCharType="begin"/>
      </w:r>
      <w:r w:rsidR="00FC61FD">
        <w:instrText xml:space="preserve"> ADDIN REFMGR.CITE &lt;Refman&gt;&lt;Cite&gt;&lt;Author&gt;Nixon&lt;/Author&gt;&lt;Year&gt;2009&lt;/Year&gt;&lt;RecNum&gt;1496&lt;/RecNum&gt;&lt;IDText&gt;The Rheumatoid Arthritis Drug Development Model: a case study in Bayesian clinical trial simulation&lt;/IDText&gt;&lt;MDL Ref_Type="Journal"&gt;&lt;Ref_Type&gt;Journal&lt;/Ref_Type&gt;&lt;Ref_ID&gt;1496&lt;/Ref_ID&gt;&lt;Title_Primary&gt;The Rheumatoid Arthritis Drug Development Model: a case study in Bayesian clinical trial simulation&lt;/Title_Primary&gt;&lt;Authors_Primary&gt;Nixon,R.M.&lt;/Authors_Primary&gt;&lt;Authors_Primary&gt;O&amp;apos;Hagan,A.&lt;/Authors_Primary&gt;&lt;Authors_Primary&gt;Oakley,J.&lt;/Authors_Primary&gt;&lt;Authors_Primary&gt;Madan,J.&lt;/Authors_Primary&gt;&lt;Authors_Primary&gt;Stevens,J.W.&lt;/Authors_Primary&gt;&lt;Authors_Primary&gt;Bansback,N.&lt;/Authors_Primary&gt;&lt;Authors_Primary&gt;Brennan,A.&lt;/Authors_Primary&gt;&lt;Date_Primary&gt;2009/10&lt;/Date_Primary&gt;&lt;Keywords&gt;Algorithms&lt;/Keywords&gt;&lt;Keywords&gt;Antirheumatic Agents&lt;/Keywords&gt;&lt;Keywords&gt;Arthritis&lt;/Keywords&gt;&lt;Keywords&gt;Arthritis,Rheumatoid&lt;/Keywords&gt;&lt;Keywords&gt;Bayes Theorem&lt;/Keywords&gt;&lt;Keywords&gt;clinical trial&lt;/Keywords&gt;&lt;Keywords&gt;Clinical Trials,Phase III as Topic&lt;/Keywords&gt;&lt;Keywords&gt;Clinical Trials,Phase II as Topic&lt;/Keywords&gt;&lt;Keywords&gt;Computer Simulation&lt;/Keywords&gt;&lt;Keywords&gt;Disease&lt;/Keywords&gt;&lt;Keywords&gt;Drug Discovery&lt;/Keywords&gt;&lt;Keywords&gt;drug therapy&lt;/Keywords&gt;&lt;Keywords&gt;Humans&lt;/Keywords&gt;&lt;Keywords&gt;Models,Statistical&lt;/Keywords&gt;&lt;Keywords&gt;population&lt;/Keywords&gt;&lt;Keywords&gt;Probability&lt;/Keywords&gt;&lt;Keywords&gt;safety&lt;/Keywords&gt;&lt;Keywords&gt;sample&lt;/Keywords&gt;&lt;Keywords&gt;statistics &amp;amp; numerical data&lt;/Keywords&gt;&lt;Keywords&gt;therapeutic use&lt;/Keywords&gt;&lt;Keywords&gt;Treatment Outcome&lt;/Keywords&gt;&lt;Reprint&gt;Not in File&lt;/Reprint&gt;&lt;Start_Page&gt;371&lt;/Start_Page&gt;&lt;End_Page&gt;389&lt;/End_Page&gt;&lt;Periodical&gt;Pharm.Stat.&lt;/Periodical&gt;&lt;Volume&gt;8&lt;/Volume&gt;&lt;Issue&gt;4&lt;/Issue&gt;&lt;ZZ_JournalStdAbbrev&gt;&lt;f name="System"&gt;Pharm.Stat.&lt;/f&gt;&lt;/ZZ_JournalStdAbbrev&gt;&lt;ZZ_WorkformID&gt;1&lt;/ZZ_WorkformID&gt;&lt;/MDL&gt;&lt;/Cite&gt;&lt;/Refman&gt;</w:instrText>
      </w:r>
      <w:r w:rsidR="00E729BA">
        <w:fldChar w:fldCharType="separate"/>
      </w:r>
      <w:r w:rsidR="00F12F58">
        <w:t>(63)</w:t>
      </w:r>
      <w:r w:rsidR="00E729BA">
        <w:fldChar w:fldCharType="end"/>
      </w:r>
      <w:r>
        <w:t xml:space="preserve">. </w:t>
      </w:r>
      <w:r w:rsidR="00D90854">
        <w:t xml:space="preserve">The </w:t>
      </w:r>
      <w:r w:rsidR="00462E08">
        <w:t xml:space="preserve">RADDM </w:t>
      </w:r>
      <w:r w:rsidR="00F1769F">
        <w:t>model</w:t>
      </w:r>
      <w:r>
        <w:t xml:space="preserve"> estimates the probability of </w:t>
      </w:r>
      <w:r w:rsidR="002C404F">
        <w:t xml:space="preserve">license </w:t>
      </w:r>
      <w:r>
        <w:t xml:space="preserve">regulatory approval </w:t>
      </w:r>
      <w:r w:rsidR="00420ADE">
        <w:t>for differen</w:t>
      </w:r>
      <w:r w:rsidR="00CD5A24">
        <w:t>t</w:t>
      </w:r>
      <w:r w:rsidR="00420ADE">
        <w:t xml:space="preserve"> trial designs. D</w:t>
      </w:r>
      <w:r>
        <w:t>isease duration of the target population, sample sizes, doses of the experimental treatment, choice of comparator, duration of the Phase IIb clinical trial, the primary efficacy outcome and decision criteria for proceeding to Phase III based on the results at Phase IIa</w:t>
      </w:r>
      <w:r w:rsidR="00420ADE">
        <w:t xml:space="preserve"> were all varied</w:t>
      </w:r>
      <w:r>
        <w:t xml:space="preserve">. The simulation </w:t>
      </w:r>
      <w:r w:rsidR="0013370E">
        <w:t xml:space="preserve">was </w:t>
      </w:r>
      <w:r>
        <w:t xml:space="preserve">flexible to address </w:t>
      </w:r>
      <w:r w:rsidR="00F1769F">
        <w:t>many</w:t>
      </w:r>
      <w:r>
        <w:t xml:space="preserve"> design decisions that extend beyond sample size. The study does not present the impact of the results on cost-effectiveness analyses but</w:t>
      </w:r>
      <w:r w:rsidR="009C4D58">
        <w:t xml:space="preserve"> the authors</w:t>
      </w:r>
      <w:r>
        <w:t xml:space="preserve"> acknowledge in their discussion that the simulation can be linked to a CE model or commercial value model. </w:t>
      </w:r>
    </w:p>
    <w:p w:rsidR="008905A5" w:rsidRDefault="008905A5" w:rsidP="008905A5">
      <w:pPr>
        <w:pStyle w:val="Heading3"/>
      </w:pPr>
      <w:bookmarkStart w:id="139" w:name="_Toc379467583"/>
      <w:r>
        <w:t>Other approaches</w:t>
      </w:r>
      <w:bookmarkEnd w:id="139"/>
    </w:p>
    <w:p w:rsidR="001239C1" w:rsidRDefault="008905A5" w:rsidP="001239C1">
      <w:r>
        <w:t>Shavit et al. (2005) develop a CE model to compare the costs and incremental benefits for two research designs</w:t>
      </w:r>
      <w:r w:rsidR="00F12F58">
        <w:t xml:space="preserve"> </w:t>
      </w:r>
      <w:r w:rsidR="00E729BA">
        <w:fldChar w:fldCharType="begin"/>
      </w:r>
      <w:r w:rsidR="00FC61FD">
        <w:instrText xml:space="preserve"> ADDIN REFMGR.CITE &lt;Refman&gt;&lt;Cite&gt;&lt;Author&gt;Shavit&lt;/Author&gt;&lt;Year&gt;2007&lt;/Year&gt;&lt;RecNum&gt;503&lt;/RecNum&gt;&lt;IDText&gt;It&amp;apos;s time to choose the study design! Net benefit analysis of alternative study designs to acquire information for evaluation of health technologies&lt;/IDText&gt;&lt;MDL Ref_Type="Journal"&gt;&lt;Ref_Type&gt;Journal&lt;/Ref_Type&gt;&lt;Ref_ID&gt;503&lt;/Ref_ID&gt;&lt;Title_Primary&gt;It&amp;apos;s time to choose the study design! Net benefit analysis of alternative study designs to acquire information for evaluation of health technologies&lt;/Title_Primary&gt;&lt;Authors_Primary&gt;Shavit,Oren&lt;/Authors_Primary&gt;&lt;Authors_Primary&gt;Leshno,Moshe&lt;/Authors_Primary&gt;&lt;Authors_Primary&gt;Goldberger,Assaf&lt;/Authors_Primary&gt;&lt;Authors_Primary&gt;Shmueli,Amir&lt;/Authors_Primary&gt;&lt;Authors_Primary&gt;Hoffman,Amnon&lt;/Authors_Primary&gt;&lt;Date_Primary&gt;2007&lt;/Date_Primary&gt;&lt;Keywords&gt;analysis&lt;/Keywords&gt;&lt;Keywords&gt;Decision Making&lt;/Keywords&gt;&lt;Keywords&gt;evaluation&lt;/Keywords&gt;&lt;Keywords&gt;Health&lt;/Keywords&gt;&lt;Keywords&gt;methods&lt;/Keywords&gt;&lt;Keywords&gt;Retrospective Studies&lt;/Keywords&gt;&lt;Keywords&gt;Time&lt;/Keywords&gt;&lt;Keywords&gt;Uncertainty&lt;/Keywords&gt;&lt;Reprint&gt;Not in File&lt;/Reprint&gt;&lt;Start_Page&gt;903&lt;/Start_Page&gt;&lt;End_Page&gt;911&lt;/End_Page&gt;&lt;Periodical&gt;Pharmacoeconomics&lt;/Periodical&gt;&lt;Volume&gt;25&lt;/Volume&gt;&lt;Issue&gt;11&lt;/Issue&gt;&lt;User_Def_1&gt;yes&lt;/User_Def_1&gt;&lt;ISSN_ISBN&gt;1170-7690&lt;/ISSN_ISBN&gt;&lt;Web_URL&gt;WOS:000251204500002&lt;/Web_URL&gt;&lt;ZZ_JournalFull&gt;&lt;f name="System"&gt;Pharmacoeconomics&lt;/f&gt;&lt;/ZZ_JournalFull&gt;&lt;ZZ_WorkformID&gt;1&lt;/ZZ_WorkformID&gt;&lt;/MDL&gt;&lt;/Cite&gt;&lt;/Refman&gt;</w:instrText>
      </w:r>
      <w:r w:rsidR="00E729BA">
        <w:fldChar w:fldCharType="separate"/>
      </w:r>
      <w:r w:rsidR="004D7951">
        <w:t>(117)</w:t>
      </w:r>
      <w:r w:rsidR="00E729BA">
        <w:fldChar w:fldCharType="end"/>
      </w:r>
      <w:r>
        <w:t xml:space="preserve">. They compare a Randomised Controlled Trial (RCT) with a retrospective observational study design. They measure the benefits of the studies in terms of the </w:t>
      </w:r>
      <w:r w:rsidR="001239C1">
        <w:t>expected bias in</w:t>
      </w:r>
      <w:r>
        <w:t xml:space="preserve"> the information gained. They assessed estimates of information bias for the designs that were evaluated and assign probabilistic distributions to these. </w:t>
      </w:r>
    </w:p>
    <w:p w:rsidR="008905A5" w:rsidRDefault="001239C1" w:rsidP="00F12F58">
      <w:r>
        <w:t xml:space="preserve">The study provides a framework to compare RCTs with observational studies, however many of the </w:t>
      </w:r>
      <w:r w:rsidR="00F12F58">
        <w:t xml:space="preserve">practicalities </w:t>
      </w:r>
      <w:r>
        <w:t xml:space="preserve">involved in their method are not explored in detail. </w:t>
      </w:r>
      <w:r w:rsidR="008905A5">
        <w:t xml:space="preserve">The authors specified informative priors for the bias, but do not give a detailed description on how they were derived. The sample size of the designs were reported to be calculated using EVSI, however they do not explicitly state how the EVSI calculation was performed. The authors recommend that the information from the studies should be valued according to a threshold for </w:t>
      </w:r>
      <w:r w:rsidR="007171F5">
        <w:t xml:space="preserve">the organization financing the research’s </w:t>
      </w:r>
      <w:r w:rsidR="008905A5">
        <w:t xml:space="preserve">willingness to pay for a unit of effectiveness observed. </w:t>
      </w:r>
      <w:r w:rsidR="007171F5">
        <w:t>This method could be applied from a societal perspective in terms of willingness to pay for health gain, or from an industry perspective of increased profit per unit effectiveness.</w:t>
      </w:r>
    </w:p>
    <w:p w:rsidR="00543B3E" w:rsidRDefault="00543B3E" w:rsidP="00543B3E">
      <w:pPr>
        <w:pStyle w:val="Heading3"/>
      </w:pPr>
      <w:bookmarkStart w:id="140" w:name="_Toc379467584"/>
      <w:r>
        <w:t>Subsequent Published Literature</w:t>
      </w:r>
      <w:bookmarkEnd w:id="140"/>
    </w:p>
    <w:p w:rsidR="00543B3E" w:rsidRDefault="00543B3E" w:rsidP="00D0049C">
      <w:r>
        <w:t xml:space="preserve">Since </w:t>
      </w:r>
      <w:r w:rsidR="00D11C28">
        <w:t>my</w:t>
      </w:r>
      <w:r>
        <w:t xml:space="preserve"> review was completed I have identified two further publications that are relevant for conducting Value of Information analyses from the pharmaceutical perspective. </w:t>
      </w:r>
      <w:r w:rsidR="007171F5">
        <w:t xml:space="preserve">These were not incorporated into the review because whilst they were relevant to the review, they did not </w:t>
      </w:r>
      <w:r w:rsidR="00EE2E22">
        <w:t>use methods that were absent from the review</w:t>
      </w:r>
      <w:r w:rsidR="00D0049C">
        <w:t>.</w:t>
      </w:r>
      <w:r w:rsidR="00EE2E22">
        <w:t xml:space="preserve"> </w:t>
      </w:r>
      <w:r>
        <w:t xml:space="preserve">From a methodological perspective these studies utilise an assumption that Net Benefit is normally distributed. However, one article considers decision-making when the pharmaceutical company and the </w:t>
      </w:r>
      <w:r w:rsidR="002C404F">
        <w:t>reimbursement authority</w:t>
      </w:r>
      <w:r>
        <w:t xml:space="preserve"> differ in their valuation of the drug</w:t>
      </w:r>
      <w:r w:rsidR="00FD7AAB">
        <w:t xml:space="preserve"> </w:t>
      </w:r>
      <w:r w:rsidR="00E729BA">
        <w:fldChar w:fldCharType="begin"/>
      </w:r>
      <w:r w:rsidR="00FC61FD">
        <w:instrText xml:space="preserve"> ADDIN REFMGR.CITE &lt;Refman&gt;&lt;Cite&gt;&lt;Author&gt;Willan&lt;/Author&gt;&lt;Year&gt;2012&lt;/Year&gt;&lt;RecNum&gt;1634&lt;/RecNum&gt;&lt;IDText&gt;Value of information and pricing new healthcare interventions&lt;/IDText&gt;&lt;MDL Ref_Type="Journal"&gt;&lt;Ref_Type&gt;Journal&lt;/Ref_Type&gt;&lt;Ref_ID&gt;1634&lt;/Ref_ID&gt;&lt;Title_Primary&gt;Value of information and pricing new healthcare interventions&lt;/Title_Primary&gt;&lt;Authors_Primary&gt;Willan,A.R.&lt;/Authors_Primary&gt;&lt;Authors_Primary&gt;Eckermann,S.&lt;/Authors_Primary&gt;&lt;Date_Primary&gt;2012/6/1&lt;/Date_Primary&gt;&lt;Keywords&gt;Canada&lt;/Keywords&gt;&lt;Keywords&gt;clinical trial&lt;/Keywords&gt;&lt;Keywords&gt;Clinical Trials as Topic&lt;/Keywords&gt;&lt;Keywords&gt;Costs and Cost Analysis&lt;/Keywords&gt;&lt;Keywords&gt;Decision Making&lt;/Keywords&gt;&lt;Keywords&gt;Decision Making,Organizational&lt;/Keywords&gt;&lt;Keywords&gt;Delivery of Health Care&lt;/Keywords&gt;&lt;Keywords&gt;Drug Industry&lt;/Keywords&gt;&lt;Keywords&gt;economics&lt;/Keywords&gt;&lt;Keywords&gt;Great Britain&lt;/Keywords&gt;&lt;Keywords&gt;Health&lt;/Keywords&gt;&lt;Keywords&gt;Health Care Costs&lt;/Keywords&gt;&lt;Keywords&gt;Humans&lt;/Keywords&gt;&lt;Keywords&gt;methods&lt;/Keywords&gt;&lt;Keywords&gt;Patents as Topic&lt;/Keywords&gt;&lt;Keywords&gt;Reimbursement Mechanisms&lt;/Keywords&gt;&lt;Keywords&gt;Research&lt;/Keywords&gt;&lt;Reprint&gt;Not in File&lt;/Reprint&gt;&lt;Start_Page&gt;447&lt;/Start_Page&gt;&lt;End_Page&gt;459&lt;/End_Page&gt;&lt;Periodical&gt;Pharmacoeconomics.&lt;/Periodical&gt;&lt;Volume&gt;30&lt;/Volume&gt;&lt;Issue&gt;6&lt;/Issue&gt;&lt;ZZ_JournalStdAbbrev&gt;&lt;f name="System"&gt;Pharmacoeconomics.&lt;/f&gt;&lt;/ZZ_JournalStdAbbrev&gt;&lt;ZZ_WorkformID&gt;1&lt;/ZZ_WorkformID&gt;&lt;/MDL&gt;&lt;/Cite&gt;&lt;/Refman&gt;</w:instrText>
      </w:r>
      <w:r w:rsidR="00E729BA">
        <w:fldChar w:fldCharType="separate"/>
      </w:r>
      <w:r w:rsidR="004D7951">
        <w:t>(129)</w:t>
      </w:r>
      <w:r w:rsidR="00E729BA">
        <w:fldChar w:fldCharType="end"/>
      </w:r>
      <w:r w:rsidR="00FD0FB7">
        <w:t>. The second article</w:t>
      </w:r>
      <w:r>
        <w:t xml:space="preserve"> </w:t>
      </w:r>
      <w:r w:rsidR="00F12F58">
        <w:t xml:space="preserve">develops on </w:t>
      </w:r>
      <w:r>
        <w:t>previous work in which multiple stage trial designs are considered from a pharmaceutical perspective</w:t>
      </w:r>
      <w:r w:rsidR="00FD7AAB">
        <w:t xml:space="preserve"> </w:t>
      </w:r>
      <w:r w:rsidR="00E729BA">
        <w:fldChar w:fldCharType="begin"/>
      </w:r>
      <w:r w:rsidR="00FC61FD">
        <w:instrText xml:space="preserve"> ADDIN REFMGR.CITE &lt;Refman&gt;&lt;Cite&gt;&lt;Author&gt;Chen&lt;/Author&gt;&lt;Year&gt;2013&lt;/Year&gt;&lt;RecNum&gt;1635&lt;/RecNum&gt;&lt;IDText&gt;Determining optimal sample sizes for multistage adaptive randomized clinical trials from an industry perspective using value of information methods&lt;/IDText&gt;&lt;MDL Ref_Type="Journal"&gt;&lt;Ref_Type&gt;Journal&lt;/Ref_Type&gt;&lt;Ref_ID&gt;1635&lt;/Ref_ID&gt;&lt;Title_Primary&gt;Determining optimal sample sizes for multistage adaptive randomized clinical trials from an industry perspective using value of information methods&lt;/Title_Primary&gt;&lt;Authors_Primary&gt;Chen,M.H.&lt;/Authors_Primary&gt;&lt;Authors_Primary&gt;Willan,A.R.&lt;/Authors_Primary&gt;&lt;Date_Primary&gt;2013/2&lt;/Date_Primary&gt;&lt;Keywords&gt;article&lt;/Keywords&gt;&lt;Keywords&gt;Child&lt;/Keywords&gt;&lt;Keywords&gt;clinical trial&lt;/Keywords&gt;&lt;Keywords&gt;Disease&lt;/Keywords&gt;&lt;Keywords&gt;Health&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File&lt;/Reprint&gt;&lt;Start_Page&gt;54&lt;/Start_Page&gt;&lt;End_Page&gt;62&lt;/End_Page&gt;&lt;Periodical&gt;Clin.Trials.&lt;/Periodical&gt;&lt;Volume&gt;10&lt;/Volume&gt;&lt;Issue&gt;1&lt;/Issue&gt;&lt;ZZ_JournalStdAbbrev&gt;&lt;f name="System"&gt;Clin.Trials.&lt;/f&gt;&lt;/ZZ_JournalStdAbbrev&gt;&lt;ZZ_WorkformID&gt;1&lt;/ZZ_WorkformID&gt;&lt;/MDL&gt;&lt;/Cite&gt;&lt;/Refman&gt;</w:instrText>
      </w:r>
      <w:r w:rsidR="00E729BA">
        <w:fldChar w:fldCharType="separate"/>
      </w:r>
      <w:r w:rsidR="004D7951">
        <w:t>(130)</w:t>
      </w:r>
      <w:r w:rsidR="00E729BA">
        <w:fldChar w:fldCharType="end"/>
      </w:r>
      <w:r>
        <w:t>.</w:t>
      </w:r>
      <w:r w:rsidR="00FD7AAB">
        <w:t xml:space="preserve"> Both studies assume that the company ha</w:t>
      </w:r>
      <w:r w:rsidR="00FD0FB7">
        <w:t>s</w:t>
      </w:r>
      <w:r w:rsidR="00FD7AAB">
        <w:t xml:space="preserve"> an option to submit for reimbursement with current evidence. The analysis of multi-stage trial designs conducts sensitivity analysis for different prices but in discrete analyses.</w:t>
      </w:r>
    </w:p>
    <w:p w:rsidR="00543B3E" w:rsidRPr="00543B3E" w:rsidRDefault="00FD0FB7" w:rsidP="00F12F58">
      <w:r>
        <w:t>Willan and Eckerman</w:t>
      </w:r>
      <w:r w:rsidR="0016510D">
        <w:t>n</w:t>
      </w:r>
      <w:r>
        <w:t xml:space="preserve"> (2012) investigated</w:t>
      </w:r>
      <w:r w:rsidR="00FD7AAB">
        <w:t xml:space="preserve"> price setting </w:t>
      </w:r>
      <w:r w:rsidR="00F12F58">
        <w:t>and t</w:t>
      </w:r>
      <w:r w:rsidR="00543B3E">
        <w:t>he trade-off between pricing and evidence when a pharmaceutical company is applying for reimbursement from a societal decision-maker of whether to approve healthcare interventions</w:t>
      </w:r>
      <w:r>
        <w:t xml:space="preserve"> </w:t>
      </w:r>
      <w:r w:rsidR="00E729BA">
        <w:fldChar w:fldCharType="begin"/>
      </w:r>
      <w:r w:rsidR="00FC61FD">
        <w:instrText xml:space="preserve"> ADDIN REFMGR.CITE &lt;Refman&gt;&lt;Cite&gt;&lt;Author&gt;Willan&lt;/Author&gt;&lt;Year&gt;2012&lt;/Year&gt;&lt;RecNum&gt;1634&lt;/RecNum&gt;&lt;IDText&gt;Value of information and pricing new healthcare interventions&lt;/IDText&gt;&lt;MDL Ref_Type="Journal"&gt;&lt;Ref_Type&gt;Journal&lt;/Ref_Type&gt;&lt;Ref_ID&gt;1634&lt;/Ref_ID&gt;&lt;Title_Primary&gt;Value of information and pricing new healthcare interventions&lt;/Title_Primary&gt;&lt;Authors_Primary&gt;Willan,A.R.&lt;/Authors_Primary&gt;&lt;Authors_Primary&gt;Eckermann,S.&lt;/Authors_Primary&gt;&lt;Date_Primary&gt;2012/6/1&lt;/Date_Primary&gt;&lt;Keywords&gt;Canada&lt;/Keywords&gt;&lt;Keywords&gt;clinical trial&lt;/Keywords&gt;&lt;Keywords&gt;Clinical Trials as Topic&lt;/Keywords&gt;&lt;Keywords&gt;Costs and Cost Analysis&lt;/Keywords&gt;&lt;Keywords&gt;Decision Making&lt;/Keywords&gt;&lt;Keywords&gt;Decision Making,Organizational&lt;/Keywords&gt;&lt;Keywords&gt;Delivery of Health Care&lt;/Keywords&gt;&lt;Keywords&gt;Drug Industry&lt;/Keywords&gt;&lt;Keywords&gt;economics&lt;/Keywords&gt;&lt;Keywords&gt;Great Britain&lt;/Keywords&gt;&lt;Keywords&gt;Health&lt;/Keywords&gt;&lt;Keywords&gt;Health Care Costs&lt;/Keywords&gt;&lt;Keywords&gt;Humans&lt;/Keywords&gt;&lt;Keywords&gt;methods&lt;/Keywords&gt;&lt;Keywords&gt;Patents as Topic&lt;/Keywords&gt;&lt;Keywords&gt;Reimbursement Mechanisms&lt;/Keywords&gt;&lt;Keywords&gt;Research&lt;/Keywords&gt;&lt;Reprint&gt;Not in File&lt;/Reprint&gt;&lt;Start_Page&gt;447&lt;/Start_Page&gt;&lt;End_Page&gt;459&lt;/End_Page&gt;&lt;Periodical&gt;Pharmacoeconomics.&lt;/Periodical&gt;&lt;Volume&gt;30&lt;/Volume&gt;&lt;Issue&gt;6&lt;/Issue&gt;&lt;ZZ_JournalStdAbbrev&gt;&lt;f name="System"&gt;Pharmacoeconomics.&lt;/f&gt;&lt;/ZZ_JournalStdAbbrev&gt;&lt;ZZ_WorkformID&gt;1&lt;/ZZ_WorkformID&gt;&lt;/MDL&gt;&lt;/Cite&gt;&lt;/Refman&gt;</w:instrText>
      </w:r>
      <w:r w:rsidR="00E729BA">
        <w:fldChar w:fldCharType="separate"/>
      </w:r>
      <w:r w:rsidR="004D7951">
        <w:t>(129)</w:t>
      </w:r>
      <w:r w:rsidR="00E729BA">
        <w:fldChar w:fldCharType="end"/>
      </w:r>
      <w:r w:rsidR="00543B3E">
        <w:t xml:space="preserve">. They consider what actions should be taken when the pharmaceutical company controls the prospective research and the decision maker the reimbursement within a jurisdiction. For a given level of evidence, </w:t>
      </w:r>
      <w:r>
        <w:t xml:space="preserve">they described </w:t>
      </w:r>
      <w:r w:rsidR="00543B3E">
        <w:t xml:space="preserve">a maximum threshold price ‘acceptable’ to the societal decision maker. The expected net gain for conducting another trial will be positive above this price. The pharmaceutical company will act according to their expected value of research and cost of research and current evidence. For a given level of evidence, the company </w:t>
      </w:r>
      <w:r w:rsidR="00F12F58">
        <w:t xml:space="preserve">will </w:t>
      </w:r>
      <w:r w:rsidR="00543B3E">
        <w:t xml:space="preserve">have a minimum threshold price ‘acceptable’. Prices below the threshold will generate a positive expected net gain from further research.  The company should submit to the </w:t>
      </w:r>
      <w:r w:rsidR="002C404F">
        <w:t>reimbursement authority</w:t>
      </w:r>
      <w:r w:rsidR="00543B3E">
        <w:t xml:space="preserve"> if they have negative expected net gain for all sample sizes for this price, but perform another trial if there is a sample size with positive net gain</w:t>
      </w:r>
    </w:p>
    <w:p w:rsidR="0021424F" w:rsidRDefault="0021424F" w:rsidP="0021424F">
      <w:pPr>
        <w:pStyle w:val="Heading2"/>
      </w:pPr>
      <w:bookmarkStart w:id="141" w:name="_Ref337483026"/>
      <w:bookmarkStart w:id="142" w:name="_Toc379467585"/>
      <w:r>
        <w:t>Discussion</w:t>
      </w:r>
      <w:bookmarkEnd w:id="141"/>
      <w:bookmarkEnd w:id="142"/>
    </w:p>
    <w:p w:rsidR="003B0428" w:rsidRPr="003B0428" w:rsidRDefault="003B0428" w:rsidP="003B0428">
      <w:pPr>
        <w:pStyle w:val="Heading3"/>
      </w:pPr>
      <w:bookmarkStart w:id="143" w:name="_Toc379467586"/>
      <w:r>
        <w:t>Literature Review Methodology</w:t>
      </w:r>
      <w:bookmarkEnd w:id="143"/>
    </w:p>
    <w:p w:rsidR="0081595C" w:rsidRDefault="0081595C" w:rsidP="0081595C">
      <w:r>
        <w:t xml:space="preserve">I adopted the recommended Pearl Growing approach to study identification in which references were identified from the reference list and citation list of relevant articles. </w:t>
      </w:r>
      <w:r w:rsidR="00D0340D">
        <w:t xml:space="preserve">The literature review was designed to efficiently identify Bayesian </w:t>
      </w:r>
      <w:r w:rsidR="00A414ED">
        <w:t>m</w:t>
      </w:r>
      <w:r w:rsidR="00D0340D">
        <w:t>ethodologies</w:t>
      </w:r>
      <w:r w:rsidR="00A414ED">
        <w:t xml:space="preserve"> utilising health economic methods or mathematical modelling</w:t>
      </w:r>
      <w:r w:rsidR="00D0340D">
        <w:t xml:space="preserve"> to inform design decisions in clinical trials. </w:t>
      </w:r>
      <w:r w:rsidR="00C32A4C">
        <w:t xml:space="preserve">Chilcott et al. (2003) </w:t>
      </w:r>
      <w:r w:rsidR="00D0340D">
        <w:t xml:space="preserve">had found that </w:t>
      </w:r>
      <w:r w:rsidR="00C32A4C">
        <w:t xml:space="preserve">traditional </w:t>
      </w:r>
      <w:r w:rsidR="00A414ED">
        <w:t xml:space="preserve">systematic review methods using </w:t>
      </w:r>
      <w:r w:rsidR="00C32A4C">
        <w:t xml:space="preserve">search terms and </w:t>
      </w:r>
      <w:r w:rsidR="00A414ED">
        <w:t xml:space="preserve">online databases </w:t>
      </w:r>
      <w:r w:rsidR="00C32A4C">
        <w:t>w</w:t>
      </w:r>
      <w:r w:rsidR="00420ADE">
        <w:t>ere</w:t>
      </w:r>
      <w:r w:rsidR="00F85D2D">
        <w:t xml:space="preserve"> not a suitable method for identifying health economic methodologies. </w:t>
      </w:r>
      <w:r w:rsidR="00C32A4C">
        <w:t>Traditional s</w:t>
      </w:r>
      <w:r w:rsidR="005D7025">
        <w:t xml:space="preserve">ystematic reviewing </w:t>
      </w:r>
      <w:r w:rsidR="00D0340D">
        <w:t>identified a large number of references, of which only a small yield of articl</w:t>
      </w:r>
      <w:r w:rsidR="00F51031">
        <w:t>es were relevant</w:t>
      </w:r>
      <w:r w:rsidR="008731E8">
        <w:t xml:space="preserve"> </w:t>
      </w:r>
      <w:r w:rsidR="00E729BA">
        <w:fldChar w:fldCharType="begin"/>
      </w:r>
      <w:r w:rsidR="00FC61FD">
        <w:instrText xml:space="preserve"> ADDIN REFMGR.CITE &lt;Refman&gt;&lt;Cite&gt;&lt;Author&gt;Chilcott&lt;/Author&gt;&lt;Year&gt;2003&lt;/Year&gt;&lt;RecNum&gt;1518&lt;/RecNum&gt;&lt;IDText&gt;The role of modelling in prioritising and planning clinical trials&lt;/IDText&gt;&lt;MDL Ref_Type="Journal"&gt;&lt;Ref_Type&gt;Journal&lt;/Ref_Type&gt;&lt;Ref_ID&gt;1518&lt;/Ref_ID&gt;&lt;Title_Primary&gt;The role of modelling in prioritising and planning clinical trials&lt;/Title_Primary&gt;&lt;Authors_Primary&gt;Chilcott,J.&lt;/Authors_Primary&gt;&lt;Authors_Primary&gt;Brennan,A.&lt;/Authors_Primary&gt;&lt;Authors_Primary&gt;Booth,A.&lt;/Authors_Primary&gt;&lt;Authors_Primary&gt;Karnon,J.&lt;/Authors_Primary&gt;&lt;Authors_Primary&gt;Tappenden,P.&lt;/Authors_Primary&gt;&lt;Date_Primary&gt;2003&lt;/Date_Primary&gt;&lt;Keywords&gt;analysis&lt;/Keywords&gt;&lt;Keywords&gt;classification&lt;/Keywords&gt;&lt;Keywords&gt;clinical trial&lt;/Keywords&gt;&lt;Keywords&gt;Clinical Trials as Topic&lt;/Keywords&gt;&lt;Keywords&gt;Cost-Benefit Analysis&lt;/Keywords&gt;&lt;Keywords&gt;Data Collection&lt;/Keywords&gt;&lt;Keywords&gt;Decision Support Techniques&lt;/Keywords&gt;&lt;Keywords&gt;Disease&lt;/Keywords&gt;&lt;Keywords&gt;Great Britain&lt;/Keywords&gt;&lt;Keywords&gt;Health&lt;/Keywords&gt;&lt;Keywords&gt;Health Priorities&lt;/Keywords&gt;&lt;Keywords&gt;Humans&lt;/Keywords&gt;&lt;Keywords&gt;Medline&lt;/Keywords&gt;&lt;Keywords&gt;methods&lt;/Keywords&gt;&lt;Keywords&gt;Models,Econometric&lt;/Keywords&gt;&lt;Keywords&gt;population&lt;/Keywords&gt;&lt;Keywords&gt;Probability&lt;/Keywords&gt;&lt;Keywords&gt;Research&lt;/Keywords&gt;&lt;Keywords&gt;Research Design&lt;/Keywords&gt;&lt;Keywords&gt;sample&lt;/Keywords&gt;&lt;Keywords&gt;Sample Size&lt;/Keywords&gt;&lt;Keywords&gt;Time&lt;/Keywords&gt;&lt;Reprint&gt;Not in File&lt;/Reprint&gt;&lt;Start_Page&gt;iii, 1&lt;/Start_Page&gt;&lt;End_Page&gt;iii125&lt;/End_Page&gt;&lt;Periodical&gt;Health Technol.Assess.&lt;/Periodical&gt;&lt;Volume&gt;7&lt;/Volume&gt;&lt;Issue&gt;23&lt;/Issue&gt;&lt;ZZ_JournalStdAbbrev&gt;&lt;f name="System"&gt;Health Technol.Assess.&lt;/f&gt;&lt;/ZZ_JournalStdAbbrev&gt;&lt;ZZ_WorkformID&gt;1&lt;/ZZ_WorkformID&gt;&lt;/MDL&gt;&lt;/Cite&gt;&lt;/Refman&gt;</w:instrText>
      </w:r>
      <w:r w:rsidR="00E729BA">
        <w:fldChar w:fldCharType="separate"/>
      </w:r>
      <w:r w:rsidR="00F12F58">
        <w:t>(89)</w:t>
      </w:r>
      <w:r w:rsidR="00E729BA">
        <w:fldChar w:fldCharType="end"/>
      </w:r>
      <w:r w:rsidR="00F51031">
        <w:t xml:space="preserve">. </w:t>
      </w:r>
    </w:p>
    <w:p w:rsidR="00D0340D" w:rsidRDefault="00C32A4C" w:rsidP="0081595C">
      <w:r>
        <w:t xml:space="preserve">I decided </w:t>
      </w:r>
      <w:r w:rsidR="00D0340D">
        <w:t>not</w:t>
      </w:r>
      <w:r>
        <w:t xml:space="preserve"> to</w:t>
      </w:r>
      <w:r w:rsidR="00D0340D">
        <w:t xml:space="preserve"> continue with the search beyond </w:t>
      </w:r>
      <w:r w:rsidR="00CD5A24">
        <w:t xml:space="preserve">two rounds of searching </w:t>
      </w:r>
      <w:r w:rsidR="00D0340D">
        <w:t xml:space="preserve">because the </w:t>
      </w:r>
      <w:r w:rsidR="003B0428">
        <w:t xml:space="preserve">subsequent </w:t>
      </w:r>
      <w:r w:rsidR="00D0340D">
        <w:t xml:space="preserve">yield of articles was </w:t>
      </w:r>
      <w:r w:rsidR="00CD5A24">
        <w:t xml:space="preserve">very </w:t>
      </w:r>
      <w:r w:rsidR="00D0340D">
        <w:t xml:space="preserve">low and would be time consuming to </w:t>
      </w:r>
      <w:r w:rsidR="00F51031">
        <w:t>complete</w:t>
      </w:r>
      <w:r w:rsidR="00D0340D">
        <w:t xml:space="preserve">. Two assessments were made to support this decision. Firstly, the reference lists of the 15 articles identified in the second round of the review were screened to identify papers that used methodologies not already described above or from authors not included in the review. Secondly, the reference list was compared against that of a fellow PhD student who had </w:t>
      </w:r>
      <w:r w:rsidR="00244577">
        <w:t xml:space="preserve">independently </w:t>
      </w:r>
      <w:r w:rsidR="00D0340D">
        <w:t>developed a literature review to identify E</w:t>
      </w:r>
      <w:r w:rsidR="00AD71C4">
        <w:t>NBS</w:t>
      </w:r>
      <w:r w:rsidR="00D0340D">
        <w:t xml:space="preserve"> studies. These checks did not indicate that an important body of literature had been excluded from the review. </w:t>
      </w:r>
    </w:p>
    <w:p w:rsidR="003B0428" w:rsidRDefault="0081595C" w:rsidP="006A746E">
      <w:pPr>
        <w:pStyle w:val="Heading3"/>
      </w:pPr>
      <w:bookmarkStart w:id="144" w:name="_Toc379467587"/>
      <w:r>
        <w:t xml:space="preserve">Merits of the </w:t>
      </w:r>
      <w:r w:rsidR="003B0428">
        <w:t xml:space="preserve">Approaches to </w:t>
      </w:r>
      <w:r w:rsidR="006A746E">
        <w:t>Valuing</w:t>
      </w:r>
      <w:r w:rsidR="003B0428">
        <w:t xml:space="preserve"> Clinical Trials</w:t>
      </w:r>
      <w:bookmarkEnd w:id="144"/>
    </w:p>
    <w:p w:rsidR="00876B7B" w:rsidRDefault="001D20D0" w:rsidP="00F12F58">
      <w:r>
        <w:t>The t</w:t>
      </w:r>
      <w:r w:rsidR="00FD7AAB">
        <w:t>hree</w:t>
      </w:r>
      <w:r w:rsidR="00AD71C4">
        <w:t xml:space="preserve"> main approaches to </w:t>
      </w:r>
      <w:r w:rsidR="006A746E">
        <w:t>valuing</w:t>
      </w:r>
      <w:r w:rsidR="00AD71C4">
        <w:t xml:space="preserve"> clinical trials in the literature review </w:t>
      </w:r>
      <w:r w:rsidR="00126BF2">
        <w:t>were</w:t>
      </w:r>
      <w:r w:rsidR="00FD7AAB">
        <w:t xml:space="preserve"> ENBS, </w:t>
      </w:r>
      <w:r w:rsidR="00AD71C4">
        <w:t>BeBay</w:t>
      </w:r>
      <w:r w:rsidR="00FD7AAB">
        <w:t xml:space="preserve"> and assurance</w:t>
      </w:r>
      <w:r w:rsidR="00AD71C4">
        <w:t xml:space="preserve">. </w:t>
      </w:r>
      <w:r w:rsidR="005651B7">
        <w:t xml:space="preserve">There are many similarities </w:t>
      </w:r>
      <w:r w:rsidR="00FD7AAB">
        <w:t>between</w:t>
      </w:r>
      <w:r w:rsidR="005651B7">
        <w:t xml:space="preserve"> </w:t>
      </w:r>
      <w:r w:rsidR="00FD7AAB">
        <w:t>the ENBS and Bebay approaches</w:t>
      </w:r>
      <w:r w:rsidR="00CD5A24">
        <w:t xml:space="preserve">. The assurance methodology is quite different because it </w:t>
      </w:r>
      <w:r w:rsidR="00DF44CC">
        <w:t>generates estimates of the probability of success but does not value the outcome in monetary terms</w:t>
      </w:r>
      <w:r w:rsidR="00CD5A24">
        <w:t xml:space="preserve">. </w:t>
      </w:r>
      <w:r w:rsidR="00AD71C4">
        <w:t xml:space="preserve">ENBS has been more commonly used in a societal framework, </w:t>
      </w:r>
      <w:r w:rsidR="00FD7AAB">
        <w:t xml:space="preserve">whereas </w:t>
      </w:r>
      <w:r w:rsidR="00AD71C4">
        <w:t xml:space="preserve">BeBay </w:t>
      </w:r>
      <w:r w:rsidR="00800613">
        <w:t>and assurance have</w:t>
      </w:r>
      <w:r w:rsidR="00AD71C4">
        <w:t xml:space="preserve"> a stronger focus on pharmaceutical </w:t>
      </w:r>
      <w:r w:rsidR="00800613">
        <w:t>company</w:t>
      </w:r>
      <w:r w:rsidR="00AD71C4">
        <w:t xml:space="preserve"> trials.</w:t>
      </w:r>
      <w:r w:rsidR="005651B7">
        <w:t xml:space="preserve"> </w:t>
      </w:r>
      <w:r w:rsidR="00AD71C4">
        <w:t xml:space="preserve">ENBS </w:t>
      </w:r>
      <w:r w:rsidR="009554D6">
        <w:t>values</w:t>
      </w:r>
      <w:r w:rsidR="00AD71C4">
        <w:t xml:space="preserve"> the reduction in uncertainty</w:t>
      </w:r>
      <w:r w:rsidR="009554D6">
        <w:t xml:space="preserve"> in Net Benefit, after</w:t>
      </w:r>
      <w:r w:rsidR="00AD71C4">
        <w:t xml:space="preserve"> </w:t>
      </w:r>
      <w:r w:rsidR="009554D6">
        <w:t>data collection,</w:t>
      </w:r>
      <w:r w:rsidR="00AD71C4">
        <w:t xml:space="preserve"> in monetary terms. The BeBay approach </w:t>
      </w:r>
      <w:r w:rsidR="00F12F58">
        <w:t xml:space="preserve">links trial results to the uptake of new treatments conditional on trial sample size. </w:t>
      </w:r>
      <w:r w:rsidR="00AD71C4">
        <w:t xml:space="preserve"> </w:t>
      </w:r>
    </w:p>
    <w:p w:rsidR="003E4435" w:rsidRDefault="0034303C" w:rsidP="00EE2E22">
      <w:r>
        <w:t xml:space="preserve">ENBS studies have developed many useful methodologies but none that are sufficient for the requirements of this research question. </w:t>
      </w:r>
      <w:r w:rsidR="004D7951">
        <w:t xml:space="preserve">The main limitation arises from the adoption of a pharmaceutical perspective. </w:t>
      </w:r>
      <w:r w:rsidR="003E4435">
        <w:t>I concluded that an assumption of normally distributed Net Benefit was not applicable in this study</w:t>
      </w:r>
      <w:r w:rsidR="007171F5">
        <w:t>. I</w:t>
      </w:r>
      <w:r w:rsidR="00FD0FB7">
        <w:t xml:space="preserve">t </w:t>
      </w:r>
      <w:r w:rsidR="007171F5">
        <w:t xml:space="preserve">would be unreasonable to assume that Net Benefit was normally distributed in the absence of </w:t>
      </w:r>
      <w:r w:rsidR="00EE2E22">
        <w:t xml:space="preserve">a </w:t>
      </w:r>
      <w:r w:rsidR="007171F5">
        <w:t>CE analyses in SLE to support this assumption. Furthermore, a CE model for SLE was likely to require inputs from multiple sources and it was</w:t>
      </w:r>
      <w:r w:rsidR="00FD0FB7">
        <w:t xml:space="preserve"> more useful to focus on acquiring data on a sub-set of parameters that are used to calculate Net Benefit</w:t>
      </w:r>
      <w:r w:rsidR="003E4435">
        <w:t xml:space="preserve">. </w:t>
      </w:r>
      <w:r w:rsidR="00FD0FB7">
        <w:t>I believe that the assumption of a normally distributed Net Benefit is</w:t>
      </w:r>
      <w:r w:rsidR="003E4435">
        <w:t xml:space="preserve"> best applied to within trial CE evaluations where Net Benefit and the variance in Net Benefit are directly measured. </w:t>
      </w:r>
      <w:r w:rsidR="0081595C">
        <w:t>ENBS has</w:t>
      </w:r>
      <w:r w:rsidR="002F3FE1">
        <w:t xml:space="preserve"> been applied </w:t>
      </w:r>
      <w:r w:rsidR="0081595C">
        <w:t>to within trial CE evaluation, and CE models of variable structure and complexity</w:t>
      </w:r>
      <w:r w:rsidR="002A4502">
        <w:t xml:space="preserve">. </w:t>
      </w:r>
      <w:r>
        <w:t xml:space="preserve">As a consequence, several methodological developments have been made to improve the efficiency of calculations for more complex analyses. </w:t>
      </w:r>
    </w:p>
    <w:p w:rsidR="003E4435" w:rsidRDefault="00DA53C3" w:rsidP="003E4435">
      <w:r>
        <w:t>T</w:t>
      </w:r>
      <w:r w:rsidR="002A4502">
        <w:t xml:space="preserve">he main limitation of the ENBS approach is that it does not reflect the incentives and objectives of a pharmaceutical company. </w:t>
      </w:r>
      <w:r w:rsidR="0034303C">
        <w:t xml:space="preserve">The main focus of the ENBS studies has been to assist with reimbursement decision making from a societal perspective. </w:t>
      </w:r>
      <w:r w:rsidR="00FF1D16">
        <w:t>In very simple terms</w:t>
      </w:r>
      <w:r w:rsidR="00AD4FBF">
        <w:t xml:space="preserve"> a </w:t>
      </w:r>
      <w:r w:rsidR="00CC17B0">
        <w:t>p</w:t>
      </w:r>
      <w:r w:rsidR="00AD4FBF">
        <w:t xml:space="preserve">harmaceutical </w:t>
      </w:r>
      <w:r w:rsidR="00CC17B0">
        <w:t>c</w:t>
      </w:r>
      <w:r w:rsidR="00AD4FBF">
        <w:t>ompany</w:t>
      </w:r>
      <w:r w:rsidR="00244577">
        <w:t xml:space="preserve"> invest in an RCT to optimise the profitability of that drug</w:t>
      </w:r>
      <w:r w:rsidR="00AD4FBF">
        <w:t xml:space="preserve">. </w:t>
      </w:r>
      <w:r w:rsidR="00FF1D16">
        <w:t>They are not mandated to consider the health of society in this decision</w:t>
      </w:r>
      <w:r w:rsidR="00AD4FBF">
        <w:t>. However,</w:t>
      </w:r>
      <w:r w:rsidR="002A4502">
        <w:t xml:space="preserve"> the pharmaceutical company should not design their trials without consideration for the health economics regulations. T</w:t>
      </w:r>
      <w:r w:rsidR="00AD4FBF">
        <w:t xml:space="preserve">heir expected profits </w:t>
      </w:r>
      <w:r w:rsidR="00F51031">
        <w:t>would be</w:t>
      </w:r>
      <w:r w:rsidR="00AD4FBF">
        <w:t xml:space="preserve"> conditional on the </w:t>
      </w:r>
      <w:r w:rsidR="002C404F">
        <w:t>license regulators</w:t>
      </w:r>
      <w:r w:rsidR="00AD4FBF">
        <w:t xml:space="preserve"> requirements of efficacy, safety, and</w:t>
      </w:r>
      <w:r w:rsidR="002C404F">
        <w:t xml:space="preserve"> reimbursement requirements for</w:t>
      </w:r>
      <w:r w:rsidR="00AD4FBF">
        <w:t xml:space="preserve"> cost-effectiveness. </w:t>
      </w:r>
    </w:p>
    <w:p w:rsidR="00876B7B" w:rsidRDefault="007F22C2" w:rsidP="003E4435">
      <w:r>
        <w:t xml:space="preserve">I would argue that </w:t>
      </w:r>
      <w:r w:rsidR="0034303C">
        <w:t>adaptations of ENBS to the pharmaceutical perspective have</w:t>
      </w:r>
      <w:r>
        <w:t xml:space="preserve"> not addressed all of the factors that would be important during the drug development process</w:t>
      </w:r>
      <w:r w:rsidR="0034303C">
        <w:t>.</w:t>
      </w:r>
      <w:r w:rsidR="002E1550">
        <w:t xml:space="preserve"> </w:t>
      </w:r>
      <w:r w:rsidR="0034303C">
        <w:t xml:space="preserve"> Previous methods have assumed</w:t>
      </w:r>
      <w:r>
        <w:t xml:space="preserve"> that the profit per patient treated is known by the company before they start the trial. The analysis is therefore conditional on the price that is assumed. However, the price of new treatments will not be fixed</w:t>
      </w:r>
      <w:r w:rsidR="00AD4FBF">
        <w:t xml:space="preserve"> </w:t>
      </w:r>
      <w:r>
        <w:t>in the early stages of the drug development</w:t>
      </w:r>
      <w:r w:rsidR="00FF1D16">
        <w:t xml:space="preserve"> and</w:t>
      </w:r>
      <w:r>
        <w:t xml:space="preserve"> the price may be dependent on the strength of evidence collected in the Phase III trial. It would be more appropriate to relax the assumption that price is fixed.</w:t>
      </w:r>
      <w:r w:rsidR="004D7951">
        <w:t xml:space="preserve"> </w:t>
      </w:r>
    </w:p>
    <w:p w:rsidR="00E66EA1" w:rsidRDefault="00DF44CC" w:rsidP="00DF44CC">
      <w:r>
        <w:t xml:space="preserve">The BeBay literature introduced a useful method for valuing trials from a pharmaceutical perspective. </w:t>
      </w:r>
      <w:r w:rsidR="0034303C">
        <w:t xml:space="preserve">Many of the studies from the BeBay literature have focussed on the implications of the trial meeting a primary endpoint to determine market access. </w:t>
      </w:r>
      <w:r>
        <w:t>H</w:t>
      </w:r>
      <w:r w:rsidR="0034303C">
        <w:t xml:space="preserve">ealth economics and cost-effectiveness modelling are not </w:t>
      </w:r>
      <w:r>
        <w:t>central to their methods</w:t>
      </w:r>
      <w:r w:rsidR="0034303C">
        <w:t>. However, they have developed a useful method for specifying the value of treatment from the pharmaceutical company</w:t>
      </w:r>
      <w:r>
        <w:t xml:space="preserve"> perspective</w:t>
      </w:r>
      <w:r w:rsidR="0034303C">
        <w:t xml:space="preserve"> in terms of profit per patient and market coverage. In a more recent analysis they considered factors affecting reimbursement such as costs and adverse events. However, the methods for estimating the future costs and health outcomes are simple compared with most CE models.</w:t>
      </w:r>
      <w:r>
        <w:t xml:space="preserve"> </w:t>
      </w:r>
      <w:r w:rsidR="00E66EA1">
        <w:t xml:space="preserve">In recent studies </w:t>
      </w:r>
      <w:r w:rsidR="00FF1D16">
        <w:t xml:space="preserve">the BeBay </w:t>
      </w:r>
      <w:r w:rsidR="002F3FE1">
        <w:t xml:space="preserve">approach </w:t>
      </w:r>
      <w:r w:rsidR="00E66EA1">
        <w:t>ha</w:t>
      </w:r>
      <w:r w:rsidR="002F3FE1">
        <w:t>s</w:t>
      </w:r>
      <w:r w:rsidR="00E66EA1">
        <w:t xml:space="preserve"> integrated the motivations of the pharmaceutical company to maximise profits with the requirements of </w:t>
      </w:r>
      <w:r w:rsidR="002C404F">
        <w:t>license regulators and reimbursement authorities</w:t>
      </w:r>
      <w:r w:rsidR="007E5F7E">
        <w:t xml:space="preserve">, without specifying the price of the new treatment. </w:t>
      </w:r>
      <w:r w:rsidR="00FA2BE7">
        <w:t>It will be useful to adopt their specifications of the objectives of the pharmaceutical company into the valuation of trial designs.</w:t>
      </w:r>
    </w:p>
    <w:p w:rsidR="009732B5" w:rsidRDefault="009732B5" w:rsidP="00DF44CC"/>
    <w:p w:rsidR="003B0428" w:rsidRDefault="00966B04" w:rsidP="003B0428">
      <w:pPr>
        <w:pStyle w:val="Heading3"/>
      </w:pPr>
      <w:bookmarkStart w:id="145" w:name="_Toc379467588"/>
      <w:r>
        <w:t>Methods for Sampling Trial Outcomes</w:t>
      </w:r>
      <w:bookmarkEnd w:id="145"/>
    </w:p>
    <w:p w:rsidR="00DF44CC" w:rsidRDefault="00DF44CC" w:rsidP="00D538A8">
      <w:r>
        <w:t>T</w:t>
      </w:r>
      <w:r w:rsidR="006A746E">
        <w:t>he ENBS and BeBay studies</w:t>
      </w:r>
      <w:r>
        <w:t xml:space="preserve"> </w:t>
      </w:r>
      <w:r w:rsidR="00D538A8">
        <w:t>use</w:t>
      </w:r>
      <w:r w:rsidR="006A746E">
        <w:t xml:space="preserve"> the prior distribution</w:t>
      </w:r>
      <w:r>
        <w:t xml:space="preserve"> of the parameter of interest</w:t>
      </w:r>
      <w:r w:rsidR="00D538A8">
        <w:t xml:space="preserve"> to sample a new dataset</w:t>
      </w:r>
      <w:r>
        <w:t xml:space="preserve">. In a drug development programme the prior distribution </w:t>
      </w:r>
      <w:r w:rsidR="006A746E">
        <w:t>could</w:t>
      </w:r>
      <w:r w:rsidR="00F12F58">
        <w:t xml:space="preserve"> be</w:t>
      </w:r>
      <w:r w:rsidR="006A746E">
        <w:t xml:space="preserve"> </w:t>
      </w:r>
      <w:r>
        <w:t>reliably estimated</w:t>
      </w:r>
      <w:r w:rsidR="006A746E">
        <w:t xml:space="preserve"> from </w:t>
      </w:r>
      <w:r>
        <w:t>the Phase II trial</w:t>
      </w:r>
      <w:r w:rsidR="006A746E">
        <w:t>.</w:t>
      </w:r>
      <w:r w:rsidR="006A746E" w:rsidRPr="00380283">
        <w:t xml:space="preserve"> </w:t>
      </w:r>
      <w:r w:rsidR="006A746E">
        <w:t xml:space="preserve">However, there are several scenarios where </w:t>
      </w:r>
      <w:r w:rsidR="00D538A8">
        <w:t xml:space="preserve">this </w:t>
      </w:r>
      <w:r>
        <w:t>may</w:t>
      </w:r>
      <w:r w:rsidR="006A746E">
        <w:t xml:space="preserve"> not be satisfactory to address</w:t>
      </w:r>
      <w:r>
        <w:t xml:space="preserve"> innovative</w:t>
      </w:r>
      <w:r w:rsidR="006A746E">
        <w:t xml:space="preserve"> trial design</w:t>
      </w:r>
      <w:r w:rsidR="00FF1D16">
        <w:t xml:space="preserve"> features</w:t>
      </w:r>
      <w:r w:rsidR="006A746E">
        <w:t xml:space="preserve">. </w:t>
      </w:r>
    </w:p>
    <w:p w:rsidR="008D41F2" w:rsidRDefault="009C6983" w:rsidP="009602B1">
      <w:r>
        <w:t xml:space="preserve">I have identified three situations that would present challenges to </w:t>
      </w:r>
      <w:r w:rsidR="00D538A8">
        <w:t>defining the prior distribution</w:t>
      </w:r>
      <w:r>
        <w:t xml:space="preserve">. </w:t>
      </w:r>
      <w:r w:rsidR="006A746E">
        <w:t xml:space="preserve">Firstly, the inclusion criteria </w:t>
      </w:r>
      <w:r w:rsidR="00DF44CC">
        <w:t xml:space="preserve">may not </w:t>
      </w:r>
      <w:r w:rsidR="00D11C28">
        <w:t xml:space="preserve">be </w:t>
      </w:r>
      <w:r w:rsidR="00DF44CC">
        <w:t>compatible between previous and potential future trials</w:t>
      </w:r>
      <w:r w:rsidR="006A746E">
        <w:t xml:space="preserve">. </w:t>
      </w:r>
      <w:r w:rsidR="007D2958">
        <w:t>The impact of alternative inclusion criteria on the data collected may be difficult to predict</w:t>
      </w:r>
      <w:r w:rsidR="007679CD">
        <w:t xml:space="preserve">. </w:t>
      </w:r>
      <w:r w:rsidR="007D2958">
        <w:t xml:space="preserve">For example, </w:t>
      </w:r>
      <w:r w:rsidR="007679CD">
        <w:t>the new trial may target a sub-group of individuals from the Phase II</w:t>
      </w:r>
      <w:r w:rsidR="007D2958">
        <w:t xml:space="preserve">, or </w:t>
      </w:r>
      <w:r w:rsidR="004D7951">
        <w:t xml:space="preserve">if </w:t>
      </w:r>
      <w:r w:rsidR="007679CD">
        <w:t>the Phase II</w:t>
      </w:r>
      <w:r w:rsidR="004D7951">
        <w:t xml:space="preserve"> trial</w:t>
      </w:r>
      <w:r w:rsidR="007679CD">
        <w:t xml:space="preserve"> did not have a representative sample </w:t>
      </w:r>
      <w:r w:rsidR="004D7951">
        <w:t>of the target population</w:t>
      </w:r>
      <w:r w:rsidR="007D2958">
        <w:t xml:space="preserve">. In either case it might be beneficial to pool evidence from multiple sources of data that can describe the expected natural history of patients in the target population. </w:t>
      </w:r>
      <w:r w:rsidR="006A746E">
        <w:t xml:space="preserve">Secondly, </w:t>
      </w:r>
      <w:r w:rsidR="00D11C28">
        <w:t>gaps in the data</w:t>
      </w:r>
      <w:r w:rsidR="006A746E">
        <w:t xml:space="preserve"> </w:t>
      </w:r>
      <w:r w:rsidR="00FF1D16">
        <w:t>exist</w:t>
      </w:r>
      <w:r w:rsidR="006A746E">
        <w:t xml:space="preserve"> if the duration of follow-up in the Phase II trial is shorter than the new trial. </w:t>
      </w:r>
      <w:r w:rsidR="007679CD">
        <w:t xml:space="preserve">Prior distributions for long-term treatment effect can be assumed but it may be more difficult to factor in the impact of other factors such as withdrawal into what treatment effects are observed. </w:t>
      </w:r>
      <w:r w:rsidR="006A746E">
        <w:t>Thirdly, the trial investigators may wish to collect clinical outcomes that were not included in the Phase II trial</w:t>
      </w:r>
      <w:r w:rsidR="002F3FE1">
        <w:t>, or change the way it is measured</w:t>
      </w:r>
      <w:r w:rsidR="006A746E">
        <w:t xml:space="preserve">. </w:t>
      </w:r>
      <w:r w:rsidR="00FF1D16">
        <w:t>In this situation</w:t>
      </w:r>
      <w:r w:rsidR="00966B04">
        <w:t xml:space="preserve"> sampling from Phase II trial outcomes would either limit the scope of the EVSI or rely on other means to estimate prior parameters, such as elicitation </w:t>
      </w:r>
      <w:r w:rsidR="00E729BA">
        <w:fldChar w:fldCharType="begin"/>
      </w:r>
      <w:r w:rsidR="00FC61FD">
        <w:instrText xml:space="preserve"> ADDIN REFMGR.CITE &lt;Refman&gt;&lt;Cite&gt;&lt;Author&gt;Bojke&lt;/Author&gt;&lt;Year&gt;2010&lt;/Year&gt;&lt;RecNum&gt;1513&lt;/RecNum&gt;&lt;IDText&gt;Eliciting distributions to populate decision analytic models&lt;/IDText&gt;&lt;MDL Ref_Type="Journal"&gt;&lt;Ref_Type&gt;Journal&lt;/Ref_Type&gt;&lt;Ref_ID&gt;1513&lt;/Ref_ID&gt;&lt;Title_Primary&gt;Eliciting distributions to populate decision analytic models&lt;/Title_Primary&gt;&lt;Authors_Primary&gt;Bojke,L.&lt;/Authors_Primary&gt;&lt;Authors_Primary&gt;Claxton,K.&lt;/Authors_Primary&gt;&lt;Authors_Primary&gt;Bravo-Vergel,Y.&lt;/Authors_Primary&gt;&lt;Authors_Primary&gt;Sculpher,M.&lt;/Authors_Primary&gt;&lt;Authors_Primary&gt;Palmer,S.&lt;/Authors_Primary&gt;&lt;Authors_Primary&gt;Abrams,K.&lt;/Authors_Primary&gt;&lt;Date_Primary&gt;2010/8&lt;/Date_Primary&gt;&lt;Keywords&gt;Anti-Inflammatory Agents,Non-Steroidal&lt;/Keywords&gt;&lt;Keywords&gt;Antibodies,Monoclonal&lt;/Keywords&gt;&lt;Keywords&gt;Antirheumatic Agents&lt;/Keywords&gt;&lt;Keywords&gt;Arthritis&lt;/Keywords&gt;&lt;Keywords&gt;Arthritis,Psoriatic&lt;/Keywords&gt;&lt;Keywords&gt;article&lt;/Keywords&gt;&lt;Keywords&gt;Cost-Benefit Analysis&lt;/Keywords&gt;&lt;Keywords&gt;Decision Support Techniques&lt;/Keywords&gt;&lt;Keywords&gt;Disease Progression&lt;/Keywords&gt;&lt;Keywords&gt;drug therapy&lt;/Keywords&gt;&lt;Keywords&gt;economics&lt;/Keywords&gt;&lt;Keywords&gt;Feasibility Studies&lt;/Keywords&gt;&lt;Keywords&gt;Great Britain&lt;/Keywords&gt;&lt;Keywords&gt;Health&lt;/Keywords&gt;&lt;Keywords&gt;Health Care Costs&lt;/Keywords&gt;&lt;Keywords&gt;Humans&lt;/Keywords&gt;&lt;Keywords&gt;Immunoglobulin G&lt;/Keywords&gt;&lt;Keywords&gt;Life&lt;/Keywords&gt;&lt;Keywords&gt;methods&lt;/Keywords&gt;&lt;Keywords&gt;Models,Economic&lt;/Keywords&gt;&lt;Keywords&gt;Models,Statistical&lt;/Keywords&gt;&lt;Keywords&gt;Palliative Care&lt;/Keywords&gt;&lt;Keywords&gt;Probability&lt;/Keywords&gt;&lt;Keywords&gt;Program Evaluation&lt;/Keywords&gt;&lt;Keywords&gt;Quality of Life&lt;/Keywords&gt;&lt;Keywords&gt;Quality-Adjusted Life Years&lt;/Keywords&gt;&lt;Keywords&gt;Receptors,Tumor Necrosis Factor&lt;/Keywords&gt;&lt;Keywords&gt;Research&lt;/Keywords&gt;&lt;Keywords&gt;therapeutic use&lt;/Keywords&gt;&lt;Keywords&gt;Uncertainty&lt;/Keywords&gt;&lt;Reprint&gt;Not in File&lt;/Reprint&gt;&lt;Start_Page&gt;557&lt;/Start_Page&gt;&lt;End_Page&gt;564&lt;/End_Page&gt;&lt;Periodical&gt;Value.Health.&lt;/Periodical&gt;&lt;Volume&gt;13&lt;/Volume&gt;&lt;Issue&gt;5&lt;/Issue&gt;&lt;User_Def_1&gt;elicitation&lt;/User_Def_1&gt;&lt;ZZ_JournalStdAbbrev&gt;&lt;f name="System"&gt;Value.Health.&lt;/f&gt;&lt;/ZZ_JournalStdAbbrev&gt;&lt;ZZ_WorkformID&gt;1&lt;/ZZ_WorkformID&gt;&lt;/MDL&gt;&lt;/Cite&gt;&lt;/Refman&gt;</w:instrText>
      </w:r>
      <w:r w:rsidR="00E729BA">
        <w:fldChar w:fldCharType="separate"/>
      </w:r>
      <w:r w:rsidR="004D7951">
        <w:t>(131)</w:t>
      </w:r>
      <w:r w:rsidR="00E729BA">
        <w:fldChar w:fldCharType="end"/>
      </w:r>
      <w:r w:rsidR="00966B04">
        <w:t xml:space="preserve">. </w:t>
      </w:r>
      <w:r>
        <w:t xml:space="preserve">It may be difficult for experts to </w:t>
      </w:r>
      <w:r w:rsidR="009602B1">
        <w:t>translate outcomes from one primary endpoint to another</w:t>
      </w:r>
      <w:r>
        <w:t>. The outcomes will be correlated, but the response index provides very little information to estimate the mean difference.</w:t>
      </w:r>
    </w:p>
    <w:p w:rsidR="006A746E" w:rsidRDefault="00966B04" w:rsidP="00FA2BE7">
      <w:r>
        <w:t xml:space="preserve">The RADDM study illustrates the advantages of building more complex </w:t>
      </w:r>
      <w:r w:rsidR="00462E08">
        <w:t>CE</w:t>
      </w:r>
      <w:r>
        <w:t xml:space="preserve"> models to estimate the impact of multiple design decisions. This would be advantageous in the SLE study where </w:t>
      </w:r>
      <w:r w:rsidR="00FF1D16">
        <w:t>m</w:t>
      </w:r>
      <w:r w:rsidR="008D41F2">
        <w:t>ultiple</w:t>
      </w:r>
      <w:r w:rsidR="00FF1D16">
        <w:t xml:space="preserve"> disease outcomes can be observed</w:t>
      </w:r>
      <w:r>
        <w:t>. Data from observation</w:t>
      </w:r>
      <w:r w:rsidR="00FA2BE7">
        <w:t>al</w:t>
      </w:r>
      <w:r>
        <w:t xml:space="preserve"> cohort studies could be used to populate the BCTS.</w:t>
      </w:r>
      <w:r w:rsidR="008D41F2" w:rsidRPr="008D41F2">
        <w:t xml:space="preserve"> </w:t>
      </w:r>
      <w:r w:rsidR="008D41F2">
        <w:t xml:space="preserve">Patient registry data would be a less subjective source of information than elicitation. Data analysis facilitates detailed description of dependencies and correlation between clinical outcomes, which would be challenging to elicit from clinical experts. </w:t>
      </w:r>
      <w:r w:rsidR="006A746E">
        <w:t>Assurance calculations in the RADDM case study by Nixon et al. (2009) were useful in identifying optimal research designs across a range of design features</w:t>
      </w:r>
      <w:r>
        <w:t xml:space="preserve"> using BCTS</w:t>
      </w:r>
      <w:r w:rsidR="006A746E">
        <w:t xml:space="preserve"> </w:t>
      </w:r>
      <w:r w:rsidR="00E729BA">
        <w:fldChar w:fldCharType="begin"/>
      </w:r>
      <w:r w:rsidR="00FC61FD">
        <w:instrText xml:space="preserve"> ADDIN REFMGR.CITE &lt;Refman&gt;&lt;Cite&gt;&lt;Author&gt;Nixon&lt;/Author&gt;&lt;Year&gt;2009&lt;/Year&gt;&lt;RecNum&gt;1496&lt;/RecNum&gt;&lt;IDText&gt;The Rheumatoid Arthritis Drug Development Model: a case study in Bayesian clinical trial simulation&lt;/IDText&gt;&lt;MDL Ref_Type="Journal"&gt;&lt;Ref_Type&gt;Journal&lt;/Ref_Type&gt;&lt;Ref_ID&gt;1496&lt;/Ref_ID&gt;&lt;Title_Primary&gt;The Rheumatoid Arthritis Drug Development Model: a case study in Bayesian clinical trial simulation&lt;/Title_Primary&gt;&lt;Authors_Primary&gt;Nixon,R.M.&lt;/Authors_Primary&gt;&lt;Authors_Primary&gt;O&amp;apos;Hagan,A.&lt;/Authors_Primary&gt;&lt;Authors_Primary&gt;Oakley,J.&lt;/Authors_Primary&gt;&lt;Authors_Primary&gt;Madan,J.&lt;/Authors_Primary&gt;&lt;Authors_Primary&gt;Stevens,J.W.&lt;/Authors_Primary&gt;&lt;Authors_Primary&gt;Bansback,N.&lt;/Authors_Primary&gt;&lt;Authors_Primary&gt;Brennan,A.&lt;/Authors_Primary&gt;&lt;Date_Primary&gt;2009/10&lt;/Date_Primary&gt;&lt;Keywords&gt;Algorithms&lt;/Keywords&gt;&lt;Keywords&gt;Antirheumatic Agents&lt;/Keywords&gt;&lt;Keywords&gt;Arthritis&lt;/Keywords&gt;&lt;Keywords&gt;Arthritis,Rheumatoid&lt;/Keywords&gt;&lt;Keywords&gt;Bayes Theorem&lt;/Keywords&gt;&lt;Keywords&gt;clinical trial&lt;/Keywords&gt;&lt;Keywords&gt;Clinical Trials,Phase III as Topic&lt;/Keywords&gt;&lt;Keywords&gt;Clinical Trials,Phase II as Topic&lt;/Keywords&gt;&lt;Keywords&gt;Computer Simulation&lt;/Keywords&gt;&lt;Keywords&gt;Disease&lt;/Keywords&gt;&lt;Keywords&gt;Drug Discovery&lt;/Keywords&gt;&lt;Keywords&gt;drug therapy&lt;/Keywords&gt;&lt;Keywords&gt;Humans&lt;/Keywords&gt;&lt;Keywords&gt;Models,Statistical&lt;/Keywords&gt;&lt;Keywords&gt;population&lt;/Keywords&gt;&lt;Keywords&gt;Probability&lt;/Keywords&gt;&lt;Keywords&gt;safety&lt;/Keywords&gt;&lt;Keywords&gt;sample&lt;/Keywords&gt;&lt;Keywords&gt;statistics &amp;amp; numerical data&lt;/Keywords&gt;&lt;Keywords&gt;therapeutic use&lt;/Keywords&gt;&lt;Keywords&gt;Treatment Outcome&lt;/Keywords&gt;&lt;Reprint&gt;Not in File&lt;/Reprint&gt;&lt;Start_Page&gt;371&lt;/Start_Page&gt;&lt;End_Page&gt;389&lt;/End_Page&gt;&lt;Periodical&gt;Pharm.Stat.&lt;/Periodical&gt;&lt;Volume&gt;8&lt;/Volume&gt;&lt;Issue&gt;4&lt;/Issue&gt;&lt;ZZ_JournalStdAbbrev&gt;&lt;f name="System"&gt;Pharm.Stat.&lt;/f&gt;&lt;/ZZ_JournalStdAbbrev&gt;&lt;ZZ_WorkformID&gt;1&lt;/ZZ_WorkformID&gt;&lt;/MDL&gt;&lt;/Cite&gt;&lt;/Refman&gt;</w:instrText>
      </w:r>
      <w:r w:rsidR="00E729BA">
        <w:fldChar w:fldCharType="separate"/>
      </w:r>
      <w:r w:rsidR="00F12F58">
        <w:t>(63)</w:t>
      </w:r>
      <w:r w:rsidR="00E729BA">
        <w:fldChar w:fldCharType="end"/>
      </w:r>
      <w:r w:rsidR="006A746E">
        <w:t xml:space="preserve">. </w:t>
      </w:r>
    </w:p>
    <w:p w:rsidR="009732B5" w:rsidRPr="006A746E" w:rsidRDefault="009732B5" w:rsidP="00FA2BE7"/>
    <w:p w:rsidR="006A746E" w:rsidRDefault="006A746E" w:rsidP="00236C8F">
      <w:pPr>
        <w:pStyle w:val="Heading3"/>
      </w:pPr>
      <w:bookmarkStart w:id="146" w:name="_Toc379467589"/>
      <w:r>
        <w:t xml:space="preserve">Problems with </w:t>
      </w:r>
      <w:r w:rsidR="00236C8F">
        <w:t>C</w:t>
      </w:r>
      <w:r>
        <w:t xml:space="preserve">omputational </w:t>
      </w:r>
      <w:r w:rsidR="00236C8F">
        <w:t>B</w:t>
      </w:r>
      <w:r>
        <w:t>urden</w:t>
      </w:r>
      <w:bookmarkEnd w:id="146"/>
    </w:p>
    <w:p w:rsidR="006A746E" w:rsidRDefault="009C6983" w:rsidP="00F12F58">
      <w:r>
        <w:t xml:space="preserve">Computation burden was identified </w:t>
      </w:r>
      <w:r w:rsidR="009602B1">
        <w:t xml:space="preserve">in the discussion section of some articles </w:t>
      </w:r>
      <w:r>
        <w:t xml:space="preserve">as a potential problem for </w:t>
      </w:r>
      <w:r w:rsidR="00FA2BE7">
        <w:t>Value of Information analyse</w:t>
      </w:r>
      <w:r>
        <w:t>s</w:t>
      </w:r>
      <w:r w:rsidR="009602B1">
        <w:t xml:space="preserve"> </w:t>
      </w:r>
      <w:r w:rsidR="00E729BA">
        <w:fldChar w:fldCharType="begin"/>
      </w:r>
      <w:r w:rsidR="00FC61FD">
        <w:instrText xml:space="preserve"> ADDIN REFMGR.CITE &lt;Refman&gt;&lt;Cite&gt;&lt;Author&gt;Ades&lt;/Author&gt;&lt;Year&gt;2004&lt;/Year&gt;&lt;RecNum&gt;101&lt;/RecNum&gt;&lt;IDText&gt;Expected value of sample information calculations in medical decision modeling&lt;/IDText&gt;&lt;MDL Ref_Type="Journal"&gt;&lt;Ref_Type&gt;Journal&lt;/Ref_Type&gt;&lt;Ref_ID&gt;101&lt;/Ref_ID&gt;&lt;Title_Primary&gt;Expected value of sample information calculations in medical decision modeling&lt;/Title_Primary&gt;&lt;Authors_Primary&gt;Ades,A.E.&lt;/Authors_Primary&gt;&lt;Authors_Primary&gt;Lu,G.&lt;/Authors_Primary&gt;&lt;Authors_Primary&gt;Claxton,K.&lt;/Authors_Primary&gt;&lt;Date_Primary&gt;2004&lt;/Date_Primary&gt;&lt;Keywords&gt;analysis&lt;/Keywords&gt;&lt;Keywords&gt;article&lt;/Keywords&gt;&lt;Keywords&gt;Attention&lt;/Keywords&gt;&lt;Keywords&gt;clinical trial&lt;/Keywords&gt;&lt;Keywords&gt;Decision Making&lt;/Keywords&gt;&lt;Keywords&gt;methods&lt;/Keywords&gt;&lt;Keywords&gt;Odds Ratio&lt;/Keywords&gt;&lt;Keywords&gt;patient&lt;/Keywords&gt;&lt;Keywords&gt;population&lt;/Keywords&gt;&lt;Keywords&gt;Probability&lt;/Keywords&gt;&lt;Keywords&gt;Research&lt;/Keywords&gt;&lt;Keywords&gt;Risk&lt;/Keywords&gt;&lt;Keywords&gt;sample&lt;/Keywords&gt;&lt;Keywords&gt;Sample Size&lt;/Keywords&gt;&lt;Keywords&gt;Uncertainty&lt;/Keywords&gt;&lt;Reprint&gt;Not in File&lt;/Reprint&gt;&lt;Start_Page&gt;207&lt;/Start_Page&gt;&lt;End_Page&gt;227&lt;/End_Page&gt;&lt;Periodical&gt;Medical Decision Making&lt;/Periodical&gt;&lt;Volume&gt;24&lt;/Volume&gt;&lt;Issue&gt;2&lt;/Issue&gt;&lt;User_Def_1&gt;yes&lt;/User_Def_1&gt;&lt;User_Def_2&gt;yes&lt;/User_Def_2&gt;&lt;ISSN_ISBN&gt;0272-989X&lt;/ISSN_ISBN&gt;&lt;Web_URL&gt;WOS:000220392600009&lt;/Web_URL&gt;&lt;ZZ_JournalFull&gt;&lt;f name="System"&gt;Medical Decision Making&lt;/f&gt;&lt;/ZZ_JournalFull&gt;&lt;ZZ_WorkformID&gt;1&lt;/ZZ_WorkformID&gt;&lt;/MDL&gt;&lt;/Cite&gt;&lt;Cite&gt;&lt;Author&gt;Brennan&lt;/Author&gt;&lt;Year&gt;2007&lt;/Year&gt;&lt;RecNum&gt;53&lt;/RecNum&gt;&lt;IDText&gt;Expected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Economics&lt;/f&gt;&lt;/ZZ_JournalFull&gt;&lt;ZZ_WorkformID&gt;1&lt;/ZZ_WorkformID&gt;&lt;/MDL&gt;&lt;/Cite&gt;&lt;Cite&gt;&lt;Author&gt;Brennan&lt;/Author&gt;&lt;Year&gt;2007&lt;/Year&gt;&lt;RecNum&gt;60&lt;/RecNum&gt;&lt;IDText&gt;Efficient computation of partial expected value of sample information using Bayesian approximation&lt;/IDText&gt;&lt;MDL Ref_Type="Journal"&gt;&lt;Ref_Type&gt;Journal&lt;/Ref_Type&gt;&lt;Ref_ID&gt;60&lt;/Ref_ID&gt;&lt;Title_Primary&gt;Efficient computation of partial expected value of sample information using Bayesian approximation&lt;/Title_Primary&gt;&lt;Authors_Primary&gt;Brennan,Alan&lt;/Authors_Primary&gt;&lt;Authors_Primary&gt;Kharroubi,Samer A.&lt;/Authors_Primary&gt;&lt;Date_Primary&gt;2007&lt;/Date_Primary&gt;&lt;Keywords&gt;Health&lt;/Keywords&gt;&lt;Keywords&gt;methods&lt;/Keywords&gt;&lt;Keywords&gt;sample&lt;/Keywords&gt;&lt;Keywords&gt;Sample Size&lt;/Keywords&gt;&lt;Reprint&gt;Not in File&lt;/Reprint&gt;&lt;Start_Page&gt;122&lt;/Start_Page&gt;&lt;End_Page&gt;148&lt;/End_Page&gt;&lt;Periodical&gt;Journal of Health Economics&lt;/Periodical&gt;&lt;Volume&gt;26&lt;/Volume&gt;&lt;Issue&gt;1&lt;/Issue&gt;&lt;User_Def_1&gt;yes&lt;/User_Def_1&gt;&lt;User_Def_2&gt;yes&lt;/User_Def_2&gt;&lt;ISSN_ISBN&gt;0167-6296&lt;/ISSN_ISBN&gt;&lt;Web_URL&gt;WOS:000243808700007&lt;/Web_URL&gt;&lt;ZZ_JournalFull&gt;&lt;f name="System"&gt;Journal of Health Economics&lt;/f&gt;&lt;/ZZ_JournalFull&gt;&lt;ZZ_WorkformID&gt;1&lt;/ZZ_WorkformID&gt;&lt;/MDL&gt;&lt;/Cite&gt;&lt;Cite&gt;&lt;Author&gt;Stevenson&lt;/Author&gt;&lt;Year&gt;2009&lt;/Year&gt;&lt;RecNum&gt;464&lt;/RecNum&gt;&lt;IDText&gt;The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94366B" w:rsidRPr="0094366B">
        <w:t>(108;111;113;115;116)</w:t>
      </w:r>
      <w:r w:rsidR="00E729BA">
        <w:fldChar w:fldCharType="end"/>
      </w:r>
      <w:r w:rsidR="00FA2BE7" w:rsidRPr="009602B1">
        <w:t xml:space="preserve">. </w:t>
      </w:r>
      <w:r w:rsidR="00FA2BE7">
        <w:t>D</w:t>
      </w:r>
      <w:r>
        <w:t xml:space="preserve">ue to the complexity of </w:t>
      </w:r>
      <w:r w:rsidR="00FA2BE7">
        <w:t>SLE this is likely to pose additional challenges</w:t>
      </w:r>
      <w:r w:rsidR="009602B1">
        <w:t xml:space="preserve"> because a CE model must describe multiple disease processes</w:t>
      </w:r>
      <w:r w:rsidR="00FA2BE7">
        <w:t>. S</w:t>
      </w:r>
      <w:r>
        <w:t xml:space="preserve">everal methods have been </w:t>
      </w:r>
      <w:r w:rsidR="00E601DE">
        <w:t>identified</w:t>
      </w:r>
      <w:r>
        <w:t xml:space="preserve"> to speed up analyses. </w:t>
      </w:r>
      <w:r w:rsidR="00494995">
        <w:t>There are several methods that have been proposed to deal with computational burden in evaluating clinical trial designs</w:t>
      </w:r>
      <w:r w:rsidR="006A746E">
        <w:t xml:space="preserve">. The assumption of a normally distributed net benefit as the outcome of the clinical trial would be useful to reduce </w:t>
      </w:r>
      <w:r w:rsidR="00462E08">
        <w:t xml:space="preserve">CE </w:t>
      </w:r>
      <w:r w:rsidR="006A746E">
        <w:t>model complexity</w:t>
      </w:r>
      <w:r w:rsidR="00F12F58">
        <w:t>. Two alternative</w:t>
      </w:r>
      <w:r w:rsidR="00220EF0">
        <w:t xml:space="preserve"> methods to minimise computation time were identified</w:t>
      </w:r>
      <w:r w:rsidR="00FA2BE7">
        <w:t xml:space="preserve"> as potentially useful</w:t>
      </w:r>
      <w:r w:rsidR="00220EF0">
        <w:t>: the use of conjugate distributions and the B&amp;K approximation of Net Benefit.</w:t>
      </w:r>
      <w:r w:rsidR="00EB5F70">
        <w:t xml:space="preserve"> </w:t>
      </w:r>
      <w:r w:rsidR="00AF36F7">
        <w:t>However, neither method has been tested with a complex CE model developed for reimbursement submission for a new SLE treatment.</w:t>
      </w:r>
    </w:p>
    <w:p w:rsidR="00662583" w:rsidRDefault="00662583" w:rsidP="00662583">
      <w:pPr>
        <w:pStyle w:val="Heading3"/>
      </w:pPr>
      <w:bookmarkStart w:id="147" w:name="_Toc379467590"/>
      <w:r>
        <w:t>Using VOI in Reimbursement Decision-Making</w:t>
      </w:r>
      <w:bookmarkEnd w:id="147"/>
    </w:p>
    <w:p w:rsidR="00662583" w:rsidRPr="006A746E" w:rsidRDefault="00662583" w:rsidP="009602B1">
      <w:r>
        <w:t xml:space="preserve">It is noted that the health economic literature identified in this review </w:t>
      </w:r>
      <w:r w:rsidR="00E729BA">
        <w:fldChar w:fldCharType="begin"/>
      </w:r>
      <w:r w:rsidR="00FC61FD">
        <w:instrText xml:space="preserve"> ADDIN REFMGR.CITE &lt;Refman&gt;&lt;Cite&gt;&lt;Author&gt;Eckermann&lt;/Author&gt;&lt;Year&gt;2007&lt;/Year&gt;&lt;RecNum&gt;294&lt;/RecNum&gt;&lt;IDText&gt;Expected value of information and decision making in HTA&lt;/IDText&gt;&lt;MDL Ref_Type="Journal"&gt;&lt;Ref_Type&gt;Journal&lt;/Ref_Type&gt;&lt;Ref_ID&gt;294&lt;/Ref_ID&gt;&lt;Title_Primary&gt;Expected value of information and decision making in HTA&lt;/Title_Primary&gt;&lt;Authors_Primary&gt;Eckermann,Simon&lt;/Authors_Primary&gt;&lt;Authors_Primary&gt;Willan,Andrew R.&lt;/Authors_Primary&gt;&lt;Date_Primary&gt;2007&lt;/Date_Primary&gt;&lt;Keywords&gt;clinical trial&lt;/Keywords&gt;&lt;Keywords&gt;Decision Making&lt;/Keywords&gt;&lt;Keywords&gt;Health&lt;/Keywords&gt;&lt;Keywords&gt;methods&lt;/Keywords&gt;&lt;Keywords&gt;Research&lt;/Keywords&gt;&lt;Keywords&gt;sample&lt;/Keywords&gt;&lt;Reprint&gt;Not in File&lt;/Reprint&gt;&lt;Start_Page&gt;195&lt;/Start_Page&gt;&lt;End_Page&gt;209&lt;/End_Page&gt;&lt;Periodical&gt;Health Economics&lt;/Periodical&gt;&lt;Volume&gt;16&lt;/Volume&gt;&lt;Issue&gt;2&lt;/Issue&gt;&lt;User_Def_1&gt;yes&lt;/User_Def_1&gt;&lt;User_Def_2&gt;yes&lt;/User_Def_2&gt;&lt;ISSN_ISBN&gt;1057-9230&lt;/ISSN_ISBN&gt;&lt;Web_URL&gt;WOS:000244233500007&lt;/Web_URL&gt;&lt;ZZ_JournalFull&gt;&lt;f name="System"&gt;Health Economics&lt;/f&gt;&lt;/ZZ_JournalFull&gt;&lt;ZZ_WorkformID&gt;1&lt;/ZZ_WorkformID&gt;&lt;/MDL&gt;&lt;/Cite&gt;&lt;Cite&gt;&lt;Author&gt;Eckermann&lt;/Author&gt;&lt;Year&gt;2008&lt;/Year&gt;&lt;RecNum&gt;252&lt;/RecNum&gt;&lt;IDText&gt;The option value of delay in health technology assessment&lt;/IDText&gt;&lt;MDL Ref_Type="Journal"&gt;&lt;Ref_Type&gt;Journal&lt;/Ref_Type&gt;&lt;Ref_ID&gt;252&lt;/Ref_ID&gt;&lt;Title_Primary&gt;The option value of delay in health technology assessment&lt;/Title_Primary&gt;&lt;Authors_Primary&gt;Eckermann,Simon&lt;/Authors_Primary&gt;&lt;Authors_Primary&gt;Willan,Andrew R.&lt;/Authors_Primary&gt;&lt;Date_Primary&gt;2008&lt;/Date_Primary&gt;&lt;Keywords&gt;article&lt;/Keywords&gt;&lt;Keywords&gt;Health&lt;/Keywords&gt;&lt;Keywords&gt;methods&lt;/Keywords&gt;&lt;Keywords&gt;patient&lt;/Keywords&gt;&lt;Keywords&gt;Patients&lt;/Keywords&gt;&lt;Keywords&gt;Probability&lt;/Keywords&gt;&lt;Keywords&gt;Research&lt;/Keywords&gt;&lt;Keywords&gt;sample&lt;/Keywords&gt;&lt;Keywords&gt;therapy&lt;/Keywords&gt;&lt;Keywords&gt;Time&lt;/Keywords&gt;&lt;Keywords&gt;Uncertainty&lt;/Keywords&gt;&lt;Reprint&gt;Not in File&lt;/Reprint&gt;&lt;Start_Page&gt;300&lt;/Start_Page&gt;&lt;End_Page&gt;305&lt;/End_Page&gt;&lt;Periodical&gt;Medical Decision Making&lt;/Periodical&gt;&lt;Volume&gt;28&lt;/Volume&gt;&lt;Issue&gt;3&lt;/Issue&gt;&lt;User_Def_1&gt;yes&lt;/User_Def_1&gt;&lt;User_Def_2&gt;yes&lt;/User_Def_2&gt;&lt;ISSN_ISBN&gt;0272-989X&lt;/ISSN_ISBN&gt;&lt;Web_URL&gt;WOS:000256264500002&lt;/Web_URL&gt;&lt;ZZ_JournalFull&gt;&lt;f name="System"&gt;Medical Decision Making&lt;/f&gt;&lt;/ZZ_JournalFull&gt;&lt;ZZ_WorkformID&gt;1&lt;/ZZ_WorkformID&gt;&lt;/MDL&gt;&lt;/Cite&gt;&lt;Cite&gt;&lt;Author&gt;Eckermann&lt;/Author&gt;&lt;Year&gt;2008&lt;/Year&gt;&lt;RecNum&gt;255&lt;/RecNum&gt;&lt;IDText&gt;Time and expected value of sample information wait for no patient&lt;/IDText&gt;&lt;MDL Ref_Type="Journal"&gt;&lt;Ref_Type&gt;Journal&lt;/Ref_Type&gt;&lt;Ref_ID&gt;255&lt;/Ref_ID&gt;&lt;Title_Primary&gt;Time and expected value of sample information wait for no patient&lt;/Title_Primary&gt;&lt;Authors_Primary&gt;Eckermann,Simon&lt;/Authors_Primary&gt;&lt;Authors_Primary&gt;Willan,Andrew R.&lt;/Authors_Primary&gt;&lt;Date_Primary&gt;2008&lt;/Date_Primary&gt;&lt;Keywords&gt;analysis&lt;/Keywords&gt;&lt;Keywords&gt;article&lt;/Keywords&gt;&lt;Keywords&gt;follow up&lt;/Keywords&gt;&lt;Keywords&gt;Incidence&lt;/Keywords&gt;&lt;Keywords&gt;methods&lt;/Keywords&gt;&lt;Keywords&gt;patient&lt;/Keywords&gt;&lt;Keywords&gt;Patients&lt;/Keywords&gt;&lt;Keywords&gt;population&lt;/Keywords&gt;&lt;Keywords&gt;sample&lt;/Keywords&gt;&lt;Keywords&gt;Time&lt;/Keywords&gt;&lt;Reprint&gt;Not in File&lt;/Reprint&gt;&lt;Start_Page&gt;522&lt;/Start_Page&gt;&lt;End_Page&gt;526&lt;/End_Page&gt;&lt;Periodical&gt;Value in Health&lt;/Periodical&gt;&lt;Volume&gt;11&lt;/Volume&gt;&lt;Issue&gt;3&lt;/Issue&gt;&lt;User_Def_1&gt;yes&lt;/User_Def_1&gt;&lt;User_Def_2&gt;yes&lt;/User_Def_2&gt;&lt;ISSN_ISBN&gt;1098-3015&lt;/ISSN_ISBN&gt;&lt;Web_URL&gt;WOS:000255945400019&lt;/Web_URL&gt;&lt;ZZ_JournalFull&gt;&lt;f name="System"&gt;Value in Health&lt;/f&gt;&lt;/ZZ_JournalFull&gt;&lt;ZZ_WorkformID&gt;1&lt;/ZZ_WorkformID&gt;&lt;/MDL&gt;&lt;/Cite&gt;&lt;Cite&gt;&lt;Author&gt;McKenna&lt;/Author&gt;&lt;Year&gt;2011&lt;/Year&gt;&lt;RecNum&gt;682&lt;/RecNum&gt;&lt;IDText&gt;Addressing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00E729BA">
        <w:fldChar w:fldCharType="separate"/>
      </w:r>
      <w:r w:rsidR="004D7951">
        <w:t>(103;106;107;112)</w:t>
      </w:r>
      <w:r w:rsidR="00E729BA">
        <w:fldChar w:fldCharType="end"/>
      </w:r>
      <w:r>
        <w:t xml:space="preserve"> has sought to apply VOI methods to aid reimbursement decision-making. It has been argued that a binary “approve” versus “do not approve” decision criteria is too restrictive, particularly if the decision is irreversible. Therefore, reimbursement authorities should evaluate the option value of delaying decision-making to allow collection of further evidence </w:t>
      </w:r>
      <w:r w:rsidR="00E729BA">
        <w:fldChar w:fldCharType="begin"/>
      </w:r>
      <w:r w:rsidR="00FC61FD">
        <w:instrText xml:space="preserve"> ADDIN REFMGR.CITE &lt;Refman&gt;&lt;Cite&gt;&lt;Author&gt;Eckermann&lt;/Author&gt;&lt;Year&gt;2008&lt;/Year&gt;&lt;RecNum&gt;252&lt;/RecNum&gt;&lt;IDText&gt;The option value of delay in health technology assessment&lt;/IDText&gt;&lt;MDL Ref_Type="Journal"&gt;&lt;Ref_Type&gt;Journal&lt;/Ref_Type&gt;&lt;Ref_ID&gt;252&lt;/Ref_ID&gt;&lt;Title_Primary&gt;The option value of delay in health technology assessment&lt;/Title_Primary&gt;&lt;Authors_Primary&gt;Eckermann,Simon&lt;/Authors_Primary&gt;&lt;Authors_Primary&gt;Willan,Andrew R.&lt;/Authors_Primary&gt;&lt;Date_Primary&gt;2008&lt;/Date_Primary&gt;&lt;Keywords&gt;article&lt;/Keywords&gt;&lt;Keywords&gt;Health&lt;/Keywords&gt;&lt;Keywords&gt;methods&lt;/Keywords&gt;&lt;Keywords&gt;patient&lt;/Keywords&gt;&lt;Keywords&gt;Patients&lt;/Keywords&gt;&lt;Keywords&gt;Probability&lt;/Keywords&gt;&lt;Keywords&gt;Research&lt;/Keywords&gt;&lt;Keywords&gt;sample&lt;/Keywords&gt;&lt;Keywords&gt;therapy&lt;/Keywords&gt;&lt;Keywords&gt;Time&lt;/Keywords&gt;&lt;Keywords&gt;Uncertainty&lt;/Keywords&gt;&lt;Reprint&gt;Not in File&lt;/Reprint&gt;&lt;Start_Page&gt;300&lt;/Start_Page&gt;&lt;End_Page&gt;305&lt;/End_Page&gt;&lt;Periodical&gt;Medical Decision Making&lt;/Periodical&gt;&lt;Volume&gt;28&lt;/Volume&gt;&lt;Issue&gt;3&lt;/Issue&gt;&lt;User_Def_1&gt;yes&lt;/User_Def_1&gt;&lt;User_Def_2&gt;yes&lt;/User_Def_2&gt;&lt;ISSN_ISBN&gt;0272-989X&lt;/ISSN_ISBN&gt;&lt;Web_URL&gt;WOS:000256264500002&lt;/Web_URL&gt;&lt;ZZ_JournalFull&gt;&lt;f name="System"&gt;Medical Decision Making&lt;/f&gt;&lt;/ZZ_JournalFull&gt;&lt;ZZ_WorkformID&gt;1&lt;/ZZ_WorkformID&gt;&lt;/MDL&gt;&lt;/Cite&gt;&lt;/Refman&gt;</w:instrText>
      </w:r>
      <w:r w:rsidR="00E729BA">
        <w:fldChar w:fldCharType="separate"/>
      </w:r>
      <w:r w:rsidR="004D7951">
        <w:t>(103)</w:t>
      </w:r>
      <w:r w:rsidR="00E729BA">
        <w:fldChar w:fldCharType="end"/>
      </w:r>
      <w:r>
        <w:t xml:space="preserve">. Although consideration of options to delay a decision and gather more evidence would provide a more consistent application of the VOI method on the side of the pharmaceutical company and the reimbursement decision-maker, I decided not to incorporate this process into the methods. It would add considerable additional complexity that was not necessary </w:t>
      </w:r>
      <w:r w:rsidR="009602B1">
        <w:t>to demonstrate the feasibility of VOI in pharmaceutical drug development</w:t>
      </w:r>
      <w:r>
        <w:t>.</w:t>
      </w:r>
    </w:p>
    <w:p w:rsidR="003B0428" w:rsidRDefault="003B0428" w:rsidP="0075708C">
      <w:pPr>
        <w:pStyle w:val="Heading2"/>
      </w:pPr>
      <w:bookmarkStart w:id="148" w:name="_Ref354924977"/>
      <w:bookmarkStart w:id="149" w:name="_Toc379467591"/>
      <w:r>
        <w:t>Conclusion</w:t>
      </w:r>
      <w:bookmarkEnd w:id="148"/>
      <w:bookmarkEnd w:id="149"/>
    </w:p>
    <w:p w:rsidR="00641C45" w:rsidRDefault="00392091" w:rsidP="00FA2BE7">
      <w:r>
        <w:t xml:space="preserve">This literature review identified </w:t>
      </w:r>
      <w:r w:rsidR="00FA2BE7">
        <w:t>thirty-seven</w:t>
      </w:r>
      <w:r>
        <w:t xml:space="preserve"> studies that have used Bayesian</w:t>
      </w:r>
      <w:r w:rsidR="00FA2BE7">
        <w:t xml:space="preserve"> and</w:t>
      </w:r>
      <w:r>
        <w:t xml:space="preserve"> </w:t>
      </w:r>
      <w:r w:rsidR="009602B1">
        <w:t xml:space="preserve">specifically </w:t>
      </w:r>
      <w:r>
        <w:t xml:space="preserve">VOI methods to evaluate the value of alternative trial designs. I identified methodologies from the BeBay, ENSB and assurance literature that could be used to evaluate SLE trials. </w:t>
      </w:r>
    </w:p>
    <w:p w:rsidR="00641C45" w:rsidRDefault="00641C45" w:rsidP="00641C45">
      <w:r>
        <w:t xml:space="preserve">The literature review identified some limitations in the application of EVSI methods to the pharmaceutical perspective. A study from the BeBay literature suggested that price can be treated as an outcome of the analysis rather than a fixed parameter. This approach was not fully explored </w:t>
      </w:r>
      <w:r w:rsidR="00FA2BE7">
        <w:t xml:space="preserve">in </w:t>
      </w:r>
      <w:r>
        <w:t>their article, and price was not reported as an outcome of their analysis. Nonetheless, I identified that this approach could be used to relax some of the problematic assumptions that have been imposed when adapting ENBS to a pharmaceutical perspective.</w:t>
      </w:r>
    </w:p>
    <w:p w:rsidR="00392091" w:rsidRDefault="00641C45" w:rsidP="00641C45">
      <w:r>
        <w:t>I planned</w:t>
      </w:r>
      <w:r w:rsidR="00462E08">
        <w:t xml:space="preserve"> to develop a </w:t>
      </w:r>
      <w:r w:rsidR="00392091">
        <w:t xml:space="preserve">CE model for SLE that would be suitable for submission to reimbursement authorities. The </w:t>
      </w:r>
      <w:r>
        <w:t xml:space="preserve">Bayesian </w:t>
      </w:r>
      <w:r w:rsidR="00392091">
        <w:t xml:space="preserve">methods for updating parameters from a CE model would be taken from the ENSB literature. </w:t>
      </w:r>
      <w:r w:rsidR="00FA2BE7">
        <w:t xml:space="preserve">In this study I will develop a BCTS to increase the flexibility of the simulation tool to compare a large selection of clinical trial designs, to allow the assessment of assurance based on multiple trial outcomes, and use longitudinal datasets to estimate trial outcomes that would not be collected in Phase II trials. </w:t>
      </w:r>
      <w:r w:rsidR="00392091">
        <w:t xml:space="preserve">BCTS has been </w:t>
      </w:r>
      <w:r>
        <w:t>us</w:t>
      </w:r>
      <w:r w:rsidR="00392091">
        <w:t>ed to generate assurance estimates for clinical trials with a broad range of design features. I decided that a BCTS would be useful to simulate flexible</w:t>
      </w:r>
      <w:r w:rsidR="009602B1">
        <w:t xml:space="preserve"> trial designs</w:t>
      </w:r>
      <w:r w:rsidR="00392091">
        <w:t xml:space="preserve"> to evaluate a broad range of trial designs. In particular this would enable trial data to be simulated for outcomes that would not have been observed in the Phase II clinical trial. </w:t>
      </w:r>
    </w:p>
    <w:p w:rsidR="00546346" w:rsidRDefault="00546346" w:rsidP="007171F5">
      <w:r>
        <w:t>In Chapter 4 I describe the process of conceptualising SLE and designing a natural history model to describe</w:t>
      </w:r>
      <w:r>
        <w:rPr>
          <w:szCs w:val="22"/>
        </w:rPr>
        <w:t xml:space="preserve"> the </w:t>
      </w:r>
      <w:r>
        <w:t>important outcomes in SLE</w:t>
      </w:r>
      <w:r w:rsidRPr="007B7CB6">
        <w:rPr>
          <w:szCs w:val="22"/>
        </w:rPr>
        <w:t xml:space="preserve">. </w:t>
      </w:r>
      <w:r>
        <w:t xml:space="preserve">Health economic modelling must estimate the lifetime costs and health outcomes for two or more treatment options. Lifetime costs and health outcomes can be estimated in CE model by predicting what disease outcomes are expected for each treatment option. </w:t>
      </w:r>
      <w:r w:rsidR="007171F5">
        <w:t>I</w:t>
      </w:r>
      <w:r>
        <w:t xml:space="preserve">t is necessary to develop a simplified description of </w:t>
      </w:r>
      <w:r w:rsidR="007171F5">
        <w:t>SLE</w:t>
      </w:r>
      <w:r>
        <w:t xml:space="preserve"> that includes disease outcomes that may impact on the lifetime costs and health outcomes</w:t>
      </w:r>
      <w:r w:rsidR="007171F5">
        <w:t xml:space="preserve"> and includes all major costs and health outcomes that could be modified by new treatments</w:t>
      </w:r>
      <w:r>
        <w:t xml:space="preserve">. </w:t>
      </w:r>
    </w:p>
    <w:p w:rsidR="002D772C" w:rsidRDefault="002D772C" w:rsidP="00494995">
      <w:pPr>
        <w:rPr>
          <w:b/>
          <w:bCs/>
          <w:caps/>
          <w:color w:val="000000" w:themeColor="text1"/>
          <w:spacing w:val="15"/>
          <w:sz w:val="24"/>
          <w:szCs w:val="24"/>
        </w:rPr>
      </w:pPr>
      <w:r>
        <w:br w:type="page"/>
      </w:r>
    </w:p>
    <w:p w:rsidR="002367E4" w:rsidRDefault="002D772C" w:rsidP="002367E4">
      <w:pPr>
        <w:pStyle w:val="Heading1"/>
      </w:pPr>
      <w:bookmarkStart w:id="150" w:name="_Toc379467592"/>
      <w:r>
        <w:t>Chapter 4:</w:t>
      </w:r>
      <w:r w:rsidRPr="002D772C">
        <w:t xml:space="preserve"> </w:t>
      </w:r>
      <w:r>
        <w:t>Natural History Of SLE Literature Review</w:t>
      </w:r>
      <w:bookmarkEnd w:id="150"/>
    </w:p>
    <w:p w:rsidR="002367E4" w:rsidRPr="002367E4" w:rsidRDefault="002367E4" w:rsidP="00597CF5">
      <w:pPr>
        <w:pStyle w:val="ListParagraph"/>
        <w:numPr>
          <w:ilvl w:val="0"/>
          <w:numId w:val="30"/>
        </w:numPr>
        <w:rPr>
          <w:sz w:val="16"/>
          <w:szCs w:val="16"/>
        </w:rPr>
      </w:pPr>
    </w:p>
    <w:p w:rsidR="002D772C" w:rsidRDefault="002D772C" w:rsidP="002D7B40">
      <w:r w:rsidRPr="00D9451F">
        <w:t xml:space="preserve">The purpose of this </w:t>
      </w:r>
      <w:r w:rsidR="002D7B40">
        <w:t>chapter</w:t>
      </w:r>
      <w:r w:rsidRPr="00D9451F">
        <w:t xml:space="preserve"> is to develop a conceptual model of SLE and identify quantitative estimates </w:t>
      </w:r>
      <w:r w:rsidR="002D7B40">
        <w:t>to populate the modelling framework</w:t>
      </w:r>
      <w:r w:rsidRPr="00D9451F">
        <w:t>.</w:t>
      </w:r>
    </w:p>
    <w:p w:rsidR="00983D2F" w:rsidRDefault="00983D2F" w:rsidP="009602B1">
      <w:r w:rsidRPr="00D9451F">
        <w:t>The</w:t>
      </w:r>
      <w:r>
        <w:t xml:space="preserve"> </w:t>
      </w:r>
      <w:r w:rsidRPr="00D53EC9">
        <w:t>National Institute for Health and Care Excellence</w:t>
      </w:r>
      <w:r w:rsidRPr="00D53EC9" w:rsidDel="00D53EC9">
        <w:t xml:space="preserve"> </w:t>
      </w:r>
      <w:r>
        <w:t>(</w:t>
      </w:r>
      <w:r w:rsidRPr="00D9451F">
        <w:t>NICE</w:t>
      </w:r>
      <w:r>
        <w:t>)</w:t>
      </w:r>
      <w:r w:rsidRPr="00D9451F">
        <w:t xml:space="preserve"> reference case requires that </w:t>
      </w:r>
      <w:r>
        <w:t>CE</w:t>
      </w:r>
      <w:r w:rsidRPr="00D9451F">
        <w:t xml:space="preserve"> models include the costs and </w:t>
      </w:r>
      <w:r w:rsidR="009602B1">
        <w:t>QALYs</w:t>
      </w:r>
      <w:r w:rsidRPr="00D9451F">
        <w:t xml:space="preserve"> over a lifetime horizon</w:t>
      </w:r>
      <w:r>
        <w:t xml:space="preserve"> </w:t>
      </w:r>
      <w:r w:rsidR="00E729BA">
        <w:fldChar w:fldCharType="begin"/>
      </w:r>
      <w:r w:rsidR="00FC61FD">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fldChar w:fldCharType="separate"/>
      </w:r>
      <w:r w:rsidR="004D7951">
        <w:t>(29)</w:t>
      </w:r>
      <w:r w:rsidR="00E729BA">
        <w:fldChar w:fldCharType="end"/>
      </w:r>
      <w:r w:rsidRPr="00D9451F">
        <w:t>. This is particularly important for a chronic disease such as SLE</w:t>
      </w:r>
      <w:r>
        <w:t xml:space="preserve"> where treatments can impact on</w:t>
      </w:r>
      <w:r w:rsidRPr="00D9451F">
        <w:t xml:space="preserve"> long term outcomes and mortality. </w:t>
      </w:r>
      <w:r>
        <w:t xml:space="preserve">All outcomes and comorbidities can potentially be included in </w:t>
      </w:r>
      <w:r w:rsidR="00462E08">
        <w:t>CE</w:t>
      </w:r>
      <w:r>
        <w:t xml:space="preserve"> models, but it is sensible to only include outcomes that will impact on decision-making to reduce </w:t>
      </w:r>
      <w:r w:rsidR="00462E08">
        <w:t xml:space="preserve">CE </w:t>
      </w:r>
      <w:r>
        <w:t xml:space="preserve">model complexity. Defining what long term outcomes to include in the conceptual model is an important stage of </w:t>
      </w:r>
      <w:r w:rsidR="00462E08">
        <w:t xml:space="preserve">CE </w:t>
      </w:r>
      <w:r>
        <w:t xml:space="preserve">model development. It is important to identify intermediate markers to relate clinical trial outcomes to long term outcomes and mortality. Once the conceptual map is decided it is also necessary to identify evidence to describe the relationships associations between disease outcomes. </w:t>
      </w:r>
    </w:p>
    <w:p w:rsidR="002D772C" w:rsidRPr="00D9451F" w:rsidRDefault="002D772C" w:rsidP="00FA2BE7">
      <w:r>
        <w:t xml:space="preserve">Section </w:t>
      </w:r>
      <w:r w:rsidR="00E729BA">
        <w:fldChar w:fldCharType="begin"/>
      </w:r>
      <w:r>
        <w:instrText xml:space="preserve"> REF _Ref332615054 \r \h </w:instrText>
      </w:r>
      <w:r w:rsidR="00E729BA">
        <w:fldChar w:fldCharType="separate"/>
      </w:r>
      <w:r w:rsidR="004911B7">
        <w:rPr>
          <w:cs/>
        </w:rPr>
        <w:t>‎</w:t>
      </w:r>
      <w:r w:rsidR="004911B7">
        <w:t>4.1</w:t>
      </w:r>
      <w:r w:rsidR="00E729BA">
        <w:fldChar w:fldCharType="end"/>
      </w:r>
      <w:r>
        <w:t xml:space="preserve"> provides a detailed d</w:t>
      </w:r>
      <w:r w:rsidR="00F253E5">
        <w:t>escription of the methods used in</w:t>
      </w:r>
      <w:r>
        <w:t xml:space="preserve"> the literature search. Section </w:t>
      </w:r>
      <w:r w:rsidR="00E729BA">
        <w:fldChar w:fldCharType="begin"/>
      </w:r>
      <w:r>
        <w:instrText xml:space="preserve"> REF _Ref332615088 \r \h </w:instrText>
      </w:r>
      <w:r w:rsidR="00E729BA">
        <w:fldChar w:fldCharType="separate"/>
      </w:r>
      <w:r w:rsidR="004911B7">
        <w:rPr>
          <w:cs/>
        </w:rPr>
        <w:t>‎</w:t>
      </w:r>
      <w:r w:rsidR="004911B7">
        <w:t>4.2.1</w:t>
      </w:r>
      <w:r w:rsidR="00E729BA">
        <w:fldChar w:fldCharType="end"/>
      </w:r>
      <w:r>
        <w:t xml:space="preserve"> describe the results of the conceptual map of literature and how this was used to develop a conceptual model for SLE. Section </w:t>
      </w:r>
      <w:r w:rsidR="00E729BA">
        <w:fldChar w:fldCharType="begin"/>
      </w:r>
      <w:r>
        <w:instrText xml:space="preserve"> REF _Ref332615470 \r \h </w:instrText>
      </w:r>
      <w:r w:rsidR="00E729BA">
        <w:fldChar w:fldCharType="separate"/>
      </w:r>
      <w:r w:rsidR="004911B7">
        <w:rPr>
          <w:cs/>
        </w:rPr>
        <w:t>‎</w:t>
      </w:r>
      <w:r w:rsidR="004911B7">
        <w:t>4.2.2</w:t>
      </w:r>
      <w:r w:rsidR="00E729BA">
        <w:fldChar w:fldCharType="end"/>
      </w:r>
      <w:r>
        <w:t xml:space="preserve"> provides a detailed description of the studies </w:t>
      </w:r>
      <w:r w:rsidR="00F253E5">
        <w:t>describing</w:t>
      </w:r>
      <w:r>
        <w:t xml:space="preserve"> disease activity. Section </w:t>
      </w:r>
      <w:r w:rsidR="00E729BA">
        <w:fldChar w:fldCharType="begin"/>
      </w:r>
      <w:r>
        <w:instrText xml:space="preserve"> REF _Ref332615549 \r \h </w:instrText>
      </w:r>
      <w:r w:rsidR="00E729BA">
        <w:fldChar w:fldCharType="separate"/>
      </w:r>
      <w:r w:rsidR="004911B7">
        <w:rPr>
          <w:cs/>
        </w:rPr>
        <w:t>‎</w:t>
      </w:r>
      <w:r w:rsidR="004911B7">
        <w:t>4.2.3</w:t>
      </w:r>
      <w:r w:rsidR="00E729BA">
        <w:fldChar w:fldCharType="end"/>
      </w:r>
      <w:r>
        <w:t xml:space="preserve"> describes the </w:t>
      </w:r>
      <w:r w:rsidR="00F253E5">
        <w:t>studies of</w:t>
      </w:r>
      <w:r>
        <w:t xml:space="preserve"> mortality. Sections </w:t>
      </w:r>
      <w:r w:rsidR="00E729BA">
        <w:fldChar w:fldCharType="begin"/>
      </w:r>
      <w:r w:rsidR="00F253E5">
        <w:instrText xml:space="preserve"> REF _Ref345769089 \w \h </w:instrText>
      </w:r>
      <w:r w:rsidR="00E729BA">
        <w:fldChar w:fldCharType="separate"/>
      </w:r>
      <w:r w:rsidR="004911B7">
        <w:rPr>
          <w:cs/>
        </w:rPr>
        <w:t>‎</w:t>
      </w:r>
      <w:r w:rsidR="004911B7">
        <w:t>4.2.4</w:t>
      </w:r>
      <w:r w:rsidR="00E729BA">
        <w:fldChar w:fldCharType="end"/>
      </w:r>
      <w:r w:rsidR="00F253E5">
        <w:t xml:space="preserve"> </w:t>
      </w:r>
      <w:r>
        <w:t xml:space="preserve">and </w:t>
      </w:r>
      <w:r w:rsidR="00E729BA">
        <w:fldChar w:fldCharType="begin"/>
      </w:r>
      <w:r w:rsidR="00987F79">
        <w:instrText xml:space="preserve"> REF _Ref350962081 \r \h </w:instrText>
      </w:r>
      <w:r w:rsidR="00E729BA">
        <w:fldChar w:fldCharType="separate"/>
      </w:r>
      <w:r w:rsidR="004911B7">
        <w:rPr>
          <w:cs/>
        </w:rPr>
        <w:t>‎</w:t>
      </w:r>
      <w:r w:rsidR="004911B7">
        <w:t>4.2.5</w:t>
      </w:r>
      <w:r w:rsidR="00E729BA">
        <w:fldChar w:fldCharType="end"/>
      </w:r>
      <w:r w:rsidR="00987F79">
        <w:t xml:space="preserve"> </w:t>
      </w:r>
      <w:r>
        <w:t>report the results for the literature review for organ damage by composite score and organ system respectively. The discussion in Section</w:t>
      </w:r>
      <w:r w:rsidR="00433502">
        <w:t xml:space="preserve"> </w:t>
      </w:r>
      <w:r w:rsidR="00E729BA">
        <w:fldChar w:fldCharType="begin"/>
      </w:r>
      <w:r w:rsidR="00433502">
        <w:instrText xml:space="preserve"> REF _Ref334366236 \r \h </w:instrText>
      </w:r>
      <w:r w:rsidR="00E729BA">
        <w:fldChar w:fldCharType="separate"/>
      </w:r>
      <w:r w:rsidR="004911B7">
        <w:rPr>
          <w:cs/>
        </w:rPr>
        <w:t>‎</w:t>
      </w:r>
      <w:r w:rsidR="004911B7">
        <w:t>4.3</w:t>
      </w:r>
      <w:r w:rsidR="00E729BA">
        <w:fldChar w:fldCharType="end"/>
      </w:r>
      <w:r>
        <w:t xml:space="preserve"> considers whether the published</w:t>
      </w:r>
      <w:r w:rsidR="00494995">
        <w:t xml:space="preserve"> data is sufficient to meet the</w:t>
      </w:r>
      <w:r>
        <w:t xml:space="preserve"> requirements of the conceptual model. </w:t>
      </w:r>
      <w:r w:rsidR="00FA363D">
        <w:t xml:space="preserve">The conclusion, in Section </w:t>
      </w:r>
      <w:r w:rsidR="00E729BA">
        <w:fldChar w:fldCharType="begin"/>
      </w:r>
      <w:r w:rsidR="00FA363D">
        <w:instrText xml:space="preserve"> REF _Ref354925126 \n \h </w:instrText>
      </w:r>
      <w:r w:rsidR="00E729BA">
        <w:fldChar w:fldCharType="separate"/>
      </w:r>
      <w:r w:rsidR="004911B7">
        <w:rPr>
          <w:cs/>
        </w:rPr>
        <w:t>‎</w:t>
      </w:r>
      <w:r w:rsidR="004911B7">
        <w:t>4.4</w:t>
      </w:r>
      <w:r w:rsidR="00E729BA">
        <w:fldChar w:fldCharType="end"/>
      </w:r>
      <w:r w:rsidR="00FA363D">
        <w:t xml:space="preserve"> outlines the data requirements </w:t>
      </w:r>
      <w:r w:rsidR="00FA2BE7">
        <w:t>from the conceptual model for further statistical analyses to be completed in this PhD</w:t>
      </w:r>
      <w:r w:rsidR="00FA363D">
        <w:t>.</w:t>
      </w:r>
      <w:r>
        <w:t xml:space="preserve">  </w:t>
      </w:r>
    </w:p>
    <w:p w:rsidR="002D772C" w:rsidRPr="00D86AD7" w:rsidRDefault="002D772C" w:rsidP="002D772C">
      <w:pPr>
        <w:pStyle w:val="Heading2"/>
        <w:rPr>
          <w:rStyle w:val="IntenseEmphasis"/>
          <w:b w:val="0"/>
          <w:bCs w:val="0"/>
          <w:caps/>
          <w:color w:val="auto"/>
          <w:spacing w:val="15"/>
        </w:rPr>
      </w:pPr>
      <w:bookmarkStart w:id="151" w:name="_Toc278533905"/>
      <w:bookmarkStart w:id="152" w:name="_Toc278533965"/>
      <w:bookmarkStart w:id="153" w:name="_Toc279009236"/>
      <w:bookmarkStart w:id="154" w:name="_Toc332010570"/>
      <w:bookmarkStart w:id="155" w:name="_Ref332615054"/>
      <w:bookmarkStart w:id="156" w:name="_Toc379467593"/>
      <w:r>
        <w:rPr>
          <w:rStyle w:val="IntenseEmphasis"/>
          <w:b w:val="0"/>
          <w:bCs w:val="0"/>
          <w:caps/>
          <w:color w:val="auto"/>
          <w:spacing w:val="15"/>
        </w:rPr>
        <w:t>Method</w:t>
      </w:r>
      <w:bookmarkEnd w:id="151"/>
      <w:bookmarkEnd w:id="152"/>
      <w:bookmarkEnd w:id="153"/>
      <w:bookmarkEnd w:id="154"/>
      <w:bookmarkEnd w:id="155"/>
      <w:bookmarkEnd w:id="156"/>
    </w:p>
    <w:p w:rsidR="002D772C" w:rsidRPr="009423A3" w:rsidRDefault="008032ED" w:rsidP="002D772C">
      <w:pPr>
        <w:pStyle w:val="Heading3"/>
      </w:pPr>
      <w:bookmarkStart w:id="157" w:name="_Toc379467594"/>
      <w:r>
        <w:t>Search Strategy</w:t>
      </w:r>
      <w:bookmarkEnd w:id="157"/>
    </w:p>
    <w:p w:rsidR="002D772C" w:rsidRPr="0064227C" w:rsidRDefault="00257A05" w:rsidP="009602B1">
      <w:r>
        <w:t xml:space="preserve">Given the breadth of epidemiological research in SLE, </w:t>
      </w:r>
      <w:r w:rsidR="00D538A8">
        <w:t xml:space="preserve">SLE </w:t>
      </w:r>
      <w:r>
        <w:t>associated symptoms, and co-morbidi</w:t>
      </w:r>
      <w:r w:rsidR="003106AD">
        <w:t>ti</w:t>
      </w:r>
      <w:r>
        <w:t xml:space="preserve">es, it was impractical to perform an exhaustive systematic literature search. </w:t>
      </w:r>
      <w:r w:rsidR="003106AD">
        <w:t>Therefore, the</w:t>
      </w:r>
      <w:r w:rsidR="002D772C">
        <w:t xml:space="preserve"> </w:t>
      </w:r>
      <w:r w:rsidR="002D772C" w:rsidRPr="0064227C">
        <w:t>literature search was</w:t>
      </w:r>
      <w:r w:rsidR="002D772C">
        <w:t xml:space="preserve"> </w:t>
      </w:r>
      <w:r>
        <w:t>designed</w:t>
      </w:r>
      <w:r w:rsidR="002D772C">
        <w:t xml:space="preserve"> to identify </w:t>
      </w:r>
      <w:r>
        <w:t>a sufficient number of</w:t>
      </w:r>
      <w:r w:rsidR="002D772C">
        <w:t xml:space="preserve"> quality epidemiology studies of adult SLE</w:t>
      </w:r>
      <w:r>
        <w:t xml:space="preserve"> published in major SLE related journals</w:t>
      </w:r>
      <w:r w:rsidR="002D772C" w:rsidRPr="0064227C">
        <w:t xml:space="preserve">. </w:t>
      </w:r>
      <w:r w:rsidR="002D772C">
        <w:t>The online database Medline was used to conduct the search</w:t>
      </w:r>
      <w:r w:rsidR="002D772C" w:rsidRPr="0064227C">
        <w:t>.</w:t>
      </w:r>
      <w:r w:rsidR="002D772C" w:rsidRPr="009A3C4B">
        <w:t xml:space="preserve"> </w:t>
      </w:r>
      <w:r w:rsidR="00F253E5">
        <w:t>Other databases</w:t>
      </w:r>
      <w:r w:rsidR="002D772C">
        <w:t xml:space="preserve"> </w:t>
      </w:r>
      <w:r w:rsidR="00F253E5">
        <w:t>were</w:t>
      </w:r>
      <w:r w:rsidR="002D772C">
        <w:t xml:space="preserve"> not searched in this review because the breadth of coverage of the search in Medline </w:t>
      </w:r>
      <w:r w:rsidR="00F253E5">
        <w:t>covered the main journals for SLE research</w:t>
      </w:r>
      <w:r w:rsidR="0032743E">
        <w:t xml:space="preserve"> suggested by </w:t>
      </w:r>
      <w:r w:rsidR="009602B1">
        <w:t>Professor David Isenberg, a clinician and researcher from University College London (December 2009)</w:t>
      </w:r>
      <w:r w:rsidR="002D772C">
        <w:t xml:space="preserve">. </w:t>
      </w:r>
    </w:p>
    <w:p w:rsidR="002D772C" w:rsidRPr="0064227C" w:rsidRDefault="002D772C" w:rsidP="0032743E">
      <w:r w:rsidRPr="0064227C">
        <w:t xml:space="preserve">Search terms included a combination of free-text and </w:t>
      </w:r>
      <w:r>
        <w:t>MeSH</w:t>
      </w:r>
      <w:r w:rsidRPr="0064227C">
        <w:t xml:space="preserve"> terms.</w:t>
      </w:r>
      <w:r>
        <w:t xml:space="preserve"> The review only included studies published after 1995. Only studies published after this date were reviewed because a number of important publications relating to the classification and definition of the disease were published at this time including: an update of the criteria for classification of SLE in 1997 </w:t>
      </w:r>
      <w:r w:rsidR="00E729BA">
        <w:fldChar w:fldCharType="begin"/>
      </w:r>
      <w:r w:rsidR="00FC61FD">
        <w:instrText xml:space="preserve"> ADDIN REFMGR.CITE &lt;Refman&gt;&lt;Cite&gt;&lt;Author&gt;Hochberg&lt;/Author&gt;&lt;Year&gt;1997&lt;/Year&gt;&lt;RecNum&gt;1437&lt;/RecNum&gt;&lt;IDText&gt;Updating the American College of Rheumatology revised criteria for the classification of systemic lupus erythematosus&lt;/IDText&gt;&lt;MDL Ref_Type="Journal"&gt;&lt;Ref_Type&gt;Journal&lt;/Ref_Type&gt;&lt;Ref_ID&gt;1437&lt;/Ref_ID&gt;&lt;Title_Primary&gt;Updating the American College of Rheumatology revised criteria for the classification of systemic lupus erythematosus&lt;/Title_Primary&gt;&lt;Authors_Primary&gt;Hochberg,M.C.&lt;/Authors_Primary&gt;&lt;Date_Primary&gt;1997/9&lt;/Date_Primary&gt;&lt;Keywords&gt;analysis&lt;/Keywords&gt;&lt;Keywords&gt;Antibodies,Antiphospholipid&lt;/Keywords&gt;&lt;Keywords&gt;classification&lt;/Keywords&gt;&lt;Keywords&gt;Diagnosis,Differential&lt;/Keywords&gt;&lt;Keywords&gt;erythematosus&lt;/Keywords&gt;&lt;Keywords&gt;Humans&lt;/Keywords&gt;&lt;Keywords&gt;lupus erythematosus&lt;/Keywords&gt;&lt;Keywords&gt;Lupus Erythematosus,Systemic&lt;/Keywords&gt;&lt;Keywords&gt;organization &amp;amp; administration&lt;/Keywords&gt;&lt;Keywords&gt;Rheumatology&lt;/Keywords&gt;&lt;Keywords&gt;Societies,Medical&lt;/Keywords&gt;&lt;Keywords&gt;systemic lupus erythematosus&lt;/Keywords&gt;&lt;Keywords&gt;United States&lt;/Keywords&gt;&lt;Reprint&gt;Not in File&lt;/Reprint&gt;&lt;Start_Page&gt;1725&lt;/Start_Page&gt;&lt;Periodical&gt;Arthritis Rheum.&lt;/Periodical&gt;&lt;Volume&gt;40&lt;/Volume&gt;&lt;Issue&gt;9&lt;/Issue&gt;&lt;ZZ_JournalStdAbbrev&gt;&lt;f name="System"&gt;Arthritis Rheum.&lt;/f&gt;&lt;/ZZ_JournalStdAbbrev&gt;&lt;ZZ_WorkformID&gt;1&lt;/ZZ_WorkformID&gt;&lt;/MDL&gt;&lt;/Cite&gt;&lt;/Refman&gt;</w:instrText>
      </w:r>
      <w:r w:rsidR="00E729BA">
        <w:fldChar w:fldCharType="separate"/>
      </w:r>
      <w:r w:rsidR="00F12F58">
        <w:t>(44)</w:t>
      </w:r>
      <w:r w:rsidR="00E729BA">
        <w:fldChar w:fldCharType="end"/>
      </w:r>
      <w:r>
        <w:t xml:space="preserve">; the definition of the SLICC/ACR Damage Index in 1996 </w:t>
      </w:r>
      <w:r w:rsidR="00E729BA">
        <w:fldChar w:fldCharType="begin"/>
      </w:r>
      <w:r w:rsidR="00FC61FD">
        <w:instrText xml:space="preserve"> ADDIN REFMGR.CITE &lt;Refman&gt;&lt;Cite&gt;&lt;Author&gt;Gladman&lt;/Author&gt;&lt;Year&gt;1996&lt;/Year&gt;&lt;RecNum&gt;1423&lt;/RecNum&gt;&lt;IDText&gt;The development and initial validation of the Systemic Lupus International Collaborating Clinics/American College of Rheumatology damage index for systemic lupus erythematosus&lt;/IDText&gt;&lt;MDL Ref_Type="Journal"&gt;&lt;Ref_Type&gt;Journal&lt;/Ref_Type&gt;&lt;Ref_ID&gt;1423&lt;/Ref_ID&gt;&lt;Title_Primary&gt;The development and initial validation of the Systemic Lupus International Collaborating Clinics/American College of Rheumatology damage index for systemic lupus erythematosus&lt;/Title_Primary&gt;&lt;Authors_Primary&gt;Gladman,D.&lt;/Authors_Primary&gt;&lt;Authors_Primary&gt;Ginzler,E.&lt;/Authors_Primary&gt;&lt;Authors_Primary&gt;Goldsmith,C.&lt;/Authors_Primary&gt;&lt;Authors_Primary&gt;Fortin,P.&lt;/Authors_Primary&gt;&lt;Authors_Primary&gt;Liang,M.&lt;/Authors_Primary&gt;&lt;Authors_Primary&gt;Urowitz,M.&lt;/Authors_Primary&gt;&lt;Authors_Primary&gt;Bacon,P.&lt;/Authors_Primary&gt;&lt;Authors_Primary&gt;Bombardieri,S.&lt;/Authors_Primary&gt;&lt;Authors_Primary&gt;Hanly,J.&lt;/Authors_Primary&gt;&lt;Authors_Primary&gt;Hay,E.&lt;/Authors_Primary&gt;&lt;Authors_Primary&gt;Isenberg,D.&lt;/Authors_Primary&gt;&lt;Authors_Primary&gt;Jones,J.&lt;/Authors_Primary&gt;&lt;Authors_Primary&gt;Kalunian,K.&lt;/Authors_Primary&gt;&lt;Authors_Primary&gt;Maddison,P.&lt;/Authors_Primary&gt;&lt;Authors_Primary&gt;Nived,O.&lt;/Authors_Primary&gt;&lt;Authors_Primary&gt;Petri,M.&lt;/Authors_Primary&gt;&lt;Authors_Primary&gt;Richter,M.&lt;/Authors_Primary&gt;&lt;Authors_Primary&gt;Sanchez-Guerrero,J.&lt;/Authors_Primary&gt;&lt;Authors_Primary&gt;Snaith,M.&lt;/Authors_Primary&gt;&lt;Authors_Primary&gt;Sturfelt,G.&lt;/Authors_Primary&gt;&lt;Authors_Primary&gt;Symmons,D.&lt;/Authors_Primary&gt;&lt;Authors_Primary&gt;Zoma,A.&lt;/Authors_Primary&gt;&lt;Date_Primary&gt;1996/3&lt;/Date_Primary&gt;&lt;Keywords&gt;analysis&lt;/Keywords&gt;&lt;Keywords&gt;Analysis of Variance&lt;/Keywords&gt;&lt;Keywords&gt;diagnosis&lt;/Keywords&gt;&lt;Keywords&gt;Disease&lt;/Keywords&gt;&lt;Keywords&gt;erythematosus&lt;/Keywords&gt;&lt;Keywords&gt;Health Status Indicators&lt;/Keywords&gt;&lt;Keywords&gt;hospital&lt;/Keywords&gt;&lt;Keywords&gt;Humans&lt;/Keywords&gt;&lt;Keywords&gt;lupus erythematosus&lt;/Keywords&gt;&lt;Keywords&gt;Lupus Erythematosus,Systemic&lt;/Keywords&gt;&lt;Keywords&gt;methods&lt;/Keywords&gt;&lt;Keywords&gt;Ontario&lt;/Keywords&gt;&lt;Keywords&gt;pathology&lt;/Keywords&gt;&lt;Keywords&gt;patient&lt;/Keywords&gt;&lt;Keywords&gt;Patients&lt;/Keywords&gt;&lt;Keywords&gt;Reproducibility of Results&lt;/Keywords&gt;&lt;Keywords&gt;Rheumatic Diseases&lt;/Keywords&gt;&lt;Keywords&gt;Rheumatology&lt;/Keywords&gt;&lt;Keywords&gt;systemic lupus erythematosus&lt;/Keywords&gt;&lt;Keywords&gt;Time&lt;/Keywords&gt;&lt;Reprint&gt;Not in File&lt;/Reprint&gt;&lt;Start_Page&gt;363&lt;/Start_Page&gt;&lt;End_Page&gt;369&lt;/End_Page&gt;&lt;Periodical&gt;Arthritis Rheum.&lt;/Periodical&gt;&lt;Volume&gt;39&lt;/Volume&gt;&lt;Issue&gt;3&lt;/Issue&gt;&lt;ZZ_JournalStdAbbrev&gt;&lt;f name="System"&gt;Arthritis Rheum.&lt;/f&gt;&lt;/ZZ_JournalStdAbbrev&gt;&lt;ZZ_WorkformID&gt;1&lt;/ZZ_WorkformID&gt;&lt;/MDL&gt;&lt;/Cite&gt;&lt;/Refman&gt;</w:instrText>
      </w:r>
      <w:r w:rsidR="00E729BA">
        <w:fldChar w:fldCharType="separate"/>
      </w:r>
      <w:r w:rsidR="00F12F58">
        <w:t>(52)</w:t>
      </w:r>
      <w:r w:rsidR="00E729BA">
        <w:fldChar w:fldCharType="end"/>
      </w:r>
      <w:r>
        <w:t xml:space="preserve">; the definition of the SLEDAI score in 1992 </w:t>
      </w:r>
      <w:r w:rsidR="00E729BA">
        <w:fldChar w:fldCharType="begin"/>
      </w:r>
      <w:r w:rsidR="00FC61FD">
        <w:instrText xml:space="preserve"> ADDIN REFMGR.CITE &lt;Refman&gt;&lt;Cite&gt;&lt;Author&gt;Bombardier&lt;/Author&gt;&lt;Year&gt;1992&lt;/Year&gt;&lt;RecNum&gt;1506&lt;/RecNum&gt;&lt;IDText&gt;Derivation of the SLEDAI. A disease activity index for lupus patients. The Committee on Prognosis Studies in SLE&lt;/IDText&gt;&lt;MDL Ref_Type="Journal"&gt;&lt;Ref_Type&gt;Journal&lt;/Ref_Type&gt;&lt;Ref_ID&gt;1506&lt;/Ref_ID&gt;&lt;Title_Primary&gt;Derivation of the SLEDAI. A disease activity index for lupus patients. The Committee on Prognosis Studies in SLE&lt;/Title_Primary&gt;&lt;Authors_Primary&gt;Bombardier,C.&lt;/Authors_Primary&gt;&lt;Authors_Primary&gt;Gladman,D.D.&lt;/Authors_Primary&gt;&lt;Authors_Primary&gt;Urowitz,M.B.&lt;/Authors_Primary&gt;&lt;Authors_Primary&gt;Caron,D.&lt;/Authors_Primary&gt;&lt;Authors_Primary&gt;Chang,C.H.&lt;/Authors_Primary&gt;&lt;Date_Primary&gt;1992/6&lt;/Date_Primary&gt;&lt;Keywords&gt;Central Nervous System&lt;/Keywords&gt;&lt;Keywords&gt;Disease&lt;/Keywords&gt;&lt;Keywords&gt;disease activity&lt;/Keywords&gt;&lt;Keywords&gt;disease activity index&lt;/Keywords&gt;&lt;Keywords&gt;erythematosus&lt;/Keywords&gt;&lt;Keywords&gt;Health&lt;/Keywords&gt;&lt;Keywords&gt;Health Status&lt;/Keywords&gt;&lt;Keywords&gt;hospital&lt;/Keywords&gt;&lt;Keywords&gt;Humans&lt;/Keywords&gt;&lt;Keywords&gt;Immune System&lt;/Keywords&gt;&lt;Keywords&gt;Individuality&lt;/Keywords&gt;&lt;Keywords&gt;Kidney&lt;/Keywords&gt;&lt;Keywords&gt;lupus erythematosus&lt;/Keywords&gt;&lt;Keywords&gt;Lupus Erythematosus,Systemic&lt;/Keywords&gt;&lt;Keywords&gt;methods&lt;/Keywords&gt;&lt;Keywords&gt;Musculoskeletal System&lt;/Keywords&gt;&lt;Keywords&gt;Ontario&lt;/Keywords&gt;&lt;Keywords&gt;patient&lt;/Keywords&gt;&lt;Keywords&gt;Patients&lt;/Keywords&gt;&lt;Keywords&gt;physiopathology&lt;/Keywords&gt;&lt;Keywords&gt;Prognosis&lt;/Keywords&gt;&lt;Keywords&gt;Reproducibility of Results&lt;/Keywords&gt;&lt;Keywords&gt;Research&lt;/Keywords&gt;&lt;Keywords&gt;Severity of Illness Index&lt;/Keywords&gt;&lt;Keywords&gt;Skin&lt;/Keywords&gt;&lt;Keywords&gt;systemic lupus erythematosus&lt;/Keywords&gt;&lt;Keywords&gt;Vasculitis&lt;/Keywords&gt;&lt;Reprint&gt;Not in File&lt;/Reprint&gt;&lt;Start_Page&gt;630&lt;/Start_Page&gt;&lt;End_Page&gt;640&lt;/End_Page&gt;&lt;Periodical&gt;Arthritis Rheum.&lt;/Periodical&gt;&lt;Volume&gt;35&lt;/Volume&gt;&lt;Issue&gt;6&lt;/Issue&gt;&lt;User_Def_1&gt;SLEDAI&lt;/User_Def_1&gt;&lt;ZZ_JournalStdAbbrev&gt;&lt;f name="System"&gt;Arthritis Rheum.&lt;/f&gt;&lt;/ZZ_JournalStdAbbrev&gt;&lt;ZZ_WorkformID&gt;1&lt;/ZZ_WorkformID&gt;&lt;/MDL&gt;&lt;/Cite&gt;&lt;/Refman&gt;</w:instrText>
      </w:r>
      <w:r w:rsidR="00E729BA">
        <w:fldChar w:fldCharType="separate"/>
      </w:r>
      <w:r w:rsidR="004D7951">
        <w:t>(132)</w:t>
      </w:r>
      <w:r w:rsidR="00E729BA">
        <w:fldChar w:fldCharType="end"/>
      </w:r>
      <w:r>
        <w:t xml:space="preserve">; the definition of the BILAG score in 1993 </w:t>
      </w:r>
      <w:r w:rsidR="00E729BA">
        <w:fldChar w:fldCharType="begin"/>
      </w:r>
      <w:r w:rsidR="00FC61FD">
        <w:instrText xml:space="preserve"> ADDIN REFMGR.CITE &lt;Refman&gt;&lt;Cite&gt;&lt;Author&gt;Hay&lt;/Author&gt;&lt;Year&gt;1993&lt;/Year&gt;&lt;RecNum&gt;1540&lt;/RecNum&gt;&lt;IDText&gt;The BILAG index: a reliable and valid instrument for measuring clinical disease activity in systemic lupus erythematosus&lt;/IDText&gt;&lt;MDL Ref_Type="Journal"&gt;&lt;Ref_Type&gt;Journal&lt;/Ref_Type&gt;&lt;Ref_ID&gt;1540&lt;/Ref_ID&gt;&lt;Title_Primary&gt;The BILAG index: a reliable and valid instrument for measuring clinical disease activity in systemic lupus erythematosus&lt;/Title_Primary&gt;&lt;Authors_Primary&gt;Hay,E.M.&lt;/Authors_Primary&gt;&lt;Authors_Primary&gt;Bacon,P.A.&lt;/Authors_Primary&gt;&lt;Authors_Primary&gt;Gordon,C.&lt;/Authors_Primary&gt;&lt;Authors_Primary&gt;Isenberg,D.A.&lt;/Authors_Primary&gt;&lt;Authors_Primary&gt;Maddison,P.&lt;/Authors_Primary&gt;&lt;Authors_Primary&gt;Snaith,M.L.&lt;/Authors_Primary&gt;&lt;Authors_Primary&gt;Symmons,D.P.&lt;/Authors_Primary&gt;&lt;Authors_Primary&gt;Viner,N.&lt;/Authors_Primary&gt;&lt;Authors_Primary&gt;Zoma,A.&lt;/Authors_Primary&gt;&lt;Date_Primary&gt;1993/7&lt;/Date_Primary&gt;&lt;Keywords&gt;Adolescent&lt;/Keywords&gt;&lt;Keywords&gt;Adult&lt;/Keywords&gt;&lt;Keywords&gt;Aged&lt;/Keywords&gt;&lt;Keywords&gt;Aged,80 and over&lt;/Keywords&gt;&lt;Keywords&gt;Child&lt;/Keywords&gt;&lt;Keywords&gt;diagnosis&lt;/Keywords&gt;&lt;Keywords&gt;Diagnosis,Computer-Assisted&lt;/Keywords&gt;&lt;Keywords&gt;Disease&lt;/Keywords&gt;&lt;Keywords&gt;disease activity&lt;/Keywords&gt;&lt;Keywords&gt;drug therapy&lt;/Keywords&gt;&lt;Keywords&gt;epidemiology&lt;/Keywords&gt;&lt;Keywords&gt;erythematosus&lt;/Keywords&gt;&lt;Keywords&gt;Female&lt;/Keywords&gt;&lt;Keywords&gt;Humans&lt;/Keywords&gt;&lt;Keywords&gt;lupus erythematosus&lt;/Keywords&gt;&lt;Keywords&gt;Lupus Erythematosus,Systemic&lt;/Keywords&gt;&lt;Keywords&gt;Male&lt;/Keywords&gt;&lt;Keywords&gt;Middle Aged&lt;/Keywords&gt;&lt;Keywords&gt;pathology&lt;/Keywords&gt;&lt;Keywords&gt;Predictive Value of Tests&lt;/Keywords&gt;&lt;Keywords&gt;Reproducibility of Results&lt;/Keywords&gt;&lt;Keywords&gt;Research&lt;/Keywords&gt;&lt;Keywords&gt;Sensitivity and Specificity&lt;/Keywords&gt;&lt;Keywords&gt;Severity of Illness Index&lt;/Keywords&gt;&lt;Keywords&gt;systemic lupus erythematosus&lt;/Keywords&gt;&lt;Keywords&gt;therapy&lt;/Keywords&gt;&lt;Reprint&gt;Not in File&lt;/Reprint&gt;&lt;Start_Page&gt;447&lt;/Start_Page&gt;&lt;End_Page&gt;458&lt;/End_Page&gt;&lt;Periodical&gt;Q.J.Med.&lt;/Periodical&gt;&lt;Volume&gt;86&lt;/Volume&gt;&lt;Issue&gt;7&lt;/Issue&gt;&lt;ZZ_JournalStdAbbrev&gt;&lt;f name="System"&gt;Q.J.Med.&lt;/f&gt;&lt;/ZZ_JournalStdAbbrev&gt;&lt;ZZ_WorkformID&gt;1&lt;/ZZ_WorkformID&gt;&lt;/MDL&gt;&lt;/Cite&gt;&lt;/Refman&gt;</w:instrText>
      </w:r>
      <w:r w:rsidR="00E729BA">
        <w:fldChar w:fldCharType="separate"/>
      </w:r>
      <w:r w:rsidR="004D7951">
        <w:t>(133)</w:t>
      </w:r>
      <w:r w:rsidR="00E729BA">
        <w:fldChar w:fldCharType="end"/>
      </w:r>
      <w:r>
        <w:t xml:space="preserve">. </w:t>
      </w:r>
      <w:r w:rsidR="00F253E5">
        <w:t>Furthermore, d</w:t>
      </w:r>
      <w:r>
        <w:t xml:space="preserve">iscussions with </w:t>
      </w:r>
      <w:r w:rsidR="0032743E">
        <w:t>Professor</w:t>
      </w:r>
      <w:r>
        <w:t xml:space="preserve"> Isenberg </w:t>
      </w:r>
      <w:r w:rsidR="009602B1">
        <w:t xml:space="preserve">(December,2009) </w:t>
      </w:r>
      <w:r>
        <w:t xml:space="preserve">indicated that treatment practices changed at this time. Studies of patients before this period may be less representative of </w:t>
      </w:r>
      <w:r w:rsidR="00F253E5">
        <w:t xml:space="preserve">current </w:t>
      </w:r>
      <w:r>
        <w:t>SLE patients.</w:t>
      </w:r>
      <w:r w:rsidR="001A1071" w:rsidRPr="001A1071">
        <w:t xml:space="preserve"> </w:t>
      </w:r>
      <w:r w:rsidR="001A1071">
        <w:t xml:space="preserve">Details of the search strategies are reported in Appendix </w:t>
      </w:r>
      <w:r w:rsidR="007F49FE">
        <w:t>4</w:t>
      </w:r>
      <w:r w:rsidR="001A1071">
        <w:t>.</w:t>
      </w:r>
    </w:p>
    <w:p w:rsidR="002D772C" w:rsidRPr="0064227C" w:rsidRDefault="002D772C" w:rsidP="002D772C">
      <w:r w:rsidRPr="0064227C">
        <w:t xml:space="preserve">The final </w:t>
      </w:r>
      <w:r>
        <w:t>inclusion criteria for the studies were as follows</w:t>
      </w:r>
      <w:r w:rsidRPr="0064227C">
        <w:t>.</w:t>
      </w:r>
    </w:p>
    <w:p w:rsidR="002D772C" w:rsidRPr="0064227C" w:rsidRDefault="002D772C" w:rsidP="00597CF5">
      <w:pPr>
        <w:pStyle w:val="ListParagraph"/>
        <w:numPr>
          <w:ilvl w:val="0"/>
          <w:numId w:val="11"/>
        </w:numPr>
        <w:spacing w:after="0" w:afterAutospacing="0"/>
      </w:pPr>
      <w:r w:rsidRPr="00595EBF">
        <w:rPr>
          <w:b/>
          <w:bCs/>
        </w:rPr>
        <w:t>Study design.</w:t>
      </w:r>
      <w:r w:rsidRPr="002B03DE">
        <w:t xml:space="preserve"> </w:t>
      </w:r>
      <w:r>
        <w:t>Prospective observational cohort studies</w:t>
      </w:r>
      <w:r w:rsidR="00B56487">
        <w:t xml:space="preserve"> to reduce confounding and selection bias</w:t>
      </w:r>
    </w:p>
    <w:p w:rsidR="002D772C" w:rsidRPr="0064227C" w:rsidRDefault="002D772C" w:rsidP="00597CF5">
      <w:pPr>
        <w:pStyle w:val="ListParagraph"/>
        <w:numPr>
          <w:ilvl w:val="0"/>
          <w:numId w:val="11"/>
        </w:numPr>
        <w:spacing w:after="0" w:afterAutospacing="0"/>
      </w:pPr>
      <w:r w:rsidRPr="00595EBF">
        <w:rPr>
          <w:b/>
          <w:bCs/>
        </w:rPr>
        <w:t>Patients.</w:t>
      </w:r>
      <w:r w:rsidRPr="002B03DE">
        <w:t xml:space="preserve"> </w:t>
      </w:r>
      <w:r w:rsidRPr="0064227C">
        <w:t xml:space="preserve">Patients diagnosed with </w:t>
      </w:r>
      <w:r>
        <w:t>SLE</w:t>
      </w:r>
    </w:p>
    <w:p w:rsidR="002D772C" w:rsidRPr="0064227C" w:rsidRDefault="002D772C" w:rsidP="00597CF5">
      <w:pPr>
        <w:pStyle w:val="ListParagraph"/>
        <w:numPr>
          <w:ilvl w:val="0"/>
          <w:numId w:val="11"/>
        </w:numPr>
        <w:spacing w:after="0" w:afterAutospacing="0"/>
      </w:pPr>
      <w:r w:rsidRPr="00595EBF">
        <w:rPr>
          <w:b/>
          <w:bCs/>
        </w:rPr>
        <w:t>Outcome measures.</w:t>
      </w:r>
      <w:r w:rsidRPr="002B03DE">
        <w:t xml:space="preserve"> </w:t>
      </w:r>
      <w:r>
        <w:t>O</w:t>
      </w:r>
      <w:r w:rsidRPr="0064227C">
        <w:t>utcomes of interest were</w:t>
      </w:r>
      <w:r>
        <w:t xml:space="preserve"> symptoms, clinical events, co-morbidities, and mortality.</w:t>
      </w:r>
    </w:p>
    <w:p w:rsidR="002D772C" w:rsidRPr="0064227C" w:rsidRDefault="002D772C" w:rsidP="00597CF5">
      <w:pPr>
        <w:pStyle w:val="ListParagraph"/>
        <w:numPr>
          <w:ilvl w:val="0"/>
          <w:numId w:val="11"/>
        </w:numPr>
        <w:spacing w:after="120" w:afterAutospacing="0"/>
      </w:pPr>
      <w:r w:rsidRPr="00595EBF">
        <w:rPr>
          <w:b/>
          <w:bCs/>
        </w:rPr>
        <w:t>Language.</w:t>
      </w:r>
      <w:r w:rsidRPr="002B03DE">
        <w:t xml:space="preserve"> </w:t>
      </w:r>
      <w:r w:rsidRPr="0064227C">
        <w:t>Full</w:t>
      </w:r>
      <w:r w:rsidR="009602B1">
        <w:t xml:space="preserve"> </w:t>
      </w:r>
      <w:r w:rsidRPr="0064227C">
        <w:t>published reports in English were considered.</w:t>
      </w:r>
    </w:p>
    <w:p w:rsidR="002D772C" w:rsidRPr="0064227C" w:rsidRDefault="003106AD" w:rsidP="0032743E">
      <w:r w:rsidRPr="0064227C">
        <w:t>T</w:t>
      </w:r>
      <w:r>
        <w:t>he title and abstract for each citation were reviewed to determine whether they met the pre-</w:t>
      </w:r>
      <w:r w:rsidRPr="0064227C">
        <w:t xml:space="preserve">defined selection criteria. </w:t>
      </w:r>
      <w:r>
        <w:t>Full text reports were obtained for the articles where the abstracts met the inclusion criteria</w:t>
      </w:r>
      <w:r w:rsidRPr="0064227C">
        <w:t xml:space="preserve">. </w:t>
      </w:r>
      <w:r w:rsidR="002D772C" w:rsidRPr="0064227C">
        <w:t>Only full</w:t>
      </w:r>
      <w:r w:rsidR="009602B1">
        <w:t xml:space="preserve"> </w:t>
      </w:r>
      <w:r w:rsidR="002D772C" w:rsidRPr="0064227C">
        <w:t>published reports were considered, letters and abstracts were excluded.</w:t>
      </w:r>
      <w:r w:rsidR="002D772C">
        <w:t xml:space="preserve"> Retrospective design studies were excluded from the search because they are more likely to encounter problems with confounding and </w:t>
      </w:r>
      <w:r w:rsidR="00F253E5">
        <w:t xml:space="preserve">selection </w:t>
      </w:r>
      <w:r w:rsidR="002D772C">
        <w:t>bias. Furthermore, disease activity and organ damage scores of interest are less likely to be available in retrospective data because they are not routinely collected in clinical practice. Nonetheless, the abstracts of all the retrospective studies identified in the search were reviewed to identify any important findings.</w:t>
      </w:r>
    </w:p>
    <w:p w:rsidR="005E0734" w:rsidRDefault="005E0734">
      <w:pPr>
        <w:spacing w:after="0" w:afterAutospacing="0" w:line="240" w:lineRule="auto"/>
        <w:rPr>
          <w:rStyle w:val="Emphasis"/>
          <w:caps/>
          <w:color w:val="000000" w:themeColor="text1"/>
          <w:spacing w:val="15"/>
          <w:sz w:val="22"/>
        </w:rPr>
      </w:pPr>
      <w:bookmarkStart w:id="158" w:name="_Toc379467595"/>
      <w:r>
        <w:rPr>
          <w:rStyle w:val="Emphasis"/>
          <w:spacing w:val="15"/>
          <w:sz w:val="22"/>
        </w:rPr>
        <w:br w:type="page"/>
      </w:r>
    </w:p>
    <w:p w:rsidR="002D772C" w:rsidRPr="004E70E9" w:rsidRDefault="008032ED" w:rsidP="004E70E9">
      <w:pPr>
        <w:pStyle w:val="Heading3"/>
        <w:rPr>
          <w:rStyle w:val="Emphasis"/>
          <w:spacing w:val="15"/>
          <w:sz w:val="22"/>
        </w:rPr>
      </w:pPr>
      <w:r w:rsidRPr="004E70E9">
        <w:rPr>
          <w:rStyle w:val="Emphasis"/>
          <w:spacing w:val="15"/>
          <w:sz w:val="22"/>
        </w:rPr>
        <w:t>Data Extraction</w:t>
      </w:r>
      <w:bookmarkEnd w:id="158"/>
    </w:p>
    <w:p w:rsidR="002D772C" w:rsidRDefault="002D772C" w:rsidP="002D772C">
      <w:pPr>
        <w:pStyle w:val="Heading4"/>
      </w:pPr>
      <w:r>
        <w:t>Catalogue Cohort Studies</w:t>
      </w:r>
    </w:p>
    <w:p w:rsidR="002D772C" w:rsidRDefault="002D772C" w:rsidP="00F253E5">
      <w:r>
        <w:t xml:space="preserve">The first part of the review aimed to identify </w:t>
      </w:r>
      <w:r w:rsidR="00F253E5">
        <w:t>important cohort</w:t>
      </w:r>
      <w:r>
        <w:t>s</w:t>
      </w:r>
      <w:r w:rsidR="00F253E5">
        <w:t xml:space="preserve"> with multiple publications</w:t>
      </w:r>
      <w:r>
        <w:t xml:space="preserve">, and record the key themes explored in the studies. The full reports were reviewed and the following information was extracted. </w:t>
      </w:r>
    </w:p>
    <w:p w:rsidR="002D772C" w:rsidRDefault="002D772C" w:rsidP="00597CF5">
      <w:pPr>
        <w:pStyle w:val="ListParagraph"/>
        <w:numPr>
          <w:ilvl w:val="0"/>
          <w:numId w:val="9"/>
        </w:numPr>
      </w:pPr>
      <w:r>
        <w:t>Sample size</w:t>
      </w:r>
    </w:p>
    <w:p w:rsidR="002D772C" w:rsidRDefault="002D772C" w:rsidP="00597CF5">
      <w:pPr>
        <w:pStyle w:val="ListParagraph"/>
        <w:numPr>
          <w:ilvl w:val="0"/>
          <w:numId w:val="9"/>
        </w:numPr>
      </w:pPr>
      <w:r>
        <w:t>Population description</w:t>
      </w:r>
    </w:p>
    <w:p w:rsidR="002D772C" w:rsidRDefault="002D772C" w:rsidP="00597CF5">
      <w:pPr>
        <w:pStyle w:val="ListParagraph"/>
        <w:numPr>
          <w:ilvl w:val="0"/>
          <w:numId w:val="9"/>
        </w:numPr>
      </w:pPr>
      <w:r>
        <w:t>Cohort name</w:t>
      </w:r>
    </w:p>
    <w:p w:rsidR="002D772C" w:rsidRDefault="002D772C" w:rsidP="00597CF5">
      <w:pPr>
        <w:pStyle w:val="ListParagraph"/>
        <w:numPr>
          <w:ilvl w:val="0"/>
          <w:numId w:val="9"/>
        </w:numPr>
      </w:pPr>
      <w:r>
        <w:t>Primary theme</w:t>
      </w:r>
    </w:p>
    <w:p w:rsidR="002D772C" w:rsidRDefault="002D772C" w:rsidP="002D772C">
      <w:pPr>
        <w:pStyle w:val="Heading4"/>
      </w:pPr>
      <w:r>
        <w:t>The Conceptual Model</w:t>
      </w:r>
    </w:p>
    <w:p w:rsidR="002D772C" w:rsidRDefault="002D772C" w:rsidP="0032743E">
      <w:r>
        <w:t xml:space="preserve">The second stage of the review aimed to build a conceptual description of the disease to </w:t>
      </w:r>
      <w:r w:rsidR="00F253E5">
        <w:t>understand</w:t>
      </w:r>
      <w:r>
        <w:t xml:space="preserve"> the relationships between short term disease measures and long term consequences. The abstracts of the articles were reviewed to identify statistically significant associations between disease characteristics </w:t>
      </w:r>
      <w:r w:rsidR="003106AD">
        <w:t xml:space="preserve">and co-morbidities </w:t>
      </w:r>
      <w:r>
        <w:t xml:space="preserve">to develop a conceptual disease map. </w:t>
      </w:r>
      <w:r w:rsidR="003106AD">
        <w:t xml:space="preserve">The references were included in the map to illustrate the evidence base supporting the relationships to help prioritise disease outcomes. </w:t>
      </w:r>
      <w:r>
        <w:t xml:space="preserve">The conceptual disease map </w:t>
      </w:r>
      <w:r w:rsidR="003106AD">
        <w:t>illustrated</w:t>
      </w:r>
      <w:r>
        <w:t xml:space="preserve"> </w:t>
      </w:r>
      <w:r w:rsidR="003106AD">
        <w:t>the strength of evidence for relationships between</w:t>
      </w:r>
      <w:r>
        <w:t xml:space="preserve"> clinical events and </w:t>
      </w:r>
      <w:r w:rsidR="003106AD">
        <w:t>disease characteristics</w:t>
      </w:r>
      <w:r>
        <w:t xml:space="preserve">. </w:t>
      </w:r>
      <w:r w:rsidR="009B2620">
        <w:t xml:space="preserve"> The conceptual map was discussed with </w:t>
      </w:r>
      <w:r w:rsidR="0032743E">
        <w:t>Professor Isenberg</w:t>
      </w:r>
      <w:r w:rsidR="009B2620">
        <w:t xml:space="preserve"> to determine if the main features of the disease were accounted for. </w:t>
      </w:r>
    </w:p>
    <w:p w:rsidR="002D772C" w:rsidRDefault="002D772C" w:rsidP="009602B1">
      <w:r>
        <w:t xml:space="preserve">The conceptual map includes symptoms and outcomes of the disease. For simplicity, </w:t>
      </w:r>
      <w:r w:rsidR="009602B1">
        <w:t>I</w:t>
      </w:r>
      <w:r>
        <w:t xml:space="preserve"> decided to exclude the following</w:t>
      </w:r>
      <w:r w:rsidR="0032743E">
        <w:t xml:space="preserve"> from the diagram</w:t>
      </w:r>
      <w:r w:rsidR="00B56487">
        <w:t xml:space="preserve"> and the data extraction process</w:t>
      </w:r>
      <w:r>
        <w:t>:-</w:t>
      </w:r>
    </w:p>
    <w:p w:rsidR="002D772C" w:rsidRDefault="0016510D" w:rsidP="00597CF5">
      <w:pPr>
        <w:pStyle w:val="ListParagraph"/>
        <w:numPr>
          <w:ilvl w:val="0"/>
          <w:numId w:val="13"/>
        </w:numPr>
      </w:pPr>
      <w:r>
        <w:t>Fibromyalgia</w:t>
      </w:r>
      <w:r w:rsidR="002D772C">
        <w:t xml:space="preserve"> as a comorbidity to SLE</w:t>
      </w:r>
    </w:p>
    <w:p w:rsidR="002D772C" w:rsidRDefault="002D772C" w:rsidP="00597CF5">
      <w:pPr>
        <w:pStyle w:val="ListParagraph"/>
        <w:numPr>
          <w:ilvl w:val="0"/>
          <w:numId w:val="13"/>
        </w:numPr>
      </w:pPr>
      <w:r>
        <w:t>Health Related Quality of Life outcomes</w:t>
      </w:r>
    </w:p>
    <w:p w:rsidR="002D772C" w:rsidRDefault="002D772C" w:rsidP="00597CF5">
      <w:pPr>
        <w:pStyle w:val="ListParagraph"/>
        <w:numPr>
          <w:ilvl w:val="0"/>
          <w:numId w:val="13"/>
        </w:numPr>
      </w:pPr>
      <w:r>
        <w:t>Psychosocial risk factors such as wealth or health perception</w:t>
      </w:r>
    </w:p>
    <w:p w:rsidR="002D772C" w:rsidRDefault="002D772C" w:rsidP="00597CF5">
      <w:pPr>
        <w:pStyle w:val="ListParagraph"/>
        <w:numPr>
          <w:ilvl w:val="0"/>
          <w:numId w:val="13"/>
        </w:numPr>
      </w:pPr>
      <w:r>
        <w:t xml:space="preserve">Genetic risk factors </w:t>
      </w:r>
    </w:p>
    <w:p w:rsidR="00246498" w:rsidRDefault="002D772C" w:rsidP="00F253E5">
      <w:r>
        <w:t xml:space="preserve">Some outcomes were grouped according to organ system to </w:t>
      </w:r>
      <w:r w:rsidR="00F253E5">
        <w:t>simplify</w:t>
      </w:r>
      <w:r>
        <w:t xml:space="preserve"> the </w:t>
      </w:r>
      <w:r w:rsidR="0032743E">
        <w:t xml:space="preserve">visual presentation of the </w:t>
      </w:r>
      <w:r>
        <w:t xml:space="preserve">map. For example, avascular necrosis and osteoporosis were combined into musculoskeletal damage, and seizure and stroke were included in neuropsychiatric damage. </w:t>
      </w:r>
    </w:p>
    <w:p w:rsidR="00246498" w:rsidRDefault="00246498" w:rsidP="00246498">
      <w:pPr>
        <w:rPr>
          <w:lang w:eastAsia="zh-CN"/>
        </w:rPr>
      </w:pPr>
      <w:r>
        <w:rPr>
          <w:lang w:eastAsia="zh-CN"/>
        </w:rPr>
        <w:t>The conceptual map was discussed with a Prof. David Isenberg, clinical expert in SLE, to address the following questions:</w:t>
      </w:r>
    </w:p>
    <w:p w:rsidR="00246498" w:rsidRDefault="00246498" w:rsidP="00246498">
      <w:pPr>
        <w:pStyle w:val="ListParagraph"/>
        <w:numPr>
          <w:ilvl w:val="0"/>
          <w:numId w:val="14"/>
        </w:numPr>
        <w:rPr>
          <w:lang w:eastAsia="zh-CN"/>
        </w:rPr>
      </w:pPr>
      <w:r>
        <w:rPr>
          <w:lang w:eastAsia="zh-CN"/>
        </w:rPr>
        <w:t>Are there any important outcomes, symptoms or events associated with the disease that are missing?</w:t>
      </w:r>
    </w:p>
    <w:p w:rsidR="00246498" w:rsidRDefault="00246498" w:rsidP="00246498">
      <w:pPr>
        <w:pStyle w:val="ListParagraph"/>
        <w:numPr>
          <w:ilvl w:val="0"/>
          <w:numId w:val="14"/>
        </w:numPr>
        <w:rPr>
          <w:lang w:eastAsia="zh-CN"/>
        </w:rPr>
      </w:pPr>
      <w:r>
        <w:rPr>
          <w:lang w:eastAsia="zh-CN"/>
        </w:rPr>
        <w:t>Are there any important relationships missing from the disease map?</w:t>
      </w:r>
    </w:p>
    <w:p w:rsidR="00246498" w:rsidRDefault="00246498" w:rsidP="00246498">
      <w:pPr>
        <w:pStyle w:val="ListParagraph"/>
        <w:numPr>
          <w:ilvl w:val="0"/>
          <w:numId w:val="14"/>
        </w:numPr>
        <w:rPr>
          <w:lang w:eastAsia="zh-CN"/>
        </w:rPr>
      </w:pPr>
      <w:r>
        <w:rPr>
          <w:lang w:eastAsia="zh-CN"/>
        </w:rPr>
        <w:t>Are there any important studies or research that has not been identified in this map?</w:t>
      </w:r>
    </w:p>
    <w:p w:rsidR="00DD3003" w:rsidRDefault="00DD3003" w:rsidP="00DD3003">
      <w:pPr>
        <w:pStyle w:val="ListParagraph"/>
        <w:rPr>
          <w:lang w:eastAsia="zh-CN"/>
        </w:rPr>
      </w:pPr>
    </w:p>
    <w:p w:rsidR="002D772C" w:rsidRDefault="002D772C" w:rsidP="002D772C">
      <w:pPr>
        <w:pStyle w:val="Heading4"/>
      </w:pPr>
      <w:r>
        <w:t>Quantitative Data Extraction</w:t>
      </w:r>
    </w:p>
    <w:p w:rsidR="002D772C" w:rsidRDefault="002D772C" w:rsidP="00B56487">
      <w:r>
        <w:t xml:space="preserve">The outcomes of the conceptual disease model </w:t>
      </w:r>
      <w:r w:rsidR="00F253E5">
        <w:t>informed</w:t>
      </w:r>
      <w:r>
        <w:t xml:space="preserve"> the third stage of the review which aimed to extract quantitative data from the epidemiological studies </w:t>
      </w:r>
      <w:r w:rsidR="00F253E5">
        <w:t>relating to features of the disease that would be included in the natural history model.</w:t>
      </w:r>
      <w:r w:rsidR="00B56487">
        <w:t xml:space="preserve"> I developed the list of items to be extracted based on prior understanding of epidemiology study outcomes.</w:t>
      </w:r>
    </w:p>
    <w:p w:rsidR="002D772C" w:rsidRDefault="002D772C" w:rsidP="00957BD5">
      <w:pPr>
        <w:spacing w:after="120" w:afterAutospacing="0"/>
      </w:pPr>
      <w:r>
        <w:t xml:space="preserve">The following data extraction criteria were used for articles exploring disease </w:t>
      </w:r>
      <w:r w:rsidR="00F253E5">
        <w:t>activity</w:t>
      </w:r>
      <w:r>
        <w:t xml:space="preserve"> in SLE.</w:t>
      </w:r>
    </w:p>
    <w:p w:rsidR="002D772C" w:rsidRDefault="002D772C" w:rsidP="00957BD5">
      <w:pPr>
        <w:pStyle w:val="ListParagraph"/>
        <w:numPr>
          <w:ilvl w:val="0"/>
          <w:numId w:val="10"/>
        </w:numPr>
        <w:spacing w:after="120" w:afterAutospacing="0"/>
      </w:pPr>
      <w:r>
        <w:t>Rate of flare/organ involvement at fixed intervals</w:t>
      </w:r>
    </w:p>
    <w:p w:rsidR="002D772C" w:rsidRDefault="002D772C" w:rsidP="00957BD5">
      <w:pPr>
        <w:pStyle w:val="ListParagraph"/>
        <w:numPr>
          <w:ilvl w:val="0"/>
          <w:numId w:val="10"/>
        </w:numPr>
        <w:spacing w:after="120" w:afterAutospacing="0"/>
      </w:pPr>
      <w:r>
        <w:t>Disease activity scores</w:t>
      </w:r>
    </w:p>
    <w:p w:rsidR="002D772C" w:rsidRDefault="002D772C" w:rsidP="00957BD5">
      <w:pPr>
        <w:pStyle w:val="ListParagraph"/>
        <w:numPr>
          <w:ilvl w:val="0"/>
          <w:numId w:val="10"/>
        </w:numPr>
        <w:spacing w:after="120" w:afterAutospacing="0"/>
      </w:pPr>
      <w:r>
        <w:t>Predictors of changes in disease activity or flare</w:t>
      </w:r>
    </w:p>
    <w:p w:rsidR="002D772C" w:rsidRDefault="002D772C" w:rsidP="00957BD5">
      <w:pPr>
        <w:spacing w:after="120" w:afterAutospacing="0"/>
      </w:pPr>
      <w:r>
        <w:t>The following data extraction criteria were used for articles exploring mortality in SLE.</w:t>
      </w:r>
    </w:p>
    <w:p w:rsidR="002D772C" w:rsidRDefault="002D772C" w:rsidP="00597CF5">
      <w:pPr>
        <w:pStyle w:val="ListParagraph"/>
        <w:numPr>
          <w:ilvl w:val="0"/>
          <w:numId w:val="10"/>
        </w:numPr>
      </w:pPr>
      <w:r>
        <w:t>Survival analysis/event rates at fixed intervals</w:t>
      </w:r>
    </w:p>
    <w:p w:rsidR="002D772C" w:rsidRDefault="002D772C" w:rsidP="00597CF5">
      <w:pPr>
        <w:pStyle w:val="ListParagraph"/>
        <w:numPr>
          <w:ilvl w:val="0"/>
          <w:numId w:val="10"/>
        </w:numPr>
      </w:pPr>
      <w:r>
        <w:t>Standardised mortality ratios</w:t>
      </w:r>
    </w:p>
    <w:p w:rsidR="002D772C" w:rsidRDefault="002D772C" w:rsidP="00597CF5">
      <w:pPr>
        <w:pStyle w:val="ListParagraph"/>
        <w:numPr>
          <w:ilvl w:val="0"/>
          <w:numId w:val="10"/>
        </w:numPr>
      </w:pPr>
      <w:r>
        <w:t>Predictors of mortality (univariate and multivariate analysis)</w:t>
      </w:r>
    </w:p>
    <w:p w:rsidR="002D772C" w:rsidRDefault="00D770DA" w:rsidP="00D770DA">
      <w:r>
        <w:t>Studies of organ damage either employed the SLICC/ACR Damage Index composite score or looked at individual events.</w:t>
      </w:r>
      <w:r w:rsidR="002D772C">
        <w:t xml:space="preserve"> The following data extraction criteria were used for articles exploring organ damage in SLE</w:t>
      </w:r>
      <w:r w:rsidR="00246498">
        <w:t xml:space="preserve"> and were chosen based on what statistics were commonly reported</w:t>
      </w:r>
      <w:r w:rsidR="002D772C">
        <w:t>.</w:t>
      </w:r>
      <w:r w:rsidRPr="00D770DA">
        <w:t xml:space="preserve"> </w:t>
      </w:r>
    </w:p>
    <w:p w:rsidR="002D772C" w:rsidRDefault="002D772C" w:rsidP="00597CF5">
      <w:pPr>
        <w:pStyle w:val="ListParagraph"/>
        <w:numPr>
          <w:ilvl w:val="0"/>
          <w:numId w:val="10"/>
        </w:numPr>
      </w:pPr>
      <w:r>
        <w:t>Time to damage.</w:t>
      </w:r>
    </w:p>
    <w:p w:rsidR="002D772C" w:rsidRDefault="002D772C" w:rsidP="00597CF5">
      <w:pPr>
        <w:pStyle w:val="ListParagraph"/>
        <w:numPr>
          <w:ilvl w:val="0"/>
          <w:numId w:val="10"/>
        </w:numPr>
      </w:pPr>
      <w:r>
        <w:t>Mean SLICC score over time.</w:t>
      </w:r>
    </w:p>
    <w:p w:rsidR="002D772C" w:rsidRDefault="002D772C" w:rsidP="00597CF5">
      <w:pPr>
        <w:pStyle w:val="ListParagraph"/>
        <w:numPr>
          <w:ilvl w:val="0"/>
          <w:numId w:val="10"/>
        </w:numPr>
      </w:pPr>
      <w:r>
        <w:t>Organ system involvement.</w:t>
      </w:r>
    </w:p>
    <w:p w:rsidR="002D772C" w:rsidRDefault="002D772C" w:rsidP="00597CF5">
      <w:pPr>
        <w:pStyle w:val="ListParagraph"/>
        <w:numPr>
          <w:ilvl w:val="0"/>
          <w:numId w:val="10"/>
        </w:numPr>
      </w:pPr>
      <w:r>
        <w:t>Event rates at fixed intervals</w:t>
      </w:r>
    </w:p>
    <w:p w:rsidR="002D772C" w:rsidRDefault="002D772C" w:rsidP="00597CF5">
      <w:pPr>
        <w:pStyle w:val="ListParagraph"/>
        <w:numPr>
          <w:ilvl w:val="0"/>
          <w:numId w:val="10"/>
        </w:numPr>
      </w:pPr>
      <w:r>
        <w:t>Predictors of damage (univariate and multivariate analysis).</w:t>
      </w:r>
    </w:p>
    <w:p w:rsidR="002D772C" w:rsidRPr="00CF69BF" w:rsidRDefault="002D772C" w:rsidP="002D772C">
      <w:pPr>
        <w:pStyle w:val="Heading2"/>
        <w:rPr>
          <w:rStyle w:val="SubtleEmphasis"/>
          <w:i w:val="0"/>
          <w:iCs w:val="0"/>
          <w:color w:val="auto"/>
        </w:rPr>
      </w:pPr>
      <w:bookmarkStart w:id="159" w:name="_Toc278533908"/>
      <w:bookmarkStart w:id="160" w:name="_Toc278533968"/>
      <w:bookmarkStart w:id="161" w:name="_Toc279009239"/>
      <w:bookmarkStart w:id="162" w:name="_Toc332010573"/>
      <w:bookmarkStart w:id="163" w:name="_Ref354853685"/>
      <w:bookmarkStart w:id="164" w:name="_Toc379467596"/>
      <w:r>
        <w:rPr>
          <w:rStyle w:val="SubtleEmphasis"/>
          <w:i w:val="0"/>
          <w:iCs w:val="0"/>
          <w:color w:val="auto"/>
        </w:rPr>
        <w:t>Results</w:t>
      </w:r>
      <w:bookmarkEnd w:id="159"/>
      <w:bookmarkEnd w:id="160"/>
      <w:bookmarkEnd w:id="161"/>
      <w:bookmarkEnd w:id="162"/>
      <w:bookmarkEnd w:id="163"/>
      <w:bookmarkEnd w:id="164"/>
    </w:p>
    <w:p w:rsidR="00DD3003" w:rsidRDefault="002D772C" w:rsidP="00246498">
      <w:pPr>
        <w:rPr>
          <w:lang w:eastAsia="zh-CN"/>
        </w:rPr>
      </w:pPr>
      <w:r>
        <w:rPr>
          <w:lang w:eastAsia="zh-CN"/>
        </w:rPr>
        <w:t xml:space="preserve">The search strategy identified 142 articles reporting the results of a prospective observational cohort study. The key details of </w:t>
      </w:r>
      <w:r w:rsidR="00246498">
        <w:rPr>
          <w:lang w:eastAsia="zh-CN"/>
        </w:rPr>
        <w:t>each of these individual</w:t>
      </w:r>
      <w:r>
        <w:rPr>
          <w:lang w:eastAsia="zh-CN"/>
        </w:rPr>
        <w:t xml:space="preserve"> articles are summarised in Appendix </w:t>
      </w:r>
      <w:r w:rsidR="007F49FE">
        <w:rPr>
          <w:lang w:eastAsia="zh-CN"/>
        </w:rPr>
        <w:t>5</w:t>
      </w:r>
      <w:r>
        <w:rPr>
          <w:lang w:eastAsia="zh-CN"/>
        </w:rPr>
        <w:t xml:space="preserve">. </w:t>
      </w:r>
    </w:p>
    <w:p w:rsidR="002D772C" w:rsidRDefault="002D772C" w:rsidP="002D772C">
      <w:pPr>
        <w:pStyle w:val="Heading3"/>
        <w:rPr>
          <w:lang w:eastAsia="zh-CN"/>
        </w:rPr>
      </w:pPr>
      <w:bookmarkStart w:id="165" w:name="_Toc332010574"/>
      <w:bookmarkStart w:id="166" w:name="_Ref332615088"/>
      <w:bookmarkStart w:id="167" w:name="_Ref354830703"/>
      <w:bookmarkStart w:id="168" w:name="_Toc379467597"/>
      <w:r>
        <w:rPr>
          <w:lang w:eastAsia="zh-CN"/>
        </w:rPr>
        <w:t>Conceptual Map</w:t>
      </w:r>
      <w:bookmarkEnd w:id="165"/>
      <w:bookmarkEnd w:id="166"/>
      <w:r w:rsidRPr="00CF3BD5">
        <w:rPr>
          <w:lang w:eastAsia="zh-CN"/>
        </w:rPr>
        <w:t xml:space="preserve"> </w:t>
      </w:r>
      <w:r w:rsidR="00497DAB">
        <w:rPr>
          <w:lang w:eastAsia="zh-CN"/>
        </w:rPr>
        <w:t>and Conceptual Model</w:t>
      </w:r>
      <w:bookmarkEnd w:id="167"/>
      <w:bookmarkEnd w:id="168"/>
    </w:p>
    <w:p w:rsidR="002D772C" w:rsidRDefault="002D772C" w:rsidP="00246498">
      <w:pPr>
        <w:rPr>
          <w:lang w:eastAsia="zh-CN"/>
        </w:rPr>
      </w:pPr>
      <w:r>
        <w:rPr>
          <w:lang w:eastAsia="zh-CN"/>
        </w:rPr>
        <w:t xml:space="preserve">The conceptual map of </w:t>
      </w:r>
      <w:r w:rsidR="00D770DA">
        <w:rPr>
          <w:lang w:eastAsia="zh-CN"/>
        </w:rPr>
        <w:t>SLE</w:t>
      </w:r>
      <w:r>
        <w:rPr>
          <w:lang w:eastAsia="zh-CN"/>
        </w:rPr>
        <w:t xml:space="preserve"> can be found in </w:t>
      </w:r>
      <w:r w:rsidR="00E729BA">
        <w:rPr>
          <w:lang w:eastAsia="zh-CN"/>
        </w:rPr>
        <w:fldChar w:fldCharType="begin"/>
      </w:r>
      <w:r>
        <w:rPr>
          <w:lang w:eastAsia="zh-CN"/>
        </w:rPr>
        <w:instrText xml:space="preserve"> REF _Ref332011693 \h </w:instrText>
      </w:r>
      <w:r w:rsidR="00E729BA">
        <w:rPr>
          <w:lang w:eastAsia="zh-CN"/>
        </w:rPr>
      </w:r>
      <w:r w:rsidR="00E729BA">
        <w:rPr>
          <w:lang w:eastAsia="zh-CN"/>
        </w:rPr>
        <w:fldChar w:fldCharType="separate"/>
      </w:r>
      <w:r w:rsidR="004911B7">
        <w:t xml:space="preserve">Figure </w:t>
      </w:r>
      <w:r w:rsidR="004911B7">
        <w:rPr>
          <w:noProof/>
        </w:rPr>
        <w:t>5</w:t>
      </w:r>
      <w:r w:rsidR="00E729BA">
        <w:rPr>
          <w:lang w:eastAsia="zh-CN"/>
        </w:rPr>
        <w:fldChar w:fldCharType="end"/>
      </w:r>
      <w:r>
        <w:rPr>
          <w:lang w:eastAsia="zh-CN"/>
        </w:rPr>
        <w:t xml:space="preserve">. </w:t>
      </w:r>
      <w:r w:rsidR="00246498">
        <w:rPr>
          <w:lang w:eastAsia="zh-CN"/>
        </w:rPr>
        <w:t>The rounded shapes define important symptoms, outcomes or clinical markers identified in the review. Arrows represent associations that have been identified between clinical factors</w:t>
      </w:r>
      <w:r w:rsidR="00B56487">
        <w:rPr>
          <w:lang w:eastAsia="zh-CN"/>
        </w:rPr>
        <w:t xml:space="preserve"> due to statistically significant test results</w:t>
      </w:r>
      <w:r w:rsidR="00246498">
        <w:rPr>
          <w:lang w:eastAsia="zh-CN"/>
        </w:rPr>
        <w:t xml:space="preserve">. The boxes list the articles discussing the causal links between two clinical factors. </w:t>
      </w:r>
      <w:r w:rsidR="00D770DA">
        <w:rPr>
          <w:lang w:eastAsia="zh-CN"/>
        </w:rPr>
        <w:t xml:space="preserve">The conceptual disease map illustrates the breadth of research that has been identified on all aspects of the disease. </w:t>
      </w:r>
      <w:r>
        <w:rPr>
          <w:lang w:eastAsia="zh-CN"/>
        </w:rPr>
        <w:t>The map illustrates that there is a strong evidence base</w:t>
      </w:r>
      <w:r w:rsidR="00D770DA">
        <w:rPr>
          <w:lang w:eastAsia="zh-CN"/>
        </w:rPr>
        <w:t xml:space="preserve"> for a causal relationship between disease activity,</w:t>
      </w:r>
      <w:r>
        <w:rPr>
          <w:lang w:eastAsia="zh-CN"/>
        </w:rPr>
        <w:t xml:space="preserve"> organ damage and mortality. </w:t>
      </w:r>
    </w:p>
    <w:p w:rsidR="002D772C" w:rsidRDefault="002D772C" w:rsidP="00EE2E22">
      <w:pPr>
        <w:rPr>
          <w:lang w:eastAsia="zh-CN"/>
        </w:rPr>
      </w:pPr>
      <w:r>
        <w:rPr>
          <w:lang w:eastAsia="zh-CN"/>
        </w:rPr>
        <w:t xml:space="preserve">Prof. Isenberg did not think that any major events were missing; however he did suggest that </w:t>
      </w:r>
      <w:r w:rsidR="00D770DA">
        <w:rPr>
          <w:lang w:eastAsia="zh-CN"/>
        </w:rPr>
        <w:t xml:space="preserve">the </w:t>
      </w:r>
      <w:r>
        <w:rPr>
          <w:lang w:eastAsia="zh-CN"/>
        </w:rPr>
        <w:t xml:space="preserve">disease could be broken down into organ systems. He identified some well known relationships between the disease characteristics that had not been identified in the literature. These have been added to the map, indicated by a white box. </w:t>
      </w:r>
      <w:r w:rsidR="00D770DA">
        <w:rPr>
          <w:lang w:eastAsia="zh-CN"/>
        </w:rPr>
        <w:t>The</w:t>
      </w:r>
      <w:r>
        <w:rPr>
          <w:lang w:eastAsia="zh-CN"/>
        </w:rPr>
        <w:t xml:space="preserve"> relationship between the incidence of diabetes, cardiovascular damage and renal damage</w:t>
      </w:r>
      <w:r w:rsidR="00D770DA">
        <w:rPr>
          <w:lang w:eastAsia="zh-CN"/>
        </w:rPr>
        <w:t xml:space="preserve"> were absent</w:t>
      </w:r>
      <w:r>
        <w:rPr>
          <w:lang w:eastAsia="zh-CN"/>
        </w:rPr>
        <w:t>. He discussed the need to control for well-known risk factors for cardiovascular damage such as obesity, die</w:t>
      </w:r>
      <w:r w:rsidR="00D770DA">
        <w:rPr>
          <w:lang w:eastAsia="zh-CN"/>
        </w:rPr>
        <w:t xml:space="preserve">t and physical activity. </w:t>
      </w:r>
      <w:r w:rsidR="00B56487">
        <w:rPr>
          <w:lang w:eastAsia="zh-CN"/>
        </w:rPr>
        <w:t xml:space="preserve">These were unlikely to be identified in the review because they are common risk factors in non-SLE patients </w:t>
      </w:r>
      <w:r w:rsidR="00EE2E22">
        <w:rPr>
          <w:lang w:eastAsia="zh-CN"/>
        </w:rPr>
        <w:t>rather than being</w:t>
      </w:r>
      <w:r w:rsidR="00B56487">
        <w:rPr>
          <w:lang w:eastAsia="zh-CN"/>
        </w:rPr>
        <w:t xml:space="preserve"> particular risk factors to SLE. </w:t>
      </w:r>
      <w:r w:rsidR="00D770DA">
        <w:rPr>
          <w:lang w:eastAsia="zh-CN"/>
        </w:rPr>
        <w:t>He</w:t>
      </w:r>
      <w:r>
        <w:rPr>
          <w:lang w:eastAsia="zh-CN"/>
        </w:rPr>
        <w:t xml:space="preserve"> expected inflammation in skin activity to lead to permanent skin damage.</w:t>
      </w:r>
      <w:r w:rsidR="00B56487">
        <w:rPr>
          <w:lang w:eastAsia="zh-CN"/>
        </w:rPr>
        <w:t xml:space="preserve"> It is possible that this association is less likely to be studies because it has a clear causal pathway. </w:t>
      </w:r>
      <w:r>
        <w:rPr>
          <w:lang w:eastAsia="zh-CN"/>
        </w:rPr>
        <w:t xml:space="preserve"> He noted that anti-malarials were not sufficiently represented in the map as these should have a protective effect on more outcomes. </w:t>
      </w:r>
      <w:r w:rsidR="00D770DA">
        <w:rPr>
          <w:lang w:eastAsia="zh-CN"/>
        </w:rPr>
        <w:t>H</w:t>
      </w:r>
      <w:r>
        <w:rPr>
          <w:lang w:eastAsia="zh-CN"/>
        </w:rPr>
        <w:t xml:space="preserve">e referred to a recent systematic review of anti-malarials in SLE </w:t>
      </w:r>
      <w:r w:rsidR="00E729BA">
        <w:rPr>
          <w:lang w:eastAsia="zh-CN"/>
        </w:rPr>
        <w:fldChar w:fldCharType="begin"/>
      </w:r>
      <w:r w:rsidR="00FC61FD">
        <w:rPr>
          <w:lang w:eastAsia="zh-CN"/>
        </w:rPr>
        <w:instrText xml:space="preserve"> ADDIN REFMGR.CITE &lt;Refman&gt;&lt;Cite&gt;&lt;Author&gt;Ruiz-Irastorza&lt;/Author&gt;&lt;Year&gt;2010&lt;/Year&gt;&lt;RecNum&gt;1541&lt;/RecNum&gt;&lt;IDText&gt;Clinical efficacy and side effects of antimalarials in systemic lupus erythematosus: a systematic review&lt;/IDText&gt;&lt;MDL Ref_Type="Journal"&gt;&lt;Ref_Type&gt;Journal&lt;/Ref_Type&gt;&lt;Ref_ID&gt;1541&lt;/Ref_ID&gt;&lt;Title_Primary&gt;Clinical efficacy and side effects of antimalarials in systemic lupus erythematosus: a systematic review&lt;/Title_Primary&gt;&lt;Authors_Primary&gt;Ruiz-Irastorza,G.&lt;/Authors_Primary&gt;&lt;Authors_Primary&gt;Ramos-Casals,M.&lt;/Authors_Primary&gt;&lt;Authors_Primary&gt;Brito-Zeron,P.&lt;/Authors_Primary&gt;&lt;Authors_Primary&gt;Khamashta,M.A.&lt;/Authors_Primary&gt;&lt;Date_Primary&gt;2010/1&lt;/Date_Primary&gt;&lt;Keywords&gt;adverse effects&lt;/Keywords&gt;&lt;Keywords&gt;Antimalarials&lt;/Keywords&gt;&lt;Keywords&gt;article&lt;/Keywords&gt;&lt;Keywords&gt;Atherosclerosis&lt;/Keywords&gt;&lt;Keywords&gt;blood&lt;/Keywords&gt;&lt;Keywords&gt;bone density&lt;/Keywords&gt;&lt;Keywords&gt;cancer&lt;/Keywords&gt;&lt;Keywords&gt;Chloroquine&lt;/Keywords&gt;&lt;Keywords&gt;Disease&lt;/Keywords&gt;&lt;Keywords&gt;drug effects&lt;/Keywords&gt;&lt;Keywords&gt;drug therapy&lt;/Keywords&gt;&lt;Keywords&gt;erythematosus&lt;/Keywords&gt;&lt;Keywords&gt;Evidence-Based Medicine&lt;/Keywords&gt;&lt;Keywords&gt;hospital&lt;/Keywords&gt;&lt;Keywords&gt;Humans&lt;/Keywords&gt;&lt;Keywords&gt;Hydroxychloroquine&lt;/Keywords&gt;&lt;Keywords&gt;Lipids&lt;/Keywords&gt;&lt;Keywords&gt;lupus erythematosus&lt;/Keywords&gt;&lt;Keywords&gt;Lupus Erythematosus,Systemic&lt;/Keywords&gt;&lt;Keywords&gt;Medline&lt;/Keywords&gt;&lt;Keywords&gt;methods&lt;/Keywords&gt;&lt;Keywords&gt;Osteoporosis&lt;/Keywords&gt;&lt;Keywords&gt;patient&lt;/Keywords&gt;&lt;Keywords&gt;Patients&lt;/Keywords&gt;&lt;Keywords&gt;Pregnancy&lt;/Keywords&gt;&lt;Keywords&gt;prevention &amp;amp; control&lt;/Keywords&gt;&lt;Keywords&gt;Research Design&lt;/Keywords&gt;&lt;Keywords&gt;safety&lt;/Keywords&gt;&lt;Keywords&gt;Spain&lt;/Keywords&gt;&lt;Keywords&gt;Survival Analysis&lt;/Keywords&gt;&lt;Keywords&gt;systemic lupus erythematosus&lt;/Keywords&gt;&lt;Keywords&gt;therapeutic use&lt;/Keywords&gt;&lt;Keywords&gt;therapy&lt;/Keywords&gt;&lt;Keywords&gt;Thrombosis&lt;/Keywords&gt;&lt;Keywords&gt;Women&lt;/Keywords&gt;&lt;Reprint&gt;Not in File&lt;/Reprint&gt;&lt;Start_Page&gt;20&lt;/Start_Page&gt;&lt;End_Page&gt;28&lt;/End_Page&gt;&lt;Periodical&gt;Ann.Rheum.Dis.&lt;/Periodical&gt;&lt;Volume&gt;69&lt;/Volume&gt;&lt;Issue&gt;1&lt;/Issue&gt;&lt;ZZ_JournalStdAbbrev&gt;&lt;f name="System"&gt;Ann.Rheum.Dis.&lt;/f&gt;&lt;/ZZ_JournalStdAbbrev&gt;&lt;ZZ_WorkformID&gt;1&lt;/ZZ_WorkformID&gt;&lt;/MDL&gt;&lt;/Cite&gt;&lt;/Refman&gt;</w:instrText>
      </w:r>
      <w:r w:rsidR="00E729BA">
        <w:rPr>
          <w:lang w:eastAsia="zh-CN"/>
        </w:rPr>
        <w:fldChar w:fldCharType="separate"/>
      </w:r>
      <w:r w:rsidR="004D7951">
        <w:rPr>
          <w:lang w:eastAsia="zh-CN"/>
        </w:rPr>
        <w:t>(134)</w:t>
      </w:r>
      <w:r w:rsidR="00E729BA">
        <w:rPr>
          <w:lang w:eastAsia="zh-CN"/>
        </w:rPr>
        <w:fldChar w:fldCharType="end"/>
      </w:r>
      <w:r>
        <w:rPr>
          <w:lang w:eastAsia="zh-CN"/>
        </w:rPr>
        <w:t xml:space="preserve">. </w:t>
      </w:r>
    </w:p>
    <w:p w:rsidR="002D772C" w:rsidRDefault="002D772C" w:rsidP="00D770DA">
      <w:pPr>
        <w:rPr>
          <w:lang w:eastAsia="zh-CN"/>
        </w:rPr>
        <w:sectPr w:rsidR="002D772C" w:rsidSect="006A3B1E">
          <w:footerReference w:type="default" r:id="rId15"/>
          <w:pgSz w:w="11906" w:h="16838"/>
          <w:pgMar w:top="1440" w:right="1440" w:bottom="1440" w:left="2268" w:header="708" w:footer="708" w:gutter="0"/>
          <w:cols w:space="708"/>
          <w:docGrid w:linePitch="360"/>
        </w:sectPr>
      </w:pPr>
    </w:p>
    <w:p w:rsidR="002D772C" w:rsidRDefault="002D772C" w:rsidP="00234693">
      <w:pPr>
        <w:pStyle w:val="Caption"/>
        <w:rPr>
          <w:lang w:eastAsia="zh-CN"/>
        </w:rPr>
      </w:pPr>
      <w:bookmarkStart w:id="169" w:name="_Ref332011693"/>
      <w:r>
        <w:t xml:space="preserve">Figure </w:t>
      </w:r>
      <w:r w:rsidR="00E729BA">
        <w:fldChar w:fldCharType="begin"/>
      </w:r>
      <w:r w:rsidR="000B0EDB">
        <w:instrText xml:space="preserve"> SEQ Figure \* ARABIC </w:instrText>
      </w:r>
      <w:r w:rsidR="00E729BA">
        <w:fldChar w:fldCharType="separate"/>
      </w:r>
      <w:r w:rsidR="004911B7">
        <w:rPr>
          <w:noProof/>
        </w:rPr>
        <w:t>5</w:t>
      </w:r>
      <w:r w:rsidR="00E729BA">
        <w:fldChar w:fldCharType="end"/>
      </w:r>
      <w:bookmarkEnd w:id="169"/>
      <w:r>
        <w:t>: Conceptual map of SLE from the published literature</w:t>
      </w:r>
      <w:r w:rsidRPr="004D2557">
        <w:t xml:space="preserve"> </w:t>
      </w:r>
      <w:r w:rsidRPr="005A1F4F">
        <w:rPr>
          <w:noProof/>
          <w:lang w:eastAsia="zh-CN" w:bidi="ar-SA"/>
        </w:rPr>
        <w:drawing>
          <wp:inline distT="0" distB="0" distL="0" distR="0">
            <wp:extent cx="7126389" cy="5295900"/>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srcRect/>
                    <a:stretch>
                      <a:fillRect/>
                    </a:stretch>
                  </pic:blipFill>
                  <pic:spPr bwMode="auto">
                    <a:xfrm>
                      <a:off x="0" y="0"/>
                      <a:ext cx="7126389" cy="5295900"/>
                    </a:xfrm>
                    <a:prstGeom prst="rect">
                      <a:avLst/>
                    </a:prstGeom>
                    <a:noFill/>
                    <a:ln w="9525">
                      <a:noFill/>
                      <a:miter lim="800000"/>
                      <a:headEnd/>
                      <a:tailEnd/>
                    </a:ln>
                  </pic:spPr>
                </pic:pic>
              </a:graphicData>
            </a:graphic>
          </wp:inline>
        </w:drawing>
      </w:r>
    </w:p>
    <w:p w:rsidR="002D772C" w:rsidRDefault="002D772C" w:rsidP="002D772C">
      <w:pPr>
        <w:rPr>
          <w:lang w:eastAsia="zh-CN"/>
        </w:rPr>
        <w:sectPr w:rsidR="002D772C" w:rsidSect="006A3B1E">
          <w:pgSz w:w="16838" w:h="11906" w:orient="landscape"/>
          <w:pgMar w:top="1440" w:right="1440" w:bottom="1440" w:left="2268" w:header="708" w:footer="708" w:gutter="0"/>
          <w:cols w:space="708"/>
          <w:docGrid w:linePitch="360"/>
        </w:sectPr>
      </w:pPr>
    </w:p>
    <w:p w:rsidR="002D772C" w:rsidRDefault="002D772C" w:rsidP="009602B1">
      <w:pPr>
        <w:rPr>
          <w:lang w:eastAsia="zh-CN"/>
        </w:rPr>
      </w:pPr>
      <w:r>
        <w:rPr>
          <w:lang w:eastAsia="zh-CN"/>
        </w:rPr>
        <w:t>Having reviewed the conceptual map</w:t>
      </w:r>
      <w:r w:rsidR="004B20F9">
        <w:rPr>
          <w:lang w:eastAsia="zh-CN"/>
        </w:rPr>
        <w:t>,</w:t>
      </w:r>
      <w:r>
        <w:rPr>
          <w:lang w:eastAsia="zh-CN"/>
        </w:rPr>
        <w:t xml:space="preserve"> and supplemented it with clinical opinion</w:t>
      </w:r>
      <w:r w:rsidR="004B20F9">
        <w:rPr>
          <w:lang w:eastAsia="zh-CN"/>
        </w:rPr>
        <w:t>, I</w:t>
      </w:r>
      <w:r>
        <w:rPr>
          <w:lang w:eastAsia="zh-CN"/>
        </w:rPr>
        <w:t xml:space="preserve"> </w:t>
      </w:r>
      <w:r w:rsidR="009602B1">
        <w:rPr>
          <w:lang w:eastAsia="zh-CN"/>
        </w:rPr>
        <w:t xml:space="preserve">reduced </w:t>
      </w:r>
      <w:r>
        <w:rPr>
          <w:lang w:eastAsia="zh-CN"/>
        </w:rPr>
        <w:t>the conceptual map into</w:t>
      </w:r>
      <w:r w:rsidR="009602B1">
        <w:rPr>
          <w:lang w:eastAsia="zh-CN"/>
        </w:rPr>
        <w:t xml:space="preserve"> higher level groups and defined</w:t>
      </w:r>
      <w:r>
        <w:rPr>
          <w:lang w:eastAsia="zh-CN"/>
        </w:rPr>
        <w:t xml:space="preserve"> a conceptual model</w:t>
      </w:r>
      <w:r w:rsidR="004B20F9">
        <w:rPr>
          <w:lang w:eastAsia="zh-CN"/>
        </w:rPr>
        <w:t xml:space="preserve"> of SLE</w:t>
      </w:r>
      <w:r>
        <w:rPr>
          <w:lang w:eastAsia="zh-CN"/>
        </w:rPr>
        <w:t xml:space="preserve"> </w:t>
      </w:r>
      <w:r w:rsidR="004B20F9">
        <w:rPr>
          <w:lang w:eastAsia="zh-CN"/>
        </w:rPr>
        <w:t>(</w:t>
      </w:r>
      <w:r w:rsidR="00E729BA">
        <w:rPr>
          <w:lang w:eastAsia="zh-CN"/>
        </w:rPr>
        <w:fldChar w:fldCharType="begin"/>
      </w:r>
      <w:r w:rsidR="00D770DA">
        <w:rPr>
          <w:lang w:eastAsia="zh-CN"/>
        </w:rPr>
        <w:instrText xml:space="preserve"> REF _Ref345769925 \h </w:instrText>
      </w:r>
      <w:r w:rsidR="00E729BA">
        <w:rPr>
          <w:lang w:eastAsia="zh-CN"/>
        </w:rPr>
      </w:r>
      <w:r w:rsidR="00E729BA">
        <w:rPr>
          <w:lang w:eastAsia="zh-CN"/>
        </w:rPr>
        <w:fldChar w:fldCharType="separate"/>
      </w:r>
      <w:r w:rsidR="004911B7">
        <w:t xml:space="preserve">Figure </w:t>
      </w:r>
      <w:r w:rsidR="004911B7">
        <w:rPr>
          <w:noProof/>
        </w:rPr>
        <w:t>6</w:t>
      </w:r>
      <w:r w:rsidR="00E729BA">
        <w:rPr>
          <w:lang w:eastAsia="zh-CN"/>
        </w:rPr>
        <w:fldChar w:fldCharType="end"/>
      </w:r>
      <w:r w:rsidR="004B20F9">
        <w:rPr>
          <w:lang w:eastAsia="zh-CN"/>
        </w:rPr>
        <w:t xml:space="preserve">). </w:t>
      </w:r>
      <w:r w:rsidR="007C4559">
        <w:rPr>
          <w:lang w:eastAsia="zh-CN"/>
        </w:rPr>
        <w:t xml:space="preserve">The boxes within the diagram refer to characteristics and outcomes to be included in the conceptual model and the arrows describe causal relationships between them. </w:t>
      </w:r>
      <w:r w:rsidR="004B20F9">
        <w:rPr>
          <w:lang w:eastAsia="zh-CN"/>
        </w:rPr>
        <w:t>T</w:t>
      </w:r>
      <w:r>
        <w:rPr>
          <w:lang w:eastAsia="zh-CN"/>
        </w:rPr>
        <w:t xml:space="preserve">he </w:t>
      </w:r>
      <w:r w:rsidR="00462E08">
        <w:rPr>
          <w:lang w:eastAsia="zh-CN"/>
        </w:rPr>
        <w:t xml:space="preserve">conceptual </w:t>
      </w:r>
      <w:r>
        <w:rPr>
          <w:lang w:eastAsia="zh-CN"/>
        </w:rPr>
        <w:t xml:space="preserve">model </w:t>
      </w:r>
      <w:r w:rsidR="004B20F9">
        <w:rPr>
          <w:lang w:eastAsia="zh-CN"/>
        </w:rPr>
        <w:t>accounted</w:t>
      </w:r>
      <w:r>
        <w:rPr>
          <w:lang w:eastAsia="zh-CN"/>
        </w:rPr>
        <w:t xml:space="preserve"> for patient characteristics that impact on the risk and incidence of disease outcomes. These </w:t>
      </w:r>
      <w:r w:rsidR="004B20F9">
        <w:rPr>
          <w:lang w:eastAsia="zh-CN"/>
        </w:rPr>
        <w:t>included</w:t>
      </w:r>
      <w:r>
        <w:rPr>
          <w:lang w:eastAsia="zh-CN"/>
        </w:rPr>
        <w:t xml:space="preserve"> demographic characteristics of gender, ethnicity and age. It </w:t>
      </w:r>
      <w:r w:rsidR="004B20F9">
        <w:rPr>
          <w:lang w:eastAsia="zh-CN"/>
        </w:rPr>
        <w:t>also included</w:t>
      </w:r>
      <w:r>
        <w:rPr>
          <w:lang w:eastAsia="zh-CN"/>
        </w:rPr>
        <w:t xml:space="preserve"> medical characteristics such as cholesterol, hypertension, anticardiolipin syndrome, obesity, and lupus anticoagulant.</w:t>
      </w:r>
      <w:r w:rsidR="00246498">
        <w:rPr>
          <w:lang w:eastAsia="zh-CN"/>
        </w:rPr>
        <w:t xml:space="preserve"> The conceptual model describes the associations between disease activity, steroid dose, organ damage and mortality. Within the conceptual model </w:t>
      </w:r>
      <w:r w:rsidR="007C4559">
        <w:rPr>
          <w:lang w:eastAsia="zh-CN"/>
        </w:rPr>
        <w:t xml:space="preserve">higher </w:t>
      </w:r>
      <w:r w:rsidR="00246498">
        <w:rPr>
          <w:lang w:eastAsia="zh-CN"/>
        </w:rPr>
        <w:t>d</w:t>
      </w:r>
      <w:r>
        <w:rPr>
          <w:lang w:eastAsia="zh-CN"/>
        </w:rPr>
        <w:t xml:space="preserve">isease activity and </w:t>
      </w:r>
      <w:r w:rsidR="00433502">
        <w:rPr>
          <w:lang w:eastAsia="zh-CN"/>
        </w:rPr>
        <w:t>steroid</w:t>
      </w:r>
      <w:r>
        <w:rPr>
          <w:lang w:eastAsia="zh-CN"/>
        </w:rPr>
        <w:t xml:space="preserve"> dose </w:t>
      </w:r>
      <w:r w:rsidR="007C4559">
        <w:rPr>
          <w:lang w:eastAsia="zh-CN"/>
        </w:rPr>
        <w:t>increase</w:t>
      </w:r>
      <w:r>
        <w:rPr>
          <w:lang w:eastAsia="zh-CN"/>
        </w:rPr>
        <w:t xml:space="preserve"> the risk of </w:t>
      </w:r>
      <w:r w:rsidR="007C4559">
        <w:rPr>
          <w:lang w:eastAsia="zh-CN"/>
        </w:rPr>
        <w:t>organ</w:t>
      </w:r>
      <w:r>
        <w:rPr>
          <w:lang w:eastAsia="zh-CN"/>
        </w:rPr>
        <w:t xml:space="preserve"> damage outcomes and mortality. </w:t>
      </w:r>
      <w:r w:rsidR="007C4559">
        <w:rPr>
          <w:lang w:eastAsia="zh-CN"/>
        </w:rPr>
        <w:t xml:space="preserve">I decided to separate organ damage by organ system </w:t>
      </w:r>
      <w:r w:rsidR="00B56487">
        <w:rPr>
          <w:lang w:eastAsia="zh-CN"/>
        </w:rPr>
        <w:t>because</w:t>
      </w:r>
      <w:r>
        <w:rPr>
          <w:lang w:eastAsia="zh-CN"/>
        </w:rPr>
        <w:t xml:space="preserve"> some organ damage is caused by disease activity, steroids, or a combination of both. Furthermore, the costs and health implications of damage in different organ systems </w:t>
      </w:r>
      <w:r w:rsidR="00D770DA">
        <w:rPr>
          <w:lang w:eastAsia="zh-CN"/>
        </w:rPr>
        <w:t>are</w:t>
      </w:r>
      <w:r>
        <w:rPr>
          <w:lang w:eastAsia="zh-CN"/>
        </w:rPr>
        <w:t xml:space="preserve"> variable. Renal damage is likely to be more costly than skin damage, and musculoskeletal damage is likely to impact more on quality of life than ocular damage, which can be reversible.  The organ systems will also have differential risk factors for mortality.</w:t>
      </w:r>
    </w:p>
    <w:p w:rsidR="002D772C" w:rsidRDefault="002D772C" w:rsidP="00234693">
      <w:pPr>
        <w:pStyle w:val="Caption"/>
      </w:pPr>
      <w:bookmarkStart w:id="170" w:name="_Ref345769925"/>
      <w:r>
        <w:t xml:space="preserve">Figure </w:t>
      </w:r>
      <w:r w:rsidR="00E729BA">
        <w:fldChar w:fldCharType="begin"/>
      </w:r>
      <w:r w:rsidR="000B0EDB">
        <w:instrText xml:space="preserve"> SEQ Figure \* ARABIC </w:instrText>
      </w:r>
      <w:r w:rsidR="00E729BA">
        <w:fldChar w:fldCharType="separate"/>
      </w:r>
      <w:r w:rsidR="004911B7">
        <w:rPr>
          <w:noProof/>
        </w:rPr>
        <w:t>6</w:t>
      </w:r>
      <w:r w:rsidR="00E729BA">
        <w:fldChar w:fldCharType="end"/>
      </w:r>
      <w:bookmarkEnd w:id="170"/>
      <w:r>
        <w:t>: Conceptual model of SLE</w:t>
      </w:r>
    </w:p>
    <w:p w:rsidR="002D772C" w:rsidRDefault="002D772C" w:rsidP="00433502">
      <w:pPr>
        <w:rPr>
          <w:lang w:eastAsia="zh-CN"/>
        </w:rPr>
      </w:pPr>
      <w:r w:rsidRPr="00767F9D">
        <w:rPr>
          <w:noProof/>
          <w:lang w:eastAsia="zh-CN" w:bidi="ar-SA"/>
        </w:rPr>
        <w:drawing>
          <wp:inline distT="0" distB="0" distL="0" distR="0">
            <wp:extent cx="5506524" cy="36000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srcRect/>
                    <a:stretch>
                      <a:fillRect/>
                    </a:stretch>
                  </pic:blipFill>
                  <pic:spPr bwMode="auto">
                    <a:xfrm>
                      <a:off x="0" y="0"/>
                      <a:ext cx="5506524" cy="3600000"/>
                    </a:xfrm>
                    <a:prstGeom prst="rect">
                      <a:avLst/>
                    </a:prstGeom>
                    <a:noFill/>
                    <a:ln w="9525">
                      <a:noFill/>
                      <a:miter lim="800000"/>
                      <a:headEnd/>
                      <a:tailEnd/>
                    </a:ln>
                  </pic:spPr>
                </pic:pic>
              </a:graphicData>
            </a:graphic>
          </wp:inline>
        </w:drawing>
      </w:r>
    </w:p>
    <w:p w:rsidR="00DD3003" w:rsidRDefault="00DD3003" w:rsidP="00433502">
      <w:pPr>
        <w:rPr>
          <w:lang w:eastAsia="zh-CN"/>
        </w:rPr>
      </w:pPr>
    </w:p>
    <w:p w:rsidR="002D772C" w:rsidRPr="004E70E9" w:rsidRDefault="002D772C" w:rsidP="004E70E9">
      <w:pPr>
        <w:pStyle w:val="Heading3"/>
        <w:rPr>
          <w:rStyle w:val="Emphasis"/>
          <w:spacing w:val="15"/>
          <w:sz w:val="22"/>
        </w:rPr>
      </w:pPr>
      <w:bookmarkStart w:id="171" w:name="_Toc278533909"/>
      <w:bookmarkStart w:id="172" w:name="_Toc278533969"/>
      <w:bookmarkStart w:id="173" w:name="_Toc279009240"/>
      <w:bookmarkStart w:id="174" w:name="_Toc332010575"/>
      <w:bookmarkStart w:id="175" w:name="_Ref332615470"/>
      <w:bookmarkStart w:id="176" w:name="_Toc379467598"/>
      <w:r w:rsidRPr="004E70E9">
        <w:rPr>
          <w:rStyle w:val="Emphasis"/>
          <w:spacing w:val="15"/>
          <w:sz w:val="22"/>
        </w:rPr>
        <w:t xml:space="preserve">Disease </w:t>
      </w:r>
      <w:r w:rsidR="00236C8F" w:rsidRPr="004E70E9">
        <w:rPr>
          <w:rStyle w:val="Emphasis"/>
          <w:spacing w:val="15"/>
          <w:sz w:val="22"/>
        </w:rPr>
        <w:t>A</w:t>
      </w:r>
      <w:r w:rsidRPr="004E70E9">
        <w:rPr>
          <w:rStyle w:val="Emphasis"/>
          <w:spacing w:val="15"/>
          <w:sz w:val="22"/>
        </w:rPr>
        <w:t>ctivity</w:t>
      </w:r>
      <w:bookmarkEnd w:id="171"/>
      <w:bookmarkEnd w:id="172"/>
      <w:bookmarkEnd w:id="173"/>
      <w:bookmarkEnd w:id="174"/>
      <w:bookmarkEnd w:id="175"/>
      <w:bookmarkEnd w:id="176"/>
    </w:p>
    <w:p w:rsidR="002D772C" w:rsidRDefault="002D772C" w:rsidP="002D772C">
      <w:pPr>
        <w:rPr>
          <w:lang w:eastAsia="zh-CN"/>
        </w:rPr>
      </w:pPr>
      <w:r>
        <w:rPr>
          <w:lang w:eastAsia="zh-CN"/>
        </w:rPr>
        <w:t xml:space="preserve">The search identified ten articles that study disease activity in SLE. Some interesting observations about the patterns of disease activity have been made. </w:t>
      </w:r>
    </w:p>
    <w:p w:rsidR="002D772C" w:rsidRDefault="002D772C" w:rsidP="00597CF5">
      <w:pPr>
        <w:pStyle w:val="ListParagraph"/>
        <w:numPr>
          <w:ilvl w:val="0"/>
          <w:numId w:val="12"/>
        </w:numPr>
        <w:rPr>
          <w:lang w:eastAsia="zh-CN"/>
        </w:rPr>
      </w:pPr>
      <w:r>
        <w:rPr>
          <w:lang w:eastAsia="zh-CN"/>
        </w:rPr>
        <w:t xml:space="preserve">One study  estimated an annual flare incidence to be 3 per patient year using the BILAG index </w:t>
      </w:r>
      <w:r w:rsidR="00E729BA">
        <w:rPr>
          <w:lang w:eastAsia="zh-CN"/>
        </w:rPr>
        <w:fldChar w:fldCharType="begin"/>
      </w:r>
      <w:r w:rsidR="00FC61FD">
        <w:rPr>
          <w:lang w:eastAsia="zh-CN"/>
        </w:rPr>
        <w:instrText xml:space="preserve"> ADDIN REFMGR.CITE &lt;Refman&gt;&lt;Cite&gt;&lt;Author&gt;Ehrenstein&lt;/Author&gt;&lt;Year&gt;1995&lt;/Year&gt;&lt;RecNum&gt;1416&lt;/RecNum&gt;&lt;IDText&gt;The occurrence, nature and distribution of flares in a cohort of patients with systemic lupus erythematosus: a rheumatological view&lt;/IDText&gt;&lt;MDL Ref_Type="Journal"&gt;&lt;Ref_Type&gt;Journal&lt;/Ref_Type&gt;&lt;Ref_ID&gt;1416&lt;/Ref_ID&gt;&lt;Title_Primary&gt;The occurrence, nature and distribution of flares in a cohort of patients with systemic lupus erythematosus: a rheumatological view&lt;/Title_Primary&gt;&lt;Authors_Primary&gt;Ehrenstein,M.R.&lt;/Authors_Primary&gt;&lt;Authors_Primary&gt;Conroy,S.E.&lt;/Authors_Primary&gt;&lt;Authors_Primary&gt;Heath,J.&lt;/Authors_Primary&gt;&lt;Authors_Primary&gt;Latchman,D.S.&lt;/Authors_Primary&gt;&lt;Authors_Primary&gt;Isenberg,D.A.&lt;/Authors_Primary&gt;&lt;Date_Primary&gt;1995/3&lt;/Date_Primary&gt;&lt;Keywords&gt;Adult&lt;/Keywords&gt;&lt;Keywords&gt;Cohort Studies&lt;/Keywords&gt;&lt;Keywords&gt;complications&lt;/Keywords&gt;&lt;Keywords&gt;Disease&lt;/Keywords&gt;&lt;Keywords&gt;epidemiology&lt;/Keywords&gt;&lt;Keywords&gt;erythematosus&lt;/Keywords&gt;&lt;Keywords&gt;Female&lt;/Keywords&gt;&lt;Keywords&gt;Follow-Up Studies&lt;/Keywords&gt;&lt;Keywords&gt;Humans&lt;/Keywords&gt;&lt;Keywords&gt;Incidence&lt;/Keywords&gt;&lt;Keywords&gt;lupus erythematosus&lt;/Keywords&gt;&lt;Keywords&gt;Lupus Erythematosus,Systemic&lt;/Keywords&gt;&lt;Keywords&gt;Male&lt;/Keywords&gt;&lt;Keywords&gt;Middle Aged&lt;/Keywords&gt;&lt;Keywords&gt;Musculoskeletal Diseases&lt;/Keywords&gt;&lt;Keywords&gt;Musculoskeletal System&lt;/Keywords&gt;&lt;Keywords&gt;patient&lt;/Keywords&gt;&lt;Keywords&gt;Patients&lt;/Keywords&gt;&lt;Keywords&gt;Recurrence&lt;/Keywords&gt;&lt;Keywords&gt;Rheumatology&lt;/Keywords&gt;&lt;Keywords&gt;Severity of Illness Index&lt;/Keywords&gt;&lt;Keywords&gt;systemic lupus erythematosus&lt;/Keywords&gt;&lt;Keywords&gt;Time&lt;/Keywords&gt;&lt;Reprint&gt;Not in File&lt;/Reprint&gt;&lt;Start_Page&gt;257&lt;/Start_Page&gt;&lt;End_Page&gt;260&lt;/End_Page&gt;&lt;Periodical&gt;Br.J.Rheumatol.&lt;/Periodical&gt;&lt;Volume&gt;34&lt;/Volume&gt;&lt;Issue&gt;3&lt;/Issue&gt;&lt;User_Def_1&gt;y&lt;/User_Def_1&gt;&lt;ZZ_JournalStdAbbrev&gt;&lt;f name="System"&gt;Br.J.Rheumatol.&lt;/f&gt;&lt;/ZZ_JournalStdAbbrev&gt;&lt;ZZ_WorkformID&gt;1&lt;/ZZ_WorkformID&gt;&lt;/MDL&gt;&lt;/Cite&gt;&lt;/Refman&gt;</w:instrText>
      </w:r>
      <w:r w:rsidR="00E729BA">
        <w:rPr>
          <w:lang w:eastAsia="zh-CN"/>
        </w:rPr>
        <w:fldChar w:fldCharType="separate"/>
      </w:r>
      <w:r w:rsidR="004D7951">
        <w:rPr>
          <w:lang w:eastAsia="zh-CN"/>
        </w:rPr>
        <w:t>(135)</w:t>
      </w:r>
      <w:r w:rsidR="00E729BA">
        <w:rPr>
          <w:lang w:eastAsia="zh-CN"/>
        </w:rPr>
        <w:fldChar w:fldCharType="end"/>
      </w:r>
      <w:r>
        <w:rPr>
          <w:lang w:eastAsia="zh-CN"/>
        </w:rPr>
        <w:t xml:space="preserve">. </w:t>
      </w:r>
    </w:p>
    <w:p w:rsidR="002D772C" w:rsidRDefault="002D772C" w:rsidP="00597CF5">
      <w:pPr>
        <w:pStyle w:val="ListParagraph"/>
        <w:numPr>
          <w:ilvl w:val="0"/>
          <w:numId w:val="12"/>
        </w:numPr>
        <w:rPr>
          <w:lang w:eastAsia="zh-CN"/>
        </w:rPr>
      </w:pPr>
      <w:r>
        <w:rPr>
          <w:lang w:eastAsia="zh-CN"/>
        </w:rPr>
        <w:t>Flares are more commonly observed in the musculoskeletal, skin, and haematological systems.</w:t>
      </w:r>
      <w:r w:rsidRPr="004F6E46">
        <w:rPr>
          <w:lang w:eastAsia="zh-CN"/>
        </w:rPr>
        <w:t xml:space="preserve"> </w:t>
      </w:r>
      <w:r w:rsidR="00E729BA">
        <w:rPr>
          <w:lang w:eastAsia="zh-CN"/>
        </w:rPr>
        <w:fldChar w:fldCharType="begin"/>
      </w:r>
      <w:r w:rsidR="00FC61FD">
        <w:rPr>
          <w:lang w:eastAsia="zh-CN"/>
        </w:rPr>
        <w:instrText xml:space="preserve"> ADDIN REFMGR.CITE &lt;Refman&gt;&lt;Cite&gt;&lt;Author&gt;Ehrenstein&lt;/Author&gt;&lt;Year&gt;1995&lt;/Year&gt;&lt;RecNum&gt;1416&lt;/RecNum&gt;&lt;IDText&gt;The occurrence, nature and distribution of flares in a cohort of patients with systemic lupus erythematosus: a rheumatological view&lt;/IDText&gt;&lt;MDL Ref_Type="Journal"&gt;&lt;Ref_Type&gt;Journal&lt;/Ref_Type&gt;&lt;Ref_ID&gt;1416&lt;/Ref_ID&gt;&lt;Title_Primary&gt;The occurrence, nature and distribution of flares in a cohort of patients with systemic lupus erythematosus: a rheumatological view&lt;/Title_Primary&gt;&lt;Authors_Primary&gt;Ehrenstein,M.R.&lt;/Authors_Primary&gt;&lt;Authors_Primary&gt;Conroy,S.E.&lt;/Authors_Primary&gt;&lt;Authors_Primary&gt;Heath,J.&lt;/Authors_Primary&gt;&lt;Authors_Primary&gt;Latchman,D.S.&lt;/Authors_Primary&gt;&lt;Authors_Primary&gt;Isenberg,D.A.&lt;/Authors_Primary&gt;&lt;Date_Primary&gt;1995/3&lt;/Date_Primary&gt;&lt;Keywords&gt;Adult&lt;/Keywords&gt;&lt;Keywords&gt;Cohort Studies&lt;/Keywords&gt;&lt;Keywords&gt;complications&lt;/Keywords&gt;&lt;Keywords&gt;Disease&lt;/Keywords&gt;&lt;Keywords&gt;epidemiology&lt;/Keywords&gt;&lt;Keywords&gt;erythematosus&lt;/Keywords&gt;&lt;Keywords&gt;Female&lt;/Keywords&gt;&lt;Keywords&gt;Follow-Up Studies&lt;/Keywords&gt;&lt;Keywords&gt;Humans&lt;/Keywords&gt;&lt;Keywords&gt;Incidence&lt;/Keywords&gt;&lt;Keywords&gt;lupus erythematosus&lt;/Keywords&gt;&lt;Keywords&gt;Lupus Erythematosus,Systemic&lt;/Keywords&gt;&lt;Keywords&gt;Male&lt;/Keywords&gt;&lt;Keywords&gt;Middle Aged&lt;/Keywords&gt;&lt;Keywords&gt;Musculoskeletal Diseases&lt;/Keywords&gt;&lt;Keywords&gt;Musculoskeletal System&lt;/Keywords&gt;&lt;Keywords&gt;patient&lt;/Keywords&gt;&lt;Keywords&gt;Patients&lt;/Keywords&gt;&lt;Keywords&gt;Recurrence&lt;/Keywords&gt;&lt;Keywords&gt;Rheumatology&lt;/Keywords&gt;&lt;Keywords&gt;Severity of Illness Index&lt;/Keywords&gt;&lt;Keywords&gt;systemic lupus erythematosus&lt;/Keywords&gt;&lt;Keywords&gt;Time&lt;/Keywords&gt;&lt;Reprint&gt;Not in File&lt;/Reprint&gt;&lt;Start_Page&gt;257&lt;/Start_Page&gt;&lt;End_Page&gt;260&lt;/End_Page&gt;&lt;Periodical&gt;Br.J.Rheumatol.&lt;/Periodical&gt;&lt;Volume&gt;34&lt;/Volume&gt;&lt;Issue&gt;3&lt;/Issue&gt;&lt;User_Def_1&gt;y&lt;/User_Def_1&gt;&lt;ZZ_JournalStdAbbrev&gt;&lt;f name="System"&gt;Br.J.Rheumatol.&lt;/f&gt;&lt;/ZZ_JournalStdAbbrev&gt;&lt;ZZ_WorkformID&gt;1&lt;/ZZ_WorkformID&gt;&lt;/MDL&gt;&lt;/Cite&gt;&lt;/Refman&gt;</w:instrText>
      </w:r>
      <w:r w:rsidR="00E729BA">
        <w:rPr>
          <w:lang w:eastAsia="zh-CN"/>
        </w:rPr>
        <w:fldChar w:fldCharType="separate"/>
      </w:r>
      <w:r w:rsidR="004D7951">
        <w:rPr>
          <w:lang w:eastAsia="zh-CN"/>
        </w:rPr>
        <w:t>(135)</w:t>
      </w:r>
      <w:r w:rsidR="00E729BA">
        <w:rPr>
          <w:lang w:eastAsia="zh-CN"/>
        </w:rPr>
        <w:fldChar w:fldCharType="end"/>
      </w:r>
    </w:p>
    <w:p w:rsidR="002D772C" w:rsidRDefault="002D772C" w:rsidP="00597CF5">
      <w:pPr>
        <w:pStyle w:val="ListParagraph"/>
        <w:numPr>
          <w:ilvl w:val="0"/>
          <w:numId w:val="12"/>
        </w:numPr>
        <w:rPr>
          <w:lang w:eastAsia="zh-CN"/>
        </w:rPr>
      </w:pPr>
      <w:r>
        <w:rPr>
          <w:lang w:eastAsia="zh-CN"/>
        </w:rPr>
        <w:t xml:space="preserve">Seventy percent of flares involved only one organ system and 30% of flares manifest in two or more body systems at a time </w:t>
      </w:r>
      <w:r w:rsidR="00E729BA">
        <w:rPr>
          <w:lang w:eastAsia="zh-CN"/>
        </w:rPr>
        <w:fldChar w:fldCharType="begin"/>
      </w:r>
      <w:r w:rsidR="00FC61FD">
        <w:rPr>
          <w:lang w:eastAsia="zh-CN"/>
        </w:rPr>
        <w:instrText xml:space="preserve"> ADDIN REFMGR.CITE &lt;Refman&gt;&lt;Cite&gt;&lt;Author&gt;Ehrenstein&lt;/Author&gt;&lt;Year&gt;1995&lt;/Year&gt;&lt;RecNum&gt;1416&lt;/RecNum&gt;&lt;IDText&gt;The occurrence, nature and distribution of flares in a cohort of patients with systemic lupus erythematosus: a rheumatological view&lt;/IDText&gt;&lt;MDL Ref_Type="Journal"&gt;&lt;Ref_Type&gt;Journal&lt;/Ref_Type&gt;&lt;Ref_ID&gt;1416&lt;/Ref_ID&gt;&lt;Title_Primary&gt;The occurrence, nature and distribution of flares in a cohort of patients with systemic lupus erythematosus: a rheumatological view&lt;/Title_Primary&gt;&lt;Authors_Primary&gt;Ehrenstein,M.R.&lt;/Authors_Primary&gt;&lt;Authors_Primary&gt;Conroy,S.E.&lt;/Authors_Primary&gt;&lt;Authors_Primary&gt;Heath,J.&lt;/Authors_Primary&gt;&lt;Authors_Primary&gt;Latchman,D.S.&lt;/Authors_Primary&gt;&lt;Authors_Primary&gt;Isenberg,D.A.&lt;/Authors_Primary&gt;&lt;Date_Primary&gt;1995/3&lt;/Date_Primary&gt;&lt;Keywords&gt;Adult&lt;/Keywords&gt;&lt;Keywords&gt;Cohort Studies&lt;/Keywords&gt;&lt;Keywords&gt;complications&lt;/Keywords&gt;&lt;Keywords&gt;Disease&lt;/Keywords&gt;&lt;Keywords&gt;epidemiology&lt;/Keywords&gt;&lt;Keywords&gt;erythematosus&lt;/Keywords&gt;&lt;Keywords&gt;Female&lt;/Keywords&gt;&lt;Keywords&gt;Follow-Up Studies&lt;/Keywords&gt;&lt;Keywords&gt;Humans&lt;/Keywords&gt;&lt;Keywords&gt;Incidence&lt;/Keywords&gt;&lt;Keywords&gt;lupus erythematosus&lt;/Keywords&gt;&lt;Keywords&gt;Lupus Erythematosus,Systemic&lt;/Keywords&gt;&lt;Keywords&gt;Male&lt;/Keywords&gt;&lt;Keywords&gt;Middle Aged&lt;/Keywords&gt;&lt;Keywords&gt;Musculoskeletal Diseases&lt;/Keywords&gt;&lt;Keywords&gt;Musculoskeletal System&lt;/Keywords&gt;&lt;Keywords&gt;patient&lt;/Keywords&gt;&lt;Keywords&gt;Patients&lt;/Keywords&gt;&lt;Keywords&gt;Recurrence&lt;/Keywords&gt;&lt;Keywords&gt;Rheumatology&lt;/Keywords&gt;&lt;Keywords&gt;Severity of Illness Index&lt;/Keywords&gt;&lt;Keywords&gt;systemic lupus erythematosus&lt;/Keywords&gt;&lt;Keywords&gt;Time&lt;/Keywords&gt;&lt;Reprint&gt;Not in File&lt;/Reprint&gt;&lt;Start_Page&gt;257&lt;/Start_Page&gt;&lt;End_Page&gt;260&lt;/End_Page&gt;&lt;Periodical&gt;Br.J.Rheumatol.&lt;/Periodical&gt;&lt;Volume&gt;34&lt;/Volume&gt;&lt;Issue&gt;3&lt;/Issue&gt;&lt;User_Def_1&gt;y&lt;/User_Def_1&gt;&lt;ZZ_JournalStdAbbrev&gt;&lt;f name="System"&gt;Br.J.Rheumatol.&lt;/f&gt;&lt;/ZZ_JournalStdAbbrev&gt;&lt;ZZ_WorkformID&gt;1&lt;/ZZ_WorkformID&gt;&lt;/MDL&gt;&lt;/Cite&gt;&lt;/Refman&gt;</w:instrText>
      </w:r>
      <w:r w:rsidR="00E729BA">
        <w:rPr>
          <w:lang w:eastAsia="zh-CN"/>
        </w:rPr>
        <w:fldChar w:fldCharType="separate"/>
      </w:r>
      <w:r w:rsidR="004D7951">
        <w:rPr>
          <w:lang w:eastAsia="zh-CN"/>
        </w:rPr>
        <w:t>(135)</w:t>
      </w:r>
      <w:r w:rsidR="00E729BA">
        <w:rPr>
          <w:lang w:eastAsia="zh-CN"/>
        </w:rPr>
        <w:fldChar w:fldCharType="end"/>
      </w:r>
      <w:r>
        <w:rPr>
          <w:lang w:eastAsia="zh-CN"/>
        </w:rPr>
        <w:t xml:space="preserve">. </w:t>
      </w:r>
    </w:p>
    <w:p w:rsidR="002D772C" w:rsidRDefault="002D772C" w:rsidP="00597CF5">
      <w:pPr>
        <w:pStyle w:val="ListParagraph"/>
        <w:numPr>
          <w:ilvl w:val="0"/>
          <w:numId w:val="12"/>
        </w:numPr>
        <w:rPr>
          <w:lang w:eastAsia="zh-CN"/>
        </w:rPr>
      </w:pPr>
      <w:r>
        <w:rPr>
          <w:lang w:eastAsia="zh-CN"/>
        </w:rPr>
        <w:t xml:space="preserve">Remission is uncommon in SLE, the incidence density is 0.028 cases of remission per person year. The mean duration of remission was 4.6 years (SD 3.6). The mean time to remission was 5.8 years. </w:t>
      </w:r>
      <w:r w:rsidR="00E729BA">
        <w:rPr>
          <w:lang w:eastAsia="zh-CN"/>
        </w:rPr>
        <w:fldChar w:fldCharType="begin"/>
      </w:r>
      <w:r w:rsidR="00FC61FD">
        <w:rPr>
          <w:lang w:eastAsia="zh-CN"/>
        </w:rPr>
        <w:instrText xml:space="preserve"> ADDIN REFMGR.CITE &lt;Refman&gt;&lt;Cite&gt;&lt;Author&gt;Drenkard&lt;/Author&gt;&lt;Year&gt;1996&lt;/Year&gt;&lt;RecNum&gt;1370&lt;/RecNum&gt;&lt;IDText&gt;Remission of systematic lupus erythematosus&lt;/IDText&gt;&lt;MDL Ref_Type="Journal"&gt;&lt;Ref_Type&gt;Journal&lt;/Ref_Type&gt;&lt;Ref_ID&gt;1370&lt;/Ref_ID&gt;&lt;Title_Primary&gt;Remission of systematic lupus erythematosus&lt;/Title_Primary&gt;&lt;Authors_Primary&gt;Drenkard,C.&lt;/Authors_Primary&gt;&lt;Authors_Primary&gt;Villa,A.R.&lt;/Authors_Primary&gt;&lt;Authors_Primary&gt;Garcia-Padilla,C.&lt;/Authors_Primary&gt;&lt;Authors_Primary&gt;Perez-Vazquez,M.E.&lt;/Authors_Primary&gt;&lt;Authors_Primary&gt;Alarcon-Segovia,D.&lt;/Authors_Primary&gt;&lt;Date_Primary&gt;1996/3&lt;/Date_Primary&gt;&lt;Keywords&gt;Adult&lt;/Keywords&gt;&lt;Keywords&gt;Anemia&lt;/Keywords&gt;&lt;Keywords&gt;Anti-Inflammatory Agents&lt;/Keywords&gt;&lt;Keywords&gt;Antirheumatic Agents&lt;/Keywords&gt;&lt;Keywords&gt;Child&lt;/Keywords&gt;&lt;Keywords&gt;Chloroquine&lt;/Keywords&gt;&lt;Keywords&gt;complications&lt;/Keywords&gt;&lt;Keywords&gt;diagnosis&lt;/Keywords&gt;&lt;Keywords&gt;Disease&lt;/Keywords&gt;&lt;Keywords&gt;drug therapy&lt;/Keywords&gt;&lt;Keywords&gt;Drug Therapy,Combination&lt;/Keywords&gt;&lt;Keywords&gt;erythematosus&lt;/Keywords&gt;&lt;Keywords&gt;Female&lt;/Keywords&gt;&lt;Keywords&gt;Follow-Up Studies&lt;/Keywords&gt;&lt;Keywords&gt;Humans&lt;/Keywords&gt;&lt;Keywords&gt;immunology&lt;/Keywords&gt;&lt;Keywords&gt;Immunosuppressive Agents&lt;/Keywords&gt;&lt;Keywords&gt;Incidence&lt;/Keywords&gt;&lt;Keywords&gt;lupus erythematosus&lt;/Keywords&gt;&lt;Keywords&gt;Lupus Erythematosus,Systemic&lt;/Keywords&gt;&lt;Keywords&gt;mortality&lt;/Keywords&gt;&lt;Keywords&gt;patient&lt;/Keywords&gt;&lt;Keywords&gt;Patients&lt;/Keywords&gt;&lt;Keywords&gt;Proportional Hazards Models&lt;/Keywords&gt;&lt;Keywords&gt;Remission Induction&lt;/Keywords&gt;&lt;Keywords&gt;Rheumatology&lt;/Keywords&gt;&lt;Keywords&gt;Steroids&lt;/Keywords&gt;&lt;Keywords&gt;Survival Analysis&lt;/Keywords&gt;&lt;Keywords&gt;therapeutic use&lt;/Keywords&gt;&lt;Keywords&gt;Thrombocytopenia&lt;/Keywords&gt;&lt;Keywords&gt;Time&lt;/Keywords&gt;&lt;Keywords&gt;Time Factors&lt;/Keywords&gt;&lt;Keywords&gt;Treatment Outcome&lt;/Keywords&gt;&lt;Reprint&gt;Not in File&lt;/Reprint&gt;&lt;Start_Page&gt;88&lt;/Start_Page&gt;&lt;End_Page&gt;98&lt;/End_Page&gt;&lt;Periodical&gt;Medicine (Baltimore).&lt;/Periodical&gt;&lt;Volume&gt;75&lt;/Volume&gt;&lt;Issue&gt;2&lt;/Issue&gt;&lt;User_Def_1&gt;y&lt;/User_Def_1&gt;&lt;ZZ_JournalStdAbbrev&gt;&lt;f name="System"&gt;Medicine (Baltimore).&lt;/f&gt;&lt;/ZZ_JournalStdAbbrev&gt;&lt;ZZ_WorkformID&gt;1&lt;/ZZ_WorkformID&gt;&lt;/MDL&gt;&lt;/Cite&gt;&lt;/Refman&gt;</w:instrText>
      </w:r>
      <w:r w:rsidR="00E729BA">
        <w:rPr>
          <w:lang w:eastAsia="zh-CN"/>
        </w:rPr>
        <w:fldChar w:fldCharType="separate"/>
      </w:r>
      <w:r w:rsidR="00F12F58">
        <w:rPr>
          <w:lang w:eastAsia="zh-CN"/>
        </w:rPr>
        <w:t>(35)</w:t>
      </w:r>
      <w:r w:rsidR="00E729BA">
        <w:rPr>
          <w:lang w:eastAsia="zh-CN"/>
        </w:rPr>
        <w:fldChar w:fldCharType="end"/>
      </w:r>
      <w:r>
        <w:rPr>
          <w:lang w:eastAsia="zh-CN"/>
        </w:rPr>
        <w:t xml:space="preserve">. </w:t>
      </w:r>
    </w:p>
    <w:p w:rsidR="002D772C" w:rsidRDefault="002D772C" w:rsidP="00597CF5">
      <w:pPr>
        <w:pStyle w:val="ListParagraph"/>
        <w:numPr>
          <w:ilvl w:val="0"/>
          <w:numId w:val="12"/>
        </w:numPr>
        <w:rPr>
          <w:lang w:eastAsia="zh-CN"/>
        </w:rPr>
      </w:pPr>
      <w:r>
        <w:rPr>
          <w:lang w:eastAsia="zh-CN"/>
        </w:rPr>
        <w:t xml:space="preserve">The disease remains active in many patients beyond 10 years duration </w:t>
      </w:r>
      <w:r w:rsidR="00E729BA">
        <w:rPr>
          <w:lang w:eastAsia="zh-CN"/>
        </w:rPr>
        <w:fldChar w:fldCharType="begin"/>
      </w:r>
      <w:r w:rsidR="00FC61FD">
        <w:rPr>
          <w:lang w:eastAsia="zh-CN"/>
        </w:rPr>
        <w:instrText xml:space="preserve"> ADDIN REFMGR.CITE &lt;Refman&gt;&lt;Cite&gt;&lt;Author&gt;Swaak&lt;/Author&gt;&lt;Year&gt;2001&lt;/Year&gt;&lt;RecNum&gt;1006&lt;/RecNum&gt;&lt;IDText&gt;Systemic lupus erythematosus. Disease outcome in patients with a disease duration of at least 10 years: second evaluation&lt;/IDText&gt;&lt;MDL Ref_Type="Journal"&gt;&lt;Ref_Type&gt;Journal&lt;/Ref_Type&gt;&lt;Ref_ID&gt;1006&lt;/Ref_ID&gt;&lt;Title_Primary&gt;Systemic lupus erythematosus. Disease outcome in patients with a disease duration of at least 10 years: second evaluation&lt;/Title_Primary&gt;&lt;Authors_Primary&gt;Swaak,A.J.&lt;/Authors_Primary&gt;&lt;Authors_Primary&gt;van den Brink,H.G.&lt;/Authors_Primary&gt;&lt;Authors_Primary&gt;Smeenk,R.J.&lt;/Authors_Primary&gt;&lt;Authors_Primary&gt;Manger,K.&lt;/Authors_Primary&gt;&lt;Authors_Primary&gt;Kalden,J.R.&lt;/Authors_Primary&gt;&lt;Authors_Primary&gt;Tosi,S.&lt;/Authors_Primary&gt;&lt;Authors_Primary&gt;Domljan,Z.&lt;/Authors_Primary&gt;&lt;Authors_Primary&gt;Rozman,B.&lt;/Authors_Primary&gt;&lt;Authors_Primary&gt;Logar,D.&lt;/Authors_Primary&gt;&lt;Authors_Primary&gt;Pokorny,G.&lt;/Authors_Primary&gt;&lt;Authors_Primary&gt;Kovacs,L.&lt;/Authors_Primary&gt;&lt;Authors_Primary&gt;Kovacs,A.&lt;/Authors_Primary&gt;&lt;Authors_Primary&gt;Vlachoyiannopoulos,P.G.&lt;/Authors_Primary&gt;&lt;Authors_Primary&gt;Moutsopoulos,H.M.&lt;/Authors_Primary&gt;&lt;Authors_Primary&gt;Chwalinska-Sadowska,H.&lt;/Authors_Primary&gt;&lt;Authors_Primary&gt;Kiss,E.&lt;/Authors_Primary&gt;&lt;Authors_Primary&gt;Cikes,N.&lt;/Authors_Primary&gt;&lt;Authors_Primary&gt;Anic,B.&lt;/Authors_Primary&gt;&lt;Authors_Primary&gt;Schneider,M.&lt;/Authors_Primary&gt;&lt;Authors_Primary&gt;Fischer,R.&lt;/Authors_Primary&gt;&lt;Authors_Primary&gt;Bombardieri,S.&lt;/Authors_Primary&gt;&lt;Authors_Primary&gt;Mosca,M.&lt;/Authors_Primary&gt;&lt;Authors_Primary&gt;Graninger,W.&lt;/Authors_Primary&gt;&lt;Authors_Primary&gt;Smolen,J.S.&lt;/Authors_Primary&gt;&lt;Date_Primary&gt;2001&lt;/Date_Primary&gt;&lt;Keywords&gt;Adult&lt;/Keywords&gt;&lt;Keywords&gt;Arthritis&lt;/Keywords&gt;&lt;Keywords&gt;Attention&lt;/Keywords&gt;&lt;Keywords&gt;Creatinine&lt;/Keywords&gt;&lt;Keywords&gt;Disease&lt;/Keywords&gt;&lt;Keywords&gt;disease activity&lt;/Keywords&gt;&lt;Keywords&gt;disease duration&lt;/Keywords&gt;&lt;Keywords&gt;epidemiology&lt;/Keywords&gt;&lt;Keywords&gt;erythematosus&lt;/Keywords&gt;&lt;Keywords&gt;Europe&lt;/Keywords&gt;&lt;Keywords&gt;evaluation&lt;/Keywords&gt;&lt;Keywords&gt;Follow-Up Studies&lt;/Keywords&gt;&lt;Keywords&gt;Humans&lt;/Keywords&gt;&lt;Keywords&gt;lupus erythematosus&lt;/Keywords&gt;&lt;Keywords&gt;Lupus Erythematosus,Systemic&lt;/Keywords&gt;&lt;Keywords&gt;multicenter study&lt;/Keywords&gt;&lt;Keywords&gt;patient&lt;/Keywords&gt;&lt;Keywords&gt;Patients&lt;/Keywords&gt;&lt;Keywords&gt;physiopathology&lt;/Keywords&gt;&lt;Keywords&gt;Proteinuria&lt;/Keywords&gt;&lt;Keywords&gt;Rheumatology&lt;/Keywords&gt;&lt;Keywords&gt;Seizures&lt;/Keywords&gt;&lt;Keywords&gt;Serum&lt;/Keywords&gt;&lt;Keywords&gt;Skin&lt;/Keywords&gt;&lt;Keywords&gt;Survival Rate&lt;/Keywords&gt;&lt;Keywords&gt;systemic lupus erythematosus&lt;/Keywords&gt;&lt;Keywords&gt;therapy&lt;/Keywords&gt;&lt;Keywords&gt;Time&lt;/Keywords&gt;&lt;Keywords&gt;Treatment Outcome&lt;/Keywords&gt;&lt;Reprint&gt;Not in File&lt;/Reprint&gt;&lt;Start_Page&gt;51&lt;/Start_Page&gt;&lt;End_Page&gt;58&lt;/End_Page&gt;&lt;Periodical&gt;Lupus.&lt;/Periodical&gt;&lt;Volume&gt;10&lt;/Volume&gt;&lt;Issue&gt;1&lt;/Issue&gt;&lt;User_Def_1&gt;y&lt;/User_Def_1&gt;&lt;ZZ_JournalStdAbbrev&gt;&lt;f name="System"&gt;Lupus.&lt;/f&gt;&lt;/ZZ_JournalStdAbbrev&gt;&lt;ZZ_WorkformID&gt;1&lt;/ZZ_WorkformID&gt;&lt;/MDL&gt;&lt;/Cite&gt;&lt;/Refman&gt;</w:instrText>
      </w:r>
      <w:r w:rsidR="00E729BA">
        <w:rPr>
          <w:lang w:eastAsia="zh-CN"/>
        </w:rPr>
        <w:fldChar w:fldCharType="separate"/>
      </w:r>
      <w:r w:rsidR="004D7951">
        <w:rPr>
          <w:lang w:eastAsia="zh-CN"/>
        </w:rPr>
        <w:t>(136)</w:t>
      </w:r>
      <w:r w:rsidR="00E729BA">
        <w:rPr>
          <w:lang w:eastAsia="zh-CN"/>
        </w:rPr>
        <w:fldChar w:fldCharType="end"/>
      </w:r>
      <w:r>
        <w:rPr>
          <w:lang w:eastAsia="zh-CN"/>
        </w:rPr>
        <w:t xml:space="preserve">. </w:t>
      </w:r>
    </w:p>
    <w:p w:rsidR="002D772C" w:rsidRDefault="002D772C" w:rsidP="007C4559">
      <w:pPr>
        <w:pStyle w:val="Heading4"/>
      </w:pPr>
      <w:r>
        <w:t xml:space="preserve">Predictors of disease activity </w:t>
      </w:r>
    </w:p>
    <w:p w:rsidR="005E0734" w:rsidRDefault="002D772C" w:rsidP="005E0734">
      <w:pPr>
        <w:rPr>
          <w:b/>
          <w:bCs/>
          <w:sz w:val="18"/>
          <w:szCs w:val="16"/>
        </w:rPr>
      </w:pPr>
      <w:r>
        <w:t xml:space="preserve">A few studies of disease activity used statistical techniques to identify predictors of future disease activity. The results of these studies are reported in </w:t>
      </w:r>
      <w:bookmarkStart w:id="177" w:name="_Ref278210059"/>
      <w:bookmarkStart w:id="178" w:name="_Toc279009283"/>
      <w:r w:rsidR="005E0734">
        <w:fldChar w:fldCharType="begin"/>
      </w:r>
      <w:r w:rsidR="005E0734">
        <w:instrText xml:space="preserve"> REF _Ref379468302 \h </w:instrText>
      </w:r>
      <w:r w:rsidR="005E0734">
        <w:instrText xml:space="preserve"> \* MERGEFORMAT </w:instrText>
      </w:r>
      <w:r w:rsidR="005E0734">
        <w:fldChar w:fldCharType="separate"/>
      </w:r>
      <w:r w:rsidR="004911B7">
        <w:t xml:space="preserve">Table </w:t>
      </w:r>
      <w:r w:rsidR="004911B7">
        <w:rPr>
          <w:noProof/>
        </w:rPr>
        <w:t>8</w:t>
      </w:r>
      <w:r w:rsidR="005E0734">
        <w:fldChar w:fldCharType="end"/>
      </w:r>
    </w:p>
    <w:p w:rsidR="002D772C" w:rsidRDefault="002D772C" w:rsidP="007C4559">
      <w:pPr>
        <w:rPr>
          <w:b/>
          <w:bCs/>
          <w:sz w:val="18"/>
          <w:szCs w:val="16"/>
        </w:rPr>
      </w:pPr>
    </w:p>
    <w:p w:rsidR="00BD2483" w:rsidRDefault="00BD2483">
      <w:pPr>
        <w:spacing w:after="0" w:afterAutospacing="0" w:line="240" w:lineRule="auto"/>
        <w:rPr>
          <w:b/>
          <w:bCs/>
          <w:sz w:val="18"/>
          <w:szCs w:val="16"/>
        </w:rPr>
      </w:pPr>
      <w:bookmarkStart w:id="179" w:name="_Ref279046586"/>
      <w:r>
        <w:br w:type="page"/>
      </w:r>
    </w:p>
    <w:p w:rsidR="002D772C" w:rsidRDefault="002D772C" w:rsidP="00234693">
      <w:pPr>
        <w:pStyle w:val="Caption"/>
      </w:pPr>
      <w:bookmarkStart w:id="180" w:name="_Ref379468302"/>
      <w:r>
        <w:t xml:space="preserve">Table </w:t>
      </w:r>
      <w:fldSimple w:instr=" SEQ Table \* ARABIC ">
        <w:r w:rsidR="004911B7">
          <w:rPr>
            <w:noProof/>
          </w:rPr>
          <w:t>8</w:t>
        </w:r>
      </w:fldSimple>
      <w:bookmarkEnd w:id="177"/>
      <w:bookmarkEnd w:id="179"/>
      <w:bookmarkEnd w:id="180"/>
      <w:r>
        <w:t>: Predictors of disease activity outcomes in SLE</w:t>
      </w:r>
      <w:bookmarkEnd w:id="178"/>
    </w:p>
    <w:tbl>
      <w:tblPr>
        <w:tblStyle w:val="TableGrid"/>
        <w:tblW w:w="8392" w:type="dxa"/>
        <w:tblLayout w:type="fixed"/>
        <w:tblCellMar>
          <w:left w:w="28" w:type="dxa"/>
          <w:right w:w="28" w:type="dxa"/>
        </w:tblCellMar>
        <w:tblLook w:val="04A0"/>
      </w:tblPr>
      <w:tblGrid>
        <w:gridCol w:w="1021"/>
        <w:gridCol w:w="425"/>
        <w:gridCol w:w="709"/>
        <w:gridCol w:w="992"/>
        <w:gridCol w:w="1559"/>
        <w:gridCol w:w="2211"/>
        <w:gridCol w:w="1475"/>
      </w:tblGrid>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Author name</w:t>
            </w:r>
          </w:p>
        </w:tc>
        <w:tc>
          <w:tcPr>
            <w:tcW w:w="425" w:type="dxa"/>
          </w:tcPr>
          <w:p w:rsidR="009602B1" w:rsidRPr="003622F6" w:rsidRDefault="009602B1" w:rsidP="0049322C">
            <w:pPr>
              <w:pStyle w:val="ListParagraph1"/>
              <w:rPr>
                <w:lang w:eastAsia="zh-CN"/>
              </w:rPr>
            </w:pPr>
            <w:r w:rsidRPr="003622F6">
              <w:rPr>
                <w:lang w:eastAsia="zh-CN"/>
              </w:rPr>
              <w:t>Date</w:t>
            </w:r>
          </w:p>
        </w:tc>
        <w:tc>
          <w:tcPr>
            <w:tcW w:w="709" w:type="dxa"/>
          </w:tcPr>
          <w:p w:rsidR="009602B1" w:rsidRPr="003622F6" w:rsidRDefault="009602B1" w:rsidP="0049322C">
            <w:pPr>
              <w:pStyle w:val="ListParagraph1"/>
              <w:rPr>
                <w:lang w:eastAsia="zh-CN"/>
              </w:rPr>
            </w:pPr>
            <w:r w:rsidRPr="003622F6">
              <w:rPr>
                <w:lang w:eastAsia="zh-CN"/>
              </w:rPr>
              <w:t>Sample</w:t>
            </w:r>
          </w:p>
        </w:tc>
        <w:tc>
          <w:tcPr>
            <w:tcW w:w="992" w:type="dxa"/>
          </w:tcPr>
          <w:p w:rsidR="009602B1" w:rsidRPr="003622F6" w:rsidRDefault="009602B1" w:rsidP="0049322C">
            <w:pPr>
              <w:pStyle w:val="ListParagraph1"/>
              <w:rPr>
                <w:lang w:eastAsia="zh-CN"/>
              </w:rPr>
            </w:pPr>
            <w:r>
              <w:rPr>
                <w:lang w:eastAsia="zh-CN"/>
              </w:rPr>
              <w:t>Cohort</w:t>
            </w:r>
          </w:p>
        </w:tc>
        <w:tc>
          <w:tcPr>
            <w:tcW w:w="1559" w:type="dxa"/>
          </w:tcPr>
          <w:p w:rsidR="009602B1" w:rsidRPr="003622F6" w:rsidRDefault="009602B1" w:rsidP="0049322C">
            <w:pPr>
              <w:pStyle w:val="ListParagraph1"/>
              <w:rPr>
                <w:lang w:eastAsia="zh-CN"/>
              </w:rPr>
            </w:pPr>
            <w:r w:rsidRPr="003622F6">
              <w:rPr>
                <w:lang w:eastAsia="zh-CN"/>
              </w:rPr>
              <w:t>Measure of disease activity</w:t>
            </w:r>
          </w:p>
        </w:tc>
        <w:tc>
          <w:tcPr>
            <w:tcW w:w="2211" w:type="dxa"/>
          </w:tcPr>
          <w:p w:rsidR="009602B1" w:rsidRPr="003622F6" w:rsidRDefault="009602B1" w:rsidP="0049322C">
            <w:pPr>
              <w:pStyle w:val="ListParagraph1"/>
              <w:rPr>
                <w:lang w:eastAsia="zh-CN"/>
              </w:rPr>
            </w:pPr>
            <w:r w:rsidRPr="003622F6">
              <w:rPr>
                <w:lang w:eastAsia="zh-CN"/>
              </w:rPr>
              <w:t>Description of predictors</w:t>
            </w:r>
          </w:p>
        </w:tc>
        <w:tc>
          <w:tcPr>
            <w:tcW w:w="1475" w:type="dxa"/>
          </w:tcPr>
          <w:p w:rsidR="009602B1" w:rsidRPr="003622F6" w:rsidRDefault="009602B1" w:rsidP="00D538A8">
            <w:pPr>
              <w:pStyle w:val="ListParagraph1"/>
              <w:rPr>
                <w:lang w:eastAsia="zh-CN"/>
              </w:rPr>
            </w:pPr>
            <w:r w:rsidRPr="003622F6">
              <w:rPr>
                <w:lang w:eastAsia="zh-CN"/>
              </w:rPr>
              <w:t xml:space="preserve">Estimated </w:t>
            </w:r>
            <w:r>
              <w:rPr>
                <w:lang w:eastAsia="zh-CN"/>
              </w:rPr>
              <w:t>hazard ratio</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Bujan</w:t>
            </w:r>
            <w:r>
              <w:rPr>
                <w:lang w:eastAsia="zh-CN"/>
              </w:rPr>
              <w:t xml:space="preserve"> </w:t>
            </w:r>
            <w:r w:rsidR="00E729BA">
              <w:rPr>
                <w:lang w:eastAsia="zh-CN"/>
              </w:rPr>
              <w:fldChar w:fldCharType="begin"/>
            </w:r>
            <w:r w:rsidR="00FC61FD">
              <w:rPr>
                <w:lang w:eastAsia="zh-CN"/>
              </w:rPr>
              <w:instrText xml:space="preserve"> ADDIN REFMGR.CITE &lt;Refman&gt;&lt;Cite&gt;&lt;Author&gt;Bujan&lt;/Author&gt;&lt;Year&gt;2003&lt;/Year&gt;&lt;RecNum&gt;756&lt;/RecNum&gt;&lt;IDText&gt;Contribution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name="System"&gt;Ann.Rheum.Dis.&lt;/f&gt;&lt;/ZZ_JournalStdAbbrev&gt;&lt;ZZ_WorkformID&gt;1&lt;/ZZ_WorkformID&gt;&lt;/MDL&gt;&lt;/Cite&gt;&lt;/Refman&gt;</w:instrText>
            </w:r>
            <w:r w:rsidR="00E729BA">
              <w:rPr>
                <w:lang w:eastAsia="zh-CN"/>
              </w:rPr>
              <w:fldChar w:fldCharType="separate"/>
            </w:r>
            <w:r>
              <w:rPr>
                <w:lang w:eastAsia="zh-CN"/>
              </w:rPr>
              <w:t>(137)</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2003</w:t>
            </w:r>
          </w:p>
        </w:tc>
        <w:tc>
          <w:tcPr>
            <w:tcW w:w="709" w:type="dxa"/>
          </w:tcPr>
          <w:p w:rsidR="009602B1" w:rsidRPr="003622F6" w:rsidRDefault="009602B1" w:rsidP="0049322C">
            <w:pPr>
              <w:pStyle w:val="ListParagraph1"/>
              <w:rPr>
                <w:lang w:eastAsia="zh-CN"/>
              </w:rPr>
            </w:pPr>
            <w:r w:rsidRPr="003622F6">
              <w:rPr>
                <w:lang w:eastAsia="zh-CN"/>
              </w:rPr>
              <w:t>239</w:t>
            </w:r>
          </w:p>
        </w:tc>
        <w:tc>
          <w:tcPr>
            <w:tcW w:w="992" w:type="dxa"/>
          </w:tcPr>
          <w:p w:rsidR="009602B1" w:rsidRPr="003622F6" w:rsidRDefault="009602B1" w:rsidP="007C4559">
            <w:pPr>
              <w:pStyle w:val="ListParagraph1"/>
              <w:rPr>
                <w:lang w:eastAsia="zh-CN"/>
              </w:rPr>
            </w:pPr>
            <w:r>
              <w:rPr>
                <w:lang w:eastAsia="zh-CN"/>
              </w:rPr>
              <w:t>Barcelona</w:t>
            </w:r>
          </w:p>
        </w:tc>
        <w:tc>
          <w:tcPr>
            <w:tcW w:w="1559" w:type="dxa"/>
          </w:tcPr>
          <w:p w:rsidR="009602B1" w:rsidRPr="003622F6" w:rsidRDefault="009602B1" w:rsidP="007C4559">
            <w:pPr>
              <w:pStyle w:val="ListParagraph1"/>
              <w:rPr>
                <w:lang w:eastAsia="zh-CN"/>
              </w:rPr>
            </w:pPr>
            <w:r w:rsidRPr="003622F6">
              <w:rPr>
                <w:lang w:eastAsia="zh-CN"/>
              </w:rPr>
              <w:t xml:space="preserve">Haematological </w:t>
            </w:r>
            <w:r>
              <w:rPr>
                <w:lang w:eastAsia="zh-CN"/>
              </w:rPr>
              <w:t>activity</w:t>
            </w:r>
          </w:p>
        </w:tc>
        <w:tc>
          <w:tcPr>
            <w:tcW w:w="2211" w:type="dxa"/>
          </w:tcPr>
          <w:p w:rsidR="009602B1" w:rsidRPr="003622F6" w:rsidRDefault="009602B1" w:rsidP="0049322C">
            <w:pPr>
              <w:pStyle w:val="ListParagraph1"/>
              <w:rPr>
                <w:lang w:eastAsia="zh-CN"/>
              </w:rPr>
            </w:pPr>
            <w:r w:rsidRPr="003622F6">
              <w:rPr>
                <w:lang w:eastAsia="zh-CN"/>
              </w:rPr>
              <w:t xml:space="preserve">Haematological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4.52 (1.27-16.7)</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Bujan</w:t>
            </w:r>
            <w:r>
              <w:rPr>
                <w:lang w:eastAsia="zh-CN"/>
              </w:rPr>
              <w:t xml:space="preserve"> </w:t>
            </w:r>
            <w:r w:rsidR="00E729BA">
              <w:rPr>
                <w:lang w:eastAsia="zh-CN"/>
              </w:rPr>
              <w:fldChar w:fldCharType="begin"/>
            </w:r>
            <w:r w:rsidR="00FC61FD">
              <w:rPr>
                <w:lang w:eastAsia="zh-CN"/>
              </w:rPr>
              <w:instrText xml:space="preserve"> ADDIN REFMGR.CITE &lt;Refman&gt;&lt;Cite&gt;&lt;Author&gt;Bujan&lt;/Author&gt;&lt;Year&gt;2003&lt;/Year&gt;&lt;RecNum&gt;756&lt;/RecNum&gt;&lt;IDText&gt;Contribution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name="System"&gt;Ann.Rheum.Dis.&lt;/f&gt;&lt;/ZZ_JournalStdAbbrev&gt;&lt;ZZ_WorkformID&gt;1&lt;/ZZ_WorkformID&gt;&lt;/MDL&gt;&lt;/Cite&gt;&lt;/Refman&gt;</w:instrText>
            </w:r>
            <w:r w:rsidR="00E729BA">
              <w:rPr>
                <w:lang w:eastAsia="zh-CN"/>
              </w:rPr>
              <w:fldChar w:fldCharType="separate"/>
            </w:r>
            <w:r>
              <w:rPr>
                <w:lang w:eastAsia="zh-CN"/>
              </w:rPr>
              <w:t>(137)</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2003</w:t>
            </w:r>
          </w:p>
        </w:tc>
        <w:tc>
          <w:tcPr>
            <w:tcW w:w="709" w:type="dxa"/>
          </w:tcPr>
          <w:p w:rsidR="009602B1" w:rsidRPr="003622F6" w:rsidRDefault="009602B1" w:rsidP="0049322C">
            <w:pPr>
              <w:pStyle w:val="ListParagraph1"/>
              <w:rPr>
                <w:lang w:eastAsia="zh-CN"/>
              </w:rPr>
            </w:pPr>
            <w:r w:rsidRPr="003622F6">
              <w:rPr>
                <w:lang w:eastAsia="zh-CN"/>
              </w:rPr>
              <w:t>239</w:t>
            </w:r>
          </w:p>
        </w:tc>
        <w:tc>
          <w:tcPr>
            <w:tcW w:w="992" w:type="dxa"/>
          </w:tcPr>
          <w:p w:rsidR="009602B1" w:rsidRDefault="009602B1" w:rsidP="0049322C">
            <w:pPr>
              <w:pStyle w:val="ListParagraph1"/>
              <w:rPr>
                <w:lang w:eastAsia="zh-CN"/>
              </w:rPr>
            </w:pPr>
            <w:r w:rsidRPr="00C33E1A">
              <w:rPr>
                <w:lang w:eastAsia="zh-CN"/>
              </w:rPr>
              <w:t>Barcelona</w:t>
            </w:r>
          </w:p>
        </w:tc>
        <w:tc>
          <w:tcPr>
            <w:tcW w:w="1559" w:type="dxa"/>
          </w:tcPr>
          <w:p w:rsidR="009602B1" w:rsidRPr="003622F6" w:rsidRDefault="009602B1" w:rsidP="0049322C">
            <w:pPr>
              <w:pStyle w:val="ListParagraph1"/>
              <w:rPr>
                <w:lang w:eastAsia="zh-CN"/>
              </w:rPr>
            </w:pPr>
            <w:r>
              <w:rPr>
                <w:lang w:eastAsia="zh-CN"/>
              </w:rPr>
              <w:t>Cardiac activity</w:t>
            </w:r>
          </w:p>
        </w:tc>
        <w:tc>
          <w:tcPr>
            <w:tcW w:w="2211" w:type="dxa"/>
          </w:tcPr>
          <w:p w:rsidR="009602B1" w:rsidRPr="003622F6" w:rsidRDefault="009602B1" w:rsidP="0049322C">
            <w:pPr>
              <w:pStyle w:val="ListParagraph1"/>
              <w:rPr>
                <w:lang w:eastAsia="zh-CN"/>
              </w:rPr>
            </w:pPr>
            <w:r w:rsidRPr="003622F6">
              <w:rPr>
                <w:lang w:eastAsia="zh-CN"/>
              </w:rPr>
              <w:t xml:space="preserve">Cardiac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5.07 (1.23-20.9)</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Bujan</w:t>
            </w:r>
            <w:r>
              <w:rPr>
                <w:lang w:eastAsia="zh-CN"/>
              </w:rPr>
              <w:t xml:space="preserve"> </w:t>
            </w:r>
            <w:r w:rsidR="00E729BA">
              <w:rPr>
                <w:lang w:eastAsia="zh-CN"/>
              </w:rPr>
              <w:fldChar w:fldCharType="begin"/>
            </w:r>
            <w:r w:rsidR="00FC61FD">
              <w:rPr>
                <w:lang w:eastAsia="zh-CN"/>
              </w:rPr>
              <w:instrText xml:space="preserve"> ADDIN REFMGR.CITE &lt;Refman&gt;&lt;Cite&gt;&lt;Author&gt;Bujan&lt;/Author&gt;&lt;Year&gt;2003&lt;/Year&gt;&lt;RecNum&gt;756&lt;/RecNum&gt;&lt;IDText&gt;Contribution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name="System"&gt;Ann.Rheum.Dis.&lt;/f&gt;&lt;/ZZ_JournalStdAbbrev&gt;&lt;ZZ_WorkformID&gt;1&lt;/ZZ_WorkformID&gt;&lt;/MDL&gt;&lt;/Cite&gt;&lt;/Refman&gt;</w:instrText>
            </w:r>
            <w:r w:rsidR="00E729BA">
              <w:rPr>
                <w:lang w:eastAsia="zh-CN"/>
              </w:rPr>
              <w:fldChar w:fldCharType="separate"/>
            </w:r>
            <w:r>
              <w:rPr>
                <w:lang w:eastAsia="zh-CN"/>
              </w:rPr>
              <w:t>(137)</w:t>
            </w:r>
            <w:r w:rsidR="00E729BA">
              <w:rPr>
                <w:lang w:eastAsia="zh-CN"/>
              </w:rPr>
              <w:fldChar w:fldCharType="end"/>
            </w:r>
            <w:r>
              <w:rPr>
                <w:lang w:eastAsia="zh-CN"/>
              </w:rPr>
              <w:t xml:space="preserve"> </w:t>
            </w:r>
          </w:p>
        </w:tc>
        <w:tc>
          <w:tcPr>
            <w:tcW w:w="425" w:type="dxa"/>
          </w:tcPr>
          <w:p w:rsidR="009602B1" w:rsidRPr="003622F6" w:rsidRDefault="009602B1" w:rsidP="0049322C">
            <w:pPr>
              <w:pStyle w:val="ListParagraph1"/>
              <w:rPr>
                <w:lang w:eastAsia="zh-CN"/>
              </w:rPr>
            </w:pPr>
            <w:r w:rsidRPr="003622F6">
              <w:rPr>
                <w:lang w:eastAsia="zh-CN"/>
              </w:rPr>
              <w:t>2003</w:t>
            </w:r>
          </w:p>
        </w:tc>
        <w:tc>
          <w:tcPr>
            <w:tcW w:w="709" w:type="dxa"/>
          </w:tcPr>
          <w:p w:rsidR="009602B1" w:rsidRPr="003622F6" w:rsidRDefault="009602B1" w:rsidP="0049322C">
            <w:pPr>
              <w:pStyle w:val="ListParagraph1"/>
              <w:rPr>
                <w:lang w:eastAsia="zh-CN"/>
              </w:rPr>
            </w:pPr>
            <w:r w:rsidRPr="003622F6">
              <w:rPr>
                <w:lang w:eastAsia="zh-CN"/>
              </w:rPr>
              <w:t>239</w:t>
            </w:r>
          </w:p>
        </w:tc>
        <w:tc>
          <w:tcPr>
            <w:tcW w:w="992" w:type="dxa"/>
          </w:tcPr>
          <w:p w:rsidR="009602B1" w:rsidRDefault="009602B1" w:rsidP="0049322C">
            <w:pPr>
              <w:pStyle w:val="ListParagraph1"/>
              <w:rPr>
                <w:lang w:eastAsia="zh-CN"/>
              </w:rPr>
            </w:pPr>
            <w:r w:rsidRPr="00C33E1A">
              <w:rPr>
                <w:lang w:eastAsia="zh-CN"/>
              </w:rPr>
              <w:t>Barcelona</w:t>
            </w:r>
          </w:p>
        </w:tc>
        <w:tc>
          <w:tcPr>
            <w:tcW w:w="1559" w:type="dxa"/>
          </w:tcPr>
          <w:p w:rsidR="009602B1" w:rsidRPr="003622F6" w:rsidRDefault="009602B1" w:rsidP="0049322C">
            <w:pPr>
              <w:pStyle w:val="ListParagraph1"/>
              <w:rPr>
                <w:lang w:eastAsia="zh-CN"/>
              </w:rPr>
            </w:pPr>
            <w:r>
              <w:rPr>
                <w:lang w:eastAsia="zh-CN"/>
              </w:rPr>
              <w:t>Neurological activity</w:t>
            </w:r>
          </w:p>
        </w:tc>
        <w:tc>
          <w:tcPr>
            <w:tcW w:w="2211" w:type="dxa"/>
          </w:tcPr>
          <w:p w:rsidR="009602B1" w:rsidRPr="003622F6" w:rsidRDefault="009602B1" w:rsidP="0049322C">
            <w:pPr>
              <w:pStyle w:val="ListParagraph1"/>
              <w:rPr>
                <w:lang w:eastAsia="zh-CN"/>
              </w:rPr>
            </w:pPr>
            <w:r w:rsidRPr="003622F6">
              <w:rPr>
                <w:lang w:eastAsia="zh-CN"/>
              </w:rPr>
              <w:t xml:space="preserve">Neurological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4.97 (2.34-10.52)</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Bujan</w:t>
            </w:r>
            <w:r>
              <w:rPr>
                <w:lang w:eastAsia="zh-CN"/>
              </w:rPr>
              <w:t xml:space="preserve"> </w:t>
            </w:r>
            <w:r w:rsidR="00E729BA">
              <w:rPr>
                <w:lang w:eastAsia="zh-CN"/>
              </w:rPr>
              <w:fldChar w:fldCharType="begin"/>
            </w:r>
            <w:r w:rsidR="00FC61FD">
              <w:rPr>
                <w:lang w:eastAsia="zh-CN"/>
              </w:rPr>
              <w:instrText xml:space="preserve"> ADDIN REFMGR.CITE &lt;Refman&gt;&lt;Cite&gt;&lt;Author&gt;Bujan&lt;/Author&gt;&lt;Year&gt;2003&lt;/Year&gt;&lt;RecNum&gt;756&lt;/RecNum&gt;&lt;IDText&gt;Contribution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name="System"&gt;Ann.Rheum.Dis.&lt;/f&gt;&lt;/ZZ_JournalStdAbbrev&gt;&lt;ZZ_WorkformID&gt;1&lt;/ZZ_WorkformID&gt;&lt;/MDL&gt;&lt;/Cite&gt;&lt;/Refman&gt;</w:instrText>
            </w:r>
            <w:r w:rsidR="00E729BA">
              <w:rPr>
                <w:lang w:eastAsia="zh-CN"/>
              </w:rPr>
              <w:fldChar w:fldCharType="separate"/>
            </w:r>
            <w:r>
              <w:rPr>
                <w:lang w:eastAsia="zh-CN"/>
              </w:rPr>
              <w:t>(137)</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2003</w:t>
            </w:r>
          </w:p>
        </w:tc>
        <w:tc>
          <w:tcPr>
            <w:tcW w:w="709" w:type="dxa"/>
          </w:tcPr>
          <w:p w:rsidR="009602B1" w:rsidRPr="003622F6" w:rsidRDefault="009602B1" w:rsidP="0049322C">
            <w:pPr>
              <w:pStyle w:val="ListParagraph1"/>
              <w:rPr>
                <w:lang w:eastAsia="zh-CN"/>
              </w:rPr>
            </w:pPr>
            <w:r w:rsidRPr="003622F6">
              <w:rPr>
                <w:lang w:eastAsia="zh-CN"/>
              </w:rPr>
              <w:t>239</w:t>
            </w:r>
          </w:p>
        </w:tc>
        <w:tc>
          <w:tcPr>
            <w:tcW w:w="992" w:type="dxa"/>
          </w:tcPr>
          <w:p w:rsidR="009602B1" w:rsidRDefault="009602B1" w:rsidP="0049322C">
            <w:pPr>
              <w:pStyle w:val="ListParagraph1"/>
              <w:rPr>
                <w:lang w:eastAsia="zh-CN"/>
              </w:rPr>
            </w:pPr>
            <w:r w:rsidRPr="00C33E1A">
              <w:rPr>
                <w:lang w:eastAsia="zh-CN"/>
              </w:rPr>
              <w:t>Barcelona</w:t>
            </w:r>
          </w:p>
        </w:tc>
        <w:tc>
          <w:tcPr>
            <w:tcW w:w="1559" w:type="dxa"/>
          </w:tcPr>
          <w:p w:rsidR="009602B1" w:rsidRPr="003622F6" w:rsidRDefault="009602B1" w:rsidP="0049322C">
            <w:pPr>
              <w:pStyle w:val="ListParagraph1"/>
              <w:rPr>
                <w:lang w:eastAsia="zh-CN"/>
              </w:rPr>
            </w:pPr>
            <w:r>
              <w:rPr>
                <w:lang w:eastAsia="zh-CN"/>
              </w:rPr>
              <w:t>Neurological activity</w:t>
            </w:r>
          </w:p>
        </w:tc>
        <w:tc>
          <w:tcPr>
            <w:tcW w:w="2211" w:type="dxa"/>
          </w:tcPr>
          <w:p w:rsidR="009602B1" w:rsidRPr="003622F6" w:rsidRDefault="009602B1" w:rsidP="0049322C">
            <w:pPr>
              <w:pStyle w:val="ListParagraph1"/>
              <w:rPr>
                <w:lang w:eastAsia="zh-CN"/>
              </w:rPr>
            </w:pPr>
            <w:r w:rsidRPr="003622F6">
              <w:rPr>
                <w:lang w:eastAsia="zh-CN"/>
              </w:rPr>
              <w:t>Anticardiolipid antibodies</w:t>
            </w:r>
          </w:p>
        </w:tc>
        <w:tc>
          <w:tcPr>
            <w:tcW w:w="1475" w:type="dxa"/>
          </w:tcPr>
          <w:p w:rsidR="009602B1" w:rsidRPr="003622F6" w:rsidRDefault="009602B1" w:rsidP="0049322C">
            <w:pPr>
              <w:pStyle w:val="ListParagraph1"/>
              <w:rPr>
                <w:lang w:eastAsia="zh-CN"/>
              </w:rPr>
            </w:pPr>
            <w:r w:rsidRPr="003622F6">
              <w:rPr>
                <w:lang w:eastAsia="zh-CN"/>
              </w:rPr>
              <w:t>3.81 (1.75-8.30)</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Bujan</w:t>
            </w:r>
            <w:r>
              <w:rPr>
                <w:lang w:eastAsia="zh-CN"/>
              </w:rPr>
              <w:t xml:space="preserve"> </w:t>
            </w:r>
            <w:r w:rsidR="00E729BA">
              <w:rPr>
                <w:lang w:eastAsia="zh-CN"/>
              </w:rPr>
              <w:fldChar w:fldCharType="begin"/>
            </w:r>
            <w:r w:rsidR="00FC61FD">
              <w:rPr>
                <w:lang w:eastAsia="zh-CN"/>
              </w:rPr>
              <w:instrText xml:space="preserve"> ADDIN REFMGR.CITE &lt;Refman&gt;&lt;Cite&gt;&lt;Author&gt;Bujan&lt;/Author&gt;&lt;Year&gt;2003&lt;/Year&gt;&lt;RecNum&gt;756&lt;/RecNum&gt;&lt;IDText&gt;Contribution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name="System"&gt;Ann.Rheum.Dis.&lt;/f&gt;&lt;/ZZ_JournalStdAbbrev&gt;&lt;ZZ_WorkformID&gt;1&lt;/ZZ_WorkformID&gt;&lt;/MDL&gt;&lt;/Cite&gt;&lt;/Refman&gt;</w:instrText>
            </w:r>
            <w:r w:rsidR="00E729BA">
              <w:rPr>
                <w:lang w:eastAsia="zh-CN"/>
              </w:rPr>
              <w:fldChar w:fldCharType="separate"/>
            </w:r>
            <w:r>
              <w:rPr>
                <w:lang w:eastAsia="zh-CN"/>
              </w:rPr>
              <w:t>(137)</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2003</w:t>
            </w:r>
          </w:p>
        </w:tc>
        <w:tc>
          <w:tcPr>
            <w:tcW w:w="709" w:type="dxa"/>
          </w:tcPr>
          <w:p w:rsidR="009602B1" w:rsidRPr="003622F6" w:rsidRDefault="009602B1" w:rsidP="0049322C">
            <w:pPr>
              <w:pStyle w:val="ListParagraph1"/>
              <w:rPr>
                <w:lang w:eastAsia="zh-CN"/>
              </w:rPr>
            </w:pPr>
            <w:r w:rsidRPr="003622F6">
              <w:rPr>
                <w:lang w:eastAsia="zh-CN"/>
              </w:rPr>
              <w:t>239</w:t>
            </w:r>
          </w:p>
        </w:tc>
        <w:tc>
          <w:tcPr>
            <w:tcW w:w="992" w:type="dxa"/>
          </w:tcPr>
          <w:p w:rsidR="009602B1" w:rsidRDefault="009602B1" w:rsidP="0049322C">
            <w:pPr>
              <w:pStyle w:val="ListParagraph1"/>
              <w:rPr>
                <w:lang w:eastAsia="zh-CN"/>
              </w:rPr>
            </w:pPr>
            <w:r w:rsidRPr="00C33E1A">
              <w:rPr>
                <w:lang w:eastAsia="zh-CN"/>
              </w:rPr>
              <w:t>Barcelona</w:t>
            </w:r>
          </w:p>
        </w:tc>
        <w:tc>
          <w:tcPr>
            <w:tcW w:w="1559" w:type="dxa"/>
          </w:tcPr>
          <w:p w:rsidR="009602B1" w:rsidRPr="003622F6" w:rsidRDefault="009602B1" w:rsidP="0049322C">
            <w:pPr>
              <w:pStyle w:val="ListParagraph1"/>
              <w:rPr>
                <w:lang w:eastAsia="zh-CN"/>
              </w:rPr>
            </w:pPr>
            <w:r>
              <w:rPr>
                <w:lang w:eastAsia="zh-CN"/>
              </w:rPr>
              <w:t>Renal activity</w:t>
            </w:r>
          </w:p>
        </w:tc>
        <w:tc>
          <w:tcPr>
            <w:tcW w:w="2211" w:type="dxa"/>
          </w:tcPr>
          <w:p w:rsidR="009602B1" w:rsidRPr="003622F6" w:rsidRDefault="009602B1" w:rsidP="0049322C">
            <w:pPr>
              <w:pStyle w:val="ListParagraph1"/>
              <w:rPr>
                <w:lang w:eastAsia="zh-CN"/>
              </w:rPr>
            </w:pPr>
            <w:r w:rsidRPr="003622F6">
              <w:rPr>
                <w:lang w:eastAsia="zh-CN"/>
              </w:rPr>
              <w:t xml:space="preserve">Renal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7.89 (4.04-15.04)</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Pr>
                <w:lang w:eastAsia="zh-CN"/>
              </w:rPr>
              <w:t>Birmingham</w:t>
            </w:r>
          </w:p>
        </w:tc>
        <w:tc>
          <w:tcPr>
            <w:tcW w:w="1559" w:type="dxa"/>
          </w:tcPr>
          <w:p w:rsidR="009602B1" w:rsidRPr="003622F6" w:rsidRDefault="009602B1" w:rsidP="0049322C">
            <w:pPr>
              <w:pStyle w:val="ListParagraph1"/>
              <w:rPr>
                <w:lang w:eastAsia="zh-CN"/>
              </w:rPr>
            </w:pPr>
            <w:r>
              <w:rPr>
                <w:lang w:eastAsia="zh-CN"/>
              </w:rPr>
              <w:t>Mucocutaneous activity</w:t>
            </w:r>
          </w:p>
        </w:tc>
        <w:tc>
          <w:tcPr>
            <w:tcW w:w="2211" w:type="dxa"/>
          </w:tcPr>
          <w:p w:rsidR="009602B1" w:rsidRPr="003622F6" w:rsidRDefault="009602B1" w:rsidP="0049322C">
            <w:pPr>
              <w:pStyle w:val="ListParagraph1"/>
              <w:rPr>
                <w:lang w:eastAsia="zh-CN"/>
              </w:rPr>
            </w:pPr>
            <w:r w:rsidRPr="003622F6">
              <w:rPr>
                <w:lang w:eastAsia="zh-CN"/>
              </w:rPr>
              <w:t xml:space="preserve">Mucocutaneous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1.98 (1.35-2.90)</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Mucocutaneous activity</w:t>
            </w:r>
          </w:p>
        </w:tc>
        <w:tc>
          <w:tcPr>
            <w:tcW w:w="2211" w:type="dxa"/>
          </w:tcPr>
          <w:p w:rsidR="009602B1" w:rsidRPr="003622F6" w:rsidRDefault="009602B1" w:rsidP="0049322C">
            <w:pPr>
              <w:pStyle w:val="ListParagraph1"/>
              <w:rPr>
                <w:lang w:eastAsia="zh-CN"/>
              </w:rPr>
            </w:pPr>
            <w:r w:rsidRPr="003622F6">
              <w:rPr>
                <w:lang w:eastAsia="zh-CN"/>
              </w:rPr>
              <w:t xml:space="preserve">Renal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0.38 (0.19-0.75)</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Mucocutaneous activity</w:t>
            </w:r>
          </w:p>
        </w:tc>
        <w:tc>
          <w:tcPr>
            <w:tcW w:w="2211" w:type="dxa"/>
          </w:tcPr>
          <w:p w:rsidR="009602B1" w:rsidRPr="003622F6" w:rsidRDefault="009602B1" w:rsidP="0049322C">
            <w:pPr>
              <w:pStyle w:val="ListParagraph1"/>
              <w:rPr>
                <w:lang w:eastAsia="zh-CN"/>
              </w:rPr>
            </w:pPr>
            <w:r w:rsidRPr="003622F6">
              <w:rPr>
                <w:lang w:eastAsia="zh-CN"/>
              </w:rPr>
              <w:t>Disease duration</w:t>
            </w:r>
          </w:p>
        </w:tc>
        <w:tc>
          <w:tcPr>
            <w:tcW w:w="1475" w:type="dxa"/>
          </w:tcPr>
          <w:p w:rsidR="009602B1" w:rsidRPr="003622F6" w:rsidRDefault="009602B1" w:rsidP="0049322C">
            <w:pPr>
              <w:pStyle w:val="ListParagraph1"/>
              <w:rPr>
                <w:lang w:eastAsia="zh-CN"/>
              </w:rPr>
            </w:pPr>
            <w:r w:rsidRPr="003622F6">
              <w:rPr>
                <w:lang w:eastAsia="zh-CN"/>
              </w:rPr>
              <w:t>0.86 (0.81-0.91)</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Renal activity</w:t>
            </w:r>
          </w:p>
        </w:tc>
        <w:tc>
          <w:tcPr>
            <w:tcW w:w="2211" w:type="dxa"/>
          </w:tcPr>
          <w:p w:rsidR="009602B1" w:rsidRPr="003622F6" w:rsidRDefault="009602B1" w:rsidP="0049322C">
            <w:pPr>
              <w:pStyle w:val="ListParagraph1"/>
              <w:rPr>
                <w:lang w:eastAsia="zh-CN"/>
              </w:rPr>
            </w:pPr>
            <w:r w:rsidRPr="003622F6">
              <w:rPr>
                <w:lang w:eastAsia="zh-CN"/>
              </w:rPr>
              <w:t xml:space="preserve">Renal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9.43 (4.27-20.79)</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Renal activity</w:t>
            </w:r>
          </w:p>
        </w:tc>
        <w:tc>
          <w:tcPr>
            <w:tcW w:w="2211" w:type="dxa"/>
          </w:tcPr>
          <w:p w:rsidR="009602B1" w:rsidRPr="003622F6" w:rsidRDefault="009602B1" w:rsidP="0049322C">
            <w:pPr>
              <w:pStyle w:val="ListParagraph1"/>
              <w:rPr>
                <w:lang w:eastAsia="zh-CN"/>
              </w:rPr>
            </w:pPr>
            <w:r w:rsidRPr="003622F6">
              <w:rPr>
                <w:lang w:eastAsia="zh-CN"/>
              </w:rPr>
              <w:t>Renal damage</w:t>
            </w:r>
          </w:p>
        </w:tc>
        <w:tc>
          <w:tcPr>
            <w:tcW w:w="1475" w:type="dxa"/>
          </w:tcPr>
          <w:p w:rsidR="009602B1" w:rsidRPr="003622F6" w:rsidRDefault="009602B1" w:rsidP="0049322C">
            <w:pPr>
              <w:pStyle w:val="ListParagraph1"/>
              <w:rPr>
                <w:lang w:eastAsia="zh-CN"/>
              </w:rPr>
            </w:pPr>
            <w:r w:rsidRPr="003622F6">
              <w:rPr>
                <w:lang w:eastAsia="zh-CN"/>
              </w:rPr>
              <w:t>3.39 (2.12-5.44)</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Pr="003622F6" w:rsidRDefault="009602B1" w:rsidP="007C4559">
            <w:pPr>
              <w:pStyle w:val="ListParagraph1"/>
              <w:rPr>
                <w:lang w:eastAsia="zh-CN"/>
              </w:rPr>
            </w:pPr>
            <w:r w:rsidRPr="00FD0769">
              <w:rPr>
                <w:lang w:eastAsia="zh-CN"/>
              </w:rPr>
              <w:t>Birmingham</w:t>
            </w:r>
          </w:p>
        </w:tc>
        <w:tc>
          <w:tcPr>
            <w:tcW w:w="1559" w:type="dxa"/>
          </w:tcPr>
          <w:p w:rsidR="009602B1" w:rsidRPr="003622F6" w:rsidRDefault="009602B1" w:rsidP="007C4559">
            <w:pPr>
              <w:pStyle w:val="ListParagraph1"/>
              <w:rPr>
                <w:lang w:eastAsia="zh-CN"/>
              </w:rPr>
            </w:pPr>
            <w:r w:rsidRPr="003622F6">
              <w:rPr>
                <w:lang w:eastAsia="zh-CN"/>
              </w:rPr>
              <w:t xml:space="preserve">Renal </w:t>
            </w:r>
            <w:r>
              <w:rPr>
                <w:lang w:eastAsia="zh-CN"/>
              </w:rPr>
              <w:t>activity</w:t>
            </w:r>
          </w:p>
        </w:tc>
        <w:tc>
          <w:tcPr>
            <w:tcW w:w="2211" w:type="dxa"/>
          </w:tcPr>
          <w:p w:rsidR="009602B1" w:rsidRPr="003622F6" w:rsidRDefault="009602B1" w:rsidP="0049322C">
            <w:pPr>
              <w:pStyle w:val="ListParagraph1"/>
              <w:rPr>
                <w:lang w:eastAsia="zh-CN"/>
              </w:rPr>
            </w:pPr>
            <w:r w:rsidRPr="003622F6">
              <w:rPr>
                <w:lang w:eastAsia="zh-CN"/>
              </w:rPr>
              <w:t xml:space="preserve">Musculoskeletal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0.58 (0.39-0.87)</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Musculoskeletal activity</w:t>
            </w:r>
          </w:p>
        </w:tc>
        <w:tc>
          <w:tcPr>
            <w:tcW w:w="2211" w:type="dxa"/>
          </w:tcPr>
          <w:p w:rsidR="009602B1" w:rsidRPr="003622F6" w:rsidRDefault="009602B1" w:rsidP="0049322C">
            <w:pPr>
              <w:pStyle w:val="ListParagraph1"/>
              <w:rPr>
                <w:lang w:eastAsia="zh-CN"/>
              </w:rPr>
            </w:pPr>
            <w:r w:rsidRPr="003622F6">
              <w:rPr>
                <w:lang w:eastAsia="zh-CN"/>
              </w:rPr>
              <w:t xml:space="preserve">Musculoskeletal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3.28 (1.60-6.73)</w:t>
            </w:r>
          </w:p>
        </w:tc>
      </w:tr>
      <w:tr w:rsidR="009602B1" w:rsidRPr="003622F6" w:rsidTr="00CD16C3">
        <w:tc>
          <w:tcPr>
            <w:tcW w:w="1021" w:type="dxa"/>
          </w:tcPr>
          <w:p w:rsidR="009602B1" w:rsidRPr="003622F6" w:rsidRDefault="009602B1" w:rsidP="0049322C">
            <w:pPr>
              <w:pStyle w:val="ListParagraph1"/>
              <w:rPr>
                <w:lang w:eastAsia="zh-CN"/>
              </w:rPr>
            </w:pPr>
            <w:r w:rsidRPr="003622F6">
              <w:rPr>
                <w:lang w:eastAsia="zh-CN"/>
              </w:rPr>
              <w:t>Allen</w:t>
            </w:r>
            <w:r>
              <w:rPr>
                <w:lang w:eastAsia="zh-CN"/>
              </w:rPr>
              <w:t xml:space="preserve"> </w:t>
            </w:r>
            <w:r w:rsidR="00E729BA">
              <w:rPr>
                <w:lang w:eastAsia="zh-CN"/>
              </w:rPr>
              <w:fldChar w:fldCharType="begin"/>
            </w:r>
            <w:r w:rsidR="00FC61FD">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rPr>
                <w:lang w:eastAsia="zh-CN"/>
              </w:rPr>
              <w:fldChar w:fldCharType="separate"/>
            </w:r>
            <w:r>
              <w:rPr>
                <w:lang w:eastAsia="zh-CN"/>
              </w:rPr>
              <w:t>(138)</w:t>
            </w:r>
            <w:r w:rsidR="00E729BA">
              <w:rPr>
                <w:lang w:eastAsia="zh-CN"/>
              </w:rPr>
              <w:fldChar w:fldCharType="end"/>
            </w:r>
          </w:p>
        </w:tc>
        <w:tc>
          <w:tcPr>
            <w:tcW w:w="425" w:type="dxa"/>
          </w:tcPr>
          <w:p w:rsidR="009602B1" w:rsidRPr="003622F6" w:rsidRDefault="009602B1" w:rsidP="0049322C">
            <w:pPr>
              <w:pStyle w:val="ListParagraph1"/>
              <w:rPr>
                <w:lang w:eastAsia="zh-CN"/>
              </w:rPr>
            </w:pPr>
            <w:r w:rsidRPr="003622F6">
              <w:rPr>
                <w:lang w:eastAsia="zh-CN"/>
              </w:rPr>
              <w:t>2006</w:t>
            </w:r>
          </w:p>
        </w:tc>
        <w:tc>
          <w:tcPr>
            <w:tcW w:w="709" w:type="dxa"/>
          </w:tcPr>
          <w:p w:rsidR="009602B1" w:rsidRPr="003622F6" w:rsidRDefault="009602B1" w:rsidP="0049322C">
            <w:pPr>
              <w:pStyle w:val="ListParagraph1"/>
              <w:rPr>
                <w:lang w:eastAsia="zh-CN"/>
              </w:rPr>
            </w:pPr>
            <w:r w:rsidRPr="003622F6">
              <w:rPr>
                <w:lang w:eastAsia="zh-CN"/>
              </w:rPr>
              <w:t>411</w:t>
            </w:r>
          </w:p>
        </w:tc>
        <w:tc>
          <w:tcPr>
            <w:tcW w:w="992" w:type="dxa"/>
          </w:tcPr>
          <w:p w:rsidR="009602B1" w:rsidRDefault="009602B1" w:rsidP="0049322C">
            <w:pPr>
              <w:pStyle w:val="ListParagraph1"/>
              <w:rPr>
                <w:lang w:eastAsia="zh-CN"/>
              </w:rPr>
            </w:pPr>
            <w:r w:rsidRPr="00FD0769">
              <w:rPr>
                <w:lang w:eastAsia="zh-CN"/>
              </w:rPr>
              <w:t>Birmingham</w:t>
            </w:r>
          </w:p>
        </w:tc>
        <w:tc>
          <w:tcPr>
            <w:tcW w:w="1559" w:type="dxa"/>
          </w:tcPr>
          <w:p w:rsidR="009602B1" w:rsidRPr="003622F6" w:rsidRDefault="009602B1" w:rsidP="0049322C">
            <w:pPr>
              <w:pStyle w:val="ListParagraph1"/>
              <w:rPr>
                <w:lang w:eastAsia="zh-CN"/>
              </w:rPr>
            </w:pPr>
            <w:r>
              <w:rPr>
                <w:lang w:eastAsia="zh-CN"/>
              </w:rPr>
              <w:t>Musculoskeletal activity</w:t>
            </w:r>
          </w:p>
        </w:tc>
        <w:tc>
          <w:tcPr>
            <w:tcW w:w="2211" w:type="dxa"/>
          </w:tcPr>
          <w:p w:rsidR="009602B1" w:rsidRPr="003622F6" w:rsidRDefault="009602B1" w:rsidP="0049322C">
            <w:pPr>
              <w:pStyle w:val="ListParagraph1"/>
              <w:rPr>
                <w:lang w:eastAsia="zh-CN"/>
              </w:rPr>
            </w:pPr>
            <w:r w:rsidRPr="003622F6">
              <w:rPr>
                <w:lang w:eastAsia="zh-CN"/>
              </w:rPr>
              <w:t xml:space="preserve">Renal </w:t>
            </w:r>
            <w:r>
              <w:rPr>
                <w:lang w:eastAsia="zh-CN"/>
              </w:rPr>
              <w:t>activity</w:t>
            </w:r>
          </w:p>
        </w:tc>
        <w:tc>
          <w:tcPr>
            <w:tcW w:w="1475" w:type="dxa"/>
          </w:tcPr>
          <w:p w:rsidR="009602B1" w:rsidRPr="003622F6" w:rsidRDefault="009602B1" w:rsidP="0049322C">
            <w:pPr>
              <w:pStyle w:val="ListParagraph1"/>
              <w:rPr>
                <w:lang w:eastAsia="zh-CN"/>
              </w:rPr>
            </w:pPr>
            <w:r w:rsidRPr="003622F6">
              <w:rPr>
                <w:lang w:eastAsia="zh-CN"/>
              </w:rPr>
              <w:t>0.649 (0.471-0.894)</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Allen</w:t>
            </w:r>
            <w:r>
              <w:rPr>
                <w:lang w:eastAsia="zh-CN"/>
              </w:rPr>
              <w:t xml:space="preserve"> </w:t>
            </w:r>
            <w:r>
              <w:rPr>
                <w:lang w:eastAsia="zh-CN"/>
              </w:rPr>
              <w:fldChar w:fldCharType="begin"/>
            </w:r>
            <w:r>
              <w:rPr>
                <w:lang w:eastAsia="zh-CN"/>
              </w:rPr>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Pr>
                <w:lang w:eastAsia="zh-CN"/>
              </w:rPr>
              <w:fldChar w:fldCharType="separate"/>
            </w:r>
            <w:r>
              <w:rPr>
                <w:lang w:eastAsia="zh-CN"/>
              </w:rPr>
              <w:t>(138)</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2006</w:t>
            </w:r>
          </w:p>
        </w:tc>
        <w:tc>
          <w:tcPr>
            <w:tcW w:w="709" w:type="dxa"/>
          </w:tcPr>
          <w:p w:rsidR="00CD16C3" w:rsidRPr="003622F6" w:rsidRDefault="00CD16C3" w:rsidP="00BD2483">
            <w:pPr>
              <w:pStyle w:val="ListParagraph1"/>
              <w:rPr>
                <w:lang w:eastAsia="zh-CN"/>
              </w:rPr>
            </w:pPr>
            <w:r w:rsidRPr="003622F6">
              <w:rPr>
                <w:lang w:eastAsia="zh-CN"/>
              </w:rPr>
              <w:t>411</w:t>
            </w:r>
          </w:p>
        </w:tc>
        <w:tc>
          <w:tcPr>
            <w:tcW w:w="992" w:type="dxa"/>
          </w:tcPr>
          <w:p w:rsidR="00CD16C3" w:rsidRPr="00FD0769" w:rsidRDefault="00CD16C3" w:rsidP="0049322C">
            <w:pPr>
              <w:pStyle w:val="ListParagraph1"/>
              <w:rPr>
                <w:lang w:eastAsia="zh-CN"/>
              </w:rPr>
            </w:pPr>
            <w:r>
              <w:rPr>
                <w:lang w:eastAsia="zh-CN"/>
              </w:rPr>
              <w:t>Birmingham</w:t>
            </w:r>
          </w:p>
        </w:tc>
        <w:tc>
          <w:tcPr>
            <w:tcW w:w="1559" w:type="dxa"/>
          </w:tcPr>
          <w:p w:rsidR="00CD16C3" w:rsidRPr="003622F6" w:rsidRDefault="00CD16C3" w:rsidP="00BD2483">
            <w:pPr>
              <w:pStyle w:val="ListParagraph1"/>
              <w:rPr>
                <w:lang w:eastAsia="zh-CN"/>
              </w:rPr>
            </w:pPr>
            <w:r>
              <w:rPr>
                <w:lang w:eastAsia="zh-CN"/>
              </w:rPr>
              <w:t>Musculoskeletal activity</w:t>
            </w:r>
          </w:p>
        </w:tc>
        <w:tc>
          <w:tcPr>
            <w:tcW w:w="2211" w:type="dxa"/>
          </w:tcPr>
          <w:p w:rsidR="00CD16C3" w:rsidRPr="003622F6" w:rsidRDefault="00CD16C3" w:rsidP="00BD2483">
            <w:pPr>
              <w:pStyle w:val="ListParagraph1"/>
              <w:rPr>
                <w:lang w:eastAsia="zh-CN"/>
              </w:rPr>
            </w:pPr>
            <w:r w:rsidRPr="003622F6">
              <w:rPr>
                <w:lang w:eastAsia="zh-CN"/>
              </w:rPr>
              <w:t>Disease duration</w:t>
            </w:r>
          </w:p>
        </w:tc>
        <w:tc>
          <w:tcPr>
            <w:tcW w:w="1475" w:type="dxa"/>
          </w:tcPr>
          <w:p w:rsidR="00CD16C3" w:rsidRPr="003622F6" w:rsidRDefault="00CD16C3" w:rsidP="00BD2483">
            <w:pPr>
              <w:pStyle w:val="ListParagraph1"/>
              <w:rPr>
                <w:lang w:eastAsia="zh-CN"/>
              </w:rPr>
            </w:pPr>
            <w:r w:rsidRPr="003622F6">
              <w:rPr>
                <w:lang w:eastAsia="zh-CN"/>
              </w:rPr>
              <w:t>0.923 (0.865-0.985)</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Bertoli</w:t>
            </w:r>
            <w:r>
              <w:rPr>
                <w:lang w:eastAsia="zh-CN"/>
              </w:rPr>
              <w:t xml:space="preserve"> </w:t>
            </w:r>
            <w:r>
              <w:rPr>
                <w:lang w:eastAsia="zh-CN"/>
              </w:rPr>
              <w:fldChar w:fldCharType="begin"/>
            </w:r>
            <w:r>
              <w:rPr>
                <w:lang w:eastAsia="zh-CN"/>
              </w:rPr>
              <w:instrText xml:space="preserve"> ADDIN REFMGR.CITE &lt;Refman&gt;&lt;Cite&gt;&lt;Author&gt;Bertoli&lt;/Author&gt;&lt;Year&gt;2006&lt;/Year&gt;&lt;RecNum&gt;502&lt;/RecNum&gt;&lt;IDText&gt;Systemic lupus erythematosus in a multiethnic U.S. cohort (LUMINA) XXVII: factors predictive of a decline to low levels of disease activity&lt;/IDText&gt;&lt;MDL Ref_Type="Journal"&gt;&lt;Ref_Type&gt;Journal&lt;/Ref_Type&gt;&lt;Ref_ID&gt;502&lt;/Ref_ID&gt;&lt;Title_Primary&gt;Systemic lupus erythematosus in a multiethnic U.S. cohort (LUMINA) XXVII: factors predictive of a decline to low levels of disease activity&lt;/Title_Primary&gt;&lt;Authors_Primary&gt;Bertoli,A.M.&lt;/Authors_Primary&gt;&lt;Authors_Primary&gt;Alarcon,G.S.&lt;/Authors_Primary&gt;&lt;Authors_Primary&gt;McGwin,G.,Jr.&lt;/Authors_Primary&gt;&lt;Authors_Primary&gt;Fernandez,M.&lt;/Authors_Primary&gt;&lt;Authors_Primary&gt;Bastian,H.M.&lt;/Authors_Primary&gt;&lt;Authors_Primary&gt;Fessler,B.J.&lt;/Authors_Primary&gt;&lt;Authors_Primary&gt;Vila,L.M.&lt;/Authors_Primary&gt;&lt;Authors_Primary&gt;Reveille,J.D.&lt;/Authors_Primary&gt;&lt;Date_Primary&gt;2006&lt;/Date_Primary&gt;&lt;Keywords&gt;Adult&lt;/Keywords&gt;&lt;Keywords&gt;African Americans&lt;/Keywords&gt;&lt;Keywords&gt;Alabama&lt;/Keywords&gt;&lt;Keywords&gt;analysis&lt;/Keywords&gt;&lt;Keywords&gt;Confidence Intervals&lt;/Keywords&gt;&lt;Keywords&gt;diagnosis&lt;/Keywords&gt;&lt;Keywords&gt;Disease&lt;/Keywords&gt;&lt;Keywords&gt;Disease Progression&lt;/Keywords&gt;&lt;Keywords&gt;epidemiology&lt;/Keywords&gt;&lt;Keywords&gt;erythematosus&lt;/Keywords&gt;&lt;Keywords&gt;ethnology&lt;/Keywords&gt;&lt;Keywords&gt;European Continental Ancestry Group&lt;/Keywords&gt;&lt;Keywords&gt;Female&lt;/Keywords&gt;&lt;Keywords&gt;Follow-Up Studies&lt;/Keywords&gt;&lt;Keywords&gt;Hispanic Americans&lt;/Keywords&gt;&lt;Keywords&gt;Humans&lt;/Keywords&gt;&lt;Keywords&gt;immunology&lt;/Keywords&gt;&lt;Keywords&gt;Incidence&lt;/Keywords&gt;&lt;Keywords&gt;lupus erythematosus&lt;/Keywords&gt;&lt;Keywords&gt;Lupus Erythematosus,Systemic&lt;/Keywords&gt;&lt;Keywords&gt;Male&lt;/Keywords&gt;&lt;Keywords&gt;patient&lt;/Keywords&gt;&lt;Keywords&gt;Patients&lt;/Keywords&gt;&lt;Keywords&gt;Prognosis&lt;/Keywords&gt;&lt;Keywords&gt;Puerto Rico&lt;/Keywords&gt;&lt;Keywords&gt;Retrospective Studies&lt;/Keywords&gt;&lt;Keywords&gt;Rheumatology&lt;/Keywords&gt;&lt;Keywords&gt;Severity of Illness Index&lt;/Keywords&gt;&lt;Keywords&gt;Social Support&lt;/Keywords&gt;&lt;Keywords&gt;systemic lupus erythematosus&lt;/Keywords&gt;&lt;Keywords&gt;Texas&lt;/Keywords&gt;&lt;Keywords&gt;United States&lt;/Keywords&gt;&lt;Reprint&gt;Not in File&lt;/Reprint&gt;&lt;Start_Page&gt;13&lt;/Start_Page&gt;&lt;End_Page&gt;18&lt;/End_Page&gt;&lt;Periodical&gt;Lupus.&lt;/Periodical&gt;&lt;Volume&gt;15&lt;/Volume&gt;&lt;Issue&gt;1&lt;/Issue&gt;&lt;User_Def_1&gt;y&lt;/User_Def_1&gt;&lt;ZZ_JournalStdAbbrev&gt;&lt;f name="System"&gt;Lupus.&lt;/f&gt;&lt;/ZZ_JournalStdAbbrev&gt;&lt;ZZ_WorkformID&gt;1&lt;/ZZ_WorkformID&gt;&lt;/MDL&gt;&lt;/Cite&gt;&lt;/Refman&gt;</w:instrText>
            </w:r>
            <w:r>
              <w:rPr>
                <w:lang w:eastAsia="zh-CN"/>
              </w:rPr>
              <w:fldChar w:fldCharType="separate"/>
            </w:r>
            <w:r>
              <w:rPr>
                <w:lang w:eastAsia="zh-CN"/>
              </w:rPr>
              <w:t>(139)</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2006</w:t>
            </w:r>
          </w:p>
        </w:tc>
        <w:tc>
          <w:tcPr>
            <w:tcW w:w="709" w:type="dxa"/>
          </w:tcPr>
          <w:p w:rsidR="00CD16C3" w:rsidRPr="003622F6" w:rsidRDefault="00CD16C3" w:rsidP="00BD2483">
            <w:pPr>
              <w:pStyle w:val="ListParagraph1"/>
              <w:rPr>
                <w:lang w:eastAsia="zh-CN"/>
              </w:rPr>
            </w:pPr>
            <w:r w:rsidRPr="003622F6">
              <w:rPr>
                <w:lang w:eastAsia="zh-CN"/>
              </w:rPr>
              <w:t>287</w:t>
            </w:r>
          </w:p>
        </w:tc>
        <w:tc>
          <w:tcPr>
            <w:tcW w:w="992" w:type="dxa"/>
          </w:tcPr>
          <w:p w:rsidR="00CD16C3" w:rsidRPr="00FD0769" w:rsidRDefault="00CD16C3" w:rsidP="0049322C">
            <w:pPr>
              <w:pStyle w:val="ListParagraph1"/>
              <w:rPr>
                <w:lang w:eastAsia="zh-CN"/>
              </w:rPr>
            </w:pPr>
            <w:r>
              <w:rPr>
                <w:lang w:eastAsia="zh-CN"/>
              </w:rPr>
              <w:t>LUMINA</w:t>
            </w:r>
          </w:p>
        </w:tc>
        <w:tc>
          <w:tcPr>
            <w:tcW w:w="1559" w:type="dxa"/>
          </w:tcPr>
          <w:p w:rsidR="00CD16C3" w:rsidRPr="003622F6" w:rsidRDefault="00CD16C3" w:rsidP="00BD2483">
            <w:pPr>
              <w:pStyle w:val="ListParagraph1"/>
              <w:rPr>
                <w:lang w:eastAsia="zh-CN"/>
              </w:rPr>
            </w:pPr>
            <w:r w:rsidRPr="003622F6">
              <w:rPr>
                <w:lang w:eastAsia="zh-CN"/>
              </w:rPr>
              <w:t>Low level disease activity</w:t>
            </w:r>
          </w:p>
        </w:tc>
        <w:tc>
          <w:tcPr>
            <w:tcW w:w="2211" w:type="dxa"/>
          </w:tcPr>
          <w:p w:rsidR="00CD16C3" w:rsidRPr="003622F6" w:rsidRDefault="00CD16C3" w:rsidP="00BD2483">
            <w:pPr>
              <w:pStyle w:val="ListParagraph1"/>
              <w:rPr>
                <w:lang w:eastAsia="zh-CN"/>
              </w:rPr>
            </w:pPr>
            <w:r w:rsidRPr="003622F6">
              <w:rPr>
                <w:lang w:eastAsia="zh-CN"/>
              </w:rPr>
              <w:t>Social support</w:t>
            </w:r>
          </w:p>
        </w:tc>
        <w:tc>
          <w:tcPr>
            <w:tcW w:w="1475" w:type="dxa"/>
          </w:tcPr>
          <w:p w:rsidR="00CD16C3" w:rsidRPr="003622F6" w:rsidRDefault="00CD16C3" w:rsidP="00BD2483">
            <w:pPr>
              <w:pStyle w:val="ListParagraph1"/>
              <w:rPr>
                <w:lang w:eastAsia="zh-CN"/>
              </w:rPr>
            </w:pPr>
            <w:r w:rsidRPr="003622F6">
              <w:rPr>
                <w:lang w:eastAsia="zh-CN"/>
              </w:rPr>
              <w:t>1.21 (1.06-1.38)</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Bertoli</w:t>
            </w:r>
            <w:r>
              <w:rPr>
                <w:lang w:eastAsia="zh-CN"/>
              </w:rPr>
              <w:t xml:space="preserve"> </w:t>
            </w:r>
            <w:r>
              <w:rPr>
                <w:lang w:eastAsia="zh-CN"/>
              </w:rPr>
              <w:fldChar w:fldCharType="begin"/>
            </w:r>
            <w:r>
              <w:rPr>
                <w:lang w:eastAsia="zh-CN"/>
              </w:rPr>
              <w:instrText xml:space="preserve"> ADDIN REFMGR.CITE &lt;Refman&gt;&lt;Cite&gt;&lt;Author&gt;Bertoli&lt;/Author&gt;&lt;Year&gt;2006&lt;/Year&gt;&lt;RecNum&gt;502&lt;/RecNum&gt;&lt;IDText&gt;Systemic lupus erythematosus in a multiethnic U.S. cohort (LUMINA) XXVII: factors predictive of a decline to low levels of disease activity&lt;/IDText&gt;&lt;MDL Ref_Type="Journal"&gt;&lt;Ref_Type&gt;Journal&lt;/Ref_Type&gt;&lt;Ref_ID&gt;502&lt;/Ref_ID&gt;&lt;Title_Primary&gt;Systemic lupus erythematosus in a multiethnic U.S. cohort (LUMINA) XXVII: factors predictive of a decline to low levels of disease activity&lt;/Title_Primary&gt;&lt;Authors_Primary&gt;Bertoli,A.M.&lt;/Authors_Primary&gt;&lt;Authors_Primary&gt;Alarcon,G.S.&lt;/Authors_Primary&gt;&lt;Authors_Primary&gt;McGwin,G.,Jr.&lt;/Authors_Primary&gt;&lt;Authors_Primary&gt;Fernandez,M.&lt;/Authors_Primary&gt;&lt;Authors_Primary&gt;Bastian,H.M.&lt;/Authors_Primary&gt;&lt;Authors_Primary&gt;Fessler,B.J.&lt;/Authors_Primary&gt;&lt;Authors_Primary&gt;Vila,L.M.&lt;/Authors_Primary&gt;&lt;Authors_Primary&gt;Reveille,J.D.&lt;/Authors_Primary&gt;&lt;Date_Primary&gt;2006&lt;/Date_Primary&gt;&lt;Keywords&gt;Adult&lt;/Keywords&gt;&lt;Keywords&gt;African Americans&lt;/Keywords&gt;&lt;Keywords&gt;Alabama&lt;/Keywords&gt;&lt;Keywords&gt;analysis&lt;/Keywords&gt;&lt;Keywords&gt;Confidence Intervals&lt;/Keywords&gt;&lt;Keywords&gt;diagnosis&lt;/Keywords&gt;&lt;Keywords&gt;Disease&lt;/Keywords&gt;&lt;Keywords&gt;Disease Progression&lt;/Keywords&gt;&lt;Keywords&gt;epidemiology&lt;/Keywords&gt;&lt;Keywords&gt;erythematosus&lt;/Keywords&gt;&lt;Keywords&gt;ethnology&lt;/Keywords&gt;&lt;Keywords&gt;European Continental Ancestry Group&lt;/Keywords&gt;&lt;Keywords&gt;Female&lt;/Keywords&gt;&lt;Keywords&gt;Follow-Up Studies&lt;/Keywords&gt;&lt;Keywords&gt;Hispanic Americans&lt;/Keywords&gt;&lt;Keywords&gt;Humans&lt;/Keywords&gt;&lt;Keywords&gt;immunology&lt;/Keywords&gt;&lt;Keywords&gt;Incidence&lt;/Keywords&gt;&lt;Keywords&gt;lupus erythematosus&lt;/Keywords&gt;&lt;Keywords&gt;Lupus Erythematosus,Systemic&lt;/Keywords&gt;&lt;Keywords&gt;Male&lt;/Keywords&gt;&lt;Keywords&gt;patient&lt;/Keywords&gt;&lt;Keywords&gt;Patients&lt;/Keywords&gt;&lt;Keywords&gt;Prognosis&lt;/Keywords&gt;&lt;Keywords&gt;Puerto Rico&lt;/Keywords&gt;&lt;Keywords&gt;Retrospective Studies&lt;/Keywords&gt;&lt;Keywords&gt;Rheumatology&lt;/Keywords&gt;&lt;Keywords&gt;Severity of Illness Index&lt;/Keywords&gt;&lt;Keywords&gt;Social Support&lt;/Keywords&gt;&lt;Keywords&gt;systemic lupus erythematosus&lt;/Keywords&gt;&lt;Keywords&gt;Texas&lt;/Keywords&gt;&lt;Keywords&gt;United States&lt;/Keywords&gt;&lt;Reprint&gt;Not in File&lt;/Reprint&gt;&lt;Start_Page&gt;13&lt;/Start_Page&gt;&lt;End_Page&gt;18&lt;/End_Page&gt;&lt;Periodical&gt;Lupus.&lt;/Periodical&gt;&lt;Volume&gt;15&lt;/Volume&gt;&lt;Issue&gt;1&lt;/Issue&gt;&lt;User_Def_1&gt;y&lt;/User_Def_1&gt;&lt;ZZ_JournalStdAbbrev&gt;&lt;f name="System"&gt;Lupus.&lt;/f&gt;&lt;/ZZ_JournalStdAbbrev&gt;&lt;ZZ_WorkformID&gt;1&lt;/ZZ_WorkformID&gt;&lt;/MDL&gt;&lt;/Cite&gt;&lt;/Refman&gt;</w:instrText>
            </w:r>
            <w:r>
              <w:rPr>
                <w:lang w:eastAsia="zh-CN"/>
              </w:rPr>
              <w:fldChar w:fldCharType="separate"/>
            </w:r>
            <w:r>
              <w:rPr>
                <w:lang w:eastAsia="zh-CN"/>
              </w:rPr>
              <w:t>(139)</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2006</w:t>
            </w:r>
          </w:p>
        </w:tc>
        <w:tc>
          <w:tcPr>
            <w:tcW w:w="709" w:type="dxa"/>
          </w:tcPr>
          <w:p w:rsidR="00CD16C3" w:rsidRPr="003622F6" w:rsidRDefault="00CD16C3" w:rsidP="00BD2483">
            <w:pPr>
              <w:pStyle w:val="ListParagraph1"/>
              <w:rPr>
                <w:lang w:eastAsia="zh-CN"/>
              </w:rPr>
            </w:pPr>
            <w:r w:rsidRPr="003622F6">
              <w:rPr>
                <w:lang w:eastAsia="zh-CN"/>
              </w:rPr>
              <w:t>287</w:t>
            </w:r>
          </w:p>
        </w:tc>
        <w:tc>
          <w:tcPr>
            <w:tcW w:w="992" w:type="dxa"/>
          </w:tcPr>
          <w:p w:rsidR="00CD16C3" w:rsidRPr="00FD0769" w:rsidRDefault="00CD16C3" w:rsidP="0049322C">
            <w:pPr>
              <w:pStyle w:val="ListParagraph1"/>
              <w:rPr>
                <w:lang w:eastAsia="zh-CN"/>
              </w:rPr>
            </w:pPr>
            <w:r>
              <w:rPr>
                <w:lang w:eastAsia="zh-CN"/>
              </w:rPr>
              <w:t>LUMINA</w:t>
            </w:r>
          </w:p>
        </w:tc>
        <w:tc>
          <w:tcPr>
            <w:tcW w:w="1559" w:type="dxa"/>
          </w:tcPr>
          <w:p w:rsidR="00CD16C3" w:rsidRPr="003622F6" w:rsidRDefault="00CD16C3" w:rsidP="00BD2483">
            <w:pPr>
              <w:pStyle w:val="ListParagraph1"/>
              <w:rPr>
                <w:lang w:eastAsia="zh-CN"/>
              </w:rPr>
            </w:pPr>
            <w:r w:rsidRPr="003622F6">
              <w:rPr>
                <w:lang w:eastAsia="zh-CN"/>
              </w:rPr>
              <w:t>Low level disease activity</w:t>
            </w:r>
          </w:p>
        </w:tc>
        <w:tc>
          <w:tcPr>
            <w:tcW w:w="2211" w:type="dxa"/>
          </w:tcPr>
          <w:p w:rsidR="00CD16C3" w:rsidRPr="003622F6" w:rsidRDefault="00CD16C3" w:rsidP="00BD2483">
            <w:pPr>
              <w:pStyle w:val="ListParagraph1"/>
              <w:rPr>
                <w:lang w:eastAsia="zh-CN"/>
              </w:rPr>
            </w:pPr>
            <w:r w:rsidRPr="003622F6">
              <w:rPr>
                <w:lang w:eastAsia="zh-CN"/>
              </w:rPr>
              <w:t>No. ACR diagnostic criteria</w:t>
            </w:r>
          </w:p>
        </w:tc>
        <w:tc>
          <w:tcPr>
            <w:tcW w:w="1475" w:type="dxa"/>
          </w:tcPr>
          <w:p w:rsidR="00CD16C3" w:rsidRPr="003622F6" w:rsidRDefault="00CD16C3" w:rsidP="00BD2483">
            <w:pPr>
              <w:pStyle w:val="ListParagraph1"/>
              <w:rPr>
                <w:lang w:eastAsia="zh-CN"/>
              </w:rPr>
            </w:pPr>
            <w:r w:rsidRPr="003622F6">
              <w:rPr>
                <w:lang w:eastAsia="zh-CN"/>
              </w:rPr>
              <w:t>0.77 (0.63-0.93)</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Bertoli</w:t>
            </w:r>
            <w:r>
              <w:rPr>
                <w:lang w:eastAsia="zh-CN"/>
              </w:rPr>
              <w:t xml:space="preserve"> </w:t>
            </w:r>
            <w:r>
              <w:rPr>
                <w:lang w:eastAsia="zh-CN"/>
              </w:rPr>
              <w:fldChar w:fldCharType="begin"/>
            </w:r>
            <w:r>
              <w:rPr>
                <w:lang w:eastAsia="zh-CN"/>
              </w:rPr>
              <w:instrText xml:space="preserve"> ADDIN REFMGR.CITE &lt;Refman&gt;&lt;Cite&gt;&lt;Author&gt;Bertoli&lt;/Author&gt;&lt;Year&gt;2006&lt;/Year&gt;&lt;RecNum&gt;502&lt;/RecNum&gt;&lt;IDText&gt;Systemic lupus erythematosus in a multiethnic U.S. cohort (LUMINA) XXVII: factors predictive of a decline to low levels of disease activity&lt;/IDText&gt;&lt;MDL Ref_Type="Journal"&gt;&lt;Ref_Type&gt;Journal&lt;/Ref_Type&gt;&lt;Ref_ID&gt;502&lt;/Ref_ID&gt;&lt;Title_Primary&gt;Systemic lupus erythematosus in a multiethnic U.S. cohort (LUMINA) XXVII: factors predictive of a decline to low levels of disease activity&lt;/Title_Primary&gt;&lt;Authors_Primary&gt;Bertoli,A.M.&lt;/Authors_Primary&gt;&lt;Authors_Primary&gt;Alarcon,G.S.&lt;/Authors_Primary&gt;&lt;Authors_Primary&gt;McGwin,G.,Jr.&lt;/Authors_Primary&gt;&lt;Authors_Primary&gt;Fernandez,M.&lt;/Authors_Primary&gt;&lt;Authors_Primary&gt;Bastian,H.M.&lt;/Authors_Primary&gt;&lt;Authors_Primary&gt;Fessler,B.J.&lt;/Authors_Primary&gt;&lt;Authors_Primary&gt;Vila,L.M.&lt;/Authors_Primary&gt;&lt;Authors_Primary&gt;Reveille,J.D.&lt;/Authors_Primary&gt;&lt;Date_Primary&gt;2006&lt;/Date_Primary&gt;&lt;Keywords&gt;Adult&lt;/Keywords&gt;&lt;Keywords&gt;African Americans&lt;/Keywords&gt;&lt;Keywords&gt;Alabama&lt;/Keywords&gt;&lt;Keywords&gt;analysis&lt;/Keywords&gt;&lt;Keywords&gt;Confidence Intervals&lt;/Keywords&gt;&lt;Keywords&gt;diagnosis&lt;/Keywords&gt;&lt;Keywords&gt;Disease&lt;/Keywords&gt;&lt;Keywords&gt;Disease Progression&lt;/Keywords&gt;&lt;Keywords&gt;epidemiology&lt;/Keywords&gt;&lt;Keywords&gt;erythematosus&lt;/Keywords&gt;&lt;Keywords&gt;ethnology&lt;/Keywords&gt;&lt;Keywords&gt;European Continental Ancestry Group&lt;/Keywords&gt;&lt;Keywords&gt;Female&lt;/Keywords&gt;&lt;Keywords&gt;Follow-Up Studies&lt;/Keywords&gt;&lt;Keywords&gt;Hispanic Americans&lt;/Keywords&gt;&lt;Keywords&gt;Humans&lt;/Keywords&gt;&lt;Keywords&gt;immunology&lt;/Keywords&gt;&lt;Keywords&gt;Incidence&lt;/Keywords&gt;&lt;Keywords&gt;lupus erythematosus&lt;/Keywords&gt;&lt;Keywords&gt;Lupus Erythematosus,Systemic&lt;/Keywords&gt;&lt;Keywords&gt;Male&lt;/Keywords&gt;&lt;Keywords&gt;patient&lt;/Keywords&gt;&lt;Keywords&gt;Patients&lt;/Keywords&gt;&lt;Keywords&gt;Prognosis&lt;/Keywords&gt;&lt;Keywords&gt;Puerto Rico&lt;/Keywords&gt;&lt;Keywords&gt;Retrospective Studies&lt;/Keywords&gt;&lt;Keywords&gt;Rheumatology&lt;/Keywords&gt;&lt;Keywords&gt;Severity of Illness Index&lt;/Keywords&gt;&lt;Keywords&gt;Social Support&lt;/Keywords&gt;&lt;Keywords&gt;systemic lupus erythematosus&lt;/Keywords&gt;&lt;Keywords&gt;Texas&lt;/Keywords&gt;&lt;Keywords&gt;United States&lt;/Keywords&gt;&lt;Reprint&gt;Not in File&lt;/Reprint&gt;&lt;Start_Page&gt;13&lt;/Start_Page&gt;&lt;End_Page&gt;18&lt;/End_Page&gt;&lt;Periodical&gt;Lupus.&lt;/Periodical&gt;&lt;Volume&gt;15&lt;/Volume&gt;&lt;Issue&gt;1&lt;/Issue&gt;&lt;User_Def_1&gt;y&lt;/User_Def_1&gt;&lt;ZZ_JournalStdAbbrev&gt;&lt;f name="System"&gt;Lupus.&lt;/f&gt;&lt;/ZZ_JournalStdAbbrev&gt;&lt;ZZ_WorkformID&gt;1&lt;/ZZ_WorkformID&gt;&lt;/MDL&gt;&lt;/Cite&gt;&lt;/Refman&gt;</w:instrText>
            </w:r>
            <w:r>
              <w:rPr>
                <w:lang w:eastAsia="zh-CN"/>
              </w:rPr>
              <w:fldChar w:fldCharType="separate"/>
            </w:r>
            <w:r>
              <w:rPr>
                <w:lang w:eastAsia="zh-CN"/>
              </w:rPr>
              <w:t>(139)</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2006</w:t>
            </w:r>
          </w:p>
        </w:tc>
        <w:tc>
          <w:tcPr>
            <w:tcW w:w="709" w:type="dxa"/>
          </w:tcPr>
          <w:p w:rsidR="00CD16C3" w:rsidRPr="003622F6" w:rsidRDefault="00CD16C3" w:rsidP="00BD2483">
            <w:pPr>
              <w:pStyle w:val="ListParagraph1"/>
              <w:rPr>
                <w:lang w:eastAsia="zh-CN"/>
              </w:rPr>
            </w:pPr>
            <w:r w:rsidRPr="003622F6">
              <w:rPr>
                <w:lang w:eastAsia="zh-CN"/>
              </w:rPr>
              <w:t>287</w:t>
            </w:r>
          </w:p>
        </w:tc>
        <w:tc>
          <w:tcPr>
            <w:tcW w:w="992" w:type="dxa"/>
          </w:tcPr>
          <w:p w:rsidR="00CD16C3" w:rsidRPr="00FD0769" w:rsidRDefault="00CD16C3" w:rsidP="0049322C">
            <w:pPr>
              <w:pStyle w:val="ListParagraph1"/>
              <w:rPr>
                <w:lang w:eastAsia="zh-CN"/>
              </w:rPr>
            </w:pPr>
            <w:r>
              <w:rPr>
                <w:lang w:eastAsia="zh-CN"/>
              </w:rPr>
              <w:t>LUMINA</w:t>
            </w:r>
          </w:p>
        </w:tc>
        <w:tc>
          <w:tcPr>
            <w:tcW w:w="1559" w:type="dxa"/>
          </w:tcPr>
          <w:p w:rsidR="00CD16C3" w:rsidRPr="003622F6" w:rsidRDefault="00CD16C3" w:rsidP="00BD2483">
            <w:pPr>
              <w:pStyle w:val="ListParagraph1"/>
              <w:rPr>
                <w:lang w:eastAsia="zh-CN"/>
              </w:rPr>
            </w:pPr>
            <w:r w:rsidRPr="003622F6">
              <w:rPr>
                <w:lang w:eastAsia="zh-CN"/>
              </w:rPr>
              <w:t>Low level disease activity</w:t>
            </w:r>
          </w:p>
        </w:tc>
        <w:tc>
          <w:tcPr>
            <w:tcW w:w="2211" w:type="dxa"/>
          </w:tcPr>
          <w:p w:rsidR="00CD16C3" w:rsidRPr="003622F6" w:rsidRDefault="00CD16C3" w:rsidP="00BD2483">
            <w:pPr>
              <w:pStyle w:val="ListParagraph1"/>
              <w:rPr>
                <w:lang w:eastAsia="zh-CN"/>
              </w:rPr>
            </w:pPr>
            <w:r w:rsidRPr="003622F6">
              <w:rPr>
                <w:lang w:eastAsia="zh-CN"/>
              </w:rPr>
              <w:t>SLICC/ACR D</w:t>
            </w:r>
            <w:r>
              <w:rPr>
                <w:lang w:eastAsia="zh-CN"/>
              </w:rPr>
              <w:t>I</w:t>
            </w:r>
          </w:p>
        </w:tc>
        <w:tc>
          <w:tcPr>
            <w:tcW w:w="1475" w:type="dxa"/>
          </w:tcPr>
          <w:p w:rsidR="00CD16C3" w:rsidRPr="003622F6" w:rsidRDefault="00CD16C3" w:rsidP="00BD2483">
            <w:pPr>
              <w:pStyle w:val="ListParagraph1"/>
              <w:rPr>
                <w:lang w:eastAsia="zh-CN"/>
              </w:rPr>
            </w:pPr>
            <w:r w:rsidRPr="003622F6">
              <w:rPr>
                <w:lang w:eastAsia="zh-CN"/>
              </w:rPr>
              <w:t>0.85 (0.74-0.97)</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Nikpour</w:t>
            </w:r>
            <w:r>
              <w:rPr>
                <w:lang w:eastAsia="zh-CN"/>
              </w:rPr>
              <w:t xml:space="preserve"> </w:t>
            </w:r>
            <w:r>
              <w:rPr>
                <w:lang w:eastAsia="zh-CN"/>
              </w:rPr>
              <w:fldChar w:fldCharType="begin"/>
            </w:r>
            <w:r>
              <w:rPr>
                <w:lang w:eastAsia="zh-CN"/>
              </w:rPr>
              <w:instrText xml:space="preserve"> ADDIN REFMGR.CITE &lt;Refman&gt;&lt;Cite&gt;&lt;Author&gt;Nikpour&lt;/Author&gt;&lt;Year&gt;2009&lt;/Year&gt;&lt;RecNum&gt;1430&lt;/RecNum&gt;&lt;IDText&gt;Frequency and determinants of flare and persistently active disease in systemic lupus erythematosus&lt;/IDText&gt;&lt;MDL Ref_Type="Journal"&gt;&lt;Ref_Type&gt;Journal&lt;/Ref_Type&gt;&lt;Ref_ID&gt;1430&lt;/Ref_ID&gt;&lt;Title_Primary&gt;Frequency and determinants of flare and persistently active disease in systemic lupus erythematosus&lt;/Title_Primary&gt;&lt;Authors_Primary&gt;Nikpour,M.&lt;/Authors_Primary&gt;&lt;Authors_Primary&gt;Urowitz,M.B.&lt;/Authors_Primary&gt;&lt;Authors_Primary&gt;Ibanez,D.&lt;/Authors_Primary&gt;&lt;Authors_Primary&gt;Gladman,D.D.&lt;/Authors_Primary&gt;&lt;Date_Primary&gt;2009/9/15&lt;/Date_Primary&gt;&lt;Keywords&gt;Adult&lt;/Keywords&gt;&lt;Keywords&gt;Cohort Studies&lt;/Keywords&gt;&lt;Keywords&gt;diagnosis&lt;/Keywords&gt;&lt;Keywords&gt;Disease&lt;/Keywords&gt;&lt;Keywords&gt;Disease Progression&lt;/Keywords&gt;&lt;Keywords&gt;erythematosus&lt;/Keywords&gt;&lt;Keywords&gt;Female&lt;/Keywords&gt;&lt;Keywords&gt;hospital&lt;/Keywords&gt;&lt;Keywords&gt;Humans&lt;/Keywords&gt;&lt;Keywords&gt;Incidence&lt;/Keywords&gt;&lt;Keywords&gt;lupus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Models,Biological&lt;/Keywords&gt;&lt;Keywords&gt;Ontario&lt;/Keywords&gt;&lt;Keywords&gt;patient&lt;/Keywords&gt;&lt;Keywords&gt;Patients&lt;/Keywords&gt;&lt;Keywords&gt;physiopathology&lt;/Keywords&gt;&lt;Keywords&gt;Prognosis&lt;/Keywords&gt;&lt;Keywords&gt;Prospective Studies&lt;/Keywords&gt;&lt;Keywords&gt;Rheumatic Diseases&lt;/Keywords&gt;&lt;Keywords&gt;Severity of Illness Index&lt;/Keywords&gt;&lt;Keywords&gt;systemic lupus erythematosus&lt;/Keywords&gt;&lt;Reprint&gt;Not in File&lt;/Reprint&gt;&lt;Start_Page&gt;1152&lt;/Start_Page&gt;&lt;End_Page&gt;1158&lt;/End_Page&gt;&lt;Periodical&gt;Arthritis Rheum.&lt;/Periodical&gt;&lt;Volume&gt;61&lt;/Volume&gt;&lt;Issue&gt;9&lt;/Issue&gt;&lt;User_Def_1&gt;y&lt;/User_Def_1&gt;&lt;ZZ_JournalStdAbbrev&gt;&lt;f name="System"&gt;Arthritis Rheum.&lt;/f&gt;&lt;/ZZ_JournalStdAbbrev&gt;&lt;ZZ_WorkformID&gt;1&lt;/ZZ_WorkformID&gt;&lt;/MDL&gt;&lt;/Cite&gt;&lt;/Refman&gt;</w:instrText>
            </w:r>
            <w:r>
              <w:rPr>
                <w:lang w:eastAsia="zh-CN"/>
              </w:rPr>
              <w:fldChar w:fldCharType="separate"/>
            </w:r>
            <w:r>
              <w:rPr>
                <w:lang w:eastAsia="zh-CN"/>
              </w:rPr>
              <w:t>(140)</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2009</w:t>
            </w:r>
          </w:p>
        </w:tc>
        <w:tc>
          <w:tcPr>
            <w:tcW w:w="709" w:type="dxa"/>
          </w:tcPr>
          <w:p w:rsidR="00CD16C3" w:rsidRPr="003622F6" w:rsidRDefault="00CD16C3" w:rsidP="00BD2483">
            <w:pPr>
              <w:pStyle w:val="ListParagraph1"/>
              <w:rPr>
                <w:lang w:eastAsia="zh-CN"/>
              </w:rPr>
            </w:pPr>
            <w:r w:rsidRPr="003622F6">
              <w:rPr>
                <w:lang w:eastAsia="zh-CN"/>
              </w:rPr>
              <w:t>202</w:t>
            </w:r>
          </w:p>
        </w:tc>
        <w:tc>
          <w:tcPr>
            <w:tcW w:w="992" w:type="dxa"/>
          </w:tcPr>
          <w:p w:rsidR="00CD16C3" w:rsidRPr="00FD0769" w:rsidRDefault="00CD16C3" w:rsidP="0049322C">
            <w:pPr>
              <w:pStyle w:val="ListParagraph1"/>
              <w:rPr>
                <w:lang w:eastAsia="zh-CN"/>
              </w:rPr>
            </w:pPr>
            <w:r>
              <w:rPr>
                <w:lang w:eastAsia="zh-CN"/>
              </w:rPr>
              <w:t>Toronto</w:t>
            </w:r>
          </w:p>
        </w:tc>
        <w:tc>
          <w:tcPr>
            <w:tcW w:w="1559" w:type="dxa"/>
          </w:tcPr>
          <w:p w:rsidR="00CD16C3" w:rsidRPr="003622F6" w:rsidRDefault="00CD16C3" w:rsidP="00BD2483">
            <w:pPr>
              <w:pStyle w:val="ListParagraph1"/>
              <w:rPr>
                <w:lang w:eastAsia="zh-CN"/>
              </w:rPr>
            </w:pPr>
            <w:r w:rsidRPr="003622F6">
              <w:rPr>
                <w:lang w:eastAsia="zh-CN"/>
              </w:rPr>
              <w:t>Persis</w:t>
            </w:r>
            <w:r>
              <w:rPr>
                <w:lang w:eastAsia="zh-CN"/>
              </w:rPr>
              <w:t>tent</w:t>
            </w:r>
            <w:r w:rsidRPr="003622F6">
              <w:rPr>
                <w:lang w:eastAsia="zh-CN"/>
              </w:rPr>
              <w:t xml:space="preserve"> active disease </w:t>
            </w:r>
          </w:p>
        </w:tc>
        <w:tc>
          <w:tcPr>
            <w:tcW w:w="2211" w:type="dxa"/>
          </w:tcPr>
          <w:p w:rsidR="00CD16C3" w:rsidRPr="003622F6" w:rsidRDefault="00CD16C3" w:rsidP="00BD2483">
            <w:pPr>
              <w:pStyle w:val="ListParagraph1"/>
              <w:rPr>
                <w:lang w:eastAsia="zh-CN"/>
              </w:rPr>
            </w:pPr>
            <w:r w:rsidRPr="003622F6">
              <w:rPr>
                <w:lang w:eastAsia="zh-CN"/>
              </w:rPr>
              <w:t>SLEDAI-2K</w:t>
            </w:r>
          </w:p>
        </w:tc>
        <w:tc>
          <w:tcPr>
            <w:tcW w:w="1475" w:type="dxa"/>
          </w:tcPr>
          <w:p w:rsidR="00CD16C3" w:rsidRPr="003622F6" w:rsidRDefault="00CD16C3" w:rsidP="00BD2483">
            <w:pPr>
              <w:pStyle w:val="ListParagraph1"/>
              <w:rPr>
                <w:lang w:eastAsia="zh-CN"/>
              </w:rPr>
            </w:pPr>
            <w:r w:rsidRPr="003622F6">
              <w:rPr>
                <w:lang w:eastAsia="zh-CN"/>
              </w:rPr>
              <w:t>1.34 (1.20–1.51)</w:t>
            </w:r>
          </w:p>
        </w:tc>
      </w:tr>
      <w:tr w:rsidR="00CD16C3" w:rsidRPr="003622F6" w:rsidTr="00CD16C3">
        <w:tc>
          <w:tcPr>
            <w:tcW w:w="1021" w:type="dxa"/>
          </w:tcPr>
          <w:p w:rsidR="00CD16C3" w:rsidRPr="003622F6" w:rsidRDefault="00CD16C3" w:rsidP="00BD2483">
            <w:pPr>
              <w:pStyle w:val="ListParagraph1"/>
              <w:rPr>
                <w:lang w:eastAsia="zh-CN"/>
              </w:rPr>
            </w:pPr>
            <w:r w:rsidRPr="003622F6">
              <w:rPr>
                <w:lang w:eastAsia="zh-CN"/>
              </w:rPr>
              <w:t>Nikpour</w:t>
            </w:r>
            <w:r>
              <w:rPr>
                <w:lang w:eastAsia="zh-CN"/>
              </w:rPr>
              <w:t xml:space="preserve"> </w:t>
            </w:r>
            <w:r>
              <w:rPr>
                <w:lang w:eastAsia="zh-CN"/>
              </w:rPr>
              <w:fldChar w:fldCharType="begin"/>
            </w:r>
            <w:r>
              <w:rPr>
                <w:lang w:eastAsia="zh-CN"/>
              </w:rPr>
              <w:instrText xml:space="preserve"> ADDIN REFMGR.CITE &lt;Refman&gt;&lt;Cite&gt;&lt;Author&gt;Nikpour&lt;/Author&gt;&lt;Year&gt;2009&lt;/Year&gt;&lt;RecNum&gt;1430&lt;/RecNum&gt;&lt;IDText&gt;Frequency and determinants of flare and persistently active disease in systemic lupus erythematosus&lt;/IDText&gt;&lt;MDL Ref_Type="Journal"&gt;&lt;Ref_Type&gt;Journal&lt;/Ref_Type&gt;&lt;Ref_ID&gt;1430&lt;/Ref_ID&gt;&lt;Title_Primary&gt;Frequency and determinants of flare and persistently active disease in systemic lupus erythematosus&lt;/Title_Primary&gt;&lt;Authors_Primary&gt;Nikpour,M.&lt;/Authors_Primary&gt;&lt;Authors_Primary&gt;Urowitz,M.B.&lt;/Authors_Primary&gt;&lt;Authors_Primary&gt;Ibanez,D.&lt;/Authors_Primary&gt;&lt;Authors_Primary&gt;Gladman,D.D.&lt;/Authors_Primary&gt;&lt;Date_Primary&gt;2009/9/15&lt;/Date_Primary&gt;&lt;Keywords&gt;Adult&lt;/Keywords&gt;&lt;Keywords&gt;Cohort Studies&lt;/Keywords&gt;&lt;Keywords&gt;diagnosis&lt;/Keywords&gt;&lt;Keywords&gt;Disease&lt;/Keywords&gt;&lt;Keywords&gt;Disease Progression&lt;/Keywords&gt;&lt;Keywords&gt;erythematosus&lt;/Keywords&gt;&lt;Keywords&gt;Female&lt;/Keywords&gt;&lt;Keywords&gt;hospital&lt;/Keywords&gt;&lt;Keywords&gt;Humans&lt;/Keywords&gt;&lt;Keywords&gt;Incidence&lt;/Keywords&gt;&lt;Keywords&gt;lupus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Models,Biological&lt;/Keywords&gt;&lt;Keywords&gt;Ontario&lt;/Keywords&gt;&lt;Keywords&gt;patient&lt;/Keywords&gt;&lt;Keywords&gt;Patients&lt;/Keywords&gt;&lt;Keywords&gt;physiopathology&lt;/Keywords&gt;&lt;Keywords&gt;Prognosis&lt;/Keywords&gt;&lt;Keywords&gt;Prospective Studies&lt;/Keywords&gt;&lt;Keywords&gt;Rheumatic Diseases&lt;/Keywords&gt;&lt;Keywords&gt;Severity of Illness Index&lt;/Keywords&gt;&lt;Keywords&gt;systemic lupus erythematosus&lt;/Keywords&gt;&lt;Reprint&gt;Not in File&lt;/Reprint&gt;&lt;Start_Page&gt;1152&lt;/Start_Page&gt;&lt;End_Page&gt;1158&lt;/End_Page&gt;&lt;Periodical&gt;Arthritis Rheum.&lt;/Periodical&gt;&lt;Volume&gt;61&lt;/Volume&gt;&lt;Issue&gt;9&lt;/Issue&gt;&lt;User_Def_1&gt;y&lt;/User_Def_1&gt;&lt;ZZ_JournalStdAbbrev&gt;&lt;f name="System"&gt;Arthritis Rheum.&lt;/f&gt;&lt;/ZZ_JournalStdAbbrev&gt;&lt;ZZ_WorkformID&gt;1&lt;/ZZ_WorkformID&gt;&lt;/MDL&gt;&lt;/Cite&gt;&lt;/Refman&gt;</w:instrText>
            </w:r>
            <w:r>
              <w:rPr>
                <w:lang w:eastAsia="zh-CN"/>
              </w:rPr>
              <w:fldChar w:fldCharType="separate"/>
            </w:r>
            <w:r>
              <w:rPr>
                <w:lang w:eastAsia="zh-CN"/>
              </w:rPr>
              <w:t>(140)</w:t>
            </w:r>
            <w:r>
              <w:rPr>
                <w:lang w:eastAsia="zh-CN"/>
              </w:rPr>
              <w:fldChar w:fldCharType="end"/>
            </w:r>
          </w:p>
        </w:tc>
        <w:tc>
          <w:tcPr>
            <w:tcW w:w="425" w:type="dxa"/>
          </w:tcPr>
          <w:p w:rsidR="00CD16C3" w:rsidRPr="003622F6" w:rsidRDefault="00CD16C3" w:rsidP="00BD2483">
            <w:pPr>
              <w:pStyle w:val="ListParagraph1"/>
              <w:rPr>
                <w:lang w:eastAsia="zh-CN"/>
              </w:rPr>
            </w:pPr>
            <w:r w:rsidRPr="003622F6">
              <w:rPr>
                <w:lang w:eastAsia="zh-CN"/>
              </w:rPr>
              <w:t>2009</w:t>
            </w:r>
          </w:p>
        </w:tc>
        <w:tc>
          <w:tcPr>
            <w:tcW w:w="709" w:type="dxa"/>
          </w:tcPr>
          <w:p w:rsidR="00CD16C3" w:rsidRPr="003622F6" w:rsidRDefault="00CD16C3" w:rsidP="00BD2483">
            <w:pPr>
              <w:pStyle w:val="ListParagraph1"/>
              <w:rPr>
                <w:lang w:eastAsia="zh-CN"/>
              </w:rPr>
            </w:pPr>
            <w:r w:rsidRPr="003622F6">
              <w:rPr>
                <w:lang w:eastAsia="zh-CN"/>
              </w:rPr>
              <w:t>202</w:t>
            </w:r>
          </w:p>
        </w:tc>
        <w:tc>
          <w:tcPr>
            <w:tcW w:w="992" w:type="dxa"/>
          </w:tcPr>
          <w:p w:rsidR="00CD16C3" w:rsidRPr="00FD0769" w:rsidRDefault="00CD16C3" w:rsidP="0049322C">
            <w:pPr>
              <w:pStyle w:val="ListParagraph1"/>
              <w:rPr>
                <w:lang w:eastAsia="zh-CN"/>
              </w:rPr>
            </w:pPr>
            <w:r>
              <w:rPr>
                <w:lang w:eastAsia="zh-CN"/>
              </w:rPr>
              <w:t>Toronto</w:t>
            </w:r>
          </w:p>
        </w:tc>
        <w:tc>
          <w:tcPr>
            <w:tcW w:w="1559" w:type="dxa"/>
          </w:tcPr>
          <w:p w:rsidR="00CD16C3" w:rsidRPr="003622F6" w:rsidRDefault="00CD16C3" w:rsidP="00BD2483">
            <w:pPr>
              <w:pStyle w:val="ListParagraph1"/>
              <w:rPr>
                <w:lang w:eastAsia="zh-CN"/>
              </w:rPr>
            </w:pPr>
            <w:r>
              <w:rPr>
                <w:lang w:eastAsia="zh-CN"/>
              </w:rPr>
              <w:t>Persistent</w:t>
            </w:r>
            <w:r w:rsidRPr="003622F6">
              <w:rPr>
                <w:lang w:eastAsia="zh-CN"/>
              </w:rPr>
              <w:t xml:space="preserve"> active disease </w:t>
            </w:r>
          </w:p>
        </w:tc>
        <w:tc>
          <w:tcPr>
            <w:tcW w:w="2211" w:type="dxa"/>
          </w:tcPr>
          <w:p w:rsidR="00CD16C3" w:rsidRPr="003622F6" w:rsidRDefault="00CD16C3" w:rsidP="00BD2483">
            <w:pPr>
              <w:pStyle w:val="ListParagraph1"/>
              <w:rPr>
                <w:lang w:eastAsia="zh-CN"/>
              </w:rPr>
            </w:pPr>
            <w:r w:rsidRPr="003622F6">
              <w:rPr>
                <w:lang w:eastAsia="zh-CN"/>
              </w:rPr>
              <w:t xml:space="preserve">Cutaneous </w:t>
            </w:r>
            <w:r>
              <w:rPr>
                <w:lang w:eastAsia="zh-CN"/>
              </w:rPr>
              <w:t>activity</w:t>
            </w:r>
          </w:p>
        </w:tc>
        <w:tc>
          <w:tcPr>
            <w:tcW w:w="1475" w:type="dxa"/>
          </w:tcPr>
          <w:p w:rsidR="00CD16C3" w:rsidRPr="003622F6" w:rsidRDefault="00CD16C3" w:rsidP="00BD2483">
            <w:pPr>
              <w:pStyle w:val="ListParagraph1"/>
              <w:rPr>
                <w:lang w:eastAsia="zh-CN"/>
              </w:rPr>
            </w:pPr>
            <w:r w:rsidRPr="003622F6">
              <w:rPr>
                <w:lang w:eastAsia="zh-CN"/>
              </w:rPr>
              <w:t>2.37 (1.17–4.81)</w:t>
            </w:r>
          </w:p>
        </w:tc>
      </w:tr>
      <w:tr w:rsidR="00CD16C3" w:rsidRPr="003622F6" w:rsidTr="00CD16C3">
        <w:tc>
          <w:tcPr>
            <w:tcW w:w="8392" w:type="dxa"/>
            <w:gridSpan w:val="7"/>
          </w:tcPr>
          <w:p w:rsidR="00CD16C3" w:rsidRPr="00FD18C9" w:rsidRDefault="00CD16C3" w:rsidP="0049322C">
            <w:pPr>
              <w:pStyle w:val="ListParagraph1"/>
              <w:rPr>
                <w:sz w:val="16"/>
                <w:szCs w:val="16"/>
                <w:lang w:eastAsia="zh-CN"/>
              </w:rPr>
            </w:pPr>
            <w:r w:rsidRPr="00FD18C9">
              <w:rPr>
                <w:sz w:val="16"/>
                <w:szCs w:val="16"/>
                <w:lang w:eastAsia="zh-CN"/>
              </w:rPr>
              <w:t>ACR American College of Rheumatology; DI Damage Index</w:t>
            </w:r>
          </w:p>
        </w:tc>
      </w:tr>
    </w:tbl>
    <w:p w:rsidR="002D772C" w:rsidRDefault="002D772C" w:rsidP="002D772C">
      <w:pPr>
        <w:rPr>
          <w:lang w:eastAsia="zh-CN"/>
        </w:rPr>
      </w:pPr>
    </w:p>
    <w:p w:rsidR="002D772C" w:rsidRPr="00CE1998" w:rsidRDefault="002D772C" w:rsidP="002D772C">
      <w:pPr>
        <w:pStyle w:val="Heading4"/>
      </w:pPr>
      <w:r>
        <w:t>Measures of long term Disease Activity</w:t>
      </w:r>
    </w:p>
    <w:p w:rsidR="002D772C" w:rsidRDefault="002D772C" w:rsidP="007C4559">
      <w:pPr>
        <w:rPr>
          <w:lang w:eastAsia="zh-CN"/>
        </w:rPr>
      </w:pPr>
      <w:r>
        <w:rPr>
          <w:lang w:eastAsia="zh-CN"/>
        </w:rPr>
        <w:t xml:space="preserve">Studies of disease activity have employed different methods of measuring the severity of disease activity in patients. The approach to describing long term burden of disease activity is of interest when observing long term outcomes that are affected by a burden of disease activity. The magnitude of burden has often been calculated as the area under the curve (AUC) of a disease activity index. However, Barr </w:t>
      </w:r>
      <w:r w:rsidRPr="0084752E">
        <w:rPr>
          <w:i/>
          <w:iCs/>
          <w:lang w:eastAsia="zh-CN"/>
        </w:rPr>
        <w:t>et al.</w:t>
      </w:r>
      <w:r>
        <w:rPr>
          <w:lang w:eastAsia="zh-CN"/>
        </w:rPr>
        <w:t xml:space="preserve"> </w:t>
      </w:r>
      <w:r w:rsidR="00E729BA">
        <w:rPr>
          <w:lang w:eastAsia="zh-CN"/>
        </w:rPr>
        <w:fldChar w:fldCharType="begin"/>
      </w:r>
      <w:r w:rsidR="00FC61FD">
        <w:rPr>
          <w:lang w:eastAsia="zh-CN"/>
        </w:rPr>
        <w:instrText xml:space="preserve"> ADDIN REFMGR.CITE &lt;Refman&gt;&lt;Cite&gt;&lt;Author&gt;Barr&lt;/Author&gt;&lt;Year&gt;1999&lt;/Year&gt;&lt;RecNum&gt;1104&lt;/RecNum&gt;&lt;IDText&gt;Patterns of disease activity in systemic lupus erythematosus&lt;/IDText&gt;&lt;MDL Ref_Type="Journal"&gt;&lt;Ref_Type&gt;Journal&lt;/Ref_Type&gt;&lt;Ref_ID&gt;1104&lt;/Ref_ID&gt;&lt;Title_Primary&gt;Patterns of disease activity in systemic lupus erythematosus&lt;/Title_Primary&gt;&lt;Authors_Primary&gt;Barr,S.G.&lt;/Authors_Primary&gt;&lt;Authors_Primary&gt;Zonana-Nacach,A.&lt;/Authors_Primary&gt;&lt;Authors_Primary&gt;Magder,L.S.&lt;/Authors_Primary&gt;&lt;Authors_Primary&gt;Petri,M.&lt;/Authors_Primary&gt;&lt;Date_Primary&gt;1999/12&lt;/Date_Primary&gt;&lt;Keywords&gt;Adult&lt;/Keywords&gt;&lt;Keywords&gt;Baltimore&lt;/Keywords&gt;&lt;Keywords&gt;Chronic Disease&lt;/Keywords&gt;&lt;Keywords&gt;Disease&lt;/Keywords&gt;&lt;Keywords&gt;Disease Progression&lt;/Keywords&gt;&lt;Keywords&gt;erythematosus&lt;/Keywords&gt;&lt;Keywords&gt;Female&lt;/Keywords&gt;&lt;Keywords&gt;Follow-Up Studies&lt;/Keywords&gt;&lt;Keywords&gt;Humans&lt;/Keywords&gt;&lt;Keywords&gt;lupus erythematosus&lt;/Keywords&gt;&lt;Keywords&gt;Lupus Erythematosus,Systemic&lt;/Keywords&gt;&lt;Keywords&gt;Male&lt;/Keywords&gt;&lt;Keywords&gt;Maryland&lt;/Keywords&gt;&lt;Keywords&gt;methods&lt;/Keywords&gt;&lt;Keywords&gt;Middle Aged&lt;/Keywords&gt;&lt;Keywords&gt;Morbidity&lt;/Keywords&gt;&lt;Keywords&gt;patient&lt;/Keywords&gt;&lt;Keywords&gt;Patients&lt;/Keywords&gt;&lt;Keywords&gt;physiopathology&lt;/Keywords&gt;&lt;Keywords&gt;Severity of Illness Index&lt;/Keywords&gt;&lt;Keywords&gt;systemic lupus erythematosus&lt;/Keywords&gt;&lt;Keywords&gt;Time&lt;/Keywords&gt;&lt;Reprint&gt;Not in File&lt;/Reprint&gt;&lt;Start_Page&gt;2682&lt;/Start_Page&gt;&lt;End_Page&gt;2688&lt;/End_Page&gt;&lt;Periodical&gt;Arthritis Rheum.&lt;/Periodical&gt;&lt;Volume&gt;42&lt;/Volume&gt;&lt;Issue&gt;12&lt;/Issue&gt;&lt;User_Def_1&gt;y&lt;/User_Def_1&gt;&lt;ZZ_JournalStdAbbrev&gt;&lt;f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(141)</w:t>
      </w:r>
      <w:r w:rsidR="00E729BA">
        <w:rPr>
          <w:lang w:eastAsia="zh-CN"/>
        </w:rPr>
        <w:fldChar w:fldCharType="end"/>
      </w:r>
      <w:r>
        <w:rPr>
          <w:lang w:eastAsia="zh-CN"/>
        </w:rPr>
        <w:t xml:space="preserve"> argue the nature of the disease activity is lost using this method. A patient with a short period of severe disease activity and a patient with long term mild disease activity will have equivalent AUC scores despite substantial differences in the nature of the disease. Consequently, Barr et al. </w:t>
      </w:r>
      <w:r w:rsidR="00E729BA">
        <w:rPr>
          <w:lang w:eastAsia="zh-CN"/>
        </w:rPr>
        <w:fldChar w:fldCharType="begin"/>
      </w:r>
      <w:r w:rsidR="00FC61FD">
        <w:rPr>
          <w:lang w:eastAsia="zh-CN"/>
        </w:rPr>
        <w:instrText xml:space="preserve"> ADDIN REFMGR.CITE &lt;Refman&gt;&lt;Cite&gt;&lt;Author&gt;Barr&lt;/Author&gt;&lt;Year&gt;1999&lt;/Year&gt;&lt;RecNum&gt;1104&lt;/RecNum&gt;&lt;IDText&gt;Patterns of disease activity in systemic lupus erythematosus&lt;/IDText&gt;&lt;MDL Ref_Type="Journal"&gt;&lt;Ref_Type&gt;Journal&lt;/Ref_Type&gt;&lt;Ref_ID&gt;1104&lt;/Ref_ID&gt;&lt;Title_Primary&gt;Patterns of disease activity in systemic lupus erythematosus&lt;/Title_Primary&gt;&lt;Authors_Primary&gt;Barr,S.G.&lt;/Authors_Primary&gt;&lt;Authors_Primary&gt;Zonana-Nacach,A.&lt;/Authors_Primary&gt;&lt;Authors_Primary&gt;Magder,L.S.&lt;/Authors_Primary&gt;&lt;Authors_Primary&gt;Petri,M.&lt;/Authors_Primary&gt;&lt;Date_Primary&gt;1999/12&lt;/Date_Primary&gt;&lt;Keywords&gt;Adult&lt;/Keywords&gt;&lt;Keywords&gt;Baltimore&lt;/Keywords&gt;&lt;Keywords&gt;Chronic Disease&lt;/Keywords&gt;&lt;Keywords&gt;Disease&lt;/Keywords&gt;&lt;Keywords&gt;Disease Progression&lt;/Keywords&gt;&lt;Keywords&gt;erythematosus&lt;/Keywords&gt;&lt;Keywords&gt;Female&lt;/Keywords&gt;&lt;Keywords&gt;Follow-Up Studies&lt;/Keywords&gt;&lt;Keywords&gt;Humans&lt;/Keywords&gt;&lt;Keywords&gt;lupus erythematosus&lt;/Keywords&gt;&lt;Keywords&gt;Lupus Erythematosus,Systemic&lt;/Keywords&gt;&lt;Keywords&gt;Male&lt;/Keywords&gt;&lt;Keywords&gt;Maryland&lt;/Keywords&gt;&lt;Keywords&gt;methods&lt;/Keywords&gt;&lt;Keywords&gt;Middle Aged&lt;/Keywords&gt;&lt;Keywords&gt;Morbidity&lt;/Keywords&gt;&lt;Keywords&gt;patient&lt;/Keywords&gt;&lt;Keywords&gt;Patients&lt;/Keywords&gt;&lt;Keywords&gt;physiopathology&lt;/Keywords&gt;&lt;Keywords&gt;Severity of Illness Index&lt;/Keywords&gt;&lt;Keywords&gt;systemic lupus erythematosus&lt;/Keywords&gt;&lt;Keywords&gt;Time&lt;/Keywords&gt;&lt;Reprint&gt;Not in File&lt;/Reprint&gt;&lt;Start_Page&gt;2682&lt;/Start_Page&gt;&lt;End_Page&gt;2688&lt;/End_Page&gt;&lt;Periodical&gt;Arthritis Rheum.&lt;/Periodical&gt;&lt;Volume&gt;42&lt;/Volume&gt;&lt;Issue&gt;12&lt;/Issue&gt;&lt;User_Def_1&gt;y&lt;/User_Def_1&gt;&lt;ZZ_JournalStdAbbrev&gt;&lt;f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(141)</w:t>
      </w:r>
      <w:r w:rsidR="00E729BA">
        <w:rPr>
          <w:lang w:eastAsia="zh-CN"/>
        </w:rPr>
        <w:fldChar w:fldCharType="end"/>
      </w:r>
      <w:r>
        <w:rPr>
          <w:lang w:eastAsia="zh-CN"/>
        </w:rPr>
        <w:t xml:space="preserve"> argue that the pattern of disease activity should be studied more closely. They identify three patterns of SLE disease activity: relapsing/remitting; long quiescent; </w:t>
      </w:r>
      <w:r w:rsidR="007C4559">
        <w:rPr>
          <w:lang w:eastAsia="zh-CN"/>
        </w:rPr>
        <w:t>persistently active disease (PAD)</w:t>
      </w:r>
      <w:r>
        <w:rPr>
          <w:lang w:eastAsia="zh-CN"/>
        </w:rPr>
        <w:t xml:space="preserve">. </w:t>
      </w:r>
      <w:r w:rsidR="007C4559">
        <w:rPr>
          <w:lang w:eastAsia="zh-CN"/>
        </w:rPr>
        <w:t xml:space="preserve">PAD </w:t>
      </w:r>
      <w:r>
        <w:rPr>
          <w:lang w:eastAsia="zh-CN"/>
        </w:rPr>
        <w:t>is more common than relapsing remitting but also because periods of chronically active disease were more likely to be moderate or severe. More recently</w:t>
      </w:r>
      <w:r w:rsidR="009602B1">
        <w:rPr>
          <w:lang w:eastAsia="zh-CN"/>
        </w:rPr>
        <w:t>,</w:t>
      </w:r>
      <w:r>
        <w:rPr>
          <w:lang w:eastAsia="zh-CN"/>
        </w:rPr>
        <w:t xml:space="preserve"> Nikpour et al. </w:t>
      </w:r>
      <w:r w:rsidR="00E729BA">
        <w:rPr>
          <w:lang w:eastAsia="zh-CN"/>
        </w:rPr>
        <w:fldChar w:fldCharType="begin"/>
      </w:r>
      <w:r w:rsidR="00FC61FD">
        <w:rPr>
          <w:lang w:eastAsia="zh-CN"/>
        </w:rPr>
        <w:instrText xml:space="preserve"> ADDIN REFMGR.CITE &lt;Refman&gt;&lt;Cite&gt;&lt;Author&gt;Nikpour&lt;/Author&gt;&lt;Year&gt;2009&lt;/Year&gt;&lt;RecNum&gt;1430&lt;/RecNum&gt;&lt;IDText&gt;Frequency and determinants of flare and persistently active disease in systemic lupus erythematosus&lt;/IDText&gt;&lt;MDL Ref_Type="Journal"&gt;&lt;Ref_Type&gt;Journal&lt;/Ref_Type&gt;&lt;Ref_ID&gt;1430&lt;/Ref_ID&gt;&lt;Title_Primary&gt;Frequency and determinants of flare and persistently active disease in systemic lupus erythematosus&lt;/Title_Primary&gt;&lt;Authors_Primary&gt;Nikpour,M.&lt;/Authors_Primary&gt;&lt;Authors_Primary&gt;Urowitz,M.B.&lt;/Authors_Primary&gt;&lt;Authors_Primary&gt;Ibanez,D.&lt;/Authors_Primary&gt;&lt;Authors_Primary&gt;Gladman,D.D.&lt;/Authors_Primary&gt;&lt;Date_Primary&gt;2009/9/15&lt;/Date_Primary&gt;&lt;Keywords&gt;Adult&lt;/Keywords&gt;&lt;Keywords&gt;Cohort Studies&lt;/Keywords&gt;&lt;Keywords&gt;diagnosis&lt;/Keywords&gt;&lt;Keywords&gt;Disease&lt;/Keywords&gt;&lt;Keywords&gt;Disease Progression&lt;/Keywords&gt;&lt;Keywords&gt;erythematosus&lt;/Keywords&gt;&lt;Keywords&gt;Female&lt;/Keywords&gt;&lt;Keywords&gt;hospital&lt;/Keywords&gt;&lt;Keywords&gt;Humans&lt;/Keywords&gt;&lt;Keywords&gt;Incidence&lt;/Keywords&gt;&lt;Keywords&gt;lupus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Models,Biological&lt;/Keywords&gt;&lt;Keywords&gt;Ontario&lt;/Keywords&gt;&lt;Keywords&gt;patient&lt;/Keywords&gt;&lt;Keywords&gt;Patients&lt;/Keywords&gt;&lt;Keywords&gt;physiopathology&lt;/Keywords&gt;&lt;Keywords&gt;Prognosis&lt;/Keywords&gt;&lt;Keywords&gt;Prospective Studies&lt;/Keywords&gt;&lt;Keywords&gt;Rheumatic Diseases&lt;/Keywords&gt;&lt;Keywords&gt;Severity of Illness Index&lt;/Keywords&gt;&lt;Keywords&gt;systemic lupus erythematosus&lt;/Keywords&gt;&lt;Reprint&gt;Not in File&lt;/Reprint&gt;&lt;Start_Page&gt;1152&lt;/Start_Page&gt;&lt;End_Page&gt;1158&lt;/End_Page&gt;&lt;Periodical&gt;Arthritis Rheum.&lt;/Periodical&gt;&lt;Volume&gt;61&lt;/Volume&gt;&lt;Issue&gt;9&lt;/Issue&gt;&lt;User_Def_1&gt;y&lt;/User_Def_1&gt;&lt;ZZ_JournalStdAbbrev&gt;&lt;f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(140)</w:t>
      </w:r>
      <w:r w:rsidR="00E729BA">
        <w:rPr>
          <w:lang w:eastAsia="zh-CN"/>
        </w:rPr>
        <w:fldChar w:fldCharType="end"/>
      </w:r>
      <w:r>
        <w:rPr>
          <w:lang w:eastAsia="zh-CN"/>
        </w:rPr>
        <w:t xml:space="preserve"> study the importance of </w:t>
      </w:r>
      <w:r w:rsidR="007C4559">
        <w:rPr>
          <w:lang w:eastAsia="zh-CN"/>
        </w:rPr>
        <w:t xml:space="preserve">PAD </w:t>
      </w:r>
      <w:r>
        <w:rPr>
          <w:lang w:eastAsia="zh-CN"/>
        </w:rPr>
        <w:t xml:space="preserve">in SLE and find that PAD is more common than short periods of disease flare.  They argue against using flares as endpoints in clinical trials because it excludes the important assessment of treatment on PAD. </w:t>
      </w:r>
    </w:p>
    <w:p w:rsidR="002D772C" w:rsidRPr="007C4559" w:rsidRDefault="002D772C" w:rsidP="007C4559">
      <w:pPr>
        <w:rPr>
          <w:lang w:eastAsia="zh-CN"/>
        </w:rPr>
      </w:pPr>
      <w:r>
        <w:rPr>
          <w:lang w:eastAsia="zh-CN"/>
        </w:rPr>
        <w:t xml:space="preserve">Although, Barr et al. </w:t>
      </w:r>
      <w:r w:rsidR="00E729BA">
        <w:rPr>
          <w:lang w:eastAsia="zh-CN"/>
        </w:rPr>
        <w:fldChar w:fldCharType="begin"/>
      </w:r>
      <w:r w:rsidR="00FC61FD">
        <w:rPr>
          <w:lang w:eastAsia="zh-CN"/>
        </w:rPr>
        <w:instrText xml:space="preserve"> ADDIN REFMGR.CITE &lt;Refman&gt;&lt;Cite&gt;&lt;Author&gt;Barr&lt;/Author&gt;&lt;Year&gt;1999&lt;/Year&gt;&lt;RecNum&gt;1104&lt;/RecNum&gt;&lt;IDText&gt;Patterns of disease activity in systemic lupus erythematosus&lt;/IDText&gt;&lt;MDL Ref_Type="Journal"&gt;&lt;Ref_Type&gt;Journal&lt;/Ref_Type&gt;&lt;Ref_ID&gt;1104&lt;/Ref_ID&gt;&lt;Title_Primary&gt;Patterns of disease activity in systemic lupus erythematosus&lt;/Title_Primary&gt;&lt;Authors_Primary&gt;Barr,S.G.&lt;/Authors_Primary&gt;&lt;Authors_Primary&gt;Zonana-Nacach,A.&lt;/Authors_Primary&gt;&lt;Authors_Primary&gt;Magder,L.S.&lt;/Authors_Primary&gt;&lt;Authors_Primary&gt;Petri,M.&lt;/Authors_Primary&gt;&lt;Date_Primary&gt;1999/12&lt;/Date_Primary&gt;&lt;Keywords&gt;Adult&lt;/Keywords&gt;&lt;Keywords&gt;Baltimore&lt;/Keywords&gt;&lt;Keywords&gt;Chronic Disease&lt;/Keywords&gt;&lt;Keywords&gt;Disease&lt;/Keywords&gt;&lt;Keywords&gt;Disease Progression&lt;/Keywords&gt;&lt;Keywords&gt;erythematosus&lt;/Keywords&gt;&lt;Keywords&gt;Female&lt;/Keywords&gt;&lt;Keywords&gt;Follow-Up Studies&lt;/Keywords&gt;&lt;Keywords&gt;Humans&lt;/Keywords&gt;&lt;Keywords&gt;lupus erythematosus&lt;/Keywords&gt;&lt;Keywords&gt;Lupus Erythematosus,Systemic&lt;/Keywords&gt;&lt;Keywords&gt;Male&lt;/Keywords&gt;&lt;Keywords&gt;Maryland&lt;/Keywords&gt;&lt;Keywords&gt;methods&lt;/Keywords&gt;&lt;Keywords&gt;Middle Aged&lt;/Keywords&gt;&lt;Keywords&gt;Morbidity&lt;/Keywords&gt;&lt;Keywords&gt;patient&lt;/Keywords&gt;&lt;Keywords&gt;Patients&lt;/Keywords&gt;&lt;Keywords&gt;physiopathology&lt;/Keywords&gt;&lt;Keywords&gt;Severity of Illness Index&lt;/Keywords&gt;&lt;Keywords&gt;systemic lupus erythematosus&lt;/Keywords&gt;&lt;Keywords&gt;Time&lt;/Keywords&gt;&lt;Reprint&gt;Not in File&lt;/Reprint&gt;&lt;Start_Page&gt;2682&lt;/Start_Page&gt;&lt;End_Page&gt;2688&lt;/End_Page&gt;&lt;Periodical&gt;Arthritis Rheum.&lt;/Periodical&gt;&lt;Volume&gt;42&lt;/Volume&gt;&lt;Issue&gt;12&lt;/Issue&gt;&lt;User_Def_1&gt;y&lt;/User_Def_1&gt;&lt;ZZ_JournalStdAbbrev&gt;&lt;f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(141)</w:t>
      </w:r>
      <w:r w:rsidR="00E729BA">
        <w:rPr>
          <w:lang w:eastAsia="zh-CN"/>
        </w:rPr>
        <w:fldChar w:fldCharType="end"/>
      </w:r>
      <w:r w:rsidRPr="006A38FE">
        <w:rPr>
          <w:lang w:eastAsia="zh-CN"/>
        </w:rPr>
        <w:t xml:space="preserve"> and Nikpour et al. </w:t>
      </w:r>
      <w:r w:rsidR="00E729BA">
        <w:rPr>
          <w:lang w:eastAsia="zh-CN"/>
        </w:rPr>
        <w:fldChar w:fldCharType="begin"/>
      </w:r>
      <w:r w:rsidR="00FC61FD">
        <w:rPr>
          <w:lang w:eastAsia="zh-CN"/>
        </w:rPr>
        <w:instrText xml:space="preserve"> ADDIN REFMGR.CITE &lt;Refman&gt;&lt;Cite&gt;&lt;Author&gt;Nikpour&lt;/Author&gt;&lt;Year&gt;2009&lt;/Year&gt;&lt;RecNum&gt;1430&lt;/RecNum&gt;&lt;IDText&gt;Frequency and determinants of flare and persistently active disease in systemic lupus erythematosus&lt;/IDText&gt;&lt;MDL Ref_Type="Journal"&gt;&lt;Ref_Type&gt;Journal&lt;/Ref_Type&gt;&lt;Ref_ID&gt;1430&lt;/Ref_ID&gt;&lt;Title_Primary&gt;Frequency and determinants of flare and persistently active disease in systemic lupus erythematosus&lt;/Title_Primary&gt;&lt;Authors_Primary&gt;Nikpour,M.&lt;/Authors_Primary&gt;&lt;Authors_Primary&gt;Urowitz,M.B.&lt;/Authors_Primary&gt;&lt;Authors_Primary&gt;Ibanez,D.&lt;/Authors_Primary&gt;&lt;Authors_Primary&gt;Gladman,D.D.&lt;/Authors_Primary&gt;&lt;Date_Primary&gt;2009/9/15&lt;/Date_Primary&gt;&lt;Keywords&gt;Adult&lt;/Keywords&gt;&lt;Keywords&gt;Cohort Studies&lt;/Keywords&gt;&lt;Keywords&gt;diagnosis&lt;/Keywords&gt;&lt;Keywords&gt;Disease&lt;/Keywords&gt;&lt;Keywords&gt;Disease Progression&lt;/Keywords&gt;&lt;Keywords&gt;erythematosus&lt;/Keywords&gt;&lt;Keywords&gt;Female&lt;/Keywords&gt;&lt;Keywords&gt;hospital&lt;/Keywords&gt;&lt;Keywords&gt;Humans&lt;/Keywords&gt;&lt;Keywords&gt;Incidence&lt;/Keywords&gt;&lt;Keywords&gt;lupus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Models,Biological&lt;/Keywords&gt;&lt;Keywords&gt;Ontario&lt;/Keywords&gt;&lt;Keywords&gt;patient&lt;/Keywords&gt;&lt;Keywords&gt;Patients&lt;/Keywords&gt;&lt;Keywords&gt;physiopathology&lt;/Keywords&gt;&lt;Keywords&gt;Prognosis&lt;/Keywords&gt;&lt;Keywords&gt;Prospective Studies&lt;/Keywords&gt;&lt;Keywords&gt;Rheumatic Diseases&lt;/Keywords&gt;&lt;Keywords&gt;Severity of Illness Index&lt;/Keywords&gt;&lt;Keywords&gt;systemic lupus erythematosus&lt;/Keywords&gt;&lt;Reprint&gt;Not in File&lt;/Reprint&gt;&lt;Start_Page&gt;1152&lt;/Start_Page&gt;&lt;End_Page&gt;1158&lt;/End_Page&gt;&lt;Periodical&gt;Arthritis Rheum.&lt;/Periodical&gt;&lt;Volume&gt;61&lt;/Volume&gt;&lt;Issue&gt;9&lt;/Issue&gt;&lt;User_Def_1&gt;y&lt;/User_Def_1&gt;&lt;ZZ_JournalStdAbbrev&gt;&lt;f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(140)</w:t>
      </w:r>
      <w:r w:rsidR="00E729BA">
        <w:rPr>
          <w:lang w:eastAsia="zh-CN"/>
        </w:rPr>
        <w:fldChar w:fldCharType="end"/>
      </w:r>
      <w:r w:rsidRPr="006A38FE">
        <w:rPr>
          <w:lang w:eastAsia="zh-CN"/>
        </w:rPr>
        <w:t xml:space="preserve"> presented an account of the patterns of disease activity Ibanez et al. </w:t>
      </w:r>
      <w:r>
        <w:rPr>
          <w:lang w:eastAsia="zh-CN"/>
        </w:rPr>
        <w:t>(2003) argue that they</w:t>
      </w:r>
      <w:r w:rsidRPr="001112B2">
        <w:rPr>
          <w:lang w:eastAsia="zh-CN"/>
        </w:rPr>
        <w:t xml:space="preserve"> do not provide an objective measure of disease activity that can be used routinely in studies </w:t>
      </w:r>
      <w:r w:rsidR="00E729BA">
        <w:rPr>
          <w:lang w:eastAsia="zh-CN"/>
        </w:rPr>
        <w:fldChar w:fldCharType="begin"/>
      </w:r>
      <w:r w:rsidR="00FC61FD">
        <w:rPr>
          <w:lang w:eastAsia="zh-CN"/>
        </w:rPr>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rPr>
          <w:lang w:eastAsia="zh-CN"/>
        </w:rPr>
        <w:fldChar w:fldCharType="separate"/>
      </w:r>
      <w:r w:rsidR="004D7951">
        <w:rPr>
          <w:lang w:eastAsia="zh-CN"/>
        </w:rPr>
        <w:t>(142)</w:t>
      </w:r>
      <w:r w:rsidR="00E729BA">
        <w:rPr>
          <w:lang w:eastAsia="zh-CN"/>
        </w:rPr>
        <w:fldChar w:fldCharType="end"/>
      </w:r>
      <w:r>
        <w:rPr>
          <w:lang w:eastAsia="zh-CN"/>
        </w:rPr>
        <w:t xml:space="preserve">. Ibanez et al. developed a method of calculating Adjusted Mean SLEDAI (AMS) as a measure of disease activity burden over time. The continuous spectrum allows comparisons to be made between patients. AMS offers a pragmatic way to relate disease activity to organ damage and mortality. Furthermore, AMS is a strong predictor of mortality, damage, and coronary artery disease </w:t>
      </w:r>
      <w:r w:rsidR="00E729BA">
        <w:rPr>
          <w:lang w:eastAsia="zh-CN"/>
        </w:rPr>
        <w:fldChar w:fldCharType="begin"/>
      </w:r>
      <w:r w:rsidR="00FC61FD">
        <w:rPr>
          <w:lang w:eastAsia="zh-CN"/>
        </w:rPr>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name="System"&gt;J.Rheumatol.&lt;/f&gt;&lt;/ZZ_JournalStdAbbrev&gt;&lt;ZZ_WorkformID&gt;1&lt;/ZZ_WorkformID&gt;&lt;/MDL&gt;&lt;/Cite&gt;&lt;Cite&gt;&lt;Author&gt;Ibanez&lt;/Author&gt;&lt;Year&gt;2007&lt;/Year&gt;&lt;RecNum&gt;345&lt;/RecNum&gt;&lt;IDText&gt;Summarizing disease features over time: II. Variability measures of SLEDAI-2K&lt;/IDText&gt;&lt;MDL Ref_Type="Journal"&gt;&lt;Ref_Type&gt;Journal&lt;/Ref_Type&gt;&lt;Ref_ID&gt;345&lt;/Ref_ID&gt;&lt;Title_Primary&gt;Summarizing disease features over time: II. Variability measures of SLEDAI-2K&lt;/Title_Primary&gt;&lt;Authors_Primary&gt;Ibanez,D.&lt;/Authors_Primary&gt;&lt;Authors_Primary&gt;Gladman,D.&lt;/Authors_Primary&gt;&lt;Authors_Primary&gt;Urowitz,M.&lt;/Authors_Primary&gt;&lt;Date_Primary&gt;2007/2&lt;/Date_Primary&gt;&lt;Keywords&gt;Adult&lt;/Keywords&gt;&lt;Keywords&gt;age&lt;/Keywords&gt;&lt;Keywords&gt;analysis&lt;/Keywords&gt;&lt;Keywords&gt;Arteries&lt;/Keywords&gt;&lt;Keywords&gt;Coronary Artery Disease&lt;/Keywords&gt;&lt;Keywords&gt;death&lt;/Keywords&gt;&lt;Keywords&gt;diagnosis&lt;/Keywords&gt;&lt;Keywords&gt;Disease&lt;/Keywords&gt;&lt;Keywords&gt;Disease Progression&lt;/Keywords&gt;&lt;Keywords&gt;erythematosus&lt;/Keywords&gt;&lt;Keywords&gt;Female&lt;/Keywords&gt;&lt;Keywords&gt;hospital&lt;/Keywords&gt;&lt;Keywords&gt;Humans&lt;/Keywords&gt;&lt;Keywords&gt;Life Expectancy&lt;/Keywords&gt;&lt;Keywords&gt;lupus erythematosus&lt;/Keywords&gt;&lt;Keywords&gt;Lupus Erythematosus,Systemic&lt;/Keywords&gt;&lt;Keywords&gt;Male&lt;/Keywords&gt;&lt;Keywords&gt;methods&lt;/Keywords&gt;&lt;Keywords&gt;Models,Statistical&lt;/Keywords&gt;&lt;Keywords&gt;mortality&lt;/Keywords&gt;&lt;Keywords&gt;Multivariate Analysis&lt;/Keywords&gt;&lt;Keywords&gt;Ontario&lt;/Keywords&gt;&lt;Keywords&gt;Osteonecrosis&lt;/Keywords&gt;&lt;Keywords&gt;pathology&lt;/Keywords&gt;&lt;Keywords&gt;patient&lt;/Keywords&gt;&lt;Keywords&gt;Patients&lt;/Keywords&gt;&lt;Keywords&gt;physiopathology&lt;/Keywords&gt;&lt;Keywords&gt;Predictive Value of Tests&lt;/Keywords&gt;&lt;Keywords&gt;Reproducibility of Results&lt;/Keywords&gt;&lt;Keywords&gt;Rheumatic Diseases&lt;/Keywords&gt;&lt;Keywords&gt;Rheumatology&lt;/Keywords&gt;&lt;Keywords&gt;Risk&lt;/Keywords&gt;&lt;Keywords&gt;Risk Factors&lt;/Keywords&gt;&lt;Keywords&gt;Severity of Illness Index&lt;/Keywords&gt;&lt;Keywords&gt;sex&lt;/Keywords&gt;&lt;Keywords&gt;Survival Rate&lt;/Keywords&gt;&lt;Keywords&gt;systemic lupus erythematosus&lt;/Keywords&gt;&lt;Keywords&gt;Time&lt;/Keywords&gt;&lt;Keywords&gt;Time Factors&lt;/Keywords&gt;&lt;Reprint&gt;Not in File&lt;/Reprint&gt;&lt;Start_Page&gt;336&lt;/Start_Page&gt;&lt;End_Page&gt;340&lt;/End_Page&gt;&lt;Periodical&gt;J.Rheumatol.&lt;/Periodical&gt;&lt;Volume&gt;34&lt;/Volume&gt;&lt;Issue&gt;2&lt;/Issue&gt;&lt;User_Def_1&gt;y&lt;/User_Def_1&gt;&lt;ZZ_JournalStdAbbrev&gt;&lt;f name="System"&gt;J.Rheumatol.&lt;/f&gt;&lt;/ZZ_JournalStdAbbrev&gt;&lt;ZZ_WorkformID&gt;1&lt;/ZZ_WorkformID&gt;&lt;/MDL&gt;&lt;/Cite&gt;&lt;/Refman&gt;</w:instrText>
      </w:r>
      <w:r w:rsidR="00E729BA">
        <w:rPr>
          <w:lang w:eastAsia="zh-CN"/>
        </w:rPr>
        <w:fldChar w:fldCharType="separate"/>
      </w:r>
      <w:r w:rsidR="004D7951">
        <w:rPr>
          <w:lang w:eastAsia="zh-CN"/>
        </w:rPr>
        <w:t>(142;143)</w:t>
      </w:r>
      <w:r w:rsidR="00E729BA">
        <w:rPr>
          <w:lang w:eastAsia="zh-CN"/>
        </w:rPr>
        <w:fldChar w:fldCharType="end"/>
      </w:r>
      <w:r>
        <w:rPr>
          <w:lang w:eastAsia="zh-CN"/>
        </w:rPr>
        <w:t xml:space="preserve">. From these studies, </w:t>
      </w:r>
      <w:r w:rsidR="007C4559">
        <w:rPr>
          <w:lang w:eastAsia="zh-CN"/>
        </w:rPr>
        <w:t xml:space="preserve">they concluded that </w:t>
      </w:r>
      <w:r>
        <w:rPr>
          <w:lang w:eastAsia="zh-CN"/>
        </w:rPr>
        <w:t>AMS is a reproducible measure of disease activity over time because it is a good measure of persistently active disease and can be affected by flares in the disease.</w:t>
      </w:r>
    </w:p>
    <w:p w:rsidR="002D772C" w:rsidRDefault="002D772C" w:rsidP="002D772C">
      <w:pPr>
        <w:pStyle w:val="Heading3"/>
      </w:pPr>
      <w:bookmarkStart w:id="181" w:name="_Toc278533910"/>
      <w:bookmarkStart w:id="182" w:name="_Toc278533970"/>
      <w:bookmarkStart w:id="183" w:name="_Toc279009241"/>
      <w:bookmarkStart w:id="184" w:name="_Toc332010576"/>
      <w:bookmarkStart w:id="185" w:name="_Ref332615549"/>
      <w:bookmarkStart w:id="186" w:name="_Toc379467599"/>
      <w:r>
        <w:t>Mortality</w:t>
      </w:r>
      <w:bookmarkEnd w:id="181"/>
      <w:bookmarkEnd w:id="182"/>
      <w:bookmarkEnd w:id="183"/>
      <w:bookmarkEnd w:id="184"/>
      <w:bookmarkEnd w:id="185"/>
      <w:bookmarkEnd w:id="186"/>
    </w:p>
    <w:p w:rsidR="002D772C" w:rsidRPr="0089097D" w:rsidRDefault="002D772C" w:rsidP="009602B1">
      <w:r>
        <w:rPr>
          <w:lang w:eastAsia="zh-CN"/>
        </w:rPr>
        <w:t xml:space="preserve">SLE can lead to premature death. </w:t>
      </w:r>
      <w:r w:rsidR="00D538A8">
        <w:rPr>
          <w:lang w:eastAsia="zh-CN"/>
        </w:rPr>
        <w:t>A</w:t>
      </w:r>
      <w:r w:rsidR="00D538A8" w:rsidRPr="00D538A8">
        <w:rPr>
          <w:lang w:eastAsia="zh-CN"/>
        </w:rPr>
        <w:t xml:space="preserve"> standardized mortality ratio</w:t>
      </w:r>
      <w:r w:rsidR="00D538A8">
        <w:rPr>
          <w:lang w:eastAsia="zh-CN"/>
        </w:rPr>
        <w:t xml:space="preserve"> quantifies</w:t>
      </w:r>
      <w:r w:rsidR="00D538A8" w:rsidRPr="00D538A8">
        <w:rPr>
          <w:lang w:eastAsia="zh-CN"/>
        </w:rPr>
        <w:t xml:space="preserve"> the increase or decrease in mortality of a study cohort </w:t>
      </w:r>
      <w:r w:rsidR="009602B1">
        <w:rPr>
          <w:lang w:eastAsia="zh-CN"/>
        </w:rPr>
        <w:t>relative</w:t>
      </w:r>
      <w:r w:rsidR="00D538A8" w:rsidRPr="00D538A8">
        <w:rPr>
          <w:lang w:eastAsia="zh-CN"/>
        </w:rPr>
        <w:t xml:space="preserve"> to the general population.</w:t>
      </w:r>
      <w:r w:rsidR="00D538A8">
        <w:rPr>
          <w:lang w:eastAsia="zh-CN"/>
        </w:rPr>
        <w:t xml:space="preserve"> </w:t>
      </w:r>
      <w:r>
        <w:t xml:space="preserve">Bernatsky et al. report a standardised mortality ratio of 2.4 (95% CI 2.3-2.5) from a large cohort of 9547 patients </w:t>
      </w:r>
      <w:r w:rsidR="00E729BA">
        <w:fldChar w:fldCharType="begin"/>
      </w:r>
      <w:r w:rsidR="00FC61FD">
        <w:instrText xml:space="preserve"> ADDIN REFMGR.CITE &lt;Refman&gt;&lt;Cite&gt;&lt;Author&gt;Bernatsky&lt;/Author&gt;&lt;Year&gt;2006&lt;/Year&gt;&lt;RecNum&gt;551&lt;/RecNum&gt;&lt;IDText&gt;Mortality in systemic lupus erythematosus&lt;/IDText&gt;&lt;MDL Ref_Type="Journal"&gt;&lt;Ref_Type&gt;Journal&lt;/Ref_Type&gt;&lt;Ref_ID&gt;551&lt;/Ref_ID&gt;&lt;Title_Primary&gt;Mortality in systemic lupus erythematosus&lt;/Title_Primary&gt;&lt;Authors_Primary&gt;Bernatsky,S.&lt;/Authors_Primary&gt;&lt;Authors_Primary&gt;Boivin,J.F.&lt;/Authors_Primary&gt;&lt;Authors_Primary&gt;Joseph,L.&lt;/Authors_Primary&gt;&lt;Authors_Primary&gt;Manzi,S.&lt;/Authors_Primary&gt;&lt;Authors_Primary&gt;Ginzler,E.&lt;/Authors_Primary&gt;&lt;Authors_Primary&gt;Gladman,D.D.&lt;/Authors_Primary&gt;&lt;Authors_Primary&gt;Urowitz,M.&lt;/Authors_Primary&gt;&lt;Authors_Primary&gt;Fortin,P.R.&lt;/Authors_Primary&gt;&lt;Authors_Primary&gt;Petri,M.&lt;/Authors_Primary&gt;&lt;Authors_Primary&gt;Barr,S.&lt;/Authors_Primary&gt;&lt;Authors_Primary&gt;Gordon,C.&lt;/Authors_Primary&gt;&lt;Authors_Primary&gt;Bae,S.C.&lt;/Authors_Primary&gt;&lt;Authors_Primary&gt;Isenberg,D.&lt;/Authors_Primary&gt;&lt;Authors_Primary&gt;Zoma,A.&lt;/Authors_Primary&gt;&lt;Authors_Primary&gt;Aranow,C.&lt;/Authors_Primary&gt;&lt;Authors_Primary&gt;Dooley,M.A.&lt;/Authors_Primary&gt;&lt;Authors_Primary&gt;Nived,O.&lt;/Authors_Primary&gt;&lt;Authors_Primary&gt;Sturfelt,G.&lt;/Authors_Primary&gt;&lt;Authors_Primary&gt;Steinsson,K.&lt;/Authors_Primary&gt;&lt;Authors_Primary&gt;Alarcon,G.&lt;/Authors_Primary&gt;&lt;Authors_Primary&gt;Senecal,J.L.&lt;/Authors_Primary&gt;&lt;Authors_Primary&gt;Zummer,M.&lt;/Authors_Primary&gt;&lt;Authors_Primary&gt;Hanly,J.&lt;/Authors_Primary&gt;&lt;Authors_Primary&gt;Ensworth,S.&lt;/Authors_Primary&gt;&lt;Authors_Primary&gt;Pope,J.&lt;/Authors_Primary&gt;&lt;Authors_Primary&gt;Edworthy,S.&lt;/Authors_Primary&gt;&lt;Authors_Primary&gt;Rahman,A.&lt;/Authors_Primary&gt;&lt;Authors_Primary&gt;Sibley,J.&lt;/Authors_Primary&gt;&lt;Authors_Primary&gt;El-Gabalawy,H.&lt;/Authors_Primary&gt;&lt;Authors_Primary&gt;McCarthy,T.&lt;/Authors_Primary&gt;&lt;Authors_Primary&gt;St,Pierre Y.&lt;/Authors_Primary&gt;&lt;Authors_Primary&gt;Clarke,A.&lt;/Authors_Primary&gt;&lt;Authors_Primary&gt;Ramsey-Goldman,R.&lt;/Authors_Primary&gt;&lt;Date_Primary&gt;2006/8&lt;/Date_Primary&gt;&lt;Keywords&gt;Adolescent&lt;/Keywords&gt;&lt;Keywords&gt;Adult&lt;/Keywords&gt;&lt;Keywords&gt;age&lt;/Keywords&gt;&lt;Keywords&gt;cancer&lt;/Keywords&gt;&lt;Keywords&gt;Cause of Death&lt;/Keywords&gt;&lt;Keywords&gt;confidence interval&lt;/Keywords&gt;&lt;Keywords&gt;death&lt;/Keywords&gt;&lt;Keywords&gt;Disease&lt;/Keywords&gt;&lt;Keywords&gt;epidemiology&lt;/Keywords&gt;&lt;Keywords&gt;erythematosus&lt;/Keywords&gt;&lt;Keywords&gt;Female&lt;/Keywords&gt;&lt;Keywords&gt;general hospital&lt;/Keywords&gt;&lt;Keywords&gt;Great Britain&lt;/Keywords&gt;&lt;Keywords&gt;hospital&lt;/Keywords&gt;&lt;Keywords&gt;Humans&lt;/Keywords&gt;&lt;Keywords&gt;Iceland&lt;/Keywords&gt;&lt;Keywords&gt;Infection&lt;/Keywords&gt;&lt;Keywords&gt;International Cooperation&lt;/Keywords&gt;&lt;Keywords&gt;Korea&lt;/Keywords&gt;&lt;Keywords&gt;Lung&lt;/Keywords&gt;&lt;Keywords&gt;lung cancer&lt;/Keywords&gt;&lt;Keywords&gt;lupus erythematosus&lt;/Keywords&gt;&lt;Keywords&gt;Lupus Erythematosus,Systemic&lt;/Keywords&gt;&lt;Keywords&gt;Lymphoma&lt;/Keywords&gt;&lt;Keywords&gt;Male&lt;/Keywords&gt;&lt;Keywords&gt;methods&lt;/Keywords&gt;&lt;Keywords&gt;Middle Aged&lt;/Keywords&gt;&lt;Keywords&gt;mortality&lt;/Keywords&gt;&lt;Keywords&gt;non hodgkin&amp;apos;s lymphoma&lt;/Keywords&gt;&lt;Keywords&gt;North America&lt;/Keywords&gt;&lt;Keywords&gt;patient&lt;/Keywords&gt;&lt;Keywords&gt;Patients&lt;/Keywords&gt;&lt;Keywords&gt;population&lt;/Keywords&gt;&lt;Keywords&gt;Quebec&lt;/Keywords&gt;&lt;Keywords&gt;race&lt;/Keywords&gt;&lt;Keywords&gt;Registries&lt;/Keywords&gt;&lt;Keywords&gt;Risk&lt;/Keywords&gt;&lt;Keywords&gt;sample&lt;/Keywords&gt;&lt;Keywords&gt;sex&lt;/Keywords&gt;&lt;Keywords&gt;standardized mortality ratio&lt;/Keywords&gt;&lt;Keywords&gt;statistics&lt;/Keywords&gt;&lt;Keywords&gt;Survival Rate&lt;/Keywords&gt;&lt;Keywords&gt;Sweden&lt;/Keywords&gt;&lt;Keywords&gt;systemic lupus erythematosus&lt;/Keywords&gt;&lt;Keywords&gt;Time&lt;/Keywords&gt;&lt;Reprint&gt;Not in File&lt;/Reprint&gt;&lt;Start_Page&gt;2550&lt;/Start_Page&gt;&lt;End_Page&gt;2557&lt;/End_Page&gt;&lt;Periodical&gt;Arthritis Rheum.&lt;/Periodical&gt;&lt;Volume&gt;54&lt;/Volume&gt;&lt;Issue&gt;8&lt;/Issue&gt;&lt;User_Def_1&gt;y&lt;/User_Def_1&gt;&lt;User_Def_2&gt;y&lt;/User_Def_2&gt;&lt;User_Def_3&gt;OB&lt;/User_Def_3&gt;&lt;User_Def_4&gt;SLE&lt;/User_Def_4&gt;&lt;ZZ_JournalStdAbbrev&gt;&lt;f name="System"&gt;Arthritis Rheum.&lt;/f&gt;&lt;/ZZ_JournalStdAbbrev&gt;&lt;ZZ_WorkformID&gt;1&lt;/ZZ_WorkformID&gt;&lt;/MDL&gt;&lt;/Cite&gt;&lt;/Refman&gt;</w:instrText>
      </w:r>
      <w:r w:rsidR="00E729BA">
        <w:fldChar w:fldCharType="separate"/>
      </w:r>
      <w:r w:rsidR="004D7951">
        <w:t>(144)</w:t>
      </w:r>
      <w:r w:rsidR="00E729BA">
        <w:fldChar w:fldCharType="end"/>
      </w:r>
      <w:r>
        <w:t xml:space="preserve">. Other estimates have reported similar results of 2.3 and 2.4 </w:t>
      </w:r>
      <w:r w:rsidR="00E729BA">
        <w:fldChar w:fldCharType="begin"/>
      </w:r>
      <w:r w:rsidR="00FC61FD">
        <w:instrText xml:space="preserve"> ADDIN REFMGR.CITE &lt;Refman&gt;&lt;Cite&gt;&lt;Author&gt;Manger&lt;/Author&gt;&lt;Year&gt;2002&lt;/Year&gt;&lt;RecNum&gt;843&lt;/RecNum&gt;&lt;IDText&gt;Definition of risk factors for death, end stage renal disease, and thromboembolic events in a monocentric cohort of 338 patients with systemic lupus erythematosus&lt;/IDText&gt;&lt;MDL Ref_Type="Journal"&gt;&lt;Ref_Type&gt;Journal&lt;/Ref_Type&gt;&lt;Ref_ID&gt;843&lt;/Ref_ID&gt;&lt;Title_Primary&gt;Definition of risk factors for death, end stage renal disease, and thromboembolic events in a monocentric cohort of 338 patients with systemic lupus erythematosus&lt;/Title_Primary&gt;&lt;Authors_Primary&gt;Manger,K.&lt;/Authors_Primary&gt;&lt;Authors_Primary&gt;Manger,B.&lt;/Authors_Primary&gt;&lt;Authors_Primary&gt;Repp,R.&lt;/Authors_Primary&gt;&lt;Authors_Primary&gt;Geisselbrecht,M.&lt;/Authors_Primary&gt;&lt;Authors_Primary&gt;Geiger,A.&lt;/Authors_Primary&gt;&lt;Authors_Primary&gt;Pfahlberg,A.&lt;/Authors_Primary&gt;&lt;Authors_Primary&gt;Harrer,T.&lt;/Authors_Primary&gt;&lt;Authors_Primary&gt;Kalden,J.R.&lt;/Authors_Primary&gt;&lt;Date_Primary&gt;2002/12&lt;/Date_Primary&gt;&lt;Keywords&gt;Adult&lt;/Keywords&gt;&lt;Keywords&gt;Age Factors&lt;/Keywords&gt;&lt;Keywords&gt;analysis&lt;/Keywords&gt;&lt;Keywords&gt;Antibodies&lt;/Keywords&gt;&lt;Keywords&gt;Biometry&lt;/Keywords&gt;&lt;Keywords&gt;Cardiovascular Diseases&lt;/Keywords&gt;&lt;Keywords&gt;Central Nervous System&lt;/Keywords&gt;&lt;Keywords&gt;Central Nervous System Diseases&lt;/Keywords&gt;&lt;Keywords&gt;Cohort Studies&lt;/Keywords&gt;&lt;Keywords&gt;complications&lt;/Keywords&gt;&lt;Keywords&gt;Creatinine&lt;/Keywords&gt;&lt;Keywords&gt;Cryoglobulins&lt;/Keywords&gt;&lt;Keywords&gt;Disease&lt;/Keywords&gt;&lt;Keywords&gt;epidemiology&lt;/Keywords&gt;&lt;Keywords&gt;Female&lt;/Keywords&gt;&lt;Keywords&gt;Germany&lt;/Keywords&gt;&lt;Keywords&gt;Heart&lt;/Keywords&gt;&lt;Keywords&gt;Heart Diseases&lt;/Keywords&gt;&lt;Keywords&gt;Humans&lt;/Keywords&gt;&lt;Keywords&gt;Hypertension&lt;/Keywords&gt;&lt;Keywords&gt;immunology&lt;/Keywords&gt;&lt;Keywords&gt;Infection&lt;/Keywords&gt;&lt;Keywords&gt;Kidney Failure,Chronic&lt;/Keywords&gt;&lt;Keywords&gt;Lupus Erythematosus,Systemic&lt;/Keywords&gt;&lt;Keywords&gt;Male&lt;/Keywords&gt;&lt;Keywords&gt;metabolism&lt;/Keywords&gt;&lt;Keywords&gt;methods&lt;/Keywords&gt;&lt;Keywords&gt;mortality&lt;/Keywords&gt;&lt;Keywords&gt;Multivariate Analysis&lt;/Keywords&gt;&lt;Keywords&gt;Nephritis&lt;/Keywords&gt;&lt;Keywords&gt;Phenotype&lt;/Keywords&gt;&lt;Keywords&gt;Prevalence&lt;/Keywords&gt;&lt;Keywords&gt;Rheumatology&lt;/Keywords&gt;&lt;Keywords&gt;Risk&lt;/Keywords&gt;&lt;Keywords&gt;Risk Factors&lt;/Keywords&gt;&lt;Keywords&gt;Sex Factors&lt;/Keywords&gt;&lt;Keywords&gt;Survival Rate&lt;/Keywords&gt;&lt;Keywords&gt;Thromboembolism&lt;/Keywords&gt;&lt;Keywords&gt;Time&lt;/Keywords&gt;&lt;Reprint&gt;Not in File&lt;/Reprint&gt;&lt;Start_Page&gt;1065&lt;/Start_Page&gt;&lt;End_Page&gt;1070&lt;/End_Page&gt;&lt;Periodical&gt;Ann.Rheum.Dis.&lt;/Periodical&gt;&lt;Volume&gt;61&lt;/Volume&gt;&lt;Issue&gt;12&lt;/Issue&gt;&lt;User_Def_1&gt;y&lt;/User_Def_1&gt;&lt;ZZ_JournalStdAbbrev&gt;&lt;f name="System"&gt;Ann.Rheum.Dis.&lt;/f&gt;&lt;/ZZ_JournalStdAbbrev&gt;&lt;ZZ_WorkformID&gt;1&lt;/ZZ_WorkformID&gt;&lt;/MDL&gt;&lt;/Cite&gt;&lt;Cite&gt;&lt;Author&gt;Urowitz&lt;/Author&gt;&lt;Year&gt;2008&lt;/Year&gt;&lt;RecNum&gt;145&lt;/RecNum&gt;&lt;IDText&gt;Changing patterns in mortality and disease outcomes for patients with systemic lupus erythematosus&lt;/IDText&gt;&lt;MDL Ref_Type="Journal"&gt;&lt;Ref_Type&gt;Journal&lt;/Ref_Type&gt;&lt;Ref_ID&gt;145&lt;/Ref_ID&gt;&lt;Title_Primary&gt;Changing patterns in mortality and disease outcomes for patients with systemic lupus erythematosus&lt;/Title_Primary&gt;&lt;Authors_Primary&gt;Urowitz,M.B.&lt;/Authors_Primary&gt;&lt;Authors_Primary&gt;Gladman,D.D.&lt;/Authors_Primary&gt;&lt;Authors_Primary&gt;Tom,B.D.&lt;/Authors_Primary&gt;&lt;Authors_Primary&gt;Ibanez,D.&lt;/Authors_Primary&gt;&lt;Authors_Primary&gt;Farewell,V.T.&lt;/Authors_Primary&gt;&lt;Date_Primary&gt;2008/11&lt;/Date_Primary&gt;&lt;Keywords&gt;Adult&lt;/Keywords&gt;&lt;Keywords&gt;African Continental Ancestry Group&lt;/Keywords&gt;&lt;Keywords&gt;Antimalarials&lt;/Keywords&gt;&lt;Keywords&gt;Arteries&lt;/Keywords&gt;&lt;Keywords&gt;Asian Continental Ancestry Group&lt;/Keywords&gt;&lt;Keywords&gt;Canada&lt;/Keywords&gt;&lt;Keywords&gt;Comorbidity&lt;/Keywords&gt;&lt;Keywords&gt;Coronary Artery Disease&lt;/Keywords&gt;&lt;Keywords&gt;Disease&lt;/Keywords&gt;&lt;Keywords&gt;epidemiology&lt;/Keywords&gt;&lt;Keywords&gt;ethnology&lt;/Keywords&gt;&lt;Keywords&gt;European Continental Ancestry Group&lt;/Keywords&gt;&lt;Keywords&gt;Female&lt;/Keywords&gt;&lt;Keywords&gt;Follow-Up Studies&lt;/Keywords&gt;&lt;Keywords&gt;Health&lt;/Keywords&gt;&lt;Keywords&gt;Humans&lt;/Keywords&gt;&lt;Keywords&gt;Lupus Erythematosus,Systemic&lt;/Keywords&gt;&lt;Keywords&gt;Male&lt;/Keywords&gt;&lt;Keywords&gt;methods&lt;/Keywords&gt;&lt;Keywords&gt;Middle Aged&lt;/Keywords&gt;&lt;Keywords&gt;Morbidity&lt;/Keywords&gt;&lt;Keywords&gt;mortality&lt;/Keywords&gt;&lt;Keywords&gt;Ontario&lt;/Keywords&gt;&lt;Keywords&gt;Osteonecrosis&lt;/Keywords&gt;&lt;Keywords&gt;Prevalence&lt;/Keywords&gt;&lt;Keywords&gt;Prognosis&lt;/Keywords&gt;&lt;Keywords&gt;Proportional Hazards Models&lt;/Keywords&gt;&lt;Keywords&gt;Prospective Studies&lt;/Keywords&gt;&lt;Keywords&gt;Rheumatic Diseases&lt;/Keywords&gt;&lt;Keywords&gt;Risk Factors&lt;/Keywords&gt;&lt;Keywords&gt;Severity of Illness Index&lt;/Keywords&gt;&lt;Keywords&gt;Sex Distribution&lt;/Keywords&gt;&lt;Keywords&gt;statistics &amp;amp; numerical data&lt;/Keywords&gt;&lt;Keywords&gt;Survival Analysis&lt;/Keywords&gt;&lt;Keywords&gt;therapy&lt;/Keywords&gt;&lt;Keywords&gt;Time&lt;/Keywords&gt;&lt;Keywords&gt;Treatment Outcome&lt;/Keywords&gt;&lt;Reprint&gt;Not in File&lt;/Reprint&gt;&lt;Start_Page&gt;2152&lt;/Start_Page&gt;&lt;End_Page&gt;2158&lt;/End_Page&gt;&lt;Periodical&gt;J.Rheumatol.&lt;/Periodical&gt;&lt;Volume&gt;35&lt;/Volume&gt;&lt;Issue&gt;11&lt;/Issue&gt;&lt;User_Def_1&gt;y&lt;/User_Def_1&gt;&lt;ZZ_JournalStdAbbrev&gt;&lt;f name="System"&gt;J.Rheumatol.&lt;/f&gt;&lt;/ZZ_JournalStdAbbrev&gt;&lt;ZZ_WorkformID&gt;1&lt;/ZZ_WorkformID&gt;&lt;/MDL&gt;&lt;/Cite&gt;&lt;/Refman&gt;</w:instrText>
      </w:r>
      <w:r w:rsidR="00E729BA">
        <w:fldChar w:fldCharType="separate"/>
      </w:r>
      <w:r w:rsidR="004D7951">
        <w:t>(145;146)</w:t>
      </w:r>
      <w:r w:rsidR="00E729BA">
        <w:fldChar w:fldCharType="end"/>
      </w:r>
      <w:r>
        <w:t xml:space="preserve">. An earlier study, published in 1995, report a SMR of 4.9 </w:t>
      </w:r>
      <w:r w:rsidR="00E729BA">
        <w:fldChar w:fldCharType="begin"/>
      </w:r>
      <w:r w:rsidR="00FC61FD">
        <w:instrText xml:space="preserve"> ADDIN REFMGR.CITE &lt;Refman&gt;&lt;Cite&gt;&lt;Author&gt;Abu-Shakra&lt;/Author&gt;&lt;Year&gt;1995&lt;/Year&gt;&lt;RecNum&gt;1405&lt;/RecNum&gt;&lt;IDText&gt;Mortality studies in systemic lupus erythematosus. Results from a single center. II. Predictor variables for mortality&lt;/IDText&gt;&lt;MDL Ref_Type="Journal"&gt;&lt;Ref_Type&gt;Journal&lt;/Ref_Type&gt;&lt;Ref_ID&gt;1405&lt;/Ref_ID&gt;&lt;Title_Primary&gt;Mortality studies in systemic lupus erythematosus. Results from a single center. II. Predictor variables for mortality&lt;/Title_Primary&gt;&lt;Authors_Primary&gt;Abu-Shakra,M.&lt;/Authors_Primary&gt;&lt;Authors_Primary&gt;Urowitz,M.B.&lt;/Authors_Primary&gt;&lt;Authors_Primary&gt;Gladman,D.D.&lt;/Authors_Primary&gt;&lt;Authors_Primary&gt;Gough,J.&lt;/Authors_Primary&gt;&lt;Date_Primary&gt;1995/7&lt;/Date_Primary&gt;&lt;Keywords&gt;Adolescent&lt;/Keywords&gt;&lt;Keywords&gt;Adult&lt;/Keywords&gt;&lt;Keywords&gt;Aged&lt;/Keywords&gt;&lt;Keywords&gt;Aged,80 and over&lt;/Keywords&gt;&lt;Keywords&gt;analysis&lt;/Keywords&gt;&lt;Keywords&gt;Cause of Death&lt;/Keywords&gt;&lt;Keywords&gt;Child&lt;/Keywords&gt;&lt;Keywords&gt;diagnosis&lt;/Keywords&gt;&lt;Keywords&gt;Disease&lt;/Keywords&gt;&lt;Keywords&gt;Female&lt;/Keywords&gt;&lt;Keywords&gt;Heart&lt;/Keywords&gt;&lt;Keywords&gt;Humans&lt;/Keywords&gt;&lt;Keywords&gt;Hypertension&lt;/Keywords&gt;&lt;Keywords&gt;Life Tables&lt;/Keywords&gt;&lt;Keywords&gt;Lung&lt;/Keywords&gt;&lt;Keywords&gt;Lupus Erythematosus,Systemic&lt;/Keywords&gt;&lt;Keywords&gt;Male&lt;/Keywords&gt;&lt;Keywords&gt;methods&lt;/Keywords&gt;&lt;Keywords&gt;Middle Aged&lt;/Keywords&gt;&lt;Keywords&gt;mortality&lt;/Keywords&gt;&lt;Keywords&gt;Multivariate Analysis&lt;/Keywords&gt;&lt;Keywords&gt;Ontario&lt;/Keywords&gt;&lt;Keywords&gt;Prognosis&lt;/Keywords&gt;&lt;Keywords&gt;Proportional Hazards Models&lt;/Keywords&gt;&lt;Keywords&gt;Prospective Studies&lt;/Keywords&gt;&lt;Keywords&gt;Risk&lt;/Keywords&gt;&lt;Keywords&gt;Risk Factors&lt;/Keywords&gt;&lt;Keywords&gt;Survival Rate&lt;/Keywords&gt;&lt;Keywords&gt;Thrombocytopenia&lt;/Keywords&gt;&lt;Reprint&gt;Not in File&lt;/Reprint&gt;&lt;Start_Page&gt;1265&lt;/Start_Page&gt;&lt;End_Page&gt;1270&lt;/End_Page&gt;&lt;Periodical&gt;J.Rheumatol.&lt;/Periodical&gt;&lt;Volume&gt;22&lt;/Volume&gt;&lt;Issue&gt;7&lt;/Issue&gt;&lt;User_Def_1&gt;y&lt;/User_Def_1&gt;&lt;ZZ_JournalStdAbbrev&gt;&lt;f name="System"&gt;J.Rheumatol.&lt;/f&gt;&lt;/ZZ_JournalStdAbbrev&gt;&lt;ZZ_WorkformID&gt;1&lt;/ZZ_WorkformID&gt;&lt;/MDL&gt;&lt;/Cite&gt;&lt;/Refman&gt;</w:instrText>
      </w:r>
      <w:r w:rsidR="00E729BA">
        <w:fldChar w:fldCharType="separate"/>
      </w:r>
      <w:r w:rsidR="004D7951">
        <w:t>(147)</w:t>
      </w:r>
      <w:r w:rsidR="00E729BA">
        <w:fldChar w:fldCharType="end"/>
      </w:r>
      <w:r>
        <w:t xml:space="preserve">. </w:t>
      </w:r>
      <w:r w:rsidR="009A48D5">
        <w:t>T</w:t>
      </w:r>
      <w:r>
        <w:t xml:space="preserve">he risk for SLE patients is significantly higher than that observed in the general population. The search strategy identified 27 studies that investigated mortality in a cohort of SLE patients. </w:t>
      </w:r>
    </w:p>
    <w:p w:rsidR="002D772C" w:rsidRDefault="002D772C" w:rsidP="002D772C">
      <w:pPr>
        <w:pStyle w:val="Heading4"/>
      </w:pPr>
      <w:r>
        <w:t>Rates of mortality</w:t>
      </w:r>
    </w:p>
    <w:p w:rsidR="005E0734" w:rsidRDefault="002D772C" w:rsidP="005E0734">
      <w:r>
        <w:t>The survival rates of SLE patients are reported in</w:t>
      </w:r>
      <w:r w:rsidR="005E0734">
        <w:t xml:space="preserve"> </w:t>
      </w:r>
      <w:r w:rsidR="005E0734">
        <w:fldChar w:fldCharType="begin"/>
      </w:r>
      <w:r w:rsidR="005E0734">
        <w:instrText xml:space="preserve"> REF _Ref379468335 \h </w:instrText>
      </w:r>
      <w:r w:rsidR="005E0734">
        <w:fldChar w:fldCharType="separate"/>
      </w:r>
      <w:r w:rsidR="004911B7">
        <w:t xml:space="preserve">Table </w:t>
      </w:r>
      <w:r w:rsidR="004911B7">
        <w:rPr>
          <w:noProof/>
        </w:rPr>
        <w:t>9</w:t>
      </w:r>
      <w:r w:rsidR="005E0734">
        <w:fldChar w:fldCharType="end"/>
      </w:r>
    </w:p>
    <w:p w:rsidR="00584E81" w:rsidRDefault="002D772C" w:rsidP="007C4559">
      <w:r w:rsidRPr="004911B7">
        <w:rPr>
          <w:lang w:val="nl-NL"/>
        </w:rPr>
        <w:t xml:space="preserve">. Two studies Ward et al. </w:t>
      </w:r>
      <w:r w:rsidR="00E729BA">
        <w:fldChar w:fldCharType="begin"/>
      </w:r>
      <w:r w:rsidR="00FC61FD" w:rsidRPr="004911B7">
        <w:rPr>
          <w:lang w:val="nl-NL"/>
        </w:rPr>
        <w:instrText xml:space="preserve"> ADDIN REFMGR.CITE &lt;Refman&gt;&lt;Cite&gt;&lt;Author&gt;Ward&lt;/Author&gt;&lt;Year&gt;1995&lt;/Year&gt;&lt;RecNum&gt;1420&lt;/RecNum&gt;&lt;IDText&gt;Long-term survival in systemic lupus erythematosus. Patient characteristics associated with poorer outcomes&lt;/IDText&gt;&lt;MDL Ref_Type="Journal"&gt;&lt;Ref_Type&gt;Journal&lt;/Ref_Type&gt;&lt;Ref_ID&gt;1420&lt;/Ref_ID&gt;&lt;Title_Primary&gt;Long-term survival in systemic lupus erythematosus. Patient characteristics associated with poorer outcomes&lt;/Title_Primary&gt;&lt;Authors_Primary&gt;Ward,M.M.&lt;/Authors_Primary&gt;&lt;Authors_Primary&gt;Pyun,E.&lt;/Authors_Primary&gt;&lt;Authors_Primary&gt;Studenski,S.&lt;/Authors_Primary&gt;&lt;Date_Primary&gt;1995/2&lt;/Date_Primary&gt;&lt;Keywords&gt;Adolescent&lt;/Keywords&gt;&lt;Keywords&gt;Adult&lt;/Keywords&gt;&lt;Keywords&gt;Aged&lt;/Keywords&gt;&lt;Keywords&gt;Aged,80 and over&lt;/Keywords&gt;&lt;Keywords&gt;California&lt;/Keywords&gt;&lt;Keywords&gt;Cohort Studies&lt;/Keywords&gt;&lt;Keywords&gt;epidemiology&lt;/Keywords&gt;&lt;Keywords&gt;Female&lt;/Keywords&gt;&lt;Keywords&gt;Humans&lt;/Keywords&gt;&lt;Keywords&gt;Income&lt;/Keywords&gt;&lt;Keywords&gt;Insurance,Health&lt;/Keywords&gt;&lt;Keywords&gt;Life&lt;/Keywords&gt;&lt;Keywords&gt;Lupus Erythematosus,Systemic&lt;/Keywords&gt;&lt;Keywords&gt;Male&lt;/Keywords&gt;&lt;Keywords&gt;methods&lt;/Keywords&gt;&lt;Keywords&gt;Middle Aged&lt;/Keywords&gt;&lt;Keywords&gt;mortality&lt;/Keywords&gt;&lt;Keywords&gt;Socioeconomic Factors&lt;/Keywords&gt;&lt;Keywords&gt;Veterans&lt;/Keywords&gt;&lt;Reprint&gt;Not in File&lt;/Reprint&gt;&lt;Start_Page&gt;274&lt;/Start_Page&gt;&lt;End_Page&gt;283&lt;/End_Page&gt;&lt;Periodical&gt;Arthritis Rheum.&lt;/Periodical&gt;&lt;Volume&gt;38&lt;/Volume&gt;&lt;Issue&gt;2&lt;/Issue&gt;&lt;User_Def_1&gt;y&lt;/User_Def_1&gt;&lt;ZZ_JournalStdAbbrev&gt;&lt;f name="System"&gt;Arthritis Rheum.&lt;/f&gt;&lt;/ZZ_JournalStdAbbrev&gt;&lt;ZZ_WorkformID&gt;1&lt;/ZZ_WorkformID&gt;&lt;/MDL&gt;&lt;/Cite&gt;&lt;/Refman&gt;</w:instrText>
      </w:r>
      <w:r w:rsidR="00E729BA">
        <w:fldChar w:fldCharType="separate"/>
      </w:r>
      <w:r w:rsidR="004D7951" w:rsidRPr="004911B7">
        <w:rPr>
          <w:lang w:val="nl-NL"/>
        </w:rPr>
        <w:t>(148)</w:t>
      </w:r>
      <w:r w:rsidR="00E729BA">
        <w:fldChar w:fldCharType="end"/>
      </w:r>
      <w:r w:rsidRPr="004911B7">
        <w:rPr>
          <w:lang w:val="nl-NL"/>
        </w:rPr>
        <w:t xml:space="preserve"> and Xie et al. </w:t>
      </w:r>
      <w:r w:rsidR="00E729BA">
        <w:fldChar w:fldCharType="begin"/>
      </w:r>
      <w:r w:rsidR="00FC61FD" w:rsidRPr="004911B7">
        <w:rPr>
          <w:lang w:val="nl-NL"/>
        </w:rPr>
        <w:instrText xml:space="preserve"> ADDIN REFMGR.CITE &lt;Refman&gt;&lt;Cite&gt;&lt;Author&gt;Xie&lt;/Author&gt;&lt;Year&gt;1998&lt;/Year&gt;&lt;RecNum&gt;1232&lt;/RecNum&gt;&lt;IDText&gt;Long term follow-up of patients with systemic lupus erythematosus&lt;/IDText&gt;&lt;MDL Ref_Type="Journal"&gt;&lt;Ref_Type&gt;Journal&lt;/Ref_Type&gt;&lt;Ref_ID&gt;1232&lt;/Ref_ID&gt;&lt;Title_Primary&gt;Long term follow-up of patients with systemic lupus erythematosus&lt;/Title_Primary&gt;&lt;Authors_Primary&gt;Xie,S.K.&lt;/Authors_Primary&gt;&lt;Authors_Primary&gt;Feng,S.F.&lt;/Authors_Primary&gt;&lt;Authors_Primary&gt;Fu,H.&lt;/Authors_Primary&gt;&lt;Date_Primary&gt;1998/6&lt;/Date_Primary&gt;&lt;Keywords&gt;administration &amp;amp; dosage&lt;/Keywords&gt;&lt;Keywords&gt;Adolescent&lt;/Keywords&gt;&lt;Keywords&gt;Adrenal Cortex Hormones&lt;/Keywords&gt;&lt;Keywords&gt;Adult&lt;/Keywords&gt;&lt;Keywords&gt;Aged&lt;/Keywords&gt;&lt;Keywords&gt;an</w:instrText>
      </w:r>
      <w:r w:rsidR="00FC61FD" w:rsidRPr="004911B7">
        <w:instrText>alysis&lt;/Keywords&gt;&lt;Keywords&gt;Analysis of Variance&lt;/Keywords&gt;&lt;Keywords&gt;Child&lt;/Keywords&gt;&lt;Keywords&gt;Child,Preschool&lt;/Keywords&gt;&lt;Keywords&gt;China&lt;/Keywords&gt;&lt;Keywords&gt;Cohort Studies&lt;/Keywords&gt;&lt;Keywords&gt;Complement C3&lt;/Keywords&gt;&lt;Keywords&gt;deficiency&lt;/Keywords&gt;&lt;Keywords&gt;Depression&lt;/Keywords&gt;&lt;Keywords&gt;Electrocardiography&lt;/Keywords&gt;&lt;Keywords&gt;epidemiology&lt;/Keywords&gt;&lt;Keywords&gt;Female&lt;/Keywords&gt;&lt;Keywords&gt;Follow-Up Studies&lt;/Keywords&gt;&lt;Keywords&gt;Hematologic Diseases&lt;/Keywords&gt;&lt;Keywords&gt;Humans&lt;/Keywords&gt;&lt;Keywords&gt;Life&lt;/Keywords&gt;&lt;Keywords&gt;Life Tables&lt;/Keywords&gt;&lt;Keywords&gt;Longitudinal Studies&lt;/Keywords&gt;&lt;Keywords&gt;Lupus Erythematosus,Systemic&lt;/Keywords&gt;&lt;Keywords&gt;Lupus Nephritis&lt;/Keywords&gt;&lt;Keywords&gt;Male&lt;/Keywords&gt;&lt;Keywords&gt;Mental Disorders&lt;/Keywords&gt;&lt;Keywords&gt;Middle Aged&lt;/Keywords&gt;&lt;Keywords&gt;mortality&lt;/Keywords&gt;&lt;Keywords&gt;Multivariate Analysis&lt;/Keywords&gt;&lt;Keywords&gt;Nervous System Diseases&lt;/Keywords&gt;&lt;Keywords&gt;Pericarditis&lt;/Keywords&gt;&lt;Keywords&gt;Pleurisy&lt;/Keywords&gt;&lt;Keywords&gt;Probability&lt;/Keywords&gt;&lt;Keywords&gt;Prognosis&lt;/Keywords&gt;&lt;Keywords&gt;Risk&lt;/Keywords&gt;&lt;Keywords&gt;Risk Factors&lt;/Keywords&gt;&lt;Keywords&gt;Sex Factors&lt;/Keywords&gt;&lt;Keywords&gt;Survival Rate&lt;/Keywords&gt;&lt;Keywords&gt;therapeutic use&lt;/Keywords&gt;&lt;Keywords&gt;Time&lt;/Keywords&gt;&lt;Reprint&gt;Not in File&lt;/Reprint&gt;&lt;Start_Page&gt;367&lt;/Start_Page&gt;&lt;End_Page&gt;373&lt;/End_Page&gt;&lt;Periodical&gt;J.Dermatol.&lt;/Periodical&gt;&lt;Volume&gt;25&lt;/Volume&gt;&lt;Issue&gt;6&lt;/Issue&gt;&lt;User_Def_1&gt;y&lt;/User_Def_1&gt;&lt;ZZ_JournalStdAbbrev&gt;&lt;f name="System"&gt;J.Dermatol.&lt;/f&gt;&lt;/ZZ_JournalStdAbbrev&gt;&lt;ZZ_WorkformID&gt;1&lt;/ZZ_WorkformID&gt;&lt;/MDL&gt;&lt;/Cite&gt;&lt;/Refman&gt;</w:instrText>
      </w:r>
      <w:r w:rsidR="00E729BA">
        <w:fldChar w:fldCharType="separate"/>
      </w:r>
      <w:r w:rsidR="004D7951" w:rsidRPr="004911B7">
        <w:t>(149)</w:t>
      </w:r>
      <w:r w:rsidR="00E729BA">
        <w:fldChar w:fldCharType="end"/>
      </w:r>
      <w:r w:rsidR="0094366B" w:rsidRPr="004911B7">
        <w:t xml:space="preserve"> report substantially lower survival than the other studies. </w:t>
      </w:r>
      <w:r w:rsidR="004B20F9">
        <w:t>Differences in survival estimates across studies may be due to the time periods in which patients were recruited</w:t>
      </w:r>
      <w:r w:rsidR="005E3AF0">
        <w:t xml:space="preserve"> because</w:t>
      </w:r>
      <w:r>
        <w:t xml:space="preserve"> survival estimates have improved in recent years </w:t>
      </w:r>
      <w:r w:rsidR="00E729BA">
        <w:fldChar w:fldCharType="begin"/>
      </w:r>
      <w:r w:rsidR="00FC61FD">
        <w:instrText xml:space="preserve"> ADDIN REFMGR.CITE &lt;Refman&gt;&lt;Cite&gt;&lt;Author&gt;Urowitz&lt;/Author&gt;&lt;Year&gt;1997&lt;/Year&gt;&lt;RecNum&gt;1298&lt;/RecNum&gt;&lt;IDText&gt;Mortality studies in systemic lupus erythematosus. Results from a single center. III. Improved survival over 24 years&lt;/IDText&gt;&lt;MDL Ref_Type="Journal"&gt;&lt;Ref_Type&gt;Journal&lt;/Ref_Type&gt;&lt;Ref_ID&gt;1298&lt;/Ref_ID&gt;&lt;Title_Primary&gt;Mortality studies in systemic lupus erythematosus. Results from a single center. III. Improved survival over 24 years&lt;/Title_Primary&gt;&lt;Authors_Primary&gt;Urowitz,M.B.&lt;/Authors_Primary&gt;&lt;Authors_Primary&gt;Gladman,D.D.&lt;/Authors_Primary&gt;&lt;Authors_Primary&gt;bu-Shakra,M.&lt;/Authors_Primary&gt;&lt;Authors_Primary&gt;Farewell,V.T.&lt;/Authors_Primary&gt;&lt;Date_Primary&gt;1997/6&lt;/Date_Primary&gt;&lt;Keywords&gt;Adolescent&lt;/Keywords&gt;&lt;Keywords&gt;Adult&lt;/Keywords&gt;&lt;Keywords&gt;Aged&lt;/Keywords&gt;&lt;Keywords&gt;Aged,80 and over&lt;/Keywords&gt;&lt;Keywords&gt;analysis&lt;/Keywords&gt;&lt;Keywords&gt;Child&lt;/Keywords&gt;&lt;Keywords&gt;Cohort Studies&lt;/Keywords&gt;&lt;Keywords&gt;Disease&lt;/Keywords&gt;&lt;Keywords&gt;Female&lt;/Keywords&gt;&lt;Keywords&gt;Health&lt;/Keywords&gt;&lt;Keywords&gt;Humans&lt;/Keywords&gt;&lt;Keywords&gt;Lupus Erythematosus,Systemic&lt;/Keywords&gt;&lt;Keywords&gt;Male&lt;/Keywords&gt;&lt;Keywords&gt;methods&lt;/Keywords&gt;&lt;Keywords&gt;Middle Aged&lt;/Keywords&gt;&lt;Keywords&gt;mortality&lt;/Keywords&gt;&lt;Keywords&gt;Prognosis&lt;/Keywords&gt;&lt;Keywords&gt;Rheumatic Diseases&lt;/Keywords&gt;&lt;Keywords&gt;Risk&lt;/Keywords&gt;&lt;Keywords&gt;Survival Analysis&lt;/Keywords&gt;&lt;Keywords&gt;Time&lt;/Keywords&gt;&lt;Keywords&gt;Vasculitis&lt;/Keywords&gt;&lt;Reprint&gt;Not in File&lt;/Reprint&gt;&lt;Start_Page&gt;1061&lt;/Start_Page&gt;&lt;End_Page&gt;1065&lt;/End_Page&gt;&lt;Periodical&gt;J.Rheumatol.&lt;/Periodical&gt;&lt;Volume&gt;24&lt;/Volume&gt;&lt;Issue&gt;6&lt;/Issue&gt;&lt;User_Def_1&gt;y&lt;/User_Def_1&gt;&lt;ZZ_JournalStdAbbrev&gt;&lt;f name="System"&gt;J.Rheumatol.&lt;/f&gt;&lt;/ZZ_JournalStdAbbrev&gt;&lt;ZZ_WorkformID&gt;1&lt;/ZZ_WorkformID&gt;&lt;/MDL&gt;&lt;/Cite&gt;&lt;Cite&gt;&lt;Author&gt;Urowitz&lt;/Author&gt;&lt;Year&gt;2008&lt;/Year&gt;&lt;RecNum&gt;145&lt;/RecNum&gt;&lt;IDText&gt;Changing patterns in mortality and disease outcomes for patients with systemic lupus erythematosus&lt;/IDText&gt;&lt;MDL Ref_Type="Journal"&gt;&lt;Ref_Type&gt;Journal&lt;/Ref_Type&gt;&lt;Ref_ID&gt;145&lt;/Ref_ID&gt;&lt;Title_Primary&gt;Changing patterns in mortality and disease outcomes for patients with systemic lupus erythematosus&lt;/Title_Primary&gt;&lt;Authors_Primary&gt;Urowitz,M.B.&lt;/Authors_Primary&gt;&lt;Authors_Primary&gt;Gladman,D.D.&lt;/Authors_Primary&gt;&lt;Authors_Primary&gt;Tom,B.D.&lt;/Authors_Primary&gt;&lt;Authors_Primary&gt;Ibanez,D.&lt;/Authors_Primary&gt;&lt;Authors_Primary&gt;Farewell,V.T.&lt;/Authors_Primary&gt;&lt;Date_Primary&gt;2008/11&lt;/Date_Primary&gt;&lt;Keywords&gt;Adult&lt;/Keywords&gt;&lt;Keywords&gt;African Continental Ancestry Group&lt;/Keywords&gt;&lt;Keywords&gt;Antimalarials&lt;/Keywords&gt;&lt;Keywords&gt;Arteries&lt;/Keywords&gt;&lt;Keywords&gt;Asian Continental Ancestry Group&lt;/Keywords&gt;&lt;Keywords&gt;Canada&lt;/Keywords&gt;&lt;Keywords&gt;Comorbidity&lt;/Keywords&gt;&lt;Keywords&gt;Coronary Artery Disease&lt;/Keywords&gt;&lt;Keywords&gt;Disease&lt;/Keywords&gt;&lt;Keywords&gt;epidemiology&lt;/Keywords&gt;&lt;Keywords&gt;ethnology&lt;/Keywords&gt;&lt;Keywords&gt;European Continental Ancestry Group&lt;/Keywords&gt;&lt;Keywords&gt;Female&lt;/Keywords&gt;&lt;Keywords&gt;Follow-Up Studies&lt;/Keywords&gt;&lt;Keywords&gt;Health&lt;/Keywords&gt;&lt;Keywords&gt;Humans&lt;/Keywords&gt;&lt;Keywords&gt;Lupus Erythematosus,Systemic&lt;/Keywords&gt;&lt;Keywords&gt;Male&lt;/Keywords&gt;&lt;Keywords&gt;methods&lt;/Keywords&gt;&lt;Keywords&gt;Middle Aged&lt;/Keywords&gt;&lt;Keywords&gt;Morbidity&lt;/Keywords&gt;&lt;Keywords&gt;mortality&lt;/Keywords&gt;&lt;Keywords&gt;Ontario&lt;/Keywords&gt;&lt;Keywords&gt;Osteonecrosis&lt;/Keywords&gt;&lt;Keywords&gt;Prevalence&lt;/Keywords&gt;&lt;Keywords&gt;Prognosis&lt;/Keywords&gt;&lt;Keywords&gt;Proportional Hazards Models&lt;/Keywords&gt;&lt;Keywords&gt;Prospective Studies&lt;/Keywords&gt;&lt;Keywords&gt;Rheumatic Diseases&lt;/Keywords&gt;&lt;Keywords&gt;Risk Factors&lt;/Keywords&gt;&lt;Keywords&gt;Severity of Illness Index&lt;/Keywords&gt;&lt;Keywords&gt;Sex Distribution&lt;/Keywords&gt;&lt;Keywords&gt;statistics &amp;amp; numerical data&lt;/Keywords&gt;&lt;Keywords&gt;Survival Analysis&lt;/Keywords&gt;&lt;Keywords&gt;therapy&lt;/Keywords&gt;&lt;Keywords&gt;Time&lt;/Keywords&gt;&lt;Keywords&gt;Treatment Outcome&lt;/Keywords&gt;&lt;Reprint&gt;Not in File&lt;/Reprint&gt;&lt;Start_Page&gt;2152&lt;/Start_Page&gt;&lt;End_Page&gt;2158&lt;/End_Page&gt;&lt;Periodical&gt;J.Rheumatol.&lt;/Periodical&gt;&lt;Volume&gt;35&lt;/Volume&gt;&lt;Issue&gt;11&lt;/Issue&gt;&lt;User_Def_1&gt;y&lt;/User_Def_1&gt;&lt;ZZ_JournalStdAbbrev&gt;&lt;f name="System"&gt;J.Rheumatol.&lt;/f&gt;&lt;/ZZ_JournalStdAbbrev&gt;&lt;ZZ_WorkformID&gt;1&lt;/ZZ_WorkformID&gt;&lt;/MDL&gt;&lt;/Cite&gt;&lt;Cite&gt;&lt;Author&gt;Xie&lt;/Author&gt;&lt;Year&gt;1998&lt;/Year&gt;&lt;RecNum&gt;1232&lt;/RecNum&gt;&lt;IDText&gt;Long term follow-up of patients with systemic lupus erythematosus&lt;/IDText&gt;&lt;MDL Ref_Type="Journal"&gt;&lt;Ref_Type&gt;Journal&lt;/Ref_Type&gt;&lt;Ref_ID&gt;1232&lt;/Ref_ID&gt;&lt;Title_Primary&gt;Long term follow-up of patients with systemic lupus erythematosus&lt;/Title_Primary&gt;&lt;Authors_Primary&gt;Xie,S.K.&lt;/Authors_Primary&gt;&lt;Authors_Primary&gt;Feng,S.F.&lt;/Authors_Primary&gt;&lt;Authors_Primary&gt;Fu,H.&lt;/Authors_Primary&gt;&lt;Date_Primary&gt;1998/6&lt;/Date_Primary&gt;&lt;Keywords&gt;administration &amp;amp; dosage&lt;/Keywords&gt;&lt;Keywords&gt;Adolescent&lt;/Keywords&gt;&lt;Keywords&gt;Adrenal Cortex Hormones&lt;/Keywords&gt;&lt;Keywords&gt;Adult&lt;/Keywords&gt;&lt;Keywords&gt;Aged&lt;/Keywords&gt;&lt;Keywords&gt;analysis&lt;/Keywords&gt;&lt;Keywords&gt;Analysis of Variance&lt;/Keywords&gt;&lt;Keywords&gt;Child&lt;/Keywords&gt;&lt;Keywords&gt;Child,Preschool&lt;/Keywords&gt;&lt;Keywords&gt;China&lt;/Keywords&gt;&lt;Keywords&gt;Cohort Studies&lt;/Keywords&gt;&lt;Keywords&gt;Complement C3&lt;/Keywords&gt;&lt;Keywords&gt;deficiency&lt;/Keywords&gt;&lt;Keywords&gt;Depression&lt;/Keywords&gt;&lt;Keywords&gt;Electrocardiography&lt;/Keywords&gt;&lt;Keywords&gt;epidemiology&lt;/Keywords&gt;&lt;Keywords&gt;Female&lt;/Keywords&gt;&lt;Keywords&gt;Follow-Up Studies&lt;/Keywords&gt;&lt;Keywords&gt;Hematologic Diseases&lt;/Keywords&gt;&lt;Keywords&gt;Humans&lt;/Keywords&gt;&lt;Keywords&gt;Life&lt;/Keywords&gt;&lt;Keywords&gt;Life Tables&lt;/Keywords&gt;&lt;Keywords&gt;Longitudinal Studies&lt;/Keywords&gt;&lt;Keywords&gt;Lupus Erythematosus,Systemic&lt;/Keywords&gt;&lt;Keywords&gt;Lupus Nephritis&lt;/Keywords&gt;&lt;Keywords&gt;Male&lt;/Keywords&gt;&lt;Keywords&gt;Mental Disorders&lt;/Keywords&gt;&lt;Keywords&gt;Middle Aged&lt;/Keywords&gt;&lt;Keywords&gt;mortality&lt;/Keywords&gt;&lt;Keywords&gt;Multivariate Analysis&lt;/Keywords&gt;&lt;Keywords&gt;Nervous System Diseases&lt;/Keywords&gt;&lt;Keywords&gt;Pericarditis&lt;/Keywords&gt;&lt;Keywords&gt;Pleurisy&lt;/Keywords&gt;&lt;Keywords&gt;Probability&lt;/Keywords&gt;&lt;Keywords&gt;Prognosis&lt;/Keywords&gt;&lt;Keywords&gt;Risk&lt;/Keywords&gt;&lt;Keywords&gt;Risk Factors&lt;/Keywords&gt;&lt;Keywords&gt;Sex Factors&lt;/Keywords&gt;&lt;Keywords&gt;Survival Rate&lt;/Keywords&gt;&lt;Keywords&gt;therapeutic use&lt;/Keywords&gt;&lt;Keywords&gt;Time&lt;/Keywords&gt;&lt;Reprint&gt;Not in File&lt;/Reprint&gt;&lt;Start_Page&gt;367&lt;/Start_Page&gt;&lt;End_Page&gt;373&lt;/End_Page&gt;&lt;Periodical&gt;J.Dermatol.&lt;/Periodical&gt;&lt;Volume&gt;25&lt;/Volume&gt;&lt;Issue&gt;6&lt;/Issue&gt;&lt;User_Def_1&gt;y&lt;/User_Def_1&gt;&lt;ZZ_JournalStdAbbrev&gt;&lt;f name="System"&gt;J.Dermatol.&lt;/f&gt;&lt;/ZZ_JournalStdAbbrev&gt;&lt;ZZ_WorkformID&gt;1&lt;/ZZ_WorkformID&gt;&lt;/MDL&gt;&lt;/Cite&gt;&lt;/Refman&gt;</w:instrText>
      </w:r>
      <w:r w:rsidR="00E729BA">
        <w:fldChar w:fldCharType="separate"/>
      </w:r>
      <w:r w:rsidR="004D7951">
        <w:t>(146;149;150)</w:t>
      </w:r>
      <w:r w:rsidR="00E729BA">
        <w:fldChar w:fldCharType="end"/>
      </w:r>
      <w:r>
        <w:t xml:space="preserve">. </w:t>
      </w:r>
    </w:p>
    <w:p w:rsidR="00BD2483" w:rsidRDefault="00BD2483">
      <w:pPr>
        <w:spacing w:after="0" w:afterAutospacing="0" w:line="240" w:lineRule="auto"/>
        <w:rPr>
          <w:b/>
          <w:bCs/>
          <w:sz w:val="18"/>
          <w:szCs w:val="16"/>
        </w:rPr>
      </w:pPr>
      <w:bookmarkStart w:id="187" w:name="_Ref249261890"/>
      <w:bookmarkStart w:id="188" w:name="_Ref252520938"/>
      <w:bookmarkStart w:id="189" w:name="_Toc279009284"/>
      <w:r>
        <w:br w:type="page"/>
      </w:r>
    </w:p>
    <w:p w:rsidR="002D772C" w:rsidRDefault="002D772C" w:rsidP="00234693">
      <w:pPr>
        <w:pStyle w:val="Caption"/>
      </w:pPr>
      <w:bookmarkStart w:id="190" w:name="_Ref379468335"/>
      <w:r>
        <w:t xml:space="preserve">Table </w:t>
      </w:r>
      <w:fldSimple w:instr=" SEQ Table \* ARABIC ">
        <w:r w:rsidR="004911B7">
          <w:rPr>
            <w:noProof/>
          </w:rPr>
          <w:t>9</w:t>
        </w:r>
      </w:fldSimple>
      <w:bookmarkEnd w:id="187"/>
      <w:bookmarkEnd w:id="188"/>
      <w:bookmarkEnd w:id="190"/>
      <w:r>
        <w:t>: Survival estimates in SLE</w:t>
      </w:r>
      <w:bookmarkEnd w:id="189"/>
    </w:p>
    <w:tbl>
      <w:tblPr>
        <w:tblW w:w="8330" w:type="dxa"/>
        <w:tblBorders>
          <w:top w:val="single" w:sz="12" w:space="0" w:color="auto"/>
          <w:bottom w:val="single" w:sz="12" w:space="0" w:color="auto"/>
        </w:tblBorders>
        <w:tblLayout w:type="fixed"/>
        <w:tblLook w:val="0020"/>
      </w:tblPr>
      <w:tblGrid>
        <w:gridCol w:w="1810"/>
        <w:gridCol w:w="576"/>
        <w:gridCol w:w="1562"/>
        <w:gridCol w:w="1095"/>
        <w:gridCol w:w="1096"/>
        <w:gridCol w:w="1095"/>
        <w:gridCol w:w="1096"/>
      </w:tblGrid>
      <w:tr w:rsidR="00FA363D" w:rsidRPr="006F2122" w:rsidTr="00DD3003">
        <w:trPr>
          <w:trHeight w:val="20"/>
          <w:tblHeader/>
        </w:trPr>
        <w:tc>
          <w:tcPr>
            <w:tcW w:w="1810" w:type="dxa"/>
            <w:vMerge w:val="restart"/>
            <w:tcBorders>
              <w:top w:val="single" w:sz="12" w:space="0" w:color="auto"/>
              <w:bottom w:val="nil"/>
            </w:tcBorders>
            <w:noWrap/>
          </w:tcPr>
          <w:p w:rsidR="00FA363D" w:rsidRPr="006F2122" w:rsidRDefault="00FA363D" w:rsidP="00FD18C9">
            <w:pPr>
              <w:pStyle w:val="ListParagraph1"/>
            </w:pPr>
            <w:r w:rsidRPr="006F2122">
              <w:t>Author name</w:t>
            </w:r>
          </w:p>
        </w:tc>
        <w:tc>
          <w:tcPr>
            <w:tcW w:w="576" w:type="dxa"/>
            <w:vMerge w:val="restart"/>
            <w:tcBorders>
              <w:top w:val="single" w:sz="12" w:space="0" w:color="auto"/>
              <w:bottom w:val="nil"/>
            </w:tcBorders>
            <w:noWrap/>
          </w:tcPr>
          <w:p w:rsidR="00FA363D" w:rsidRPr="006F2122" w:rsidRDefault="00FA363D" w:rsidP="00FD18C9">
            <w:pPr>
              <w:pStyle w:val="ListParagraph1"/>
            </w:pPr>
            <w:r w:rsidRPr="006F2122">
              <w:t>Date</w:t>
            </w:r>
          </w:p>
        </w:tc>
        <w:tc>
          <w:tcPr>
            <w:tcW w:w="1562" w:type="dxa"/>
            <w:vMerge w:val="restart"/>
            <w:tcBorders>
              <w:top w:val="single" w:sz="12" w:space="0" w:color="auto"/>
            </w:tcBorders>
          </w:tcPr>
          <w:p w:rsidR="00FA363D" w:rsidRPr="006F2122" w:rsidRDefault="00FA363D" w:rsidP="00FD18C9">
            <w:pPr>
              <w:pStyle w:val="ListParagraph1"/>
              <w:jc w:val="center"/>
            </w:pPr>
            <w:r w:rsidRPr="006F2122">
              <w:t>Sample Size</w:t>
            </w:r>
          </w:p>
        </w:tc>
        <w:tc>
          <w:tcPr>
            <w:tcW w:w="4382" w:type="dxa"/>
            <w:gridSpan w:val="4"/>
            <w:tcBorders>
              <w:top w:val="single" w:sz="12" w:space="0" w:color="auto"/>
              <w:bottom w:val="nil"/>
            </w:tcBorders>
          </w:tcPr>
          <w:p w:rsidR="00FA363D" w:rsidRPr="006F2122" w:rsidRDefault="00FA363D" w:rsidP="00FD18C9">
            <w:pPr>
              <w:pStyle w:val="ListParagraph1"/>
            </w:pPr>
            <w:r w:rsidRPr="006F2122">
              <w:t>Survival</w:t>
            </w:r>
            <w:r w:rsidR="00D538A8">
              <w:t xml:space="preserve"> (proportion)</w:t>
            </w:r>
          </w:p>
        </w:tc>
      </w:tr>
      <w:tr w:rsidR="00FA363D" w:rsidRPr="006F2122" w:rsidTr="00DD3003">
        <w:trPr>
          <w:trHeight w:val="20"/>
          <w:tblHeader/>
        </w:trPr>
        <w:tc>
          <w:tcPr>
            <w:tcW w:w="1810" w:type="dxa"/>
            <w:vMerge/>
            <w:tcBorders>
              <w:top w:val="nil"/>
              <w:bottom w:val="single" w:sz="4" w:space="0" w:color="auto"/>
            </w:tcBorders>
            <w:noWrap/>
          </w:tcPr>
          <w:p w:rsidR="00FA363D" w:rsidRPr="006F2122" w:rsidRDefault="00FA363D" w:rsidP="00FD18C9">
            <w:pPr>
              <w:pStyle w:val="ListParagraph1"/>
            </w:pPr>
          </w:p>
        </w:tc>
        <w:tc>
          <w:tcPr>
            <w:tcW w:w="576" w:type="dxa"/>
            <w:vMerge/>
            <w:tcBorders>
              <w:top w:val="nil"/>
              <w:bottom w:val="single" w:sz="4" w:space="0" w:color="auto"/>
            </w:tcBorders>
            <w:noWrap/>
          </w:tcPr>
          <w:p w:rsidR="00FA363D" w:rsidRPr="006F2122" w:rsidRDefault="00FA363D" w:rsidP="00FD18C9">
            <w:pPr>
              <w:pStyle w:val="ListParagraph1"/>
            </w:pPr>
          </w:p>
        </w:tc>
        <w:tc>
          <w:tcPr>
            <w:tcW w:w="1562" w:type="dxa"/>
            <w:vMerge/>
            <w:tcBorders>
              <w:bottom w:val="single" w:sz="4" w:space="0" w:color="auto"/>
            </w:tcBorders>
          </w:tcPr>
          <w:p w:rsidR="00FA363D" w:rsidRPr="006F2122" w:rsidRDefault="00FA363D" w:rsidP="00FD18C9">
            <w:pPr>
              <w:pStyle w:val="ListParagraph1"/>
              <w:jc w:val="center"/>
            </w:pPr>
          </w:p>
        </w:tc>
        <w:tc>
          <w:tcPr>
            <w:tcW w:w="1095" w:type="dxa"/>
            <w:tcBorders>
              <w:top w:val="nil"/>
              <w:bottom w:val="single" w:sz="4" w:space="0" w:color="auto"/>
            </w:tcBorders>
          </w:tcPr>
          <w:p w:rsidR="00FA363D" w:rsidRPr="006F2122" w:rsidRDefault="00FA363D" w:rsidP="00FD18C9">
            <w:pPr>
              <w:pStyle w:val="ListParagraph1"/>
            </w:pPr>
            <w:r w:rsidRPr="006F2122">
              <w:t>1 year</w:t>
            </w:r>
          </w:p>
        </w:tc>
        <w:tc>
          <w:tcPr>
            <w:tcW w:w="1096" w:type="dxa"/>
            <w:tcBorders>
              <w:top w:val="nil"/>
              <w:bottom w:val="single" w:sz="4" w:space="0" w:color="auto"/>
            </w:tcBorders>
          </w:tcPr>
          <w:p w:rsidR="00FA363D" w:rsidRPr="006F2122" w:rsidRDefault="00FA363D" w:rsidP="00FD18C9">
            <w:pPr>
              <w:pStyle w:val="ListParagraph1"/>
            </w:pPr>
            <w:r w:rsidRPr="006F2122">
              <w:t>5 year</w:t>
            </w:r>
          </w:p>
        </w:tc>
        <w:tc>
          <w:tcPr>
            <w:tcW w:w="1095" w:type="dxa"/>
            <w:tcBorders>
              <w:top w:val="nil"/>
              <w:bottom w:val="single" w:sz="4" w:space="0" w:color="auto"/>
            </w:tcBorders>
          </w:tcPr>
          <w:p w:rsidR="00FA363D" w:rsidRPr="006F2122" w:rsidRDefault="00FA363D" w:rsidP="00FD18C9">
            <w:pPr>
              <w:pStyle w:val="ListParagraph1"/>
            </w:pPr>
            <w:r w:rsidRPr="006F2122">
              <w:t>10 year</w:t>
            </w:r>
          </w:p>
        </w:tc>
        <w:tc>
          <w:tcPr>
            <w:tcW w:w="1096" w:type="dxa"/>
            <w:tcBorders>
              <w:top w:val="nil"/>
              <w:bottom w:val="single" w:sz="4" w:space="0" w:color="auto"/>
            </w:tcBorders>
          </w:tcPr>
          <w:p w:rsidR="00FA363D" w:rsidRPr="006F2122" w:rsidRDefault="00FA363D" w:rsidP="00FD18C9">
            <w:pPr>
              <w:pStyle w:val="ListParagraph1"/>
            </w:pPr>
            <w:r w:rsidRPr="006F2122">
              <w:t>15 year</w:t>
            </w:r>
          </w:p>
        </w:tc>
      </w:tr>
      <w:tr w:rsidR="002D772C" w:rsidRPr="006F2122" w:rsidTr="00DD3003">
        <w:trPr>
          <w:trHeight w:val="20"/>
          <w:tblHeader/>
        </w:trPr>
        <w:tc>
          <w:tcPr>
            <w:tcW w:w="1810" w:type="dxa"/>
            <w:tcBorders>
              <w:top w:val="single" w:sz="4" w:space="0" w:color="auto"/>
            </w:tcBorders>
            <w:noWrap/>
          </w:tcPr>
          <w:p w:rsidR="002D772C" w:rsidRPr="006F2122" w:rsidRDefault="002D772C" w:rsidP="00FD18C9">
            <w:pPr>
              <w:pStyle w:val="ListParagraph1"/>
            </w:pPr>
            <w:r w:rsidRPr="006F2122">
              <w:t xml:space="preserve">Campbell </w:t>
            </w:r>
            <w:r w:rsidR="00E729BA">
              <w:fldChar w:fldCharType="begin"/>
            </w:r>
            <w:r w:rsidR="00FC61FD">
              <w:instrText xml:space="preserve"> ADDIN REFMGR.CITE &lt;Refman&gt;&lt;Cite&gt;&lt;Author&gt;Campbell&lt;/Author&gt;&lt;Year&gt;2008&lt;/Year&gt;&lt;RecNum&gt;200&lt;/RecNum&gt;&lt;IDText&gt;Two aspects of the clinical and humanistic burden of systemic lupus erythematosus: mortality risk and quality of life early in the course of disease&lt;/IDText&gt;&lt;MDL Ref_Type="Journal"&gt;&lt;Ref_Type&gt;Journal&lt;/Ref_Type&gt;&lt;Ref_ID&gt;200&lt;/Ref_ID&gt;&lt;Title_Primary&gt;Two aspects of the clinical and humanistic burden of systemic lupus erythematosus: mortality risk and quality of life early in the course of disease&lt;/Title_Primary&gt;&lt;Authors_Primary&gt;Campbell,R.,Jr.&lt;/Authors_Primary&gt;&lt;Authors_Primary&gt;Cooper,G.S.&lt;/Authors_Primary&gt;&lt;Authors_Primary&gt;Gilkeson,G.S.&lt;/Authors_Primary&gt;&lt;Date_Primary&gt;2008/4/15&lt;/Date_Primary&gt;&lt;Keywords&gt;Adolescent&lt;/Keywords&gt;&lt;Keywords&gt;Adult&lt;/Keywords&gt;&lt;Keywords&gt;African Americans&lt;/Keywords&gt;&lt;Keywords&gt;Aged&lt;/Keywords&gt;&lt;Keywords&gt;Antibodies&lt;/Keywords&gt;&lt;Keywords&gt;blood&lt;/Keywords&gt;&lt;Keywords&gt;Case-Control Studies&lt;/Keywords&gt;&lt;Keywords&gt;Cost of Illness&lt;/Keywords&gt;&lt;Keywords&gt;diagnosis&lt;/Keywords&gt;&lt;Keywords&gt;Disease&lt;/Keywords&gt;&lt;Keywords&gt;Dna&lt;/Keywords&gt;&lt;Keywords&gt;Female&lt;/Keywords&gt;&lt;Keywords&gt;Humans&lt;/Keywords&gt;&lt;Keywords&gt;Life&lt;/Keywords&gt;&lt;Keywords&gt;Lupus Erythematosus,Systemic&lt;/Keywords&gt;&lt;Keywords&gt;Lupus Nephritis&lt;/Keywords&gt;&lt;Keywords&gt;Male&lt;/Keywords&gt;&lt;Keywords&gt;methods&lt;/Keywords&gt;&lt;Keywords&gt;Middle Aged&lt;/Keywords&gt;&lt;Keywords&gt;mortality&lt;/Keywords&gt;&lt;Keywords&gt;Nephritis&lt;/Keywords&gt;&lt;Keywords&gt;Quality of Life&lt;/Keywords&gt;&lt;Keywords&gt;Risk&lt;/Keywords&gt;&lt;Keywords&gt;South Carolina&lt;/Keywords&gt;&lt;Keywords&gt;Survival Analysis&lt;/Keywords&gt;&lt;Keywords&gt;Time&lt;/Keywords&gt;&lt;Keywords&gt;Time Factors&lt;/Keywords&gt;&lt;Reprint&gt;Not in File&lt;/Reprint&gt;&lt;Start_Page&gt;458&lt;/Start_Page&gt;&lt;End_Page&gt;464&lt;/End_Page&gt;&lt;Periodical&gt;Arthritis Rheum.&lt;/Periodical&gt;&lt;Volume&gt;59&lt;/Volume&gt;&lt;Issue&gt;4&lt;/Issue&gt;&lt;User_Def_1&gt;y&lt;/User_Def_1&gt;&lt;ZZ_JournalStdAbbrev&gt;&lt;f name="System"&gt;Arthritis Rheum.&lt;/f&gt;&lt;/ZZ_JournalStdAbbrev&gt;&lt;ZZ_WorkformID&gt;1&lt;/ZZ_WorkformID&gt;&lt;/MDL&gt;&lt;/Cite&gt;&lt;/Refman&gt;</w:instrText>
            </w:r>
            <w:r w:rsidR="00E729BA">
              <w:fldChar w:fldCharType="separate"/>
            </w:r>
            <w:r w:rsidR="004D7951">
              <w:t>(151)</w:t>
            </w:r>
            <w:r w:rsidR="00E729BA">
              <w:fldChar w:fldCharType="end"/>
            </w:r>
          </w:p>
        </w:tc>
        <w:tc>
          <w:tcPr>
            <w:tcW w:w="576" w:type="dxa"/>
            <w:tcBorders>
              <w:top w:val="single" w:sz="4" w:space="0" w:color="auto"/>
            </w:tcBorders>
            <w:noWrap/>
          </w:tcPr>
          <w:p w:rsidR="002D772C" w:rsidRPr="006F2122" w:rsidRDefault="002D772C" w:rsidP="00FD18C9">
            <w:pPr>
              <w:pStyle w:val="ListParagraph1"/>
            </w:pPr>
            <w:r w:rsidRPr="006F2122">
              <w:t>2008</w:t>
            </w:r>
          </w:p>
        </w:tc>
        <w:tc>
          <w:tcPr>
            <w:tcW w:w="1562" w:type="dxa"/>
            <w:tcBorders>
              <w:top w:val="single" w:sz="4" w:space="0" w:color="auto"/>
            </w:tcBorders>
          </w:tcPr>
          <w:p w:rsidR="002D772C" w:rsidRPr="006F2122" w:rsidRDefault="002D772C" w:rsidP="00FD18C9">
            <w:pPr>
              <w:pStyle w:val="ListParagraph1"/>
            </w:pPr>
            <w:r w:rsidRPr="006F2122">
              <w:t>265</w:t>
            </w:r>
          </w:p>
        </w:tc>
        <w:tc>
          <w:tcPr>
            <w:tcW w:w="1095" w:type="dxa"/>
            <w:tcBorders>
              <w:top w:val="single" w:sz="4" w:space="0" w:color="auto"/>
            </w:tcBorders>
          </w:tcPr>
          <w:p w:rsidR="002D772C" w:rsidRPr="006F2122" w:rsidRDefault="002D772C" w:rsidP="00FD18C9">
            <w:pPr>
              <w:pStyle w:val="ListParagraph1"/>
            </w:pPr>
            <w:r w:rsidRPr="006F2122">
              <w:t>-</w:t>
            </w:r>
          </w:p>
        </w:tc>
        <w:tc>
          <w:tcPr>
            <w:tcW w:w="1096" w:type="dxa"/>
            <w:tcBorders>
              <w:top w:val="single" w:sz="4" w:space="0" w:color="auto"/>
            </w:tcBorders>
          </w:tcPr>
          <w:p w:rsidR="002D772C" w:rsidRPr="006F2122" w:rsidRDefault="002D772C" w:rsidP="00FD18C9">
            <w:pPr>
              <w:pStyle w:val="ListParagraph1"/>
            </w:pPr>
            <w:r w:rsidRPr="006F2122">
              <w:t>0.90</w:t>
            </w:r>
          </w:p>
        </w:tc>
        <w:tc>
          <w:tcPr>
            <w:tcW w:w="1095" w:type="dxa"/>
            <w:tcBorders>
              <w:top w:val="single" w:sz="4" w:space="0" w:color="auto"/>
            </w:tcBorders>
          </w:tcPr>
          <w:p w:rsidR="002D772C" w:rsidRPr="006F2122" w:rsidRDefault="002D772C" w:rsidP="00FD18C9">
            <w:pPr>
              <w:pStyle w:val="ListParagraph1"/>
            </w:pPr>
            <w:r w:rsidRPr="006F2122">
              <w:t>-</w:t>
            </w:r>
          </w:p>
        </w:tc>
        <w:tc>
          <w:tcPr>
            <w:tcW w:w="1096" w:type="dxa"/>
            <w:tcBorders>
              <w:top w:val="single" w:sz="4" w:space="0" w:color="auto"/>
            </w:tcBorders>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Doria</w:t>
            </w:r>
            <w:r w:rsidR="00FD18C9">
              <w:t xml:space="preserve"> </w:t>
            </w:r>
            <w:r w:rsidR="00E729BA">
              <w:fldChar w:fldCharType="begin"/>
            </w:r>
            <w:r w:rsidR="00FC61FD">
              <w:instrText xml:space="preserve"> ADDIN REFMGR.CITE &lt;Refman&gt;&lt;Cite&gt;&lt;Author&gt;Doria&lt;/Author&gt;&lt;Year&gt;2006&lt;/Year&gt;&lt;RecNum&gt;421&lt;/RecNum&gt;&lt;IDText&gt;Long-term prognosis and causes of death in systemic lupus erythematosus&lt;/IDText&gt;&lt;MDL Ref_Type="Journal"&gt;&lt;Ref_Type&gt;Journal&lt;/Ref_Type&gt;&lt;Ref_ID&gt;421&lt;/Ref_ID&gt;&lt;Title_Primary&gt;Long-term prognosis and causes of death in systemic lupus erythematosus&lt;/Title_Primary&gt;&lt;Authors_Primary&gt;Doria,A.&lt;/Authors_Primary&gt;&lt;Authors_Primary&gt;Iaccarino,L.&lt;/Authors_Primary&gt;&lt;Authors_Primary&gt;Ghirardello,A.&lt;/Authors_Primary&gt;&lt;Authors_Primary&gt;Zampieri,S.&lt;/Authors_Primary&gt;&lt;Authors_Primary&gt;Arienti,S.&lt;/Authors_Primary&gt;&lt;Authors_Primary&gt;Sarzi-Puttini,P.&lt;/Authors_Primary&gt;&lt;Authors_Primary&gt;Atzeni,F.&lt;/Authors_Primary&gt;&lt;Authors_Primary&gt;Piccoli,A.&lt;/Authors_Primary&gt;&lt;Authors_Primary&gt;Todesco,S.&lt;/Authors_Primary&gt;&lt;Date_Primary&gt;2006/8&lt;/Date_Primary&gt;&lt;Keywords&gt;Adolescent&lt;/Keywords&gt;&lt;Keywords&gt;Adult&lt;/Keywords&gt;&lt;Keywords&gt;analysis&lt;/Keywords&gt;&lt;Keywords&gt;Cause of Death&lt;/Keywords&gt;&lt;Keywords&gt;Child&lt;/Keywords&gt;&lt;Keywords&gt;Child,Preschool&lt;/Keywords&gt;&lt;Keywords&gt;diagnosis&lt;/Keywords&gt;&lt;Keywords&gt;Disease&lt;/Keywords&gt;&lt;Keywords&gt;drug therapy&lt;/Keywords&gt;&lt;Keywords&gt;Female&lt;/Keywords&gt;&lt;Keywords&gt;Humans&lt;/Keywords&gt;&lt;Keywords&gt;Immunosuppressive Agents&lt;/Keywords&gt;&lt;Keywords&gt;Infant&lt;/Keywords&gt;&lt;Keywords&gt;Italy&lt;/Keywords&gt;&lt;Keywords&gt;Lupus Erythematosus,Systemic&lt;/Keywords&gt;&lt;Keywords&gt;Male&lt;/Keywords&gt;&lt;Keywords&gt;methods&lt;/Keywords&gt;&lt;Keywords&gt;Middle Aged&lt;/Keywords&gt;&lt;Keywords&gt;mortality&lt;/Keywords&gt;&lt;Keywords&gt;Multivariate Analysis&lt;/Keywords&gt;&lt;Keywords&gt;Prognosis&lt;/Keywords&gt;&lt;Keywords&gt;Proportional Hazards Models&lt;/Keywords&gt;&lt;Keywords&gt;Rheumatology&lt;/Keywords&gt;&lt;Keywords&gt;Risk&lt;/Keywords&gt;&lt;Keywords&gt;Risk Factors&lt;/Keywords&gt;&lt;Keywords&gt;Survival Rate&lt;/Keywords&gt;&lt;Keywords&gt;therapeutic use&lt;/Keywords&gt;&lt;Keywords&gt;Time&lt;/Keywords&gt;&lt;Reprint&gt;Not in File&lt;/Reprint&gt;&lt;Start_Page&gt;700&lt;/Start_Page&gt;&lt;End_Page&gt;706&lt;/End_Page&gt;&lt;Periodical&gt;Am.J.Med.&lt;/Periodical&gt;&lt;Volume&gt;119&lt;/Volume&gt;&lt;Issue&gt;8&lt;/Issue&gt;&lt;User_Def_1&gt;y&lt;/User_Def_1&gt;&lt;ZZ_JournalStdAbbrev&gt;&lt;f name="System"&gt;Am.J.Med.&lt;/f&gt;&lt;/ZZ_JournalStdAbbrev&gt;&lt;ZZ_WorkformID&gt;1&lt;/ZZ_WorkformID&gt;&lt;/MDL&gt;&lt;/Cite&gt;&lt;/Refman&gt;</w:instrText>
            </w:r>
            <w:r w:rsidR="00E729BA">
              <w:fldChar w:fldCharType="separate"/>
            </w:r>
            <w:r w:rsidR="004D7951">
              <w:t>(152)</w:t>
            </w:r>
            <w:r w:rsidR="00E729BA">
              <w:fldChar w:fldCharType="end"/>
            </w:r>
          </w:p>
        </w:tc>
        <w:tc>
          <w:tcPr>
            <w:tcW w:w="576" w:type="dxa"/>
            <w:noWrap/>
          </w:tcPr>
          <w:p w:rsidR="002D772C" w:rsidRPr="006F2122" w:rsidRDefault="002D772C" w:rsidP="00FD18C9">
            <w:pPr>
              <w:pStyle w:val="ListParagraph1"/>
            </w:pPr>
            <w:r w:rsidRPr="006F2122">
              <w:t>2006</w:t>
            </w:r>
          </w:p>
        </w:tc>
        <w:tc>
          <w:tcPr>
            <w:tcW w:w="1562" w:type="dxa"/>
          </w:tcPr>
          <w:p w:rsidR="002D772C" w:rsidRPr="006F2122" w:rsidRDefault="002D772C" w:rsidP="00FD18C9">
            <w:pPr>
              <w:pStyle w:val="ListParagraph1"/>
            </w:pPr>
            <w:r w:rsidRPr="006F2122">
              <w:t>207</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0.96</w:t>
            </w:r>
          </w:p>
        </w:tc>
        <w:tc>
          <w:tcPr>
            <w:tcW w:w="1095" w:type="dxa"/>
          </w:tcPr>
          <w:p w:rsidR="002D772C" w:rsidRPr="006F2122" w:rsidRDefault="002D772C" w:rsidP="00FD18C9">
            <w:pPr>
              <w:pStyle w:val="ListParagraph1"/>
            </w:pPr>
            <w:r w:rsidRPr="006F2122">
              <w:t>0.93</w:t>
            </w:r>
          </w:p>
        </w:tc>
        <w:tc>
          <w:tcPr>
            <w:tcW w:w="1096" w:type="dxa"/>
          </w:tcPr>
          <w:p w:rsidR="002D772C" w:rsidRPr="006F2122" w:rsidRDefault="002D772C" w:rsidP="00FD18C9">
            <w:pPr>
              <w:pStyle w:val="ListParagraph1"/>
            </w:pPr>
            <w:r w:rsidRPr="006F2122">
              <w:t>0.76</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Kasitanon </w:t>
            </w:r>
            <w:r w:rsidR="00FD18C9">
              <w:t xml:space="preserve"> </w:t>
            </w:r>
            <w:r w:rsidR="00E729BA">
              <w:fldChar w:fldCharType="begin"/>
            </w:r>
            <w:r w:rsidR="00FC61FD">
              <w:instrText xml:space="preserve"> ADDIN REFMGR.CITE &lt;Refman&gt;&lt;Cite&gt;&lt;Author&gt;Kasitanon&lt;/Author&gt;&lt;Year&gt;2006&lt;/Year&gt;&lt;RecNum&gt;451&lt;/RecNum&gt;&lt;IDText&gt;Predictors of survival in systemic lupus erythematosus&lt;/IDText&gt;&lt;MDL Ref_Type="Journal"&gt;&lt;Ref_Type&gt;Journal&lt;/Ref_Type&gt;&lt;Ref_ID&gt;451&lt;/Ref_ID&gt;&lt;Title_Primary&gt;Predictors of survival in systemic lupus erythematosus&lt;/Title_Primary&gt;&lt;Authors_Primary&gt;Kasitanon,N.&lt;/Authors_Primary&gt;&lt;Authors_Primary&gt;Magder,L.S.&lt;/Authors_Primary&gt;&lt;Authors_Primary&gt;Petri,M.&lt;/Authors_Primary&gt;&lt;Date_Primary&gt;2006/5&lt;/Date_Primary&gt;&lt;Keywords&gt;Adolescent&lt;/Keywords&gt;&lt;Keywords&gt;Adult&lt;/Keywords&gt;&lt;Keywords&gt;Age Factors&lt;/Keywords&gt;&lt;Keywords&gt;Aged&lt;/Keywords&gt;&lt;Keywords&gt;Anemia&lt;/Keywords&gt;&lt;Keywords&gt;Baltimore&lt;/Keywords&gt;&lt;Keywords&gt;Child&lt;/Keywords&gt;&lt;Keywords&gt;Child,Preschool&lt;/Keywords&gt;&lt;Keywords&gt;Demography&lt;/Keywords&gt;&lt;Keywords&gt;diagnosis&lt;/Keywords&gt;&lt;Keywords&gt;Disease&lt;/Keywords&gt;&lt;Keywords&gt;epidemiology&lt;/Keywords&gt;&lt;Keywords&gt;Female&lt;/Keywords&gt;&lt;Keywords&gt;Humans&lt;/Keywords&gt;&lt;Keywords&gt;Income&lt;/Keywords&gt;&lt;Keywords&gt;Lupus Erythematosus,Systemic&lt;/Keywords&gt;&lt;Keywords&gt;Male&lt;/Keywords&gt;&lt;Keywords&gt;Maryland&lt;/Keywords&gt;&lt;Keywords&gt;Middle Aged&lt;/Keywords&gt;&lt;Keywords&gt;mortality&lt;/Keywords&gt;&lt;Keywords&gt;physiopathology&lt;/Keywords&gt;&lt;Keywords&gt;Probability&lt;/Keywords&gt;&lt;Keywords&gt;Prognosis&lt;/Keywords&gt;&lt;Keywords&gt;Proportional Hazards Models&lt;/Keywords&gt;&lt;Keywords&gt;Prospective Studies&lt;/Keywords&gt;&lt;Keywords&gt;Risk&lt;/Keywords&gt;&lt;Keywords&gt;Risk Assessment&lt;/Keywords&gt;&lt;Keywords&gt;Serologic Tests&lt;/Keywords&gt;&lt;Keywords&gt;Sex Factors&lt;/Keywords&gt;&lt;Keywords&gt;Socioeconomic Factors&lt;/Keywords&gt;&lt;Keywords&gt;Survival Analysis&lt;/Keywords&gt;&lt;Keywords&gt;Time&lt;/Keywords&gt;&lt;Keywords&gt;Time Factors&lt;/Keywords&gt;&lt;Keywords&gt;United States&lt;/Keywords&gt;&lt;Reprint&gt;Not in File&lt;/Reprint&gt;&lt;Start_Page&gt;147&lt;/Start_Page&gt;&lt;End_Page&gt;156&lt;/End_Page&gt;&lt;Periodical&gt;Medicine (Baltimore).&lt;/Periodical&gt;&lt;Volume&gt;85&lt;/Volume&gt;&lt;Issue&gt;3&lt;/Issue&gt;&lt;User_Def_1&gt;y&lt;/User_Def_1&gt;&lt;ZZ_JournalStdAbbrev&gt;&lt;f name="System"&gt;Medicine (Baltimore).&lt;/f&gt;&lt;/ZZ_JournalStdAbbrev&gt;&lt;ZZ_WorkformID&gt;1&lt;/ZZ_WorkformID&gt;&lt;/MDL&gt;&lt;/Cite&gt;&lt;/Refman&gt;</w:instrText>
            </w:r>
            <w:r w:rsidR="00E729BA">
              <w:fldChar w:fldCharType="separate"/>
            </w:r>
            <w:r w:rsidR="004D7951">
              <w:t>(153)</w:t>
            </w:r>
            <w:r w:rsidR="00E729BA">
              <w:fldChar w:fldCharType="end"/>
            </w:r>
          </w:p>
        </w:tc>
        <w:tc>
          <w:tcPr>
            <w:tcW w:w="576" w:type="dxa"/>
            <w:noWrap/>
          </w:tcPr>
          <w:p w:rsidR="002D772C" w:rsidRPr="006F2122" w:rsidRDefault="002D772C" w:rsidP="00FD18C9">
            <w:pPr>
              <w:pStyle w:val="ListParagraph1"/>
            </w:pPr>
            <w:r w:rsidRPr="006F2122">
              <w:t>2006</w:t>
            </w:r>
          </w:p>
        </w:tc>
        <w:tc>
          <w:tcPr>
            <w:tcW w:w="1562" w:type="dxa"/>
          </w:tcPr>
          <w:p w:rsidR="002D772C" w:rsidRPr="006F2122" w:rsidRDefault="002D772C" w:rsidP="00FD18C9">
            <w:pPr>
              <w:pStyle w:val="ListParagraph1"/>
            </w:pPr>
            <w:r w:rsidRPr="006F2122">
              <w:t>1378</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0.95</w:t>
            </w:r>
          </w:p>
        </w:tc>
        <w:tc>
          <w:tcPr>
            <w:tcW w:w="1095" w:type="dxa"/>
          </w:tcPr>
          <w:p w:rsidR="002D772C" w:rsidRPr="006F2122" w:rsidRDefault="002D772C" w:rsidP="00FD18C9">
            <w:pPr>
              <w:pStyle w:val="ListParagraph1"/>
            </w:pPr>
            <w:r w:rsidRPr="006F2122">
              <w:t>0.91</w:t>
            </w:r>
          </w:p>
        </w:tc>
        <w:tc>
          <w:tcPr>
            <w:tcW w:w="1096" w:type="dxa"/>
          </w:tcPr>
          <w:p w:rsidR="002D772C" w:rsidRPr="006F2122" w:rsidRDefault="002D772C" w:rsidP="00FD18C9">
            <w:pPr>
              <w:pStyle w:val="ListParagraph1"/>
            </w:pPr>
            <w:r w:rsidRPr="006F2122">
              <w:t>0.85</w:t>
            </w:r>
          </w:p>
        </w:tc>
      </w:tr>
      <w:tr w:rsidR="002D772C" w:rsidRPr="006F2122" w:rsidTr="00DD3003">
        <w:trPr>
          <w:trHeight w:val="20"/>
          <w:tblHeader/>
        </w:trPr>
        <w:tc>
          <w:tcPr>
            <w:tcW w:w="1810" w:type="dxa"/>
            <w:noWrap/>
          </w:tcPr>
          <w:p w:rsidR="002D772C" w:rsidRPr="00FD18C9" w:rsidRDefault="002D772C" w:rsidP="00FD18C9">
            <w:pPr>
              <w:pStyle w:val="ListParagraph1"/>
            </w:pPr>
            <w:r w:rsidRPr="00FD18C9">
              <w:t xml:space="preserve">Ruiz-Irastorza </w:t>
            </w:r>
            <w:r w:rsidR="00FD18C9" w:rsidRPr="00FD18C9">
              <w:t xml:space="preserve"> </w:t>
            </w:r>
            <w:r w:rsidR="00E729BA">
              <w:rPr>
                <w:lang w:val="it-IT"/>
              </w:rPr>
              <w:fldChar w:fldCharType="begin"/>
            </w:r>
            <w:r w:rsidR="00FC61FD">
              <w:instrText xml:space="preserve"> ADDIN REFMGR.CITE &lt;Refman&gt;&lt;Cite&gt;&lt;Author&gt;Ruiz-Irastorza&lt;/Author&gt;&lt;Year&gt;2004&lt;/Year&gt;&lt;RecNum&gt;711&lt;/RecNum&gt;&lt;IDText&gt;High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name="System"&gt;Arch.Intern.Med.&lt;/f&gt;&lt;/ZZ_JournalStdAbbrev&gt;&lt;ZZ_WorkformID&gt;1&lt;/ZZ_WorkformID&gt;&lt;/MDL&gt;&lt;/Cite&gt;&lt;/Refman&gt;</w:instrText>
            </w:r>
            <w:r w:rsidR="00E729BA">
              <w:rPr>
                <w:lang w:val="it-IT"/>
              </w:rPr>
              <w:fldChar w:fldCharType="separate"/>
            </w:r>
            <w:r w:rsidR="004D7951">
              <w:t>(154)</w:t>
            </w:r>
            <w:r w:rsidR="00E729BA">
              <w:rPr>
                <w:lang w:val="it-IT"/>
              </w:rPr>
              <w:fldChar w:fldCharType="end"/>
            </w:r>
          </w:p>
        </w:tc>
        <w:tc>
          <w:tcPr>
            <w:tcW w:w="576" w:type="dxa"/>
            <w:noWrap/>
          </w:tcPr>
          <w:p w:rsidR="002D772C" w:rsidRPr="006F2122" w:rsidRDefault="002D772C" w:rsidP="00FD18C9">
            <w:pPr>
              <w:pStyle w:val="ListParagraph1"/>
            </w:pPr>
            <w:r w:rsidRPr="006F2122">
              <w:t>2004</w:t>
            </w:r>
          </w:p>
        </w:tc>
        <w:tc>
          <w:tcPr>
            <w:tcW w:w="1562" w:type="dxa"/>
          </w:tcPr>
          <w:p w:rsidR="002D772C" w:rsidRPr="006F2122" w:rsidRDefault="002D772C" w:rsidP="00FD18C9">
            <w:pPr>
              <w:pStyle w:val="ListParagraph1"/>
            </w:pPr>
            <w:r w:rsidRPr="006F2122">
              <w:t>202</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0.95</w:t>
            </w:r>
          </w:p>
        </w:tc>
        <w:tc>
          <w:tcPr>
            <w:tcW w:w="1095" w:type="dxa"/>
          </w:tcPr>
          <w:p w:rsidR="002D772C" w:rsidRPr="006F2122" w:rsidRDefault="002D772C" w:rsidP="00FD18C9">
            <w:pPr>
              <w:pStyle w:val="ListParagraph1"/>
            </w:pPr>
            <w:r w:rsidRPr="006F2122">
              <w:t>0.91</w:t>
            </w:r>
          </w:p>
        </w:tc>
        <w:tc>
          <w:tcPr>
            <w:tcW w:w="1096" w:type="dxa"/>
          </w:tcPr>
          <w:p w:rsidR="002D772C" w:rsidRPr="006F2122" w:rsidRDefault="002D772C" w:rsidP="00FD18C9">
            <w:pPr>
              <w:pStyle w:val="ListParagraph1"/>
            </w:pPr>
            <w:r w:rsidRPr="006F2122">
              <w:t>0.86</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Cervera </w:t>
            </w:r>
            <w:r w:rsidR="00E729BA">
              <w:fldChar w:fldCharType="begin"/>
            </w:r>
            <w:r w:rsidR="00FC61FD">
              <w:instrText xml:space="preserve"> ADDIN REFMGR.CITE &lt;Refman&gt;&lt;Cite&gt;&lt;Author&gt;Cervera&lt;/Author&gt;&lt;Year&gt;2003&lt;/Year&gt;&lt;RecNum&gt;766&lt;/RecNum&gt;&lt;IDText&gt;Morbidity and mortality in systemic lupus erythematosus during a 10-year period: a comparison of early and late manifestations in a cohort of 1,000 patients&lt;/IDText&gt;&lt;MDL Ref_Type="Journal"&gt;&lt;Ref_Type&gt;Journal&lt;/Ref_Type&gt;&lt;Ref_ID&gt;766&lt;/Ref_ID&gt;&lt;Title_Primary&gt;Morbidity and mortality in systemic lupus erythematosus during a 10-year period: a comparison of early and late manifestations in a cohort of 1,000 patients&lt;/Title_Primary&gt;&lt;Authors_Primary&gt;Cervera,R.&lt;/Authors_Primary&gt;&lt;Authors_Primary&gt;Khamashta,M.A.&lt;/Authors_Primary&gt;&lt;Authors_Primary&gt;Font,J.&lt;/Authors_Primary&gt;&lt;Authors_Primary&gt;Sebastiani,G.D.&lt;/Authors_Primary&gt;&lt;Authors_Primary&gt;Gil,A.&lt;/Authors_Primary&gt;&lt;Authors_Primary&gt;Lavilla,P.&lt;/Authors_Primary&gt;&lt;Authors_Primary&gt;Mejia,J.C.&lt;/Authors_Primary&gt;&lt;Authors_Primary&gt;Aydintug,A.O.&lt;/Authors_Primary&gt;&lt;Authors_Primary&gt;Chwalinska-Sadowska,H.&lt;/Authors_Primary&gt;&lt;Authors_Primary&gt;de,Ramon E.&lt;/Authors_Primary&gt;&lt;Authors_Primary&gt;Fernandez-Nebro,A.&lt;/Authors_Primary&gt;&lt;Authors_Primary&gt;Galeazzi,M.&lt;/Authors_Primary&gt;&lt;Authors_Primary&gt;Valen,M.&lt;/Authors_Primary&gt;&lt;Authors_Primary&gt;Mathieu,A.&lt;/Authors_Primary&gt;&lt;Authors_Primary&gt;Houssiau,F.&lt;/Authors_Primary&gt;&lt;Authors_Primary&gt;Caro,N.&lt;/Authors_Primary&gt;&lt;Authors_Primary&gt;Alba,P.&lt;/Authors_Primary&gt;&lt;Authors_Primary&gt;Ramos-Casals,M.&lt;/Authors_Primary&gt;&lt;Authors_Primary&gt;Ingelmo,M.&lt;/Authors_Primary&gt;&lt;Authors_Primary&gt;Hughes,G.R.&lt;/Authors_Primary&gt;&lt;Date_Primary&gt;2003/9&lt;/Date_Primary&gt;&lt;Keywords&gt;Adolescent&lt;/Keywords&gt;&lt;Keywords&gt;Adult&lt;/Keywords&gt;&lt;Keywords&gt;Aged&lt;/Keywords&gt;&lt;Keywords&gt;Aged,80 and over&lt;/Keywords&gt;&lt;Keywords&gt;Arthritis&lt;/Keywords&gt;&lt;Keywords&gt;Autoimmune Diseases&lt;/Keywords&gt;&lt;Keywords&gt;Cause of Death&lt;/Keywords&gt;&lt;Keywords&gt;Chi-Square Distribution&lt;/Keywords&gt;&lt;Keywords&gt;Child&lt;/Keywords&gt;&lt;Keywords&gt;complications&lt;/Keywords&gt;&lt;Keywords&gt;Disease&lt;/Keywords&gt;&lt;Keywords&gt;epidemiology&lt;/Keywords&gt;&lt;Keywords&gt;Europe&lt;/Keywords&gt;&lt;Keywords&gt;Female&lt;/Keywords&gt;&lt;Keywords&gt;Fever&lt;/Keywords&gt;&lt;Keywords&gt;Humans&lt;/Keywords&gt;&lt;Keywords&gt;Hypertension&lt;/Keywords&gt;&lt;Keywords&gt;Immunosuppressive Agents&lt;/Keywords&gt;&lt;Keywords&gt;Infection&lt;/Keywords&gt;&lt;Keywords&gt;Logistic Models&lt;/Keywords&gt;&lt;Keywords&gt;Lupus Erythematosus,Systemic&lt;/Keywords&gt;&lt;Keywords&gt;Male&lt;/Keywords&gt;&lt;Keywords&gt;Morbidity&lt;/Keywords&gt;&lt;Keywords&gt;mortality&lt;/Keywords&gt;&lt;Keywords&gt;Osteoporosis&lt;/Keywords&gt;&lt;Keywords&gt;Pericarditis&lt;/Keywords&gt;&lt;Keywords&gt;Physical Examination&lt;/Keywords&gt;&lt;Keywords&gt;Predictive Value of Tests&lt;/Keywords&gt;&lt;Keywords&gt;Prevalence&lt;/Keywords&gt;&lt;Keywords&gt;Probability&lt;/Keywords&gt;&lt;Keywords&gt;Prospective Studies&lt;/Keywords&gt;&lt;Keywords&gt;Serositis&lt;/Keywords&gt;&lt;Keywords&gt;Spain&lt;/Keywords&gt;&lt;Keywords&gt;Survival Analysis&lt;/Keywords&gt;&lt;Keywords&gt;therapy&lt;/Keywords&gt;&lt;Keywords&gt;Thrombocytopenia&lt;/Keywords&gt;&lt;Keywords&gt;Thrombosis&lt;/Keywords&gt;&lt;Keywords&gt;Time&lt;/Keywords&gt;&lt;Reprint&gt;Not in File&lt;/Reprint&gt;&lt;Start_Page&gt;299&lt;/Start_Page&gt;&lt;End_Page&gt;308&lt;/End_Page&gt;&lt;Periodical&gt;Medicine (Baltimore).&lt;/Periodical&gt;&lt;Volume&gt;82&lt;/Volume&gt;&lt;Issue&gt;5&lt;/Issue&gt;&lt;User_Def_1&gt;y&lt;/User_Def_1&gt;&lt;ZZ_JournalStdAbbrev&gt;&lt;f name="System"&gt;Medicine (Baltimore).&lt;/f&gt;&lt;/ZZ_JournalStdAbbrev&gt;&lt;ZZ_WorkformID&gt;1&lt;/ZZ_WorkformID&gt;&lt;/MDL&gt;&lt;/Cite&gt;&lt;/Refman&gt;</w:instrText>
            </w:r>
            <w:r w:rsidR="00E729BA">
              <w:fldChar w:fldCharType="separate"/>
            </w:r>
            <w:r w:rsidR="004D7951">
              <w:t>(155)</w:t>
            </w:r>
            <w:r w:rsidR="00E729BA">
              <w:fldChar w:fldCharType="end"/>
            </w:r>
          </w:p>
        </w:tc>
        <w:tc>
          <w:tcPr>
            <w:tcW w:w="576" w:type="dxa"/>
            <w:noWrap/>
          </w:tcPr>
          <w:p w:rsidR="002D772C" w:rsidRPr="006F2122" w:rsidRDefault="002D772C" w:rsidP="00FD18C9">
            <w:pPr>
              <w:pStyle w:val="ListParagraph1"/>
            </w:pPr>
            <w:r w:rsidRPr="006F2122">
              <w:t>2003</w:t>
            </w:r>
          </w:p>
        </w:tc>
        <w:tc>
          <w:tcPr>
            <w:tcW w:w="1562" w:type="dxa"/>
          </w:tcPr>
          <w:p w:rsidR="002D772C" w:rsidRPr="006F2122" w:rsidRDefault="002D772C" w:rsidP="00FD18C9">
            <w:pPr>
              <w:pStyle w:val="ListParagraph1"/>
            </w:pPr>
            <w:r w:rsidRPr="006F2122">
              <w:t>1000</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 -</w:t>
            </w:r>
          </w:p>
        </w:tc>
        <w:tc>
          <w:tcPr>
            <w:tcW w:w="1095" w:type="dxa"/>
          </w:tcPr>
          <w:p w:rsidR="002D772C" w:rsidRPr="006F2122" w:rsidRDefault="002D772C" w:rsidP="00FD18C9">
            <w:pPr>
              <w:pStyle w:val="ListParagraph1"/>
            </w:pPr>
            <w:r w:rsidRPr="006F2122">
              <w:t>0.92</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Nived </w:t>
            </w:r>
            <w:r w:rsidR="00E729BA">
              <w:fldChar w:fldCharType="begin"/>
            </w:r>
            <w:r w:rsidR="00FC61FD">
              <w:instrText xml:space="preserve"> ADDIN REFMGR.CITE &lt;Refman&gt;&lt;Cite&gt;&lt;Author&gt;Nived&lt;/Author&gt;&lt;Year&gt;2002&lt;/Year&gt;&lt;RecNum&gt;873&lt;/RecNum&gt;&lt;IDText&gt;High predictive value of the Systemic Lupus International Collaborating Clinics/American College of Rheumatology damage index for survival in systemic lupus erythematosus&lt;/IDText&gt;&lt;MDL Ref_Type="Journal"&gt;&lt;Ref_Type&gt;Journal&lt;/Ref_Type&gt;&lt;Ref_ID&gt;873&lt;/Ref_ID&gt;&lt;Title_Primary&gt;High predictive value of the Systemic Lupus International Collaborating Clinics/American College of Rheumatology damage index for survival in systemic lupus erythematosus&lt;/Title_Primary&gt;&lt;Authors_Primary&gt;Nived,O.&lt;/Authors_Primary&gt;&lt;Authors_Primary&gt;Jonsen,A.&lt;/Authors_Primary&gt;&lt;Authors_Primary&gt;Bengtsson,A.A.&lt;/Authors_Primary&gt;&lt;Authors_Primary&gt;Bengtsson,C.&lt;/Authors_Primary&gt;&lt;Authors_Primary&gt;Sturfelt,G.&lt;/Authors_Primary&gt;&lt;Date_Primary&gt;2002/7&lt;/Date_Primary&gt;&lt;Keywords&gt;Adult&lt;/Keywords&gt;&lt;Keywords&gt;Age Distribution&lt;/Keywords&gt;&lt;Keywords&gt;Age of Onset&lt;/Keywords&gt;&lt;Keywords&gt;Aged&lt;/Keywords&gt;&lt;Keywords&gt;Cause of Death&lt;/Keywords&gt;&lt;Keywords&gt;Cohort Studies&lt;/Keywords&gt;&lt;Keywords&gt;Confidence Intervals&lt;/Keywords&gt;&lt;Keywords&gt;diagnosis&lt;/Keywords&gt;&lt;Keywords&gt;epidemiology&lt;/Keywords&gt;&lt;Keywords&gt;Female&lt;/Keywords&gt;&lt;Keywords&gt;Health Status Indicators&lt;/Keywords&gt;&lt;Keywords&gt;Humans&lt;/Keywords&gt;&lt;Keywords&gt;Lupus Erythematosus,Systemic&lt;/Keywords&gt;&lt;Keywords&gt;Male&lt;/Keywords&gt;&lt;Keywords&gt;methods&lt;/Keywords&gt;&lt;Keywords&gt;Middle Aged&lt;/Keywords&gt;&lt;Keywords&gt;mortality&lt;/Keywords&gt;&lt;Keywords&gt;Odds Ratio&lt;/Keywords&gt;&lt;Keywords&gt;Predictive Value of Tests&lt;/Keywords&gt;&lt;Keywords&gt;Probability&lt;/Keywords&gt;&lt;Keywords&gt;Retrospective Studies&lt;/Keywords&gt;&lt;Keywords&gt;Rheumatology&lt;/Keywords&gt;&lt;Keywords&gt;Risk&lt;/Keywords&gt;&lt;Keywords&gt;Severity of Illness Index&lt;/Keywords&gt;&lt;Keywords&gt;Sex Distribution&lt;/Keywords&gt;&lt;Keywords&gt;Survival Analysis&lt;/Keywords&gt;&lt;Keywords&gt;Survivors&lt;/Keywords&gt;&lt;Keywords&gt;Sweden&lt;/Keywords&gt;&lt;Keywords&gt;Time&lt;/Keywords&gt;&lt;Keywords&gt;Women&lt;/Keywords&gt;&lt;Reprint&gt;Not in File&lt;/Reprint&gt;&lt;Start_Page&gt;1398&lt;/Start_Page&gt;&lt;End_Page&gt;1400&lt;/End_Page&gt;&lt;Periodical&gt;J.Rheumatol.&lt;/Periodical&gt;&lt;Volume&gt;29&lt;/Volume&gt;&lt;Issue&gt;7&lt;/Issue&gt;&lt;User_Def_1&gt;y&lt;/User_Def_1&gt;&lt;ZZ_JournalStdAbbrev&gt;&lt;f name="System"&gt;J.Rheumatol.&lt;/f&gt;&lt;/ZZ_JournalStdAbbrev&gt;&lt;ZZ_WorkformID&gt;1&lt;/ZZ_WorkformID&gt;&lt;/MDL&gt;&lt;/Cite&gt;&lt;/Refman&gt;</w:instrText>
            </w:r>
            <w:r w:rsidR="00E729BA">
              <w:fldChar w:fldCharType="separate"/>
            </w:r>
            <w:r w:rsidR="004D7951">
              <w:t>(156)</w:t>
            </w:r>
            <w:r w:rsidR="00E729BA">
              <w:fldChar w:fldCharType="end"/>
            </w:r>
          </w:p>
        </w:tc>
        <w:tc>
          <w:tcPr>
            <w:tcW w:w="576" w:type="dxa"/>
            <w:noWrap/>
          </w:tcPr>
          <w:p w:rsidR="002D772C" w:rsidRPr="006F2122" w:rsidRDefault="002D772C" w:rsidP="00FD18C9">
            <w:pPr>
              <w:pStyle w:val="ListParagraph1"/>
            </w:pPr>
            <w:r w:rsidRPr="006F2122">
              <w:t>2002</w:t>
            </w:r>
          </w:p>
        </w:tc>
        <w:tc>
          <w:tcPr>
            <w:tcW w:w="1562" w:type="dxa"/>
          </w:tcPr>
          <w:p w:rsidR="002D772C" w:rsidRPr="006F2122" w:rsidRDefault="002D772C" w:rsidP="00FD18C9">
            <w:pPr>
              <w:pStyle w:val="ListParagraph1"/>
            </w:pPr>
            <w:r w:rsidRPr="006F2122">
              <w:t>80</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1.00</w:t>
            </w:r>
          </w:p>
        </w:tc>
        <w:tc>
          <w:tcPr>
            <w:tcW w:w="1095" w:type="dxa"/>
          </w:tcPr>
          <w:p w:rsidR="002D772C" w:rsidRPr="006F2122" w:rsidRDefault="002D772C" w:rsidP="00FD18C9">
            <w:pPr>
              <w:pStyle w:val="ListParagraph1"/>
            </w:pPr>
            <w:r w:rsidRPr="006F2122">
              <w:t>0.91</w:t>
            </w:r>
          </w:p>
        </w:tc>
        <w:tc>
          <w:tcPr>
            <w:tcW w:w="1096" w:type="dxa"/>
          </w:tcPr>
          <w:p w:rsidR="002D772C" w:rsidRPr="006F2122" w:rsidRDefault="002D772C" w:rsidP="00FD18C9">
            <w:pPr>
              <w:pStyle w:val="ListParagraph1"/>
            </w:pPr>
            <w:r w:rsidRPr="006F2122">
              <w:t> -</w:t>
            </w:r>
          </w:p>
        </w:tc>
      </w:tr>
      <w:tr w:rsidR="002D772C" w:rsidRPr="006F2122" w:rsidTr="00DD3003">
        <w:trPr>
          <w:trHeight w:val="20"/>
          <w:tblHeader/>
        </w:trPr>
        <w:tc>
          <w:tcPr>
            <w:tcW w:w="1810" w:type="dxa"/>
            <w:noWrap/>
          </w:tcPr>
          <w:p w:rsidR="002D772C" w:rsidRPr="006F2122" w:rsidRDefault="002D772C" w:rsidP="00FD18C9">
            <w:pPr>
              <w:pStyle w:val="ListParagraph1"/>
              <w:rPr>
                <w:lang w:val="de-DE"/>
              </w:rPr>
            </w:pPr>
            <w:r w:rsidRPr="006F2122">
              <w:rPr>
                <w:lang w:val="de-DE"/>
              </w:rPr>
              <w:t xml:space="preserve">Manger </w:t>
            </w:r>
            <w:r w:rsidR="00E729BA">
              <w:rPr>
                <w:lang w:val="de-DE"/>
              </w:rPr>
              <w:fldChar w:fldCharType="begin"/>
            </w:r>
            <w:r w:rsidR="00FC61FD">
              <w:rPr>
                <w:lang w:val="de-DE"/>
              </w:rPr>
              <w:instrText xml:space="preserve"> ADDIN REFMGR.CITE &lt;Refman&gt;&lt;Cite&gt;&lt;Author&gt;Manger&lt;/Author&gt;&lt;Year&gt;2002&lt;/Year&gt;&lt;RecNum&gt;843&lt;/RecNum&gt;&lt;IDText&gt;Definition of risk factors for death, end stage renal disease, and thromboembolic events in a monocentric cohort of 338 patients with systemic lupus erythematosus&lt;/IDText&gt;&lt;MDL Ref_Type="Journal"&gt;&lt;Ref_Type&gt;Journal&lt;/Ref_Type&gt;&lt;Ref_ID&gt;843&lt;/Ref_ID&gt;&lt;Title_Primary&gt;Definition of risk factors for death, end stage renal disease, and thromboembolic events in a monocentric cohort of 338 patients with systemic lupus erythematosus&lt;/Title_Primary&gt;&lt;Authors_Primary&gt;Manger,K.&lt;/Authors_Primary&gt;&lt;Authors_Primary&gt;Manger,B.&lt;/Authors_Primary&gt;&lt;Authors_Primary&gt;Repp,R.&lt;/Authors_Primary&gt;&lt;Authors_Primary&gt;Geisselbrecht,M.&lt;/Authors_Primary&gt;&lt;Authors_Primary&gt;Geiger,A.&lt;/Authors_Primary&gt;&lt;Authors_Primary&gt;Pfahlberg,A.&lt;/Authors_Primary&gt;&lt;Authors_Primary&gt;Harrer,T.&lt;/Authors_Primary&gt;&lt;Authors_Primary&gt;Kalden,J.R.&lt;/Authors_Primary&gt;&lt;Date_Primary&gt;2002/12&lt;/Date_Primary&gt;&lt;Keywords&gt;Adult&lt;/Keywords&gt;&lt;Keywords&gt;Age Factors&lt;/Keywords&gt;&lt;Keywords&gt;analysis&lt;/Keywords&gt;&lt;Keywords&gt;Antibodies&lt;/Keywords&gt;&lt;Keywords&gt;Biometry&lt;/Keywords&gt;&lt;Keywords&gt;Cardiovascular Diseases&lt;/Keywords&gt;&lt;Keywords&gt;Central Nervous System&lt;/Keywords&gt;&lt;Keywords&gt;Central Nervous System Diseases&lt;/Keywords&gt;&lt;Keywords&gt;Cohort Studies&lt;/Keywords&gt;&lt;Keywords&gt;complications&lt;/Keywords&gt;&lt;Keywords&gt;Creatinine&lt;/Keywords&gt;&lt;Keywords&gt;Cryoglobulins&lt;/Keywords&gt;&lt;Keywords&gt;Disease&lt;/Keywords&gt;&lt;Keywords&gt;epidemiology&lt;/Keywords&gt;&lt;Keywords&gt;Female&lt;/Keywords&gt;&lt;Keywords&gt;Germany&lt;/Keywords&gt;&lt;Keywords&gt;Heart&lt;/Keywords&gt;&lt;Keywords&gt;Heart Diseases&lt;/Keywords&gt;&lt;Keywords&gt;Humans&lt;/Keywords&gt;&lt;Keywords&gt;Hypertension&lt;/Keywords&gt;&lt;Keywords&gt;immunology&lt;/Keywords&gt;&lt;Keywords&gt;Infection&lt;/Keywords&gt;&lt;Keywords&gt;Kidney Failure,Chronic&lt;/Keywords&gt;&lt;Keywords&gt;Lupus Erythematosus,Systemic&lt;/Keywords&gt;&lt;Keywords&gt;Male&lt;/Keywords&gt;&lt;Keywords&gt;metabolism&lt;/Keywords&gt;&lt;Keywords&gt;methods&lt;/Keywords&gt;&lt;Keywords&gt;mortality&lt;/Keywords&gt;&lt;Keywords&gt;Multivariate Analysis&lt;/Keywords&gt;&lt;Keywords&gt;Nephritis&lt;/Keywords&gt;&lt;Keywords&gt;Phenotype&lt;/Keywords&gt;&lt;Keywords&gt;Prevalence&lt;/Keywords&gt;&lt;Keywords&gt;Rheumatology&lt;/Keywords&gt;&lt;Keywords&gt;Risk&lt;/Keywords&gt;&lt;Keywords&gt;Risk Factors&lt;/Keywords&gt;&lt;Keywords&gt;Sex Factors&lt;/Keywords&gt;&lt;Keywords&gt;Survival Rate&lt;/Keywords&gt;&lt;Keywords&gt;Thromboembolism&lt;/Keywords&gt;&lt;Keywords&gt;Time&lt;/Keywords&gt;&lt;Reprint&gt;Not in File&lt;/Reprint&gt;&lt;Start_Page&gt;1065&lt;/Start_Page&gt;&lt;End_Page&gt;1070&lt;/End_Page&gt;&lt;Periodical&gt;Ann.Rheum.Dis.&lt;/Periodical&gt;&lt;Volume&gt;61&lt;/Volume&gt;&lt;Issue&gt;12&lt;/Issue&gt;&lt;User_Def_1&gt;y&lt;/User_Def_1&gt;&lt;ZZ_JournalStdAbbrev&gt;&lt;f name="System"&gt;Ann.Rheum.Dis.&lt;/f&gt;&lt;/ZZ_JournalStdAbbrev&gt;&lt;ZZ_WorkformID&gt;1&lt;/ZZ_WorkformID&gt;&lt;/MDL&gt;&lt;/Cite&gt;&lt;/Refman&gt;</w:instrText>
            </w:r>
            <w:r w:rsidR="00E729BA">
              <w:rPr>
                <w:lang w:val="de-DE"/>
              </w:rPr>
              <w:fldChar w:fldCharType="separate"/>
            </w:r>
            <w:r w:rsidR="004D7951">
              <w:rPr>
                <w:lang w:val="de-DE"/>
              </w:rPr>
              <w:t>(145)</w:t>
            </w:r>
            <w:r w:rsidR="00E729BA">
              <w:rPr>
                <w:lang w:val="de-DE"/>
              </w:rPr>
              <w:fldChar w:fldCharType="end"/>
            </w:r>
          </w:p>
        </w:tc>
        <w:tc>
          <w:tcPr>
            <w:tcW w:w="576" w:type="dxa"/>
            <w:noWrap/>
          </w:tcPr>
          <w:p w:rsidR="002D772C" w:rsidRPr="006F2122" w:rsidRDefault="002D772C" w:rsidP="00FD18C9">
            <w:pPr>
              <w:pStyle w:val="ListParagraph1"/>
            </w:pPr>
            <w:r w:rsidRPr="006F2122">
              <w:t>2002</w:t>
            </w:r>
          </w:p>
        </w:tc>
        <w:tc>
          <w:tcPr>
            <w:tcW w:w="1562" w:type="dxa"/>
          </w:tcPr>
          <w:p w:rsidR="002D772C" w:rsidRPr="006F2122" w:rsidRDefault="002D772C" w:rsidP="00FD18C9">
            <w:pPr>
              <w:pStyle w:val="ListParagraph1"/>
            </w:pPr>
            <w:r w:rsidRPr="006F2122">
              <w:t>338</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0.97</w:t>
            </w:r>
          </w:p>
        </w:tc>
        <w:tc>
          <w:tcPr>
            <w:tcW w:w="1095" w:type="dxa"/>
          </w:tcPr>
          <w:p w:rsidR="002D772C" w:rsidRPr="006F2122" w:rsidRDefault="002D772C" w:rsidP="00FD18C9">
            <w:pPr>
              <w:pStyle w:val="ListParagraph1"/>
            </w:pPr>
            <w:r w:rsidRPr="006F2122">
              <w:t>0.90</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Kasitanon </w:t>
            </w:r>
            <w:r w:rsidR="00E729BA">
              <w:fldChar w:fldCharType="begin"/>
            </w:r>
            <w:r w:rsidR="00FC61FD">
              <w:instrText xml:space="preserve"> ADDIN REFMGR.CITE &lt;Refman&gt;&lt;Cite&gt;&lt;Author&gt;Kasitanon&lt;/Author&gt;&lt;Year&gt;2002&lt;/Year&gt;&lt;RecNum&gt;876&lt;/RecNum&gt;&lt;IDText&gt;Causes of death and prognostic factors in Thai patients with systemic lupus erythematosus&lt;/IDText&gt;&lt;MDL Ref_Type="Journal"&gt;&lt;Ref_Type&gt;Journal&lt;/Ref_Type&gt;&lt;Ref_ID&gt;876&lt;/Ref_ID&gt;&lt;Title_Primary&gt;Causes of death and prognostic factors in Thai patients with systemic lupus erythematosus&lt;/Title_Primary&gt;&lt;Authors_Primary&gt;Kasitanon,N.&lt;/Authors_Primary&gt;&lt;Authors_Primary&gt;Louthrenoo,W.&lt;/Authors_Primary&gt;&lt;Authors_Primary&gt;Sukitawut,W.&lt;/Authors_Primary&gt;&lt;Authors_Primary&gt;Vichainun,R.&lt;/Authors_Primary&gt;&lt;Date_Primary&gt;2002/6&lt;/Date_Primary&gt;&lt;Keywords&gt;Adult&lt;/Keywords&gt;&lt;Keywords&gt;analysis&lt;/Keywords&gt;&lt;Keywords&gt;Arthritis&lt;/Keywords&gt;&lt;Keywords&gt;Cause of Death&lt;/Keywords&gt;&lt;Keywords&gt;Central Nervous System&lt;/Keywords&gt;&lt;Keywords&gt;Cohort Studies&lt;/Keywords&gt;&lt;Keywords&gt;diagnosis&lt;/Keywords&gt;&lt;Keywords&gt;drug therapy&lt;/Keywords&gt;&lt;Keywords&gt;epidemiology&lt;/Keywords&gt;&lt;Keywords&gt;Female&lt;/Keywords&gt;&lt;Keywords&gt;Humans&lt;/Keywords&gt;&lt;Keywords&gt;Infection&lt;/Keywords&gt;&lt;Keywords&gt;Lung&lt;/Keywords&gt;&lt;Keywords&gt;Lupus Erythematosus,Systemic&lt;/Keywords&gt;&lt;Keywords&gt;Male&lt;/Keywords&gt;&lt;Keywords&gt;Middle Aged&lt;/Keywords&gt;&lt;Keywords&gt;mortality&lt;/Keywords&gt;&lt;Keywords&gt;Multivariate Analysis&lt;/Keywords&gt;&lt;Keywords&gt;Prognosis&lt;/Keywords&gt;&lt;Keywords&gt;Serositis&lt;/Keywords&gt;&lt;Keywords&gt;Survival Rate&lt;/Keywords&gt;&lt;Keywords&gt;Thailand&lt;/Keywords&gt;&lt;Reprint&gt;Not in File&lt;/Reprint&gt;&lt;Start_Page&gt;85&lt;/Start_Page&gt;&lt;End_Page&gt;91&lt;/End_Page&gt;&lt;Periodical&gt;Asian Pac.J.Allergy Immunol.&lt;/Periodical&gt;&lt;Volume&gt;20&lt;/Volume&gt;&lt;Issue&gt;2&lt;/Issue&gt;&lt;User_Def_1&gt;y&lt;/User_Def_1&gt;&lt;ZZ_JournalStdAbbrev&gt;&lt;f name="System"&gt;Asian Pac.J.Allergy Immunol.&lt;/f&gt;&lt;/ZZ_JournalStdAbbrev&gt;&lt;ZZ_WorkformID&gt;1&lt;/ZZ_WorkformID&gt;&lt;/MDL&gt;&lt;/Cite&gt;&lt;/Refman&gt;</w:instrText>
            </w:r>
            <w:r w:rsidR="00E729BA">
              <w:fldChar w:fldCharType="separate"/>
            </w:r>
            <w:r w:rsidR="004D7951">
              <w:t>(157)</w:t>
            </w:r>
            <w:r w:rsidR="00E729BA">
              <w:fldChar w:fldCharType="end"/>
            </w:r>
          </w:p>
        </w:tc>
        <w:tc>
          <w:tcPr>
            <w:tcW w:w="576" w:type="dxa"/>
            <w:noWrap/>
          </w:tcPr>
          <w:p w:rsidR="002D772C" w:rsidRPr="006F2122" w:rsidRDefault="002D772C" w:rsidP="00FD18C9">
            <w:pPr>
              <w:pStyle w:val="ListParagraph1"/>
            </w:pPr>
            <w:r w:rsidRPr="006F2122">
              <w:t>2002</w:t>
            </w:r>
          </w:p>
        </w:tc>
        <w:tc>
          <w:tcPr>
            <w:tcW w:w="1562" w:type="dxa"/>
          </w:tcPr>
          <w:p w:rsidR="002D772C" w:rsidRPr="006F2122" w:rsidRDefault="002D772C" w:rsidP="00FD18C9">
            <w:pPr>
              <w:pStyle w:val="ListParagraph1"/>
            </w:pPr>
            <w:r w:rsidRPr="006F2122">
              <w:t>349</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0.84</w:t>
            </w:r>
          </w:p>
        </w:tc>
        <w:tc>
          <w:tcPr>
            <w:tcW w:w="1095" w:type="dxa"/>
          </w:tcPr>
          <w:p w:rsidR="002D772C" w:rsidRPr="006F2122" w:rsidRDefault="002D772C" w:rsidP="00FD18C9">
            <w:pPr>
              <w:pStyle w:val="ListParagraph1"/>
            </w:pPr>
            <w:r w:rsidRPr="006F2122">
              <w:t>0.75</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Alarcon </w:t>
            </w:r>
            <w:r w:rsidR="00E729BA">
              <w:fldChar w:fldCharType="begin"/>
            </w:r>
            <w:r w:rsidR="00FC61FD">
              <w:instrText xml:space="preserve"> ADDIN REFMGR.CITE &lt;Refman&gt;&lt;Cite&gt;&lt;Author&gt;Alarcon&lt;/Author&gt;&lt;Year&gt;2001&lt;/Year&gt;&lt;RecNum&gt;972&lt;/RecNum&gt;&lt;IDText&gt;Systemic lupus erythematosus in three ethnic groups. VII [correction of VIII]. Predictors of early mortality in the LUMINA cohort. LUMINA Study Group&lt;/IDText&gt;&lt;MDL Ref_Type="Journal"&gt;&lt;Ref_Type&gt;Journal&lt;/Ref_Type&gt;&lt;Ref_ID&gt;972&lt;/Ref_ID&gt;&lt;Title_Primary&gt;Systemic lupus erythematosus in three ethnic groups. VII [correction of VIII]. Predictors of early mortality in the LUMINA cohort. LUMINA Study Group&lt;/Title_Primary&gt;&lt;Authors_Primary&gt;Alarcon,G.S.&lt;/Authors_Primary&gt;&lt;Authors_Primary&gt;McGwin,G.,Jr.&lt;/Authors_Primary&gt;&lt;Authors_Primary&gt;Bastian,H.M.&lt;/Authors_Primary&gt;&lt;Authors_Primary&gt;Roseman,J.&lt;/Authors_Primary&gt;&lt;Authors_Primary&gt;Lisse,J.&lt;/Authors_Primary&gt;&lt;Authors_Primary&gt;Fessler,B.J.&lt;/Authors_Primary&gt;&lt;Authors_Primary&gt;Friedman,A.W.&lt;/Authors_Primary&gt;&lt;Authors_Primary&gt;Reveille,J.D.&lt;/Authors_Primary&gt;&lt;Date_Primary&gt;2001/4&lt;/Date_Primary&gt;&lt;Keywords&gt;African Americans&lt;/Keywords&gt;&lt;Keywords&gt;Alabama&lt;/Keywords&gt;&lt;Keywords&gt;analysis&lt;/Keywords&gt;&lt;Keywords&gt;Autoantibodies&lt;/Keywords&gt;&lt;Keywords&gt;Cause of Death&lt;/Keywords&gt;&lt;Keywords&gt;Cohort Studies&lt;/Keywords&gt;&lt;Keywords&gt;Creatinine&lt;/Keywords&gt;&lt;Keywords&gt;diagnosis&lt;/Keywords&gt;&lt;Keywords&gt;Disease&lt;/Keywords&gt;&lt;Keywords&gt;Employment&lt;/Keywords&gt;&lt;Keywords&gt;epidemiology&lt;/Keywords&gt;&lt;Keywords&gt;Ethnic Groups&lt;/Keywords&gt;&lt;Keywords&gt;ethnology&lt;/Keywords&gt;&lt;Keywords&gt;European Continental Ancestry Group&lt;/Keywords&gt;&lt;Keywords&gt;Fatigue&lt;/Keywords&gt;&lt;Keywords&gt;Female&lt;/Keywords&gt;&lt;Keywords&gt;Genotype&lt;/Keywords&gt;&lt;Keywords&gt;Health&lt;/Keywords&gt;&lt;Keywords&gt;Hematocrit&lt;/Keywords&gt;&lt;Keywords&gt;Hispanic Americans&lt;/Keywords&gt;&lt;Keywords&gt;Humans&lt;/Keywords&gt;&lt;Keywords&gt;Infection&lt;/Keywords&gt;&lt;Keywords&gt;Lupus Erythematosus,Systemic&lt;/Keywords&gt;&lt;Keywords&gt;Male&lt;/Keywords&gt;&lt;Keywords&gt;Marital Status&lt;/Keywords&gt;&lt;Keywords&gt;methods&lt;/Keywords&gt;&lt;Keywords&gt;mortality&lt;/Keywords&gt;&lt;Keywords&gt;Multicenter Studies as Topic&lt;/Keywords&gt;&lt;Keywords&gt;Pain&lt;/Keywords&gt;&lt;Keywords&gt;Poverty&lt;/Keywords&gt;&lt;Keywords&gt;Regression Analysis&lt;/Keywords&gt;&lt;Keywords&gt;Rheumatology&lt;/Keywords&gt;&lt;Keywords&gt;Risk&lt;/Keywords&gt;&lt;Keywords&gt;Risk Factors&lt;/Keywords&gt;&lt;Keywords&gt;Serum&lt;/Keywords&gt;&lt;Keywords&gt;Smoking&lt;/Keywords&gt;&lt;Keywords&gt;Social Support&lt;/Keywords&gt;&lt;Keywords&gt;Survival Rate&lt;/Keywords&gt;&lt;Keywords&gt;Survivors&lt;/Keywords&gt;&lt;Keywords&gt;Texas&lt;/Keywords&gt;&lt;Reprint&gt;Not in File&lt;/Reprint&gt;&lt;Start_Page&gt;191&lt;/Start_Page&gt;&lt;End_Page&gt;202&lt;/End_Page&gt;&lt;Periodical&gt;Arthritis Rheum.&lt;/Periodical&gt;&lt;Volume&gt;45&lt;/Volume&gt;&lt;Issue&gt;2&lt;/Issue&gt;&lt;User_Def_1&gt;y&lt;/User_Def_1&gt;&lt;ZZ_JournalStdAbbrev&gt;&lt;f name="System"&gt;Arthritis Rheum.&lt;/f&gt;&lt;/ZZ_JournalStdAbbrev&gt;&lt;ZZ_WorkformID&gt;1&lt;/ZZ_WorkformID&gt;&lt;/MDL&gt;&lt;/Cite&gt;&lt;/Refman&gt;</w:instrText>
            </w:r>
            <w:r w:rsidR="00E729BA">
              <w:fldChar w:fldCharType="separate"/>
            </w:r>
            <w:r w:rsidR="004D7951">
              <w:t>(158)</w:t>
            </w:r>
            <w:r w:rsidR="00E729BA">
              <w:fldChar w:fldCharType="end"/>
            </w:r>
          </w:p>
        </w:tc>
        <w:tc>
          <w:tcPr>
            <w:tcW w:w="576" w:type="dxa"/>
            <w:noWrap/>
          </w:tcPr>
          <w:p w:rsidR="002D772C" w:rsidRPr="006F2122" w:rsidRDefault="002D772C" w:rsidP="00FD18C9">
            <w:pPr>
              <w:pStyle w:val="ListParagraph1"/>
            </w:pPr>
            <w:r w:rsidRPr="006F2122">
              <w:t>2001</w:t>
            </w:r>
          </w:p>
        </w:tc>
        <w:tc>
          <w:tcPr>
            <w:tcW w:w="1562" w:type="dxa"/>
          </w:tcPr>
          <w:p w:rsidR="002D772C" w:rsidRPr="006F2122" w:rsidRDefault="002D772C" w:rsidP="00FD18C9">
            <w:pPr>
              <w:pStyle w:val="ListParagraph1"/>
            </w:pPr>
            <w:r w:rsidRPr="006F2122">
              <w:t>288</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0.87</w:t>
            </w:r>
          </w:p>
        </w:tc>
        <w:tc>
          <w:tcPr>
            <w:tcW w:w="1095" w:type="dxa"/>
          </w:tcPr>
          <w:p w:rsidR="002D772C" w:rsidRPr="006F2122" w:rsidRDefault="002D772C" w:rsidP="00FD18C9">
            <w:pPr>
              <w:pStyle w:val="ListParagraph1"/>
            </w:pPr>
            <w:r w:rsidRPr="006F2122">
              <w:t> -</w:t>
            </w:r>
          </w:p>
        </w:tc>
        <w:tc>
          <w:tcPr>
            <w:tcW w:w="1096" w:type="dxa"/>
          </w:tcPr>
          <w:p w:rsidR="002D772C" w:rsidRPr="006F2122" w:rsidRDefault="002D772C" w:rsidP="00FD18C9">
            <w:pPr>
              <w:pStyle w:val="ListParagraph1"/>
            </w:pPr>
            <w:r w:rsidRPr="006F2122">
              <w:t> -</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Rahman </w:t>
            </w:r>
            <w:r w:rsidR="00E729BA">
              <w:fldChar w:fldCharType="begin"/>
            </w:r>
            <w:r w:rsidR="00FC61FD">
              <w:instrText xml:space="preserve"> ADDIN REFMGR.CITE &lt;Refman&gt;&lt;Cite&gt;&lt;Author&gt;Rahman&lt;/Author&gt;&lt;Year&gt;2001&lt;/Year&gt;&lt;RecNum&gt;1007&lt;/RecNum&gt;&lt;IDText&gt;Early damage as measured by the SLICC/ACR damage index is a predictor of mortality in systemic lupus erythematosus&lt;/IDText&gt;&lt;MDL Ref_Type="Journal"&gt;&lt;Ref_Type&gt;Journal&lt;/Ref_Type&gt;&lt;Ref_ID&gt;1007&lt;/Ref_ID&gt;&lt;Title_Primary&gt;Early damage as measured by the SLICC/ACR damage index is a predictor of mortality in systemic lupus erythematosus&lt;/Title_Primary&gt;&lt;Authors_Primary&gt;Rahman,P.&lt;/Authors_Primary&gt;&lt;Authors_Primary&gt;Gladman,D.D.&lt;/Authors_Primary&gt;&lt;Authors_Primary&gt;Urowitz,M.B.&lt;/Authors_Primary&gt;&lt;Authors_Primary&gt;Hallett,D.&lt;/Authors_Primary&gt;&lt;Authors_Primary&gt;Tam,L.S.&lt;/Authors_Primary&gt;&lt;Date_Primary&gt;2001&lt;/Date_Primary&gt;&lt;Keywords&gt;Adolescent&lt;/Keywords&gt;&lt;Keywords&gt;Adult&lt;/Keywords&gt;&lt;Keywords&gt;diagnosis&lt;/Keywords&gt;&lt;Keywords&gt;Disease&lt;/Keywords&gt;&lt;Keywords&gt;Disease Progression&lt;/Keywords&gt;&lt;Keywords&gt;erythematosus&lt;/Keywords&gt;&lt;Keywords&gt;Health&lt;/Keywords&gt;&lt;Keywords&gt;Health Status Indicators&lt;/Keywords&gt;&lt;Keywords&gt;hospital&lt;/Keywords&gt;&lt;Keywords&gt;Humans&lt;/Keywords&gt;&lt;Keywords&gt;lupus erythematosus&lt;/Keywords&gt;&lt;Keywords&gt;Lupus Erythematosus,Systemic&lt;/Keywords&gt;&lt;Keywords&gt;Middle Aged&lt;/Keywords&gt;&lt;Keywords&gt;mortality&lt;/Keywords&gt;&lt;Keywords&gt;Ontario&lt;/Keywords&gt;&lt;Keywords&gt;patient&lt;/Keywords&gt;&lt;Keywords&gt;Patients&lt;/Keywords&gt;&lt;Keywords&gt;physiopathology&lt;/Keywords&gt;&lt;Keywords&gt;Predictive Value of Tests&lt;/Keywords&gt;&lt;Keywords&gt;Prognosis&lt;/Keywords&gt;&lt;Keywords&gt;Rheumatic Diseases&lt;/Keywords&gt;&lt;Keywords&gt;Severity of Illness Index&lt;/Keywords&gt;&lt;Keywords&gt;systemic lupus erythematosus&lt;/Keywords&gt;&lt;Reprint&gt;Not in File&lt;/Reprint&gt;&lt;Start_Page&gt;93&lt;/Start_Page&gt;&lt;End_Page&gt;96&lt;/End_Page&gt;&lt;Periodical&gt;Lupus.&lt;/Periodical&gt;&lt;Volume&gt;10&lt;/Volume&gt;&lt;Issue&gt;2&lt;/Issue&gt;&lt;User_Def_1&gt;y&lt;/User_Def_1&gt;&lt;ZZ_JournalStdAbbrev&gt;&lt;f name="System"&gt;Lupus.&lt;/f&gt;&lt;/ZZ_JournalStdAbbrev&gt;&lt;ZZ_WorkformID&gt;1&lt;/ZZ_WorkformID&gt;&lt;/MDL&gt;&lt;/Cite&gt;&lt;/Refman&gt;</w:instrText>
            </w:r>
            <w:r w:rsidR="00E729BA">
              <w:fldChar w:fldCharType="separate"/>
            </w:r>
            <w:r w:rsidR="004D7951">
              <w:t>(159)</w:t>
            </w:r>
            <w:r w:rsidR="00E729BA">
              <w:fldChar w:fldCharType="end"/>
            </w:r>
          </w:p>
        </w:tc>
        <w:tc>
          <w:tcPr>
            <w:tcW w:w="576" w:type="dxa"/>
            <w:noWrap/>
          </w:tcPr>
          <w:p w:rsidR="002D772C" w:rsidRPr="006F2122" w:rsidRDefault="002D772C" w:rsidP="00FD18C9">
            <w:pPr>
              <w:pStyle w:val="ListParagraph1"/>
            </w:pPr>
            <w:r w:rsidRPr="006F2122">
              <w:t>2001</w:t>
            </w:r>
          </w:p>
        </w:tc>
        <w:tc>
          <w:tcPr>
            <w:tcW w:w="1562" w:type="dxa"/>
          </w:tcPr>
          <w:p w:rsidR="002D772C" w:rsidRPr="006F2122" w:rsidRDefault="002D772C" w:rsidP="00FD18C9">
            <w:pPr>
              <w:pStyle w:val="ListParagraph1"/>
            </w:pPr>
            <w:r>
              <w:t>190 (No damage)</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 -</w:t>
            </w:r>
          </w:p>
        </w:tc>
        <w:tc>
          <w:tcPr>
            <w:tcW w:w="1095" w:type="dxa"/>
          </w:tcPr>
          <w:p w:rsidR="002D772C" w:rsidRPr="006F2122" w:rsidRDefault="002D772C" w:rsidP="00FD18C9">
            <w:pPr>
              <w:pStyle w:val="ListParagraph1"/>
            </w:pPr>
            <w:r w:rsidRPr="006F2122">
              <w:t>0.9</w:t>
            </w:r>
            <w:r>
              <w:t>3</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Rahman </w:t>
            </w:r>
            <w:r w:rsidR="00E729BA">
              <w:fldChar w:fldCharType="begin"/>
            </w:r>
            <w:r w:rsidR="00FC61FD">
              <w:instrText xml:space="preserve"> ADDIN REFMGR.CITE &lt;Refman&gt;&lt;Cite&gt;&lt;Author&gt;Rahman&lt;/Author&gt;&lt;Year&gt;2001&lt;/Year&gt;&lt;RecNum&gt;1007&lt;/RecNum&gt;&lt;IDText&gt;Early damage as measured by the SLICC/ACR damage index is a predictor of mortality in systemic lupus erythematosus&lt;/IDText&gt;&lt;MDL Ref_Type="Journal"&gt;&lt;Ref_Type&gt;Journal&lt;/Ref_Type&gt;&lt;Ref_ID&gt;1007&lt;/Ref_ID&gt;&lt;Title_Primary&gt;Early damage as measured by the SLICC/ACR damage index is a predictor of mortality in systemic lupus erythematosus&lt;/Title_Primary&gt;&lt;Authors_Primary&gt;Rahman,P.&lt;/Authors_Primary&gt;&lt;Authors_Primary&gt;Gladman,D.D.&lt;/Authors_Primary&gt;&lt;Authors_Primary&gt;Urowitz,M.B.&lt;/Authors_Primary&gt;&lt;Authors_Primary&gt;Hallett,D.&lt;/Authors_Primary&gt;&lt;Authors_Primary&gt;Tam,L.S.&lt;/Authors_Primary&gt;&lt;Date_Primary&gt;2001&lt;/Date_Primary&gt;&lt;Keywords&gt;Adolescent&lt;/Keywords&gt;&lt;Keywords&gt;Adult&lt;/Keywords&gt;&lt;Keywords&gt;diagnosis&lt;/Keywords&gt;&lt;Keywords&gt;Disease&lt;/Keywords&gt;&lt;Keywords&gt;Disease Progression&lt;/Keywords&gt;&lt;Keywords&gt;erythematosus&lt;/Keywords&gt;&lt;Keywords&gt;Health&lt;/Keywords&gt;&lt;Keywords&gt;Health Status Indicators&lt;/Keywords&gt;&lt;Keywords&gt;hospital&lt;/Keywords&gt;&lt;Keywords&gt;Humans&lt;/Keywords&gt;&lt;Keywords&gt;lupus erythematosus&lt;/Keywords&gt;&lt;Keywords&gt;Lupus Erythematosus,Systemic&lt;/Keywords&gt;&lt;Keywords&gt;Middle Aged&lt;/Keywords&gt;&lt;Keywords&gt;mortality&lt;/Keywords&gt;&lt;Keywords&gt;Ontario&lt;/Keywords&gt;&lt;Keywords&gt;patient&lt;/Keywords&gt;&lt;Keywords&gt;Patients&lt;/Keywords&gt;&lt;Keywords&gt;physiopathology&lt;/Keywords&gt;&lt;Keywords&gt;Predictive Value of Tests&lt;/Keywords&gt;&lt;Keywords&gt;Prognosis&lt;/Keywords&gt;&lt;Keywords&gt;Rheumatic Diseases&lt;/Keywords&gt;&lt;Keywords&gt;Severity of Illness Index&lt;/Keywords&gt;&lt;Keywords&gt;systemic lupus erythematosus&lt;/Keywords&gt;&lt;Reprint&gt;Not in File&lt;/Reprint&gt;&lt;Start_Page&gt;93&lt;/Start_Page&gt;&lt;End_Page&gt;96&lt;/End_Page&gt;&lt;Periodical&gt;Lupus.&lt;/Periodical&gt;&lt;Volume&gt;10&lt;/Volume&gt;&lt;Issue&gt;2&lt;/Issue&gt;&lt;User_Def_1&gt;y&lt;/User_Def_1&gt;&lt;ZZ_JournalStdAbbrev&gt;&lt;f name="System"&gt;Lupus.&lt;/f&gt;&lt;/ZZ_JournalStdAbbrev&gt;&lt;ZZ_WorkformID&gt;1&lt;/ZZ_WorkformID&gt;&lt;/MDL&gt;&lt;/Cite&gt;&lt;/Refman&gt;</w:instrText>
            </w:r>
            <w:r w:rsidR="00E729BA">
              <w:fldChar w:fldCharType="separate"/>
            </w:r>
            <w:r w:rsidR="004D7951">
              <w:t>(159)</w:t>
            </w:r>
            <w:r w:rsidR="00E729BA">
              <w:fldChar w:fldCharType="end"/>
            </w:r>
          </w:p>
        </w:tc>
        <w:tc>
          <w:tcPr>
            <w:tcW w:w="576" w:type="dxa"/>
            <w:noWrap/>
          </w:tcPr>
          <w:p w:rsidR="002D772C" w:rsidRPr="006F2122" w:rsidRDefault="002D772C" w:rsidP="00FD18C9">
            <w:pPr>
              <w:pStyle w:val="ListParagraph1"/>
            </w:pPr>
            <w:r>
              <w:t>2001</w:t>
            </w:r>
          </w:p>
        </w:tc>
        <w:tc>
          <w:tcPr>
            <w:tcW w:w="1562" w:type="dxa"/>
          </w:tcPr>
          <w:p w:rsidR="002D772C" w:rsidRPr="006F2122" w:rsidRDefault="002D772C" w:rsidP="00FD18C9">
            <w:pPr>
              <w:pStyle w:val="ListParagraph1"/>
            </w:pPr>
            <w:r>
              <w:t>73 (Early damage)</w:t>
            </w:r>
          </w:p>
        </w:tc>
        <w:tc>
          <w:tcPr>
            <w:tcW w:w="1095" w:type="dxa"/>
          </w:tcPr>
          <w:p w:rsidR="002D772C" w:rsidRPr="006F2122" w:rsidRDefault="002D772C" w:rsidP="00FD18C9">
            <w:pPr>
              <w:pStyle w:val="ListParagraph1"/>
            </w:pPr>
            <w:r>
              <w:t>-</w:t>
            </w:r>
          </w:p>
        </w:tc>
        <w:tc>
          <w:tcPr>
            <w:tcW w:w="1096" w:type="dxa"/>
          </w:tcPr>
          <w:p w:rsidR="002D772C" w:rsidRPr="006F2122" w:rsidRDefault="002D772C" w:rsidP="00FD18C9">
            <w:pPr>
              <w:pStyle w:val="ListParagraph1"/>
            </w:pPr>
            <w:r>
              <w:t>-</w:t>
            </w:r>
          </w:p>
        </w:tc>
        <w:tc>
          <w:tcPr>
            <w:tcW w:w="1095" w:type="dxa"/>
          </w:tcPr>
          <w:p w:rsidR="002D772C" w:rsidRPr="006F2122" w:rsidRDefault="002D772C" w:rsidP="00FD18C9">
            <w:pPr>
              <w:pStyle w:val="ListParagraph1"/>
            </w:pPr>
            <w:r>
              <w:t>0.75</w:t>
            </w:r>
          </w:p>
        </w:tc>
        <w:tc>
          <w:tcPr>
            <w:tcW w:w="1096" w:type="dxa"/>
          </w:tcPr>
          <w:p w:rsidR="002D772C" w:rsidRPr="006F2122" w:rsidRDefault="002D772C" w:rsidP="00FD18C9">
            <w:pPr>
              <w:pStyle w:val="ListParagraph1"/>
            </w:pPr>
            <w:r>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Mok </w:t>
            </w:r>
            <w:r w:rsidR="00E729BA">
              <w:fldChar w:fldCharType="begin"/>
            </w:r>
            <w:r w:rsidR="00FC61FD">
              <w:instrText xml:space="preserve"> ADDIN REFMGR.CITE &lt;Refman&gt;&lt;Cite&gt;&lt;Author&gt;Mok&lt;/Author&gt;&lt;Year&gt;2000&lt;/Year&gt;&lt;RecNum&gt;1060&lt;/RecNum&gt;&lt;IDText&gt;A prospective study of survival and prognostic indicators of systemic lupus erythematosus in a southern Chinese population&lt;/IDText&gt;&lt;MDL Ref_Type="Journal"&gt;&lt;Ref_Type&gt;Journal&lt;/Ref_Type&gt;&lt;Ref_ID&gt;1060&lt;/Ref_ID&gt;&lt;Title_Primary&gt;A prospective study of survival and prognostic indicators of systemic lupus erythematosus in a southern Chinese population&lt;/Title_Primary&gt;&lt;Authors_Primary&gt;Mok,C.C.&lt;/Authors_Primary&gt;&lt;Authors_Primary&gt;Lee,K.W.&lt;/Authors_Primary&gt;&lt;Authors_Primary&gt;Ho,C.T.&lt;/Authors_Primary&gt;&lt;Authors_Primary&gt;Lau,C.S.&lt;/Authors_Primary&gt;&lt;Authors_Primary&gt;Wong,R.W.&lt;/Authors_Primary&gt;&lt;Date_Primary&gt;2000/4&lt;/Date_Primary&gt;&lt;Keywords&gt;Adolescent&lt;/Keywords&gt;&lt;Keywords&gt;Adult&lt;/Keywords&gt;&lt;Keywords&gt;adverse effects&lt;/Keywords&gt;&lt;Keywords&gt;Aged&lt;/Keywords&gt;&lt;Keywords&gt;Alopecia&lt;/Keywords&gt;&lt;Keywords&gt;analysis&lt;/Keywords&gt;&lt;Keywords&gt;Arthritis&lt;/Keywords&gt;&lt;Keywords&gt;Autoantibodies&lt;/Keywords&gt;&lt;Keywords&gt;Cause of Death&lt;/Keywords&gt;&lt;Keywords&gt;Central Nervous System&lt;/Keywords&gt;&lt;Keywords&gt;Child&lt;/Keywords&gt;&lt;Keywords&gt;China&lt;/Keywords&gt;&lt;Keywords&gt;complications&lt;/Keywords&gt;&lt;Keywords&gt;diagnosis&lt;/Keywords&gt;&lt;Keywords&gt;Disease&lt;/Keywords&gt;&lt;Keywords&gt;epidemiology&lt;/Keywords&gt;&lt;Keywords&gt;etiology&lt;/Keywords&gt;&lt;Keywords&gt;Female&lt;/Keywords&gt;&lt;Keywords&gt;Humans&lt;/Keywords&gt;&lt;Keywords&gt;Immunosuppressive Agents&lt;/Keywords&gt;&lt;Keywords&gt;Infection&lt;/Keywords&gt;&lt;Keywords&gt;Lupus Erythematosus,Systemic&lt;/Keywords&gt;&lt;Keywords&gt;Male&lt;/Keywords&gt;&lt;Keywords&gt;methods&lt;/Keywords&gt;&lt;Keywords&gt;Middle Aged&lt;/Keywords&gt;&lt;Keywords&gt;mortality&lt;/Keywords&gt;&lt;Keywords&gt;Nephritis&lt;/Keywords&gt;&lt;Keywords&gt;Prevalence&lt;/Keywords&gt;&lt;Keywords&gt;Prognosis&lt;/Keywords&gt;&lt;Keywords&gt;Prospective Studies&lt;/Keywords&gt;&lt;Keywords&gt;Regression Analysis&lt;/Keywords&gt;&lt;Keywords&gt;Rheumatology&lt;/Keywords&gt;&lt;Keywords&gt;Risk&lt;/Keywords&gt;&lt;Keywords&gt;Risk Factors&lt;/Keywords&gt;&lt;Keywords&gt;Steroids&lt;/Keywords&gt;&lt;Keywords&gt;Survival Analysis&lt;/Keywords&gt;&lt;Keywords&gt;Survival Rate&lt;/Keywords&gt;&lt;Keywords&gt;therapeutic use&lt;/Keywords&gt;&lt;Keywords&gt;Thrombocytopenia&lt;/Keywords&gt;&lt;Keywords&gt;Time&lt;/Keywords&gt;&lt;Reprint&gt;Not in File&lt;/Reprint&gt;&lt;Start_Page&gt;399&lt;/Start_Page&gt;&lt;End_Page&gt;406&lt;/End_Page&gt;&lt;Periodical&gt;Rheumatology.(Oxford).&lt;/Periodical&gt;&lt;Volume&gt;39&lt;/Volume&gt;&lt;Issue&gt;4&lt;/Issue&gt;&lt;User_Def_1&gt;y&lt;/User_Def_1&gt;&lt;ZZ_JournalStdAbbrev&gt;&lt;f name="System"&gt;Rheumatology.(Oxford).&lt;/f&gt;&lt;/ZZ_JournalStdAbbrev&gt;&lt;ZZ_WorkformID&gt;1&lt;/ZZ_WorkformID&gt;&lt;/MDL&gt;&lt;/Cite&gt;&lt;/Refman&gt;</w:instrText>
            </w:r>
            <w:r w:rsidR="00E729BA">
              <w:fldChar w:fldCharType="separate"/>
            </w:r>
            <w:r w:rsidR="004D7951">
              <w:t>(160)</w:t>
            </w:r>
            <w:r w:rsidR="00E729BA">
              <w:fldChar w:fldCharType="end"/>
            </w:r>
          </w:p>
        </w:tc>
        <w:tc>
          <w:tcPr>
            <w:tcW w:w="576" w:type="dxa"/>
            <w:noWrap/>
          </w:tcPr>
          <w:p w:rsidR="002D772C" w:rsidRPr="006F2122" w:rsidRDefault="002D772C" w:rsidP="00FD18C9">
            <w:pPr>
              <w:pStyle w:val="ListParagraph1"/>
            </w:pPr>
            <w:r w:rsidRPr="006F2122">
              <w:t xml:space="preserve">2000 </w:t>
            </w:r>
          </w:p>
        </w:tc>
        <w:tc>
          <w:tcPr>
            <w:tcW w:w="1562" w:type="dxa"/>
          </w:tcPr>
          <w:p w:rsidR="002D772C" w:rsidRPr="006F2122" w:rsidRDefault="002D772C" w:rsidP="00FD18C9">
            <w:pPr>
              <w:pStyle w:val="ListParagraph1"/>
            </w:pPr>
            <w:r w:rsidRPr="006F2122">
              <w:t>163</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0.93</w:t>
            </w:r>
          </w:p>
        </w:tc>
        <w:tc>
          <w:tcPr>
            <w:tcW w:w="1095" w:type="dxa"/>
          </w:tcPr>
          <w:p w:rsidR="002D772C" w:rsidRPr="006F2122" w:rsidRDefault="002D772C" w:rsidP="00FD18C9">
            <w:pPr>
              <w:pStyle w:val="ListParagraph1"/>
            </w:pPr>
            <w:r w:rsidRPr="006F2122">
              <w:t> -</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Cervera </w:t>
            </w:r>
            <w:r w:rsidR="00E729BA">
              <w:fldChar w:fldCharType="begin"/>
            </w:r>
            <w:r w:rsidR="00FC61FD">
              <w:instrText xml:space="preserve"> ADDIN REFMGR.CITE &lt;Refman&gt;&lt;Cite&gt;&lt;Author&gt;Cervera&lt;/Author&gt;&lt;Year&gt;1999&lt;/Year&gt;&lt;RecNum&gt;1144&lt;/RecNum&gt;&lt;IDText&gt;Morbidity and mortality in systemic lupus erythematosus during a 5-year period. A multicenter prospective study of 1,000 patients. European Working Party on Systemic Lupus Erythematosus&lt;/IDText&gt;&lt;MDL Ref_Type="Journal"&gt;&lt;Ref_Type&gt;Journal&lt;/Ref_Type&gt;&lt;Ref_ID&gt;1144&lt;/Ref_ID&gt;&lt;Title_Primary&gt;Morbidity and mortality in systemic lupus erythematosus during a 5-year period. A multicenter prospective study of 1,000 patients. European Working Party on Systemic Lupus Erythematosus&lt;/Title_Primary&gt;&lt;Authors_Primary&gt;Cervera,R.&lt;/Authors_Primary&gt;&lt;Authors_Primary&gt;Khamashta,M.A.&lt;/Authors_Primary&gt;&lt;Authors_Primary&gt;Font,J.&lt;/Authors_Primary&gt;&lt;Authors_Primary&gt;Sebastiani,G.D.&lt;/Authors_Primary&gt;&lt;Authors_Primary&gt;Gil,A.&lt;/Authors_Primary&gt;&lt;Authors_Primary&gt;Lavilla,P.&lt;/Authors_Primary&gt;&lt;Authors_Primary&gt;Aydintug,A.O.&lt;/Authors_Primary&gt;&lt;Authors_Primary&gt;Jedryka-Goral,A.&lt;/Authors_Primary&gt;&lt;Authors_Primary&gt;de,Ramon E.&lt;/Authors_Primary&gt;&lt;Authors_Primary&gt;Fernandez-Nebro,A.&lt;/Authors_Primary&gt;&lt;Authors_Primary&gt;Galeazzi,M.&lt;/Authors_Primary&gt;&lt;Authors_Primary&gt;Haga,H.J.&lt;/Authors_Primary&gt;&lt;Authors_Primary&gt;Mathieu,A.&lt;/Authors_Primary&gt;&lt;Authors_Primary&gt;Houssiau,F.&lt;/Authors_Primary&gt;&lt;Authors_Primary&gt;Ruiz-Irastorza,G.&lt;/Authors_Primary&gt;&lt;Authors_Primary&gt;Ingelmo,M.&lt;/Authors_Primary&gt;&lt;Authors_Primary&gt;Hughes,G.R.&lt;/Authors_Primary&gt;&lt;Date_Primary&gt;1999/5&lt;/Date_Primary&gt;&lt;Keywords&gt;Adolescent&lt;/Keywords&gt;&lt;Keywords&gt;Adult&lt;/Keywords&gt;&lt;Keywords&gt;Aged&lt;/Keywords&gt;&lt;Keywords&gt;Aged,80 and over&lt;/Keywords&gt;&lt;Keywords&gt;Antibodies&lt;/Keywords&gt;&lt;Keywords&gt;Arthritis&lt;/Keywords&gt;&lt;Keywords&gt;Cause of Death&lt;/Keywords&gt;&lt;Keywords&gt;Chi-Square Distribution&lt;/Keywords&gt;&lt;Keywords&gt;Child&lt;/Keywords&gt;&lt;Keywords&gt;Child,Preschool&lt;/Keywords&gt;&lt;Keywords&gt;complications&lt;/Keywords&gt;&lt;Keywords&gt;Enzyme-Linked Immunosorbent Assay&lt;/Keywords&gt;&lt;Keywords&gt;epidemiology&lt;/Keywords&gt;&lt;Keywords&gt;Europe&lt;/Keywords&gt;&lt;Keywords&gt;Female&lt;/Keywords&gt;&lt;Keywords&gt;Fever&lt;/Keywords&gt;&lt;Keywords&gt;Fluorescent Antibody Technique,Direct&lt;/Keywords&gt;&lt;Keywords&gt;Humans&lt;/Keywords&gt;&lt;Keywords&gt;Hypertension&lt;/Keywords&gt;&lt;Keywords&gt;immunology&lt;/Keywords&gt;&lt;Keywords&gt;Immunosuppressive Agents&lt;/Keywords&gt;&lt;Keywords&gt;Infection&lt;/Keywords&gt;&lt;Keywords&gt;Logistic Models&lt;/Keywords&gt;&lt;Keywords&gt;Lupus Erythematosus,Systemic&lt;/Keywords&gt;&lt;Keywords&gt;Male&lt;/Keywords&gt;&lt;Keywords&gt;Middle Aged&lt;/Keywords&gt;&lt;Keywords&gt;Morbidity&lt;/Keywords&gt;&lt;Keywords&gt;mortality&lt;/Keywords&gt;&lt;Keywords&gt;Osteoporosis&lt;/Keywords&gt;&lt;Keywords&gt;Pericarditis&lt;/Keywords&gt;&lt;Keywords&gt;Physical Examination&lt;/Keywords&gt;&lt;Keywords&gt;Predictive Value of Tests&lt;/Keywords&gt;&lt;Keywords&gt;Probability&lt;/Keywords&gt;&lt;Keywords&gt;Prospective Studies&lt;/Keywords&gt;&lt;Keywords&gt;Serositis&lt;/Keywords&gt;&lt;Keywords&gt;Survival Analysis&lt;/Keywords&gt;&lt;Keywords&gt;Thrombocytopenia&lt;/Keywords&gt;&lt;Keywords&gt;Thrombosis&lt;/Keywords&gt;&lt;Reprint&gt;Not in File&lt;/Reprint&gt;&lt;Start_Page&gt;167&lt;/Start_Page&gt;&lt;End_Page&gt;175&lt;/End_Page&gt;&lt;Periodical&gt;Medicine (Baltimore).&lt;/Periodical&gt;&lt;Volume&gt;78&lt;/Volume&gt;&lt;Issue&gt;3&lt;/Issue&gt;&lt;User_Def_1&gt;y&lt;/User_Def_1&gt;&lt;ZZ_JournalStdAbbrev&gt;&lt;f name="System"&gt;Medicine (Baltimore).&lt;/f&gt;&lt;/ZZ_JournalStdAbbrev&gt;&lt;ZZ_WorkformID&gt;1&lt;/ZZ_WorkformID&gt;&lt;/MDL&gt;&lt;/Cite&gt;&lt;/Refman&gt;</w:instrText>
            </w:r>
            <w:r w:rsidR="00E729BA">
              <w:fldChar w:fldCharType="separate"/>
            </w:r>
            <w:r w:rsidR="004D7951">
              <w:t>(161)</w:t>
            </w:r>
            <w:r w:rsidR="00E729BA">
              <w:fldChar w:fldCharType="end"/>
            </w:r>
          </w:p>
        </w:tc>
        <w:tc>
          <w:tcPr>
            <w:tcW w:w="576" w:type="dxa"/>
            <w:noWrap/>
          </w:tcPr>
          <w:p w:rsidR="002D772C" w:rsidRPr="006F2122" w:rsidRDefault="002D772C" w:rsidP="00FD18C9">
            <w:pPr>
              <w:pStyle w:val="ListParagraph1"/>
            </w:pPr>
            <w:r w:rsidRPr="006F2122">
              <w:t>1999</w:t>
            </w:r>
          </w:p>
        </w:tc>
        <w:tc>
          <w:tcPr>
            <w:tcW w:w="1562" w:type="dxa"/>
          </w:tcPr>
          <w:p w:rsidR="002D772C" w:rsidRPr="006F2122" w:rsidRDefault="002D772C" w:rsidP="00FD18C9">
            <w:pPr>
              <w:pStyle w:val="ListParagraph1"/>
            </w:pPr>
            <w:r w:rsidRPr="006F2122">
              <w:t>1000</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0.95</w:t>
            </w:r>
          </w:p>
        </w:tc>
        <w:tc>
          <w:tcPr>
            <w:tcW w:w="1095" w:type="dxa"/>
          </w:tcPr>
          <w:p w:rsidR="002D772C" w:rsidRPr="006F2122" w:rsidRDefault="002D772C" w:rsidP="00FD18C9">
            <w:pPr>
              <w:pStyle w:val="ListParagraph1"/>
            </w:pPr>
            <w:r w:rsidRPr="006F2122">
              <w:t> -</w:t>
            </w:r>
          </w:p>
        </w:tc>
        <w:tc>
          <w:tcPr>
            <w:tcW w:w="1096" w:type="dxa"/>
          </w:tcPr>
          <w:p w:rsidR="002D772C" w:rsidRPr="006F2122" w:rsidRDefault="002D772C" w:rsidP="00FD18C9">
            <w:pPr>
              <w:pStyle w:val="ListParagraph1"/>
            </w:pPr>
            <w:r w:rsidRPr="006F2122">
              <w:t> -</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Xie </w:t>
            </w:r>
            <w:r w:rsidR="00E729BA">
              <w:fldChar w:fldCharType="begin"/>
            </w:r>
            <w:r w:rsidR="00FC61FD">
              <w:instrText xml:space="preserve"> ADDIN REFMGR.CITE &lt;Refman&gt;&lt;Cite&gt;&lt;Author&gt;Xie&lt;/Author&gt;&lt;Year&gt;1998&lt;/Year&gt;&lt;RecNum&gt;1232&lt;/RecNum&gt;&lt;IDText&gt;Long term follow-up of patients with systemic lupus erythematosus&lt;/IDText&gt;&lt;MDL Ref_Type="Journal"&gt;&lt;Ref_Type&gt;Journal&lt;/Ref_Type&gt;&lt;Ref_ID&gt;1232&lt;/Ref_ID&gt;&lt;Title_Primary&gt;Long term follow-up of patients with systemic lupus erythematosus&lt;/Title_Primary&gt;&lt;Authors_Primary&gt;Xie,S.K.&lt;/Authors_Primary&gt;&lt;Authors_Primary&gt;Feng,S.F.&lt;/Authors_Primary&gt;&lt;Authors_Primary&gt;Fu,H.&lt;/Authors_Primary&gt;&lt;Date_Primary&gt;1998/6&lt;/Date_Primary&gt;&lt;Keywords&gt;administration &amp;amp; dosage&lt;/Keywords&gt;&lt;Keywords&gt;Adolescent&lt;/Keywords&gt;&lt;Keywords&gt;Adrenal Cortex Hormones&lt;/Keywords&gt;&lt;Keywords&gt;Adult&lt;/Keywords&gt;&lt;Keywords&gt;Aged&lt;/Keywords&gt;&lt;Keywords&gt;analysis&lt;/Keywords&gt;&lt;Keywords&gt;Analysis of Variance&lt;/Keywords&gt;&lt;Keywords&gt;Child&lt;/Keywords&gt;&lt;Keywords&gt;Child,Preschool&lt;/Keywords&gt;&lt;Keywords&gt;China&lt;/Keywords&gt;&lt;Keywords&gt;Cohort Studies&lt;/Keywords&gt;&lt;Keywords&gt;Complement C3&lt;/Keywords&gt;&lt;Keywords&gt;deficiency&lt;/Keywords&gt;&lt;Keywords&gt;Depression&lt;/Keywords&gt;&lt;Keywords&gt;Electrocardiography&lt;/Keywords&gt;&lt;Keywords&gt;epidemiology&lt;/Keywords&gt;&lt;Keywords&gt;Female&lt;/Keywords&gt;&lt;Keywords&gt;Follow-Up Studies&lt;/Keywords&gt;&lt;Keywords&gt;Hematologic Diseases&lt;/Keywords&gt;&lt;Keywords&gt;Humans&lt;/Keywords&gt;&lt;Keywords&gt;Life&lt;/Keywords&gt;&lt;Keywords&gt;Life Tables&lt;/Keywords&gt;&lt;Keywords&gt;Longitudinal Studies&lt;/Keywords&gt;&lt;Keywords&gt;Lupus Erythematosus,Systemic&lt;/Keywords&gt;&lt;Keywords&gt;Lupus Nephritis&lt;/Keywords&gt;&lt;Keywords&gt;Male&lt;/Keywords&gt;&lt;Keywords&gt;Mental Disorders&lt;/Keywords&gt;&lt;Keywords&gt;Middle Aged&lt;/Keywords&gt;&lt;Keywords&gt;mortality&lt;/Keywords&gt;&lt;Keywords&gt;Multivariate Analysis&lt;/Keywords&gt;&lt;Keywords&gt;Nervous System Diseases&lt;/Keywords&gt;&lt;Keywords&gt;Pericarditis&lt;/Keywords&gt;&lt;Keywords&gt;Pleurisy&lt;/Keywords&gt;&lt;Keywords&gt;Probability&lt;/Keywords&gt;&lt;Keywords&gt;Prognosis&lt;/Keywords&gt;&lt;Keywords&gt;Risk&lt;/Keywords&gt;&lt;Keywords&gt;Risk Factors&lt;/Keywords&gt;&lt;Keywords&gt;Sex Factors&lt;/Keywords&gt;&lt;Keywords&gt;Survival Rate&lt;/Keywords&gt;&lt;Keywords&gt;therapeutic use&lt;/Keywords&gt;&lt;Keywords&gt;Time&lt;/Keywords&gt;&lt;Reprint&gt;Not in File&lt;/Reprint&gt;&lt;Start_Page&gt;367&lt;/Start_Page&gt;&lt;End_Page&gt;373&lt;/End_Page&gt;&lt;Periodical&gt;J.Dermatol.&lt;/Periodical&gt;&lt;Volume&gt;25&lt;/Volume&gt;&lt;Issue&gt;6&lt;/Issue&gt;&lt;User_Def_1&gt;y&lt;/User_Def_1&gt;&lt;ZZ_JournalStdAbbrev&gt;&lt;f name="System"&gt;J.Dermatol.&lt;/f&gt;&lt;/ZZ_JournalStdAbbrev&gt;&lt;ZZ_WorkformID&gt;1&lt;/ZZ_WorkformID&gt;&lt;/MDL&gt;&lt;/Cite&gt;&lt;/Refman&gt;</w:instrText>
            </w:r>
            <w:r w:rsidR="00E729BA">
              <w:fldChar w:fldCharType="separate"/>
            </w:r>
            <w:r w:rsidR="004D7951">
              <w:t>(149)</w:t>
            </w:r>
            <w:r w:rsidR="00E729BA">
              <w:fldChar w:fldCharType="end"/>
            </w:r>
          </w:p>
        </w:tc>
        <w:tc>
          <w:tcPr>
            <w:tcW w:w="576" w:type="dxa"/>
            <w:noWrap/>
          </w:tcPr>
          <w:p w:rsidR="002D772C" w:rsidRPr="006F2122" w:rsidRDefault="002D772C" w:rsidP="00FD18C9">
            <w:pPr>
              <w:pStyle w:val="ListParagraph1"/>
            </w:pPr>
            <w:r w:rsidRPr="006F2122">
              <w:t>1998</w:t>
            </w:r>
          </w:p>
        </w:tc>
        <w:tc>
          <w:tcPr>
            <w:tcW w:w="1562" w:type="dxa"/>
          </w:tcPr>
          <w:p w:rsidR="002D772C" w:rsidRPr="006F2122" w:rsidRDefault="002D772C" w:rsidP="00FD18C9">
            <w:pPr>
              <w:pStyle w:val="ListParagraph1"/>
            </w:pPr>
            <w:r w:rsidRPr="006F2122">
              <w:t>566</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0.79</w:t>
            </w:r>
          </w:p>
        </w:tc>
        <w:tc>
          <w:tcPr>
            <w:tcW w:w="1095" w:type="dxa"/>
          </w:tcPr>
          <w:p w:rsidR="002D772C" w:rsidRPr="006F2122" w:rsidRDefault="002D772C" w:rsidP="00FD18C9">
            <w:pPr>
              <w:pStyle w:val="ListParagraph1"/>
            </w:pPr>
            <w:r w:rsidRPr="006F2122">
              <w:t>0.70</w:t>
            </w:r>
          </w:p>
        </w:tc>
        <w:tc>
          <w:tcPr>
            <w:tcW w:w="1096" w:type="dxa"/>
          </w:tcPr>
          <w:p w:rsidR="002D772C" w:rsidRPr="006F2122" w:rsidRDefault="002D772C" w:rsidP="00FD18C9">
            <w:pPr>
              <w:pStyle w:val="ListParagraph1"/>
            </w:pPr>
            <w:r w:rsidRPr="006F2122">
              <w:t>-</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Abu-Shakra </w:t>
            </w:r>
            <w:r w:rsidR="00E729BA">
              <w:fldChar w:fldCharType="begin"/>
            </w:r>
            <w:r w:rsidR="00FC61FD">
              <w:instrText xml:space="preserve"> ADDIN REFMGR.CITE &lt;Refman&gt;&lt;Cite&gt;&lt;Author&gt;Abu-Shakra&lt;/Author&gt;&lt;Year&gt;1995&lt;/Year&gt;&lt;RecNum&gt;1405&lt;/RecNum&gt;&lt;IDText&gt;Mortality studies in systemic lupus erythematosus. Results from a single center. II. Predictor variables for mortality&lt;/IDText&gt;&lt;MDL Ref_Type="Journal"&gt;&lt;Ref_Type&gt;Journal&lt;/Ref_Type&gt;&lt;Ref_ID&gt;1405&lt;/Ref_ID&gt;&lt;Title_Primary&gt;Mortality studies in systemic lupus erythematosus. Results from a single center. II. Predictor variables for mortality&lt;/Title_Primary&gt;&lt;Authors_Primary&gt;Abu-Shakra,M.&lt;/Authors_Primary&gt;&lt;Authors_Primary&gt;Urowitz,M.B.&lt;/Authors_Primary&gt;&lt;Authors_Primary&gt;Gladman,D.D.&lt;/Authors_Primary&gt;&lt;Authors_Primary&gt;Gough,J.&lt;/Authors_Primary&gt;&lt;Date_Primary&gt;1995/7&lt;/Date_Primary&gt;&lt;Keywords&gt;Adolescent&lt;/Keywords&gt;&lt;Keywords&gt;Adult&lt;/Keywords&gt;&lt;Keywords&gt;Aged&lt;/Keywords&gt;&lt;Keywords&gt;Aged,80 and over&lt;/Keywords&gt;&lt;Keywords&gt;analysis&lt;/Keywords&gt;&lt;Keywords&gt;Cause of Death&lt;/Keywords&gt;&lt;Keywords&gt;Child&lt;/Keywords&gt;&lt;Keywords&gt;diagnosis&lt;/Keywords&gt;&lt;Keywords&gt;Disease&lt;/Keywords&gt;&lt;Keywords&gt;Female&lt;/Keywords&gt;&lt;Keywords&gt;Heart&lt;/Keywords&gt;&lt;Keywords&gt;Humans&lt;/Keywords&gt;&lt;Keywords&gt;Hypertension&lt;/Keywords&gt;&lt;Keywords&gt;Life Tables&lt;/Keywords&gt;&lt;Keywords&gt;Lung&lt;/Keywords&gt;&lt;Keywords&gt;Lupus Erythematosus,Systemic&lt;/Keywords&gt;&lt;Keywords&gt;Male&lt;/Keywords&gt;&lt;Keywords&gt;methods&lt;/Keywords&gt;&lt;Keywords&gt;Middle Aged&lt;/Keywords&gt;&lt;Keywords&gt;mortality&lt;/Keywords&gt;&lt;Keywords&gt;Multivariate Analysis&lt;/Keywords&gt;&lt;Keywords&gt;Ontario&lt;/Keywords&gt;&lt;Keywords&gt;Prognosis&lt;/Keywords&gt;&lt;Keywords&gt;Proportional Hazards Models&lt;/Keywords&gt;&lt;Keywords&gt;Prospective Studies&lt;/Keywords&gt;&lt;Keywords&gt;Risk&lt;/Keywords&gt;&lt;Keywords&gt;Risk Factors&lt;/Keywords&gt;&lt;Keywords&gt;Survival Rate&lt;/Keywords&gt;&lt;Keywords&gt;Thrombocytopenia&lt;/Keywords&gt;&lt;Reprint&gt;Not in File&lt;/Reprint&gt;&lt;Start_Page&gt;1265&lt;/Start_Page&gt;&lt;End_Page&gt;1270&lt;/End_Page&gt;&lt;Periodical&gt;J.Rheumatol.&lt;/Periodical&gt;&lt;Volume&gt;22&lt;/Volume&gt;&lt;Issue&gt;7&lt;/Issue&gt;&lt;User_Def_1&gt;y&lt;/User_Def_1&gt;&lt;ZZ_JournalStdAbbrev&gt;&lt;f name="System"&gt;J.Rheumatol.&lt;/f&gt;&lt;/ZZ_JournalStdAbbrev&gt;&lt;ZZ_WorkformID&gt;1&lt;/ZZ_WorkformID&gt;&lt;/MDL&gt;&lt;/Cite&gt;&lt;/Refman&gt;</w:instrText>
            </w:r>
            <w:r w:rsidR="00E729BA">
              <w:fldChar w:fldCharType="separate"/>
            </w:r>
            <w:r w:rsidR="004D7951">
              <w:t>(147)</w:t>
            </w:r>
            <w:r w:rsidR="00E729BA">
              <w:fldChar w:fldCharType="end"/>
            </w:r>
          </w:p>
        </w:tc>
        <w:tc>
          <w:tcPr>
            <w:tcW w:w="576" w:type="dxa"/>
            <w:noWrap/>
          </w:tcPr>
          <w:p w:rsidR="002D772C" w:rsidRPr="006F2122" w:rsidRDefault="002D772C" w:rsidP="00FD18C9">
            <w:pPr>
              <w:pStyle w:val="ListParagraph1"/>
            </w:pPr>
            <w:r w:rsidRPr="006F2122">
              <w:t>1995</w:t>
            </w:r>
          </w:p>
        </w:tc>
        <w:tc>
          <w:tcPr>
            <w:tcW w:w="1562" w:type="dxa"/>
          </w:tcPr>
          <w:p w:rsidR="002D772C" w:rsidRPr="006F2122" w:rsidRDefault="002D772C" w:rsidP="00FD18C9">
            <w:pPr>
              <w:pStyle w:val="ListParagraph1"/>
            </w:pPr>
            <w:r w:rsidRPr="006F2122">
              <w:t>665</w:t>
            </w:r>
          </w:p>
        </w:tc>
        <w:tc>
          <w:tcPr>
            <w:tcW w:w="1095" w:type="dxa"/>
          </w:tcPr>
          <w:p w:rsidR="002D772C" w:rsidRPr="006F2122" w:rsidRDefault="002D772C" w:rsidP="00FD18C9">
            <w:pPr>
              <w:pStyle w:val="ListParagraph1"/>
            </w:pPr>
            <w:r w:rsidRPr="006F2122">
              <w:t>0.98</w:t>
            </w:r>
          </w:p>
        </w:tc>
        <w:tc>
          <w:tcPr>
            <w:tcW w:w="1096" w:type="dxa"/>
          </w:tcPr>
          <w:p w:rsidR="002D772C" w:rsidRPr="006F2122" w:rsidRDefault="002D772C" w:rsidP="00FD18C9">
            <w:pPr>
              <w:pStyle w:val="ListParagraph1"/>
            </w:pPr>
            <w:r w:rsidRPr="006F2122">
              <w:t>0.93</w:t>
            </w:r>
          </w:p>
        </w:tc>
        <w:tc>
          <w:tcPr>
            <w:tcW w:w="1095" w:type="dxa"/>
          </w:tcPr>
          <w:p w:rsidR="002D772C" w:rsidRPr="006F2122" w:rsidRDefault="002D772C" w:rsidP="00FD18C9">
            <w:pPr>
              <w:pStyle w:val="ListParagraph1"/>
            </w:pPr>
            <w:r w:rsidRPr="006F2122">
              <w:t>0.85</w:t>
            </w:r>
          </w:p>
        </w:tc>
        <w:tc>
          <w:tcPr>
            <w:tcW w:w="1096" w:type="dxa"/>
          </w:tcPr>
          <w:p w:rsidR="002D772C" w:rsidRPr="006F2122" w:rsidRDefault="002D772C" w:rsidP="00FD18C9">
            <w:pPr>
              <w:pStyle w:val="ListParagraph1"/>
            </w:pPr>
            <w:r w:rsidRPr="006F2122">
              <w:t>0.79</w:t>
            </w:r>
          </w:p>
        </w:tc>
      </w:tr>
      <w:tr w:rsidR="002D772C" w:rsidRPr="006F2122" w:rsidTr="00DD3003">
        <w:trPr>
          <w:trHeight w:val="20"/>
          <w:tblHeader/>
        </w:trPr>
        <w:tc>
          <w:tcPr>
            <w:tcW w:w="1810" w:type="dxa"/>
            <w:noWrap/>
          </w:tcPr>
          <w:p w:rsidR="002D772C" w:rsidRPr="006F2122" w:rsidRDefault="002D772C" w:rsidP="00FD18C9">
            <w:pPr>
              <w:pStyle w:val="ListParagraph1"/>
            </w:pPr>
            <w:r w:rsidRPr="006F2122">
              <w:t xml:space="preserve">Ward </w:t>
            </w:r>
            <w:r w:rsidR="00E729BA">
              <w:fldChar w:fldCharType="begin"/>
            </w:r>
            <w:r w:rsidR="00FC61FD">
              <w:instrText xml:space="preserve"> ADDIN REFMGR.CITE &lt;Refman&gt;&lt;Cite&gt;&lt;Author&gt;Ward&lt;/Author&gt;&lt;Year&gt;1995&lt;/Year&gt;&lt;RecNum&gt;1420&lt;/RecNum&gt;&lt;IDText&gt;Long-term survival in systemic lupus erythematosus. Patient characteristics associated with poorer outcomes&lt;/IDText&gt;&lt;MDL Ref_Type="Journal"&gt;&lt;Ref_Type&gt;Journal&lt;/Ref_Type&gt;&lt;Ref_ID&gt;1420&lt;/Ref_ID&gt;&lt;Title_Primary&gt;Long-term survival in systemic lupus erythematosus. Patient characteristics associated with poorer outcomes&lt;/Title_Primary&gt;&lt;Authors_Primary&gt;Ward,M.M.&lt;/Authors_Primary&gt;&lt;Authors_Primary&gt;Pyun,E.&lt;/Authors_Primary&gt;&lt;Authors_Primary&gt;Studenski,S.&lt;/Authors_Primary&gt;&lt;Date_Primary&gt;1995/2&lt;/Date_Primary&gt;&lt;Keywords&gt;Adolescent&lt;/Keywords&gt;&lt;Keywords&gt;Adult&lt;/Keywords&gt;&lt;Keywords&gt;Aged&lt;/Keywords&gt;&lt;Keywords&gt;Aged,80 and over&lt;/Keywords&gt;&lt;Keywords&gt;California&lt;/Keywords&gt;&lt;Keywords&gt;Cohort Studies&lt;/Keywords&gt;&lt;Keywords&gt;epidemiology&lt;/Keywords&gt;&lt;Keywords&gt;Female&lt;/Keywords&gt;&lt;Keywords&gt;Humans&lt;/Keywords&gt;&lt;Keywords&gt;Income&lt;/Keywords&gt;&lt;Keywords&gt;Insurance,Health&lt;/Keywords&gt;&lt;Keywords&gt;Life&lt;/Keywords&gt;&lt;Keywords&gt;Lupus Erythematosus,Systemic&lt;/Keywords&gt;&lt;Keywords&gt;Male&lt;/Keywords&gt;&lt;Keywords&gt;methods&lt;/Keywords&gt;&lt;Keywords&gt;Middle Aged&lt;/Keywords&gt;&lt;Keywords&gt;mortality&lt;/Keywords&gt;&lt;Keywords&gt;Socioeconomic Factors&lt;/Keywords&gt;&lt;Keywords&gt;Veterans&lt;/Keywords&gt;&lt;Reprint&gt;Not in File&lt;/Reprint&gt;&lt;Start_Page&gt;274&lt;/Start_Page&gt;&lt;End_Page&gt;283&lt;/End_Page&gt;&lt;Periodical&gt;Arthritis Rheum.&lt;/Periodical&gt;&lt;Volume&gt;38&lt;/Volume&gt;&lt;Issue&gt;2&lt;/Issue&gt;&lt;User_Def_1&gt;y&lt;/User_Def_1&gt;&lt;ZZ_JournalStdAbbrev&gt;&lt;f name="System"&gt;Arthritis Rheum.&lt;/f&gt;&lt;/ZZ_JournalStdAbbrev&gt;&lt;ZZ_WorkformID&gt;1&lt;/ZZ_WorkformID&gt;&lt;/MDL&gt;&lt;/Cite&gt;&lt;/Refman&gt;</w:instrText>
            </w:r>
            <w:r w:rsidR="00E729BA">
              <w:fldChar w:fldCharType="separate"/>
            </w:r>
            <w:r w:rsidR="004D7951">
              <w:t>(148)</w:t>
            </w:r>
            <w:r w:rsidR="00E729BA">
              <w:fldChar w:fldCharType="end"/>
            </w:r>
          </w:p>
        </w:tc>
        <w:tc>
          <w:tcPr>
            <w:tcW w:w="576" w:type="dxa"/>
            <w:noWrap/>
          </w:tcPr>
          <w:p w:rsidR="002D772C" w:rsidRPr="006F2122" w:rsidRDefault="002D772C" w:rsidP="00FD18C9">
            <w:pPr>
              <w:pStyle w:val="ListParagraph1"/>
            </w:pPr>
            <w:r w:rsidRPr="006F2122">
              <w:t>1995</w:t>
            </w:r>
          </w:p>
        </w:tc>
        <w:tc>
          <w:tcPr>
            <w:tcW w:w="1562" w:type="dxa"/>
          </w:tcPr>
          <w:p w:rsidR="002D772C" w:rsidRPr="006F2122" w:rsidRDefault="002D772C" w:rsidP="00FD18C9">
            <w:pPr>
              <w:pStyle w:val="ListParagraph1"/>
            </w:pPr>
            <w:r w:rsidRPr="006F2122">
              <w:t>408</w:t>
            </w:r>
          </w:p>
        </w:tc>
        <w:tc>
          <w:tcPr>
            <w:tcW w:w="1095" w:type="dxa"/>
          </w:tcPr>
          <w:p w:rsidR="002D772C" w:rsidRPr="006F2122" w:rsidRDefault="002D772C" w:rsidP="00FD18C9">
            <w:pPr>
              <w:pStyle w:val="ListParagraph1"/>
            </w:pPr>
            <w:r w:rsidRPr="006F2122">
              <w:t>-</w:t>
            </w:r>
          </w:p>
        </w:tc>
        <w:tc>
          <w:tcPr>
            <w:tcW w:w="1096" w:type="dxa"/>
          </w:tcPr>
          <w:p w:rsidR="002D772C" w:rsidRPr="006F2122" w:rsidRDefault="002D772C" w:rsidP="00FD18C9">
            <w:pPr>
              <w:pStyle w:val="ListParagraph1"/>
            </w:pPr>
            <w:r w:rsidRPr="006F2122">
              <w:t>0.82</w:t>
            </w:r>
          </w:p>
        </w:tc>
        <w:tc>
          <w:tcPr>
            <w:tcW w:w="1095" w:type="dxa"/>
          </w:tcPr>
          <w:p w:rsidR="002D772C" w:rsidRPr="006F2122" w:rsidRDefault="002D772C" w:rsidP="00FD18C9">
            <w:pPr>
              <w:pStyle w:val="ListParagraph1"/>
            </w:pPr>
            <w:r w:rsidRPr="006F2122">
              <w:t>0.71</w:t>
            </w:r>
          </w:p>
        </w:tc>
        <w:tc>
          <w:tcPr>
            <w:tcW w:w="1096" w:type="dxa"/>
          </w:tcPr>
          <w:p w:rsidR="002D772C" w:rsidRPr="006F2122" w:rsidRDefault="002D772C" w:rsidP="00FD18C9">
            <w:pPr>
              <w:pStyle w:val="ListParagraph1"/>
            </w:pPr>
            <w:r w:rsidRPr="006F2122">
              <w:t>0.63</w:t>
            </w:r>
          </w:p>
        </w:tc>
      </w:tr>
    </w:tbl>
    <w:p w:rsidR="002D772C" w:rsidRDefault="002D772C" w:rsidP="002D772C"/>
    <w:p w:rsidR="002D772C" w:rsidRDefault="002D772C" w:rsidP="002D772C">
      <w:pPr>
        <w:pStyle w:val="Heading4"/>
      </w:pPr>
      <w:r>
        <w:t>Predictors of mortality</w:t>
      </w:r>
    </w:p>
    <w:p w:rsidR="002D772C" w:rsidRDefault="00E729BA" w:rsidP="00D538A8">
      <w:r>
        <w:fldChar w:fldCharType="begin"/>
      </w:r>
      <w:r w:rsidR="00372BCF">
        <w:instrText xml:space="preserve"> REF _Ref364935575 \h </w:instrText>
      </w:r>
      <w:r>
        <w:fldChar w:fldCharType="separate"/>
      </w:r>
      <w:r w:rsidR="004911B7">
        <w:t xml:space="preserve">Table </w:t>
      </w:r>
      <w:r w:rsidR="004911B7">
        <w:rPr>
          <w:noProof/>
        </w:rPr>
        <w:t>10</w:t>
      </w:r>
      <w:r>
        <w:fldChar w:fldCharType="end"/>
      </w:r>
      <w:r w:rsidR="00372BCF">
        <w:t xml:space="preserve"> </w:t>
      </w:r>
      <w:r w:rsidR="002D772C">
        <w:t xml:space="preserve">reports results from </w:t>
      </w:r>
      <w:r w:rsidR="00D538A8">
        <w:t xml:space="preserve">regression </w:t>
      </w:r>
      <w:r w:rsidR="002D772C">
        <w:t xml:space="preserve">analyses of mortality. Eight studies included disease activity as a covariate in </w:t>
      </w:r>
      <w:r w:rsidR="00D538A8">
        <w:t xml:space="preserve">regression </w:t>
      </w:r>
      <w:r w:rsidR="002D772C">
        <w:t xml:space="preserve">analyses and all but one found it to be a predictor of mortality. Becker-Merok et al. found that patients with a weighted average SLEDAI score of greater than 3 over time have a 242% greater risk of mortality </w:t>
      </w:r>
      <w:r w:rsidR="009602B1">
        <w:t xml:space="preserve">than those with average SLEDAI less than 3 </w:t>
      </w:r>
      <w:r>
        <w:fldChar w:fldCharType="begin"/>
      </w:r>
      <w:r w:rsidR="00FC61FD">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fldChar w:fldCharType="separate"/>
      </w:r>
      <w:r w:rsidR="004D7951">
        <w:t>(162)</w:t>
      </w:r>
      <w:r>
        <w:fldChar w:fldCharType="end"/>
      </w:r>
      <w:r w:rsidR="002D772C">
        <w:t xml:space="preserve">. Fernandez et al. found that a unit increase in SLAM-R score at baseline increases mortality risk by 10% </w:t>
      </w:r>
      <w:r>
        <w:fldChar w:fldCharType="begin"/>
      </w:r>
      <w:r w:rsidR="00FC61FD">
        <w:instrText xml:space="preserve"> ADDIN REFMGR.CITE &lt;Refman&gt;&lt;Cite&gt;&lt;Author&gt;Fernandez&lt;/Author&gt;&lt;Year&gt;2007&lt;/Year&gt;&lt;RecNum&gt;24&lt;/RecNum&gt;&lt;IDText&gt;Using the Short Form 6D, as an overall measure of health, to predict damage accrual and mortality in patients with systemic lupus erythematosus: XLVII, results from a multiethnic US cohort&lt;/IDText&gt;&lt;MDL Ref_Type="Journal"&gt;&lt;Ref_Type&gt;Journal&lt;/Ref_Type&gt;&lt;Ref_ID&gt;24&lt;/Ref_ID&gt;&lt;Title_Primary&gt;Using the Short Form 6D, as an overall measure of health, to predict damage accrual and mortality in patients with systemic lupus erythematosus: XLVII, results from a multiethnic US cohort&lt;/Title_Primary&gt;&lt;Authors_Primary&gt;Fernandez,M.&lt;/Authors_Primary&gt;&lt;Authors_Primary&gt;Alarcon,G.S.&lt;/Authors_Primary&gt;&lt;Authors_Primary&gt;McGwin,G.,Jr.&lt;/Authors_Primary&gt;&lt;Authors_Primary&gt;Sanchez,M.L.&lt;/Authors_Primary&gt;&lt;Authors_Primary&gt;Apte,M.&lt;/Authors_Primary&gt;&lt;Authors_Primary&gt;Vila,L.M.&lt;/Authors_Primary&gt;&lt;Authors_Primary&gt;Reveille,J.D.&lt;/Authors_Primary&gt;&lt;Date_Primary&gt;2007/8/15&lt;/Date_Primary&gt;&lt;Keywords&gt;Adult&lt;/Keywords&gt;&lt;Keywords&gt;African Americans&lt;/Keywords&gt;&lt;Keywords&gt;Cohort Studies&lt;/Keywords&gt;&lt;Keywords&gt;Disease Progression&lt;/Keywords&gt;&lt;Keywords&gt;epidemiology&lt;/Keywords&gt;&lt;Keywords&gt;ethnology&lt;/Keywords&gt;&lt;Keywords&gt;European Continental Ancestry Group&lt;/Keywords&gt;&lt;Keywords&gt;Female&lt;/Keywords&gt;&lt;Keywords&gt;Health Status&lt;/Keywords&gt;&lt;Keywords&gt;Health Status Indicators&lt;/Keywords&gt;&lt;Keywords&gt;Hispanic Americans&lt;/Keywords&gt;&lt;Keywords&gt;Humans&lt;/Keywords&gt;&lt;Keywords&gt;Longitudinal Studies&lt;/Keywords&gt;&lt;Keywords&gt;Lupus Erythematosus,Systemic&lt;/Keywords&gt;&lt;Keywords&gt;Male&lt;/Keywords&gt;&lt;Keywords&gt;methods&lt;/Keywords&gt;&lt;Keywords&gt;Middle Aged&lt;/Keywords&gt;&lt;Keywords&gt;mortality&lt;/Keywords&gt;&lt;Keywords&gt;Multivariate Analysis&lt;/Keywords&gt;&lt;Keywords&gt;physiopathology&lt;/Keywords&gt;&lt;Keywords&gt;Predictive Value of Tests&lt;/Keywords&gt;&lt;Keywords&gt;Quality of Life&lt;/Keywords&gt;&lt;Keywords&gt;Rheumatology&lt;/Keywords&gt;&lt;Keywords&gt;United States&lt;/Keywords&gt;&lt;Reprint&gt;Not in File&lt;/Reprint&gt;&lt;Start_Page&gt;986&lt;/Start_Page&gt;&lt;End_Page&gt;992&lt;/End_Page&gt;&lt;Periodical&gt;Arthritis Rheum.&lt;/Periodical&gt;&lt;Volume&gt;57&lt;/Volume&gt;&lt;Issue&gt;6&lt;/Issue&gt;&lt;ZZ_JournalStdAbbrev&gt;&lt;f name="System"&gt;Arthritis Rheum.&lt;/f&gt;&lt;/ZZ_JournalStdAbbrev&gt;&lt;ZZ_WorkformID&gt;1&lt;/ZZ_WorkformID&gt;&lt;/MDL&gt;&lt;/Cite&gt;&lt;/Refman&gt;</w:instrText>
      </w:r>
      <w:r>
        <w:fldChar w:fldCharType="separate"/>
      </w:r>
      <w:r w:rsidR="004D7951">
        <w:t>(163)</w:t>
      </w:r>
      <w:r>
        <w:fldChar w:fldCharType="end"/>
      </w:r>
      <w:r w:rsidR="002D772C">
        <w:t xml:space="preserve">. Cook et al. estimate that patients with a SLEDAI score of between 6 and 10 points increase their risk of mortality by almost 300% </w:t>
      </w:r>
      <w:r>
        <w:fldChar w:fldCharType="begin"/>
      </w:r>
      <w:r w:rsidR="00FC61FD">
        <w:instrText xml:space="preserve"> ADDIN REFMGR.CITE &lt;Refman&gt;&lt;Cite&gt;&lt;Author&gt;Cook&lt;/Author&gt;&lt;Year&gt;2000&lt;/Year&gt;&lt;RecNum&gt;1038&lt;/RecNum&gt;&lt;IDText&gt;Prediction of short term mortality in systemic lupus erythematosus with time dependent measures of disease activity&lt;/IDText&gt;&lt;MDL Ref_Type="Journal"&gt;&lt;Ref_Type&gt;Journal&lt;/Ref_Type&gt;&lt;Ref_ID&gt;1038&lt;/Ref_ID&gt;&lt;Title_Primary&gt;Prediction of short term mortality in systemic lupus erythematosus with time dependent measures of disease activity&lt;/Title_Primary&gt;&lt;Authors_Primary&gt;Cook,R.J.&lt;/Authors_Primary&gt;&lt;Authors_Primary&gt;Gladman,D.D.&lt;/Authors_Primary&gt;&lt;Authors_Primary&gt;Pericak,D.&lt;/Authors_Primary&gt;&lt;Authors_Primary&gt;Urowitz,M.B.&lt;/Authors_Primary&gt;&lt;Date_Primary&gt;2000/8&lt;/Date_Primary&gt;&lt;Keywords&gt;Adult&lt;/Keywords&gt;&lt;Keywords&gt;analysis&lt;/Keywords&gt;&lt;Keywords&gt;Antibodies&lt;/Keywords&gt;&lt;Keywords&gt;Brain&lt;/Keywords&gt;&lt;Keywords&gt;Canada&lt;/Keywords&gt;&lt;Keywords&gt;Confidence Intervals&lt;/Keywords&gt;&lt;Keywords&gt;Disease&lt;/Keywords&gt;&lt;Keywords&gt;epidemiology&lt;/Keywords&gt;&lt;Keywords&gt;Female&lt;/Keywords&gt;&lt;Keywords&gt;Fever&lt;/Keywords&gt;&lt;Keywords&gt;Follow-Up Studies&lt;/Keywords&gt;&lt;Keywords&gt;Humans&lt;/Keywords&gt;&lt;Keywords&gt;Leukopenia&lt;/Keywords&gt;&lt;Keywords&gt;Lupus Erythematosus,Systemic&lt;/Keywords&gt;&lt;Keywords&gt;Male&lt;/Keywords&gt;&lt;Keywords&gt;methods&lt;/Keywords&gt;&lt;Keywords&gt;mortality&lt;/Keywords&gt;&lt;Keywords&gt;Ontario&lt;/Keywords&gt;&lt;Keywords&gt;pathology&lt;/Keywords&gt;&lt;Keywords&gt;Pleurisy&lt;/Keywords&gt;&lt;Keywords&gt;Prognosis&lt;/Keywords&gt;&lt;Keywords&gt;Proportional Hazards Models&lt;/Keywords&gt;&lt;Keywords&gt;Proteinuria&lt;/Keywords&gt;&lt;Keywords&gt;Pyuria&lt;/Keywords&gt;&lt;Keywords&gt;Regression Analysis&lt;/Keywords&gt;&lt;Keywords&gt;Risk&lt;/Keywords&gt;&lt;Keywords&gt;Risk Factors&lt;/Keywords&gt;&lt;Keywords&gt;Severity of Illness Index&lt;/Keywords&gt;&lt;Keywords&gt;Survival Analysis&lt;/Keywords&gt;&lt;Keywords&gt;Survival Rate&lt;/Keywords&gt;&lt;Keywords&gt;Syndrome&lt;/Keywords&gt;&lt;Keywords&gt;Thrombocytopenia&lt;/Keywords&gt;&lt;Keywords&gt;Time&lt;/Keywords&gt;&lt;Keywords&gt;Time Factors&lt;/Keywords&gt;&lt;Reprint&gt;Not in File&lt;/Reprint&gt;&lt;Start_Page&gt;1892&lt;/Start_Page&gt;&lt;End_Page&gt;1895&lt;/End_Page&gt;&lt;Periodical&gt;J.Rheumatol.&lt;/Periodical&gt;&lt;Volume&gt;27&lt;/Volume&gt;&lt;Issue&gt;8&lt;/Issue&gt;&lt;User_Def_1&gt;y&lt;/User_Def_1&gt;&lt;ZZ_JournalStdAbbrev&gt;&lt;f name="System"&gt;J.Rheumatol.&lt;/f&gt;&lt;/ZZ_JournalStdAbbrev&gt;&lt;ZZ_WorkformID&gt;1&lt;/ZZ_WorkformID&gt;&lt;/MDL&gt;&lt;/Cite&gt;&lt;/Refman&gt;</w:instrText>
      </w:r>
      <w:r>
        <w:fldChar w:fldCharType="separate"/>
      </w:r>
      <w:r w:rsidR="004D7951">
        <w:t>(164)</w:t>
      </w:r>
      <w:r>
        <w:fldChar w:fldCharType="end"/>
      </w:r>
      <w:r w:rsidR="002D772C">
        <w:t>. Urowitz et al.</w:t>
      </w:r>
      <w:r w:rsidR="002D772C" w:rsidRPr="0065247C">
        <w:t xml:space="preserve"> </w:t>
      </w:r>
      <w:r>
        <w:fldChar w:fldCharType="begin"/>
      </w:r>
      <w:r w:rsidR="00FC61FD">
        <w:instrText xml:space="preserve"> ADDIN REFMGR.CITE &lt;Refman&gt;&lt;Cite&gt;&lt;Author&gt;Urowitz&lt;/Author&gt;&lt;Year&gt;2008&lt;/Year&gt;&lt;RecNum&gt;145&lt;/RecNum&gt;&lt;IDText&gt;Changing patterns in mortality and disease outcomes for patients with systemic lupus erythematosus&lt;/IDText&gt;&lt;MDL Ref_Type="Journal"&gt;&lt;Ref_Type&gt;Journal&lt;/Ref_Type&gt;&lt;Ref_ID&gt;145&lt;/Ref_ID&gt;&lt;Title_Primary&gt;Changing patterns in mortality and disease outcomes for patients with systemic lupus erythematosus&lt;/Title_Primary&gt;&lt;Authors_Primary&gt;Urowitz,M.B.&lt;/Authors_Primary&gt;&lt;Authors_Primary&gt;Gladman,D.D.&lt;/Authors_Primary&gt;&lt;Authors_Primary&gt;Tom,B.D.&lt;/Authors_Primary&gt;&lt;Authors_Primary&gt;Ibanez,D.&lt;/Authors_Primary&gt;&lt;Authors_Primary&gt;Farewell,V.T.&lt;/Authors_Primary&gt;&lt;Date_Primary&gt;2008/11&lt;/Date_Primary&gt;&lt;Keywords&gt;Adult&lt;/Keywords&gt;&lt;Keywords&gt;African Continental Ancestry Group&lt;/Keywords&gt;&lt;Keywords&gt;Antimalarials&lt;/Keywords&gt;&lt;Keywords&gt;Arteries&lt;/Keywords&gt;&lt;Keywords&gt;Asian Continental Ancestry Group&lt;/Keywords&gt;&lt;Keywords&gt;Canada&lt;/Keywords&gt;&lt;Keywords&gt;Comorbidity&lt;/Keywords&gt;&lt;Keywords&gt;Coronary Artery Disease&lt;/Keywords&gt;&lt;Keywords&gt;Disease&lt;/Keywords&gt;&lt;Keywords&gt;epidemiology&lt;/Keywords&gt;&lt;Keywords&gt;ethnology&lt;/Keywords&gt;&lt;Keywords&gt;European Continental Ancestry Group&lt;/Keywords&gt;&lt;Keywords&gt;Female&lt;/Keywords&gt;&lt;Keywords&gt;Follow-Up Studies&lt;/Keywords&gt;&lt;Keywords&gt;Health&lt;/Keywords&gt;&lt;Keywords&gt;Humans&lt;/Keywords&gt;&lt;Keywords&gt;Lupus Erythematosus,Systemic&lt;/Keywords&gt;&lt;Keywords&gt;Male&lt;/Keywords&gt;&lt;Keywords&gt;methods&lt;/Keywords&gt;&lt;Keywords&gt;Middle Aged&lt;/Keywords&gt;&lt;Keywords&gt;Morbidity&lt;/Keywords&gt;&lt;Keywords&gt;mortality&lt;/Keywords&gt;&lt;Keywords&gt;Ontario&lt;/Keywords&gt;&lt;Keywords&gt;Osteonecrosis&lt;/Keywords&gt;&lt;Keywords&gt;Prevalence&lt;/Keywords&gt;&lt;Keywords&gt;Prognosis&lt;/Keywords&gt;&lt;Keywords&gt;Proportional Hazards Models&lt;/Keywords&gt;&lt;Keywords&gt;Prospective Studies&lt;/Keywords&gt;&lt;Keywords&gt;Rheumatic Diseases&lt;/Keywords&gt;&lt;Keywords&gt;Risk Factors&lt;/Keywords&gt;&lt;Keywords&gt;Severity of Illness Index&lt;/Keywords&gt;&lt;Keywords&gt;Sex Distribution&lt;/Keywords&gt;&lt;Keywords&gt;statistics &amp;amp; numerical data&lt;/Keywords&gt;&lt;Keywords&gt;Survival Analysis&lt;/Keywords&gt;&lt;Keywords&gt;therapy&lt;/Keywords&gt;&lt;Keywords&gt;Time&lt;/Keywords&gt;&lt;Keywords&gt;Treatment Outcome&lt;/Keywords&gt;&lt;Reprint&gt;Not in File&lt;/Reprint&gt;&lt;Start_Page&gt;2152&lt;/Start_Page&gt;&lt;End_Page&gt;2158&lt;/End_Page&gt;&lt;Periodical&gt;J.Rheumatol.&lt;/Periodical&gt;&lt;Volume&gt;35&lt;/Volume&gt;&lt;Issue&gt;11&lt;/Issue&gt;&lt;User_Def_1&gt;y&lt;/User_Def_1&gt;&lt;ZZ_JournalStdAbbrev&gt;&lt;f name="System"&gt;J.Rheumatol.&lt;/f&gt;&lt;/ZZ_JournalStdAbbrev&gt;&lt;ZZ_WorkformID&gt;1&lt;/ZZ_WorkformID&gt;&lt;/MDL&gt;&lt;/Cite&gt;&lt;/Refman&gt;</w:instrText>
      </w:r>
      <w:r>
        <w:fldChar w:fldCharType="separate"/>
      </w:r>
      <w:r w:rsidR="004D7951">
        <w:t>(146)</w:t>
      </w:r>
      <w:r>
        <w:fldChar w:fldCharType="end"/>
      </w:r>
      <w:r w:rsidR="002D772C" w:rsidRPr="006A38FE">
        <w:t xml:space="preserve"> and Ibanez et al. </w:t>
      </w:r>
      <w:r>
        <w:fldChar w:fldCharType="begin"/>
      </w:r>
      <w:r w:rsidR="00FC61FD">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fldChar w:fldCharType="separate"/>
      </w:r>
      <w:r w:rsidR="004D7951">
        <w:t>(142)</w:t>
      </w:r>
      <w:r>
        <w:fldChar w:fldCharType="end"/>
      </w:r>
      <w:r w:rsidR="002D772C" w:rsidRPr="006A38FE">
        <w:t xml:space="preserve"> use a unit increase in the adjusted mean SLEDAI increases risk of mortality by 15%. </w:t>
      </w:r>
      <w:r w:rsidR="002D772C">
        <w:t xml:space="preserve">Finally, Alarcon (2001) reports an odds ratio of 1.09 for a unit increase in the SLAM at enrolment </w:t>
      </w:r>
      <w:r>
        <w:fldChar w:fldCharType="begin"/>
      </w:r>
      <w:r w:rsidR="00FC61FD">
        <w:instrText xml:space="preserve"> ADDIN REFMGR.CITE &lt;Refman&gt;&lt;Cite&gt;&lt;Author&gt;Alarcon&lt;/Author&gt;&lt;Year&gt;2001&lt;/Year&gt;&lt;RecNum&gt;972&lt;/RecNum&gt;&lt;IDText&gt;Systemic lupus erythematosus in three ethnic groups. VII [correction of VIII]. Predictors of early mortality in the LUMINA cohort. LUMINA Study Group&lt;/IDText&gt;&lt;MDL Ref_Type="Journal"&gt;&lt;Ref_Type&gt;Journal&lt;/Ref_Type&gt;&lt;Ref_ID&gt;972&lt;/Ref_ID&gt;&lt;Title_Primary&gt;Systemic lupus erythematosus in three ethnic groups. VII [correction of VIII]. Predictors of early mortality in the LUMINA cohort. LUMINA Study Group&lt;/Title_Primary&gt;&lt;Authors_Primary&gt;Alarcon,G.S.&lt;/Authors_Primary&gt;&lt;Authors_Primary&gt;McGwin,G.,Jr.&lt;/Authors_Primary&gt;&lt;Authors_Primary&gt;Bastian,H.M.&lt;/Authors_Primary&gt;&lt;Authors_Primary&gt;Roseman,J.&lt;/Authors_Primary&gt;&lt;Authors_Primary&gt;Lisse,J.&lt;/Authors_Primary&gt;&lt;Authors_Primary&gt;Fessler,B.J.&lt;/Authors_Primary&gt;&lt;Authors_Primary&gt;Friedman,A.W.&lt;/Authors_Primary&gt;&lt;Authors_Primary&gt;Reveille,J.D.&lt;/Authors_Primary&gt;&lt;Date_Primary&gt;2001/4&lt;/Date_Primary&gt;&lt;Keywords&gt;African Americans&lt;/Keywords&gt;&lt;Keywords&gt;Alabama&lt;/Keywords&gt;&lt;Keywords&gt;analysis&lt;/Keywords&gt;&lt;Keywords&gt;Autoantibodies&lt;/Keywords&gt;&lt;Keywords&gt;Cause of Death&lt;/Keywords&gt;&lt;Keywords&gt;Cohort Studies&lt;/Keywords&gt;&lt;Keywords&gt;Creatinine&lt;/Keywords&gt;&lt;Keywords&gt;diagnosis&lt;/Keywords&gt;&lt;Keywords&gt;Disease&lt;/Keywords&gt;&lt;Keywords&gt;Employment&lt;/Keywords&gt;&lt;Keywords&gt;epidemiology&lt;/Keywords&gt;&lt;Keywords&gt;Ethnic Groups&lt;/Keywords&gt;&lt;Keywords&gt;ethnology&lt;/Keywords&gt;&lt;Keywords&gt;European Continental Ancestry Group&lt;/Keywords&gt;&lt;Keywords&gt;Fatigue&lt;/Keywords&gt;&lt;Keywords&gt;Female&lt;/Keywords&gt;&lt;Keywords&gt;Genotype&lt;/Keywords&gt;&lt;Keywords&gt;Health&lt;/Keywords&gt;&lt;Keywords&gt;Hematocrit&lt;/Keywords&gt;&lt;Keywords&gt;Hispanic Americans&lt;/Keywords&gt;&lt;Keywords&gt;Humans&lt;/Keywords&gt;&lt;Keywords&gt;Infection&lt;/Keywords&gt;&lt;Keywords&gt;Lupus Erythematosus,Systemic&lt;/Keywords&gt;&lt;Keywords&gt;Male&lt;/Keywords&gt;&lt;Keywords&gt;Marital Status&lt;/Keywords&gt;&lt;Keywords&gt;methods&lt;/Keywords&gt;&lt;Keywords&gt;mortality&lt;/Keywords&gt;&lt;Keywords&gt;Multicenter Studies as Topic&lt;/Keywords&gt;&lt;Keywords&gt;Pain&lt;/Keywords&gt;&lt;Keywords&gt;Poverty&lt;/Keywords&gt;&lt;Keywords&gt;Regression Analysis&lt;/Keywords&gt;&lt;Keywords&gt;Rheumatology&lt;/Keywords&gt;&lt;Keywords&gt;Risk&lt;/Keywords&gt;&lt;Keywords&gt;Risk Factors&lt;/Keywords&gt;&lt;Keywords&gt;Serum&lt;/Keywords&gt;&lt;Keywords&gt;Smoking&lt;/Keywords&gt;&lt;Keywords&gt;Social Support&lt;/Keywords&gt;&lt;Keywords&gt;Survival Rate&lt;/Keywords&gt;&lt;Keywords&gt;Survivors&lt;/Keywords&gt;&lt;Keywords&gt;Texas&lt;/Keywords&gt;&lt;Reprint&gt;Not in File&lt;/Reprint&gt;&lt;Start_Page&gt;191&lt;/Start_Page&gt;&lt;End_Page&gt;202&lt;/End_Page&gt;&lt;Periodical&gt;Arthritis Rheum.&lt;/Periodical&gt;&lt;Volume&gt;45&lt;/Volume&gt;&lt;Issue&gt;2&lt;/Issue&gt;&lt;User_Def_1&gt;y&lt;/User_Def_1&gt;&lt;ZZ_JournalStdAbbrev&gt;&lt;f name="System"&gt;Arthritis Rheum.&lt;/f&gt;&lt;/ZZ_JournalStdAbbrev&gt;&lt;ZZ_WorkformID&gt;1&lt;/ZZ_WorkformID&gt;&lt;/MDL&gt;&lt;/Cite&gt;&lt;/Refman&gt;</w:instrText>
      </w:r>
      <w:r>
        <w:fldChar w:fldCharType="separate"/>
      </w:r>
      <w:r w:rsidR="004D7951">
        <w:t>(158)</w:t>
      </w:r>
      <w:r>
        <w:fldChar w:fldCharType="end"/>
      </w:r>
      <w:r w:rsidR="002D772C">
        <w:t>. Therefore, there is strong evidence that disease activity increases the risk of mortality.</w:t>
      </w:r>
    </w:p>
    <w:p w:rsidR="002D772C" w:rsidRDefault="002D772C" w:rsidP="002D772C">
      <w:r>
        <w:t xml:space="preserve">Renal involvement was found to be statistically significant in five studies </w:t>
      </w:r>
      <w:r w:rsidR="00E729BA">
        <w:fldChar w:fldCharType="begin"/>
      </w:r>
      <w:r w:rsidR="00FC61FD">
        <w:instrText xml:space="preserve"> ADDIN REFMGR.CITE &lt;Refman&gt;&lt;Cite&gt;&lt;Author&gt;Ward&lt;/Author&gt;&lt;Year&gt;1996&lt;/Year&gt;&lt;RecNum&gt;1360&lt;/RecNum&gt;&lt;IDText&gt;Mortality risks associated with specific clinical manifestations of systemic lupus erythematosus&lt;/IDText&gt;&lt;MDL Ref_Type="Journal"&gt;&lt;Ref_Type&gt;Journal&lt;/Ref_Type&gt;&lt;Ref_ID&gt;1360&lt;/Ref_ID&gt;&lt;Title_Primary&gt;Mortality risks associated with specific clinical manifestations of systemic lupus erythematosus&lt;/Title_Primary&gt;&lt;Authors_Primary&gt;Ward,M.M.&lt;/Authors_Primary&gt;&lt;Authors_Primary&gt;Pyun,E.&lt;/Authors_Primary&gt;&lt;Authors_Primary&gt;Studenski,S.&lt;/Authors_Primary&gt;&lt;Date_Primary&gt;1996/6/24&lt;/Date_Primary&gt;&lt;Keywords&gt;Adult&lt;/Keywords&gt;&lt;Keywords&gt;analysis&lt;/Keywords&gt;&lt;Keywords&gt;Anemia&lt;/Keywords&gt;&lt;Keywords&gt;Anemia,Hemolytic&lt;/Keywords&gt;&lt;Keywords&gt;Arthritis&lt;/Keywords&gt;&lt;Keywords&gt;Cause of Death&lt;/Keywords&gt;&lt;Keywords&gt;complications&lt;/Keywords&gt;&lt;Keywords&gt;Disease&lt;/Keywords&gt;&lt;Keywords&gt;etiology&lt;/Keywords&gt;&lt;Keywords&gt;Female&lt;/Keywords&gt;&lt;Keywords&gt;Humans&lt;/Keywords&gt;&lt;Keywords&gt;Leukopenia&lt;/Keywords&gt;&lt;Keywords&gt;Life&lt;/Keywords&gt;&lt;Keywords&gt;Life Tables&lt;/Keywords&gt;&lt;Keywords&gt;Lupus Erythematosus,Systemic&lt;/Keywords&gt;&lt;Keywords&gt;Male&lt;/Keywords&gt;&lt;Keywords&gt;methods&lt;/Keywords&gt;&lt;Keywords&gt;Middle Aged&lt;/Keywords&gt;&lt;Keywords&gt;mortality&lt;/Keywords&gt;&lt;Keywords&gt;Multivariate Analysis&lt;/Keywords&gt;&lt;Keywords&gt;Nephritis&lt;/Keywords&gt;&lt;Keywords&gt;Proportional Hazards Models&lt;/Keywords&gt;&lt;Keywords&gt;Psychotic Disorders&lt;/Keywords&gt;&lt;Keywords&gt;Risk&lt;/Keywords&gt;&lt;Keywords&gt;Seizures&lt;/Keywords&gt;&lt;Keywords&gt;Serositis&lt;/Keywords&gt;&lt;Keywords&gt;Thrombocytopenia&lt;/Keywords&gt;&lt;Keywords&gt;Veterans&lt;/Keywords&gt;&lt;Reprint&gt;Not in File&lt;/Reprint&gt;&lt;Start_Page&gt;1337&lt;/Start_Page&gt;&lt;End_Page&gt;1344&lt;/End_Page&gt;&lt;Periodical&gt;Arch.Intern.Med.&lt;/Periodical&gt;&lt;Volume&gt;156&lt;/Volume&gt;&lt;Issue&gt;12&lt;/Issue&gt;&lt;User_Def_1&gt;y&lt;/User_Def_1&gt;&lt;ZZ_JournalStdAbbrev&gt;&lt;f name="System"&gt;Arch.Intern.Med.&lt;/f&gt;&lt;/ZZ_JournalStdAbbrev&gt;&lt;ZZ_WorkformID&gt;1&lt;/ZZ_WorkformID&gt;&lt;/MDL&gt;&lt;/Cite&gt;&lt;Cite&gt;&lt;Author&gt;Ruiz-Irastorza&lt;/Author&gt;&lt;Year&gt;2004&lt;/Year&gt;&lt;RecNum&gt;711&lt;/RecNum&gt;&lt;IDText&gt;High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name="System"&gt;Arch.Intern.Med.&lt;/f&gt;&lt;/ZZ_JournalStdAbbrev&gt;&lt;ZZ_WorkformID&gt;1&lt;/ZZ_WorkformID&gt;&lt;/MDL&gt;&lt;/Cite&gt;&lt;Cite&gt;&lt;Author&gt;Manger&lt;/Author&gt;&lt;Year&gt;2002&lt;/Year&gt;&lt;RecNum&gt;843&lt;/RecNum&gt;&lt;IDText&gt;Definition of risk factors for death, end stage renal disease, and thromboembolic events in a monocentric cohort of 338 patients with systemic lupus erythematosus&lt;/IDText&gt;&lt;MDL Ref_Type="Journal"&gt;&lt;Ref_Type&gt;Journal&lt;/Ref_Type&gt;&lt;Ref_ID&gt;843&lt;/Ref_ID&gt;&lt;Title_Primary&gt;Definition of risk factors for death, end stage renal disease, and thromboembolic events in a monocentric cohort of 338 patients with systemic lupus erythematosus&lt;/Title_Primary&gt;&lt;Authors_Primary&gt;Manger,K.&lt;/Authors_Primary&gt;&lt;Authors_Primary&gt;Manger,B.&lt;/Authors_Primary&gt;&lt;Authors_Primary&gt;Repp,R.&lt;/Authors_Primary&gt;&lt;Authors_Primary&gt;Geisselbrecht,M.&lt;/Authors_Primary&gt;&lt;Authors_Primary&gt;Geiger,A.&lt;/Authors_Primary&gt;&lt;Authors_Primary&gt;Pfahlberg,A.&lt;/Authors_Primary&gt;&lt;Authors_Primary&gt;Harrer,T.&lt;/Authors_Primary&gt;&lt;Authors_Primary&gt;Kalden,J.R.&lt;/Authors_Primary&gt;&lt;Date_Primary&gt;2002/12&lt;/Date_Primary&gt;&lt;Keywords&gt;Adult&lt;/Keywords&gt;&lt;Keywords&gt;Age Factors&lt;/Keywords&gt;&lt;Keywords&gt;analysis&lt;/Keywords&gt;&lt;Keywords&gt;Antibodies&lt;/Keywords&gt;&lt;Keywords&gt;Biometry&lt;/Keywords&gt;&lt;Keywords&gt;Cardiovascular Diseases&lt;/Keywords&gt;&lt;Keywords&gt;Central Nervous System&lt;/Keywords&gt;&lt;Keywords&gt;Central Nervous System Diseases&lt;/Keywords&gt;&lt;Keywords&gt;Cohort Studies&lt;/Keywords&gt;&lt;Keywords&gt;complications&lt;/Keywords&gt;&lt;Keywords&gt;Creatinine&lt;/Keywords&gt;&lt;Keywords&gt;Cryoglobulins&lt;/Keywords&gt;&lt;Keywords&gt;Disease&lt;/Keywords&gt;&lt;Keywords&gt;epidemiology&lt;/Keywords&gt;&lt;Keywords&gt;Female&lt;/Keywords&gt;&lt;Keywords&gt;Germany&lt;/Keywords&gt;&lt;Keywords&gt;Heart&lt;/Keywords&gt;&lt;Keywords&gt;Heart Diseases&lt;/Keywords&gt;&lt;Keywords&gt;Humans&lt;/Keywords&gt;&lt;Keywords&gt;Hypertension&lt;/Keywords&gt;&lt;Keywords&gt;immunology&lt;/Keywords&gt;&lt;Keywords&gt;Infection&lt;/Keywords&gt;&lt;Keywords&gt;Kidney Failure,Chronic&lt;/Keywords&gt;&lt;Keywords&gt;Lupus Erythematosus,Systemic&lt;/Keywords&gt;&lt;Keywords&gt;Male&lt;/Keywords&gt;&lt;Keywords&gt;metabolism&lt;/Keywords&gt;&lt;Keywords&gt;methods&lt;/Keywords&gt;&lt;Keywords&gt;mortality&lt;/Keywords&gt;&lt;Keywords&gt;Multivariate Analysis&lt;/Keywords&gt;&lt;Keywords&gt;Nephritis&lt;/Keywords&gt;&lt;Keywords&gt;Phenotype&lt;/Keywords&gt;&lt;Keywords&gt;Prevalence&lt;/Keywords&gt;&lt;Keywords&gt;Rheumatology&lt;/Keywords&gt;&lt;Keywords&gt;Risk&lt;/Keywords&gt;&lt;Keywords&gt;Risk Factors&lt;/Keywords&gt;&lt;Keywords&gt;Sex Factors&lt;/Keywords&gt;&lt;Keywords&gt;Survival Rate&lt;/Keywords&gt;&lt;Keywords&gt;Thromboembolism&lt;/Keywords&gt;&lt;Keywords&gt;Time&lt;/Keywords&gt;&lt;Reprint&gt;Not in File&lt;/Reprint&gt;&lt;Start_Page&gt;1065&lt;/Start_Page&gt;&lt;End_Page&gt;1070&lt;/End_Page&gt;&lt;Periodical&gt;Ann.Rheum.Dis.&lt;/Periodical&gt;&lt;Volume&gt;61&lt;/Volume&gt;&lt;Issue&gt;12&lt;/Issue&gt;&lt;User_Def_1&gt;y&lt;/User_Def_1&gt;&lt;ZZ_JournalStdAbbrev&gt;&lt;f name="System"&gt;Ann.Rheum.Dis.&lt;/f&gt;&lt;/ZZ_JournalStdAbbrev&gt;&lt;ZZ_WorkformID&gt;1&lt;/ZZ_WorkformID&gt;&lt;/MDL&gt;&lt;/Cite&gt;&lt;Cite&gt;&lt;Author&gt;Cardoso&lt;/Author&gt;&lt;Year&gt;2008&lt;/Year&gt;&lt;RecNum&gt;147&lt;/RecNum&gt;&lt;IDText&gt;Initial and accrued damage as predictors of mortality in Brazilian patients with systemic lupus erythematosus: a cohort study&lt;/IDText&gt;&lt;MDL Ref_Type="Journal"&gt;&lt;Ref_Type&gt;Journal&lt;/Ref_Type&gt;&lt;Ref_ID&gt;147&lt;/Ref_ID&gt;&lt;Title_Primary&gt;Initial and accrued damage as predictors of mortality in Brazilian patients with systemic lupus erythematosus: a cohort study&lt;/Title_Primary&gt;&lt;Authors_Primary&gt;Cardoso,C.R.&lt;/Authors_Primary&gt;&lt;Authors_Primary&gt;Signorelli,F.V.&lt;/Authors_Primary&gt;&lt;Authors_Primary&gt;Papi,J.A.&lt;/Authors_Primary&gt;&lt;Authors_Primary&gt;Salles,G.F.&lt;/Authors_Primary&gt;&lt;Date_Primary&gt;2008/11&lt;/Date_Primary&gt;&lt;Keywords&gt;Adult&lt;/Keywords&gt;&lt;Keywords&gt;analysis&lt;/Keywords&gt;&lt;Keywords&gt;Brazil&lt;/Keywords&gt;&lt;Keywords&gt;Cohort Studies&lt;/Keywords&gt;&lt;Keywords&gt;Disease&lt;/Keywords&gt;&lt;Keywords&gt;epidemiology&lt;/Keywords&gt;&lt;Keywords&gt;Female&lt;/Keywords&gt;&lt;Keywords&gt;Follow-Up Studies&lt;/Keywords&gt;&lt;Keywords&gt;Humans&lt;/Keywords&gt;&lt;Keywords&gt;Infection&lt;/Keywords&gt;&lt;Keywords&gt;Lupus Erythematosus,Systemic&lt;/Keywords&gt;&lt;Keywords&gt;Male&lt;/Keywords&gt;&lt;Keywords&gt;mortality&lt;/Keywords&gt;&lt;Keywords&gt;Outpatients&lt;/Keywords&gt;&lt;Keywords&gt;Prognosis&lt;/Keywords&gt;&lt;Keywords&gt;Prospective Studies&lt;/Keywords&gt;&lt;Keywords&gt;Risk&lt;/Keywords&gt;&lt;Keywords&gt;Severity of Illness Index&lt;/Keywords&gt;&lt;Keywords&gt;Survival Analysis&lt;/Keywords&gt;&lt;Keywords&gt;Survivors&lt;/Keywords&gt;&lt;Reprint&gt;Not in File&lt;/Reprint&gt;&lt;Start_Page&gt;1042&lt;/Start_Page&gt;&lt;End_Page&gt;1048&lt;/End_Page&gt;&lt;Periodical&gt;Lupus.&lt;/Periodical&gt;&lt;Volume&gt;17&lt;/Volume&gt;&lt;Issue&gt;11&lt;/Issue&gt;&lt;User_Def_1&gt;y&lt;/User_Def_1&gt;&lt;ZZ_JournalStdAbbrev&gt;&lt;f name="System"&gt;Lupus.&lt;/f&gt;&lt;/ZZ_JournalStdAbbrev&gt;&lt;ZZ_WorkformID&gt;1&lt;/ZZ_WorkformID&gt;&lt;/MDL&gt;&lt;/Cite&gt;&lt;Cite&gt;&lt;Author&gt;Campbell&lt;/Author&gt;&lt;Year&gt;2008&lt;/Year&gt;&lt;RecNum&gt;200&lt;/RecNum&gt;&lt;IDText&gt;Two aspects of the clinical and humanistic burden of systemic lupus erythematosus: mortality risk and quality of life early in the course of disease&lt;/IDText&gt;&lt;MDL Ref_Type="Journal"&gt;&lt;Ref_Type&gt;Journal&lt;/Ref_Type&gt;&lt;Ref_ID&gt;200&lt;/Ref_ID&gt;&lt;Title_Primary&gt;Two aspects of the clinical and humanistic burden of systemic lupus erythematosus: mortality risk and quality of life early in the course of disease&lt;/Title_Primary&gt;&lt;Authors_Primary&gt;Campbell,R.,Jr.&lt;/Authors_Primary&gt;&lt;Authors_Primary&gt;Cooper,G.S.&lt;/Authors_Primary&gt;&lt;Authors_Primary&gt;Gilkeson,G.S.&lt;/Authors_Primary&gt;&lt;Date_Primary&gt;2008/4/15&lt;/Date_Primary&gt;&lt;Keywords&gt;Adolescent&lt;/Keywords&gt;&lt;Keywords&gt;Adult&lt;/Keywords&gt;&lt;Keywords&gt;African Americans&lt;/Keywords&gt;&lt;Keywords&gt;Aged&lt;/Keywords&gt;&lt;Keywords&gt;Antibodies&lt;/Keywords&gt;&lt;Keywords&gt;blood&lt;/Keywords&gt;&lt;Keywords&gt;Case-Control Studies&lt;/Keywords&gt;&lt;Keywords&gt;Cost of Illness&lt;/Keywords&gt;&lt;Keywords&gt;diagnosis&lt;/Keywords&gt;&lt;Keywords&gt;Disease&lt;/Keywords&gt;&lt;Keywords&gt;Dna&lt;/Keywords&gt;&lt;Keywords&gt;Female&lt;/Keywords&gt;&lt;Keywords&gt;Humans&lt;/Keywords&gt;&lt;Keywords&gt;Life&lt;/Keywords&gt;&lt;Keywords&gt;Lupus Erythematosus,Systemic&lt;/Keywords&gt;&lt;Keywords&gt;Lupus Nephritis&lt;/Keywords&gt;&lt;Keywords&gt;Male&lt;/Keywords&gt;&lt;Keywords&gt;methods&lt;/Keywords&gt;&lt;Keywords&gt;Middle Aged&lt;/Keywords&gt;&lt;Keywords&gt;mortality&lt;/Keywords&gt;&lt;Keywords&gt;Nephritis&lt;/Keywords&gt;&lt;Keywords&gt;Quality of Life&lt;/Keywords&gt;&lt;Keywords&gt;Risk&lt;/Keywords&gt;&lt;Keywords&gt;South Carolina&lt;/Keywords&gt;&lt;Keywords&gt;Survival Analysis&lt;/Keywords&gt;&lt;Keywords&gt;Time&lt;/Keywords&gt;&lt;Keywords&gt;Time Factors&lt;/Keywords&gt;&lt;Reprint&gt;Not in File&lt;/Reprint&gt;&lt;Start_Page&gt;458&lt;/Start_Page&gt;&lt;End_Page&gt;464&lt;/End_Page&gt;&lt;Periodical&gt;Arthritis Rheum.&lt;/Periodical&gt;&lt;Volume&gt;59&lt;/Volume&gt;&lt;Issue&gt;4&lt;/Issue&gt;&lt;User_Def_1&gt;y&lt;/User_Def_1&gt;&lt;ZZ_JournalStdAbbrev&gt;&lt;f name="System"&gt;Arthritis Rheum.&lt;/f&gt;&lt;/ZZ_JournalStdAbbrev&gt;&lt;ZZ_WorkformID&gt;1&lt;/ZZ_WorkformID&gt;&lt;/MDL&gt;&lt;/Cite&gt;&lt;/Refman&gt;</w:instrText>
      </w:r>
      <w:r w:rsidR="00E729BA">
        <w:fldChar w:fldCharType="separate"/>
      </w:r>
      <w:r w:rsidR="004D7951">
        <w:t>(145;151;154;165;166)</w:t>
      </w:r>
      <w:r w:rsidR="00E729BA">
        <w:fldChar w:fldCharType="end"/>
      </w:r>
      <w:r>
        <w:t xml:space="preserve">. However, Kasitanon and Abu-Shakra found that renal disease was not a significant predictor of mortality </w:t>
      </w:r>
      <w:r w:rsidR="00E729BA">
        <w:fldChar w:fldCharType="begin"/>
      </w:r>
      <w:r w:rsidR="00FC61FD">
        <w:instrText xml:space="preserve"> ADDIN REFMGR.CITE &lt;Refman&gt;&lt;Cite&gt;&lt;Author&gt;Kasitanon&lt;/Author&gt;&lt;Year&gt;2006&lt;/Year&gt;&lt;RecNum&gt;451&lt;/RecNum&gt;&lt;IDText&gt;Predictors of survival in systemic lupus erythematosus&lt;/IDText&gt;&lt;MDL Ref_Type="Journal"&gt;&lt;Ref_Type&gt;Journal&lt;/Ref_Type&gt;&lt;Ref_ID&gt;451&lt;/Ref_ID&gt;&lt;Title_Primary&gt;Predictors of survival in systemic lupus erythematosus&lt;/Title_Primary&gt;&lt;Authors_Primary&gt;Kasitanon,N.&lt;/Authors_Primary&gt;&lt;Authors_Primary&gt;Magder,L.S.&lt;/Authors_Primary&gt;&lt;Authors_Primary&gt;Petri,M.&lt;/Authors_Primary&gt;&lt;Date_Primary&gt;2006/5&lt;/Date_Primary&gt;&lt;Keywords&gt;Adolescent&lt;/Keywords&gt;&lt;Keywords&gt;Adult&lt;/Keywords&gt;&lt;Keywords&gt;Age Factors&lt;/Keywords&gt;&lt;Keywords&gt;Aged&lt;/Keywords&gt;&lt;Keywords&gt;Anemia&lt;/Keywords&gt;&lt;Keywords&gt;Baltimore&lt;/Keywords&gt;&lt;Keywords&gt;Child&lt;/Keywords&gt;&lt;Keywords&gt;Child,Preschool&lt;/Keywords&gt;&lt;Keywords&gt;Demography&lt;/Keywords&gt;&lt;Keywords&gt;diagnosis&lt;/Keywords&gt;&lt;Keywords&gt;Disease&lt;/Keywords&gt;&lt;Keywords&gt;epidemiology&lt;/Keywords&gt;&lt;Keywords&gt;Female&lt;/Keywords&gt;&lt;Keywords&gt;Humans&lt;/Keywords&gt;&lt;Keywords&gt;Income&lt;/Keywords&gt;&lt;Keywords&gt;Lupus Erythematosus,Systemic&lt;/Keywords&gt;&lt;Keywords&gt;Male&lt;/Keywords&gt;&lt;Keywords&gt;Maryland&lt;/Keywords&gt;&lt;Keywords&gt;Middle Aged&lt;/Keywords&gt;&lt;Keywords&gt;mortality&lt;/Keywords&gt;&lt;Keywords&gt;physiopathology&lt;/Keywords&gt;&lt;Keywords&gt;Probability&lt;/Keywords&gt;&lt;Keywords&gt;Prognosis&lt;/Keywords&gt;&lt;Keywords&gt;Proportional Hazards Models&lt;/Keywords&gt;&lt;Keywords&gt;Prospective Studies&lt;/Keywords&gt;&lt;Keywords&gt;Risk&lt;/Keywords&gt;&lt;Keywords&gt;Risk Assessment&lt;/Keywords&gt;&lt;Keywords&gt;Serologic Tests&lt;/Keywords&gt;&lt;Keywords&gt;Sex Factors&lt;/Keywords&gt;&lt;Keywords&gt;Socioeconomic Factors&lt;/Keywords&gt;&lt;Keywords&gt;Survival Analysis&lt;/Keywords&gt;&lt;Keywords&gt;Time&lt;/Keywords&gt;&lt;Keywords&gt;Time Factors&lt;/Keywords&gt;&lt;Keywords&gt;United States&lt;/Keywords&gt;&lt;Reprint&gt;Not in File&lt;/Reprint&gt;&lt;Start_Page&gt;147&lt;/Start_Page&gt;&lt;End_Page&gt;156&lt;/End_Page&gt;&lt;Periodical&gt;Medicine (Baltimore).&lt;/Periodical&gt;&lt;Volume&gt;85&lt;/Volume&gt;&lt;Issue&gt;3&lt;/Issue&gt;&lt;User_Def_1&gt;y&lt;/User_Def_1&gt;&lt;ZZ_JournalStdAbbrev&gt;&lt;f name="System"&gt;Medicine (Baltimore).&lt;/f&gt;&lt;/ZZ_JournalStdAbbrev&gt;&lt;ZZ_WorkformID&gt;1&lt;/ZZ_WorkformID&gt;&lt;/MDL&gt;&lt;/Cite&gt;&lt;Cite&gt;&lt;Author&gt;Abu-Shakra&lt;/Author&gt;&lt;Year&gt;1995&lt;/Year&gt;&lt;RecNum&gt;1405&lt;/RecNum&gt;&lt;IDText&gt;Mortality studies in systemic lupus erythematosus. Results from a single center. II. Predictor variables for mortality&lt;/IDText&gt;&lt;MDL Ref_Type="Journal"&gt;&lt;Ref_Type&gt;Journal&lt;/Ref_Type&gt;&lt;Ref_ID&gt;1405&lt;/Ref_ID&gt;&lt;Title_Primary&gt;Mortality studies in systemic lupus erythematosus. Results from a single center. II. Predictor variables for mortality&lt;/Title_Primary&gt;&lt;Authors_Primary&gt;Abu-Shakra,M.&lt;/Authors_Primary&gt;&lt;Authors_Primary&gt;Urowitz,M.B.&lt;/Authors_Primary&gt;&lt;Authors_Primary&gt;Gladman,D.D.&lt;/Authors_Primary&gt;&lt;Authors_Primary&gt;Gough,J.&lt;/Authors_Primary&gt;&lt;Date_Primary&gt;1995/7&lt;/Date_Primary&gt;&lt;Keywords&gt;Adolescent&lt;/Keywords&gt;&lt;Keywords&gt;Adult&lt;/Keywords&gt;&lt;Keywords&gt;Aged&lt;/Keywords&gt;&lt;Keywords&gt;Aged,80 and over&lt;/Keywords&gt;&lt;Keywords&gt;analysis&lt;/Keywords&gt;&lt;Keywords&gt;Cause of Death&lt;/Keywords&gt;&lt;Keywords&gt;Child&lt;/Keywords&gt;&lt;Keywords&gt;diagnosis&lt;/Keywords&gt;&lt;Keywords&gt;Disease&lt;/Keywords&gt;&lt;Keywords&gt;Female&lt;/Keywords&gt;&lt;Keywords&gt;Heart&lt;/Keywords&gt;&lt;Keywords&gt;Humans&lt;/Keywords&gt;&lt;Keywords&gt;Hypertension&lt;/Keywords&gt;&lt;Keywords&gt;Life Tables&lt;/Keywords&gt;&lt;Keywords&gt;Lung&lt;/Keywords&gt;&lt;Keywords&gt;Lupus Erythematosus,Systemic&lt;/Keywords&gt;&lt;Keywords&gt;Male&lt;/Keywords&gt;&lt;Keywords&gt;methods&lt;/Keywords&gt;&lt;Keywords&gt;Middle Aged&lt;/Keywords&gt;&lt;Keywords&gt;mortality&lt;/Keywords&gt;&lt;Keywords&gt;Multivariate Analysis&lt;/Keywords&gt;&lt;Keywords&gt;Ontario&lt;/Keywords&gt;&lt;Keywords&gt;Prognosis&lt;/Keywords&gt;&lt;Keywords&gt;Proportional Hazards Models&lt;/Keywords&gt;&lt;Keywords&gt;Prospective Studies&lt;/Keywords&gt;&lt;Keywords&gt;Risk&lt;/Keywords&gt;&lt;Keywords&gt;Risk Factors&lt;/Keywords&gt;&lt;Keywords&gt;Survival Rate&lt;/Keywords&gt;&lt;Keywords&gt;Thrombocytopenia&lt;/Keywords&gt;&lt;Reprint&gt;Not in File&lt;/Reprint&gt;&lt;Start_Page&gt;1265&lt;/Start_Page&gt;&lt;End_Page&gt;1270&lt;/End_Page&gt;&lt;Periodical&gt;J.Rheumatol.&lt;/Periodical&gt;&lt;Volume&gt;22&lt;/Volume&gt;&lt;Issue&gt;7&lt;/Issue&gt;&lt;User_Def_1&gt;y&lt;/User_Def_1&gt;&lt;ZZ_JournalStdAbbrev&gt;&lt;f name="System"&gt;J.Rheumatol.&lt;/f&gt;&lt;/ZZ_JournalStdAbbrev&gt;&lt;ZZ_WorkformID&gt;1&lt;/ZZ_WorkformID&gt;&lt;/MDL&gt;&lt;/Cite&gt;&lt;/Refman&gt;</w:instrText>
      </w:r>
      <w:r w:rsidR="00E729BA">
        <w:fldChar w:fldCharType="separate"/>
      </w:r>
      <w:r w:rsidR="004D7951">
        <w:t>(147;153)</w:t>
      </w:r>
      <w:r w:rsidR="00E729BA">
        <w:fldChar w:fldCharType="end"/>
      </w:r>
      <w:r>
        <w:t xml:space="preserve">. Pulmonary manifestations were statistically significant in Cardoso et al. </w:t>
      </w:r>
      <w:r w:rsidR="00E729BA">
        <w:fldChar w:fldCharType="begin"/>
      </w:r>
      <w:r w:rsidR="00FC61FD">
        <w:instrText xml:space="preserve"> ADDIN REFMGR.CITE &lt;Refman&gt;&lt;Cite&gt;&lt;Author&gt;Cardoso&lt;/Author&gt;&lt;Year&gt;2008&lt;/Year&gt;&lt;RecNum&gt;147&lt;/RecNum&gt;&lt;IDText&gt;Initial and accrued damage as predictors of mortality in Brazilian patients with systemic lupus erythematosus: a cohort study&lt;/IDText&gt;&lt;MDL Ref_Type="Journal"&gt;&lt;Ref_Type&gt;Journal&lt;/Ref_Type&gt;&lt;Ref_ID&gt;147&lt;/Ref_ID&gt;&lt;Title_Primary&gt;Initial and accrued damage as predictors of mortality in Brazilian patients with systemic lupus erythematosus: a cohort study&lt;/Title_Primary&gt;&lt;Authors_Primary&gt;Cardoso,C.R.&lt;/Authors_Primary&gt;&lt;Authors_Primary&gt;Signorelli,F.V.&lt;/Authors_Primary&gt;&lt;Authors_Primary&gt;Papi,J.A.&lt;/Authors_Primary&gt;&lt;Authors_Primary&gt;Salles,G.F.&lt;/Authors_Primary&gt;&lt;Date_Primary&gt;2008/11&lt;/Date_Primary&gt;&lt;Keywords&gt;Adult&lt;/Keywords&gt;&lt;Keywords&gt;analysis&lt;/Keywords&gt;&lt;Keywords&gt;Brazil&lt;/Keywords&gt;&lt;Keywords&gt;Cohort Studies&lt;/Keywords&gt;&lt;Keywords&gt;Disease&lt;/Keywords&gt;&lt;Keywords&gt;epidemiology&lt;/Keywords&gt;&lt;Keywords&gt;Female&lt;/Keywords&gt;&lt;Keywords&gt;Follow-Up Studies&lt;/Keywords&gt;&lt;Keywords&gt;Humans&lt;/Keywords&gt;&lt;Keywords&gt;Infection&lt;/Keywords&gt;&lt;Keywords&gt;Lupus Erythematosus,Systemic&lt;/Keywords&gt;&lt;Keywords&gt;Male&lt;/Keywords&gt;&lt;Keywords&gt;mortality&lt;/Keywords&gt;&lt;Keywords&gt;Outpatients&lt;/Keywords&gt;&lt;Keywords&gt;Prognosis&lt;/Keywords&gt;&lt;Keywords&gt;Prospective Studies&lt;/Keywords&gt;&lt;Keywords&gt;Risk&lt;/Keywords&gt;&lt;Keywords&gt;Severity of Illness Index&lt;/Keywords&gt;&lt;Keywords&gt;Survival Analysis&lt;/Keywords&gt;&lt;Keywords&gt;Survivors&lt;/Keywords&gt;&lt;Reprint&gt;Not in File&lt;/Reprint&gt;&lt;Start_Page&gt;1042&lt;/Start_Page&gt;&lt;End_Page&gt;1048&lt;/End_Page&gt;&lt;Periodical&gt;Lupus.&lt;/Periodical&gt;&lt;Volume&gt;17&lt;/Volume&gt;&lt;Issue&gt;11&lt;/Issue&gt;&lt;User_Def_1&gt;y&lt;/User_Def_1&gt;&lt;ZZ_JournalStdAbbrev&gt;&lt;f name="System"&gt;Lupus.&lt;/f&gt;&lt;/ZZ_JournalStdAbbrev&gt;&lt;ZZ_WorkformID&gt;1&lt;/ZZ_WorkformID&gt;&lt;/MDL&gt;&lt;/Cite&gt;&lt;/Refman&gt;</w:instrText>
      </w:r>
      <w:r w:rsidR="00E729BA">
        <w:fldChar w:fldCharType="separate"/>
      </w:r>
      <w:r w:rsidR="004D7951">
        <w:t>(166)</w:t>
      </w:r>
      <w:r w:rsidR="00E729BA">
        <w:fldChar w:fldCharType="end"/>
      </w:r>
      <w:r>
        <w:t xml:space="preserve"> but with wide confidence intervals. </w:t>
      </w:r>
    </w:p>
    <w:p w:rsidR="002D772C" w:rsidRDefault="002D772C" w:rsidP="005E3AF0">
      <w:r>
        <w:t>Organ damage, measured by the SLICC/ACR</w:t>
      </w:r>
      <w:r w:rsidR="00E94D16">
        <w:t xml:space="preserve"> Damage</w:t>
      </w:r>
      <w:r>
        <w:t xml:space="preserve"> index has been found to be a statistically significant predictor of mortality. Five of the studies estimated similar risk ratios from different cohorts of patient </w:t>
      </w:r>
      <w:r w:rsidR="00E729BA">
        <w:fldChar w:fldCharType="begin"/>
      </w:r>
      <w:r w:rsidR="00FC61FD">
        <w:instrText xml:space="preserve"> ADDIN REFMGR.CITE &lt;Refman&gt;&lt;Cite&gt;&lt;Author&gt;Urowitz&lt;/Author&gt;&lt;Year&gt;2008&lt;/Year&gt;&lt;RecNum&gt;145&lt;/RecNum&gt;&lt;IDText&gt;Changing patterns in mortality and disease outcomes for patients with systemic lupus erythematosus&lt;/IDText&gt;&lt;MDL Ref_Type="Journal"&gt;&lt;Ref_Type&gt;Journal&lt;/Ref_Type&gt;&lt;Ref_ID&gt;145&lt;/Ref_ID&gt;&lt;Title_Primary&gt;Changing patterns in mortality and disease outcomes for patients with systemic lupus erythematosus&lt;/Title_Primary&gt;&lt;Authors_Primary&gt;Urowitz,M.B.&lt;/Authors_Primary&gt;&lt;Authors_Primary&gt;Gladman,D.D.&lt;/Authors_Primary&gt;&lt;Authors_Primary&gt;Tom,B.D.&lt;/Authors_Primary&gt;&lt;Authors_Primary&gt;Ibanez,D.&lt;/Authors_Primary&gt;&lt;Authors_Primary&gt;Farewell,V.T.&lt;/Authors_Primary&gt;&lt;Date_Primary&gt;2008/11&lt;/Date_Primary&gt;&lt;Keywords&gt;Adult&lt;/Keywords&gt;&lt;Keywords&gt;African Continental Ancestry Group&lt;/Keywords&gt;&lt;Keywords&gt;Antimalarials&lt;/Keywords&gt;&lt;Keywords&gt;Arteries&lt;/Keywords&gt;&lt;Keywords&gt;Asian Continental Ancestry Group&lt;/Keywords&gt;&lt;Keywords&gt;Canada&lt;/Keywords&gt;&lt;Keywords&gt;Comorbidity&lt;/Keywords&gt;&lt;Keywords&gt;Coronary Artery Disease&lt;/Keywords&gt;&lt;Keywords&gt;Disease&lt;/Keywords&gt;&lt;Keywords&gt;epidemiology&lt;/Keywords&gt;&lt;Keywords&gt;ethnology&lt;/Keywords&gt;&lt;Keywords&gt;European Continental Ancestry Group&lt;/Keywords&gt;&lt;Keywords&gt;Female&lt;/Keywords&gt;&lt;Keywords&gt;Follow-Up Studies&lt;/Keywords&gt;&lt;Keywords&gt;Health&lt;/Keywords&gt;&lt;Keywords&gt;Humans&lt;/Keywords&gt;&lt;Keywords&gt;Lupus Erythematosus,Systemic&lt;/Keywords&gt;&lt;Keywords&gt;Male&lt;/Keywords&gt;&lt;Keywords&gt;methods&lt;/Keywords&gt;&lt;Keywords&gt;Middle Aged&lt;/Keywords&gt;&lt;Keywords&gt;Morbidity&lt;/Keywords&gt;&lt;Keywords&gt;mortality&lt;/Keywords&gt;&lt;Keywords&gt;Ontario&lt;/Keywords&gt;&lt;Keywords&gt;Osteonecrosis&lt;/Keywords&gt;&lt;Keywords&gt;Prevalence&lt;/Keywords&gt;&lt;Keywords&gt;Prognosis&lt;/Keywords&gt;&lt;Keywords&gt;Proportional Hazards Models&lt;/Keywords&gt;&lt;Keywords&gt;Prospective Studies&lt;/Keywords&gt;&lt;Keywords&gt;Rheumatic Diseases&lt;/Keywords&gt;&lt;Keywords&gt;Risk Factors&lt;/Keywords&gt;&lt;Keywords&gt;Severity of Illness Index&lt;/Keywords&gt;&lt;Keywords&gt;Sex Distribution&lt;/Keywords&gt;&lt;Keywords&gt;statistics &amp;amp; numerical data&lt;/Keywords&gt;&lt;Keywords&gt;Survival Analysis&lt;/Keywords&gt;&lt;Keywords&gt;therapy&lt;/Keywords&gt;&lt;Keywords&gt;Time&lt;/Keywords&gt;&lt;Keywords&gt;Treatment Outcome&lt;/Keywords&gt;&lt;Reprint&gt;Not in File&lt;/Reprint&gt;&lt;Start_Page&gt;2152&lt;/Start_Page&gt;&lt;End_Page&gt;2158&lt;/End_Page&gt;&lt;Periodical&gt;J.Rheumatol.&lt;/Periodical&gt;&lt;Volume&gt;35&lt;/Volume&gt;&lt;Issue&gt;11&lt;/Issue&gt;&lt;User_Def_1&gt;y&lt;/User_Def_1&gt;&lt;ZZ_JournalStdAbbrev&gt;&lt;f name="System"&gt;J.Rheumatol.&lt;/f&gt;&lt;/ZZ_JournalStdAbbrev&gt;&lt;ZZ_WorkformID&gt;1&lt;/ZZ_WorkformID&gt;&lt;/MDL&gt;&lt;/Cite&gt;&lt;Cite&gt;&lt;Author&gt;Fernandez&lt;/Author&gt;&lt;Year&gt;2007&lt;/Year&gt;&lt;RecNum&gt;24&lt;/RecNum&gt;&lt;IDText&gt;Using the Short Form 6D, as an overall measure of health, to predict damage accrual and mortality in patients with systemic lupus erythematosus: XLVII, results from a multiethnic US cohort&lt;/IDText&gt;&lt;MDL Ref_Type="Journal"&gt;&lt;Ref_Type&gt;Journal&lt;/Ref_Type&gt;&lt;Ref_ID&gt;24&lt;/Ref_ID&gt;&lt;Title_Primary&gt;Using the Short Form 6D, as an overall measure of health, to predict damage accrual and mortality in patients with systemic lupus erythematosus: XLVII, results from a multiethnic US cohort&lt;/Title_Primary&gt;&lt;Authors_Primary&gt;Fernandez,M.&lt;/Authors_Primary&gt;&lt;Authors_Primary&gt;Alarcon,G.S.&lt;/Authors_Primary&gt;&lt;Authors_Primary&gt;McGwin,G.,Jr.&lt;/Authors_Primary&gt;&lt;Authors_Primary&gt;Sanchez,M.L.&lt;/Authors_Primary&gt;&lt;Authors_Primary&gt;Apte,M.&lt;/Authors_Primary&gt;&lt;Authors_Primary&gt;Vila,L.M.&lt;/Authors_Primary&gt;&lt;Authors_Primary&gt;Reveille,J.D.&lt;/Authors_Primary&gt;&lt;Date_Primary&gt;2007/8/15&lt;/Date_Primary&gt;&lt;Keywords&gt;Adult&lt;/Keywords&gt;&lt;Keywords&gt;African Americans&lt;/Keywords&gt;&lt;Keywords&gt;Cohort Studies&lt;/Keywords&gt;&lt;Keywords&gt;Disease Progression&lt;/Keywords&gt;&lt;Keywords&gt;epidemiology&lt;/Keywords&gt;&lt;Keywords&gt;ethnology&lt;/Keywords&gt;&lt;Keywords&gt;European Continental Ancestry Group&lt;/Keywords&gt;&lt;Keywords&gt;Female&lt;/Keywords&gt;&lt;Keywords&gt;Health Status&lt;/Keywords&gt;&lt;Keywords&gt;Health Status Indicators&lt;/Keywords&gt;&lt;Keywords&gt;Hispanic Americans&lt;/Keywords&gt;&lt;Keywords&gt;Humans&lt;/Keywords&gt;&lt;Keywords&gt;Longitudinal Studies&lt;/Keywords&gt;&lt;Keywords&gt;Lupus Erythematosus,Systemic&lt;/Keywords&gt;&lt;Keywords&gt;Male&lt;/Keywords&gt;&lt;Keywords&gt;methods&lt;/Keywords&gt;&lt;Keywords&gt;Middle Aged&lt;/Keywords&gt;&lt;Keywords&gt;mortality&lt;/Keywords&gt;&lt;Keywords&gt;Multivariate Analysis&lt;/Keywords&gt;&lt;Keywords&gt;physiopathology&lt;/Keywords&gt;&lt;Keywords&gt;Predictive Value of Tests&lt;/Keywords&gt;&lt;Keywords&gt;Quality of Life&lt;/Keywords&gt;&lt;Keywords&gt;Rheumatology&lt;/Keywords&gt;&lt;Keywords&gt;United States&lt;/Keywords&gt;&lt;Reprint&gt;Not in File&lt;/Reprint&gt;&lt;Start_Page&gt;986&lt;/Start_Page&gt;&lt;End_Page&gt;992&lt;/End_Page&gt;&lt;Periodical&gt;Arthritis Rheum.&lt;/Periodical&gt;&lt;Volume&gt;57&lt;/Volume&gt;&lt;Issue&gt;6&lt;/Issue&gt;&lt;ZZ_JournalStdAbbrev&gt;&lt;f name="System"&gt;Arthritis Rheum.&lt;/f&gt;&lt;/ZZ_JournalStdAbbrev&gt;&lt;ZZ_WorkformID&gt;1&lt;/ZZ_WorkformID&gt;&lt;/MDL&gt;&lt;/Cite&gt;&lt;Cite&gt;&lt;Author&gt;Chambers&lt;/Author&gt;&lt;Year&gt;2009&lt;/Year&gt;&lt;RecNum&gt;67&lt;/RecNum&gt;&lt;IDText&gt;Damage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name="System"&gt;Rheumatology.(Oxford).&lt;/f&gt;&lt;/ZZ_JournalStdAbbrev&gt;&lt;ZZ_WorkformID&gt;1&lt;/ZZ_WorkformID&gt;&lt;/MDL&gt;&lt;/Cite&gt;&lt;Cite&gt;&lt;Author&gt;Cardoso&lt;/Author&gt;&lt;Year&gt;2008&lt;/Year&gt;&lt;RecNum&gt;147&lt;/RecNum&gt;&lt;IDText&gt;Initial and accrued damage as predictors of mortality in Brazilian patients with systemic lupus erythematosus: a cohort study&lt;/IDText&gt;&lt;MDL Ref_Type="Journal"&gt;&lt;Ref_Type&gt;Journal&lt;/Ref_Type&gt;&lt;Ref_ID&gt;147&lt;/Ref_ID&gt;&lt;Title_Primary&gt;Initial and accrued damage as predictors of mortality in Brazilian patients with systemic lupus erythematosus: a cohort study&lt;/Title_Primary&gt;&lt;Authors_Primary&gt;Cardoso,C.R.&lt;/Authors_Primary&gt;&lt;Authors_Primary&gt;Signorelli,F.V.&lt;/Authors_Primary&gt;&lt;Authors_Primary&gt;Papi,J.A.&lt;/Authors_Primary&gt;&lt;Authors_Primary&gt;Salles,G.F.&lt;/Authors_Primary&gt;&lt;Date_Primary&gt;2008/11&lt;/Date_Primary&gt;&lt;Keywords&gt;Adult&lt;/Keywords&gt;&lt;Keywords&gt;analysis&lt;/Keywords&gt;&lt;Keywords&gt;Brazil&lt;/Keywords&gt;&lt;Keywords&gt;Cohort Studies&lt;/Keywords&gt;&lt;Keywords&gt;Disease&lt;/Keywords&gt;&lt;Keywords&gt;epidemiology&lt;/Keywords&gt;&lt;Keywords&gt;Female&lt;/Keywords&gt;&lt;Keywords&gt;Follow-Up Studies&lt;/Keywords&gt;&lt;Keywords&gt;Humans&lt;/Keywords&gt;&lt;Keywords&gt;Infection&lt;/Keywords&gt;&lt;Keywords&gt;Lupus Erythematosus,Systemic&lt;/Keywords&gt;&lt;Keywords&gt;Male&lt;/Keywords&gt;&lt;Keywords&gt;mortality&lt;/Keywords&gt;&lt;Keywords&gt;Outpatients&lt;/Keywords&gt;&lt;Keywords&gt;Prognosis&lt;/Keywords&gt;&lt;Keywords&gt;Prospective Studies&lt;/Keywords&gt;&lt;Keywords&gt;Risk&lt;/Keywords&gt;&lt;Keywords&gt;Severity of Illness Index&lt;/Keywords&gt;&lt;Keywords&gt;Survival Analysis&lt;/Keywords&gt;&lt;Keywords&gt;Survivors&lt;/Keywords&gt;&lt;Reprint&gt;Not in File&lt;/Reprint&gt;&lt;Start_Page&gt;1042&lt;/Start_Page&gt;&lt;End_Page&gt;1048&lt;/End_Page&gt;&lt;Periodical&gt;Lupus.&lt;/Periodical&gt;&lt;Volume&gt;17&lt;/Volume&gt;&lt;Issue&gt;11&lt;/Issue&gt;&lt;User_Def_1&gt;y&lt;/User_Def_1&gt;&lt;ZZ_JournalStdAbbrev&gt;&lt;f name="System"&gt;Lupus.&lt;/f&gt;&lt;/ZZ_JournalStdAbbrev&gt;&lt;ZZ_WorkformID&gt;1&lt;/ZZ_WorkformID&gt;&lt;/MDL&gt;&lt;/Cite&gt;&lt;Cite&gt;&lt;Author&gt;Alarcon&lt;/Author&gt;&lt;Year&gt;2001&lt;/Year&gt;&lt;RecNum&gt;972&lt;/RecNum&gt;&lt;IDText&gt;Systemic lupus erythematosus in three ethnic groups. VII [correction of VIII]. Predictors of early mortality in the LUMINA cohort. LUMINA Study Group&lt;/IDText&gt;&lt;MDL Ref_Type="Journal"&gt;&lt;Ref_Type&gt;Journal&lt;/Ref_Type&gt;&lt;Ref_ID&gt;972&lt;/Ref_ID&gt;&lt;Title_Primary&gt;Systemic lupus erythematosus in three ethnic groups. VII [correction of VIII]. Predictors of early mortality in the LUMINA cohort. LUMINA Study Group&lt;/Title_Primary&gt;&lt;Authors_Primary&gt;Alarcon,G.S.&lt;/Authors_Primary&gt;&lt;Authors_Primary&gt;McGwin,G.,Jr.&lt;/Authors_Primary&gt;&lt;Authors_Primary&gt;Bastian,H.M.&lt;/Authors_Primary&gt;&lt;Authors_Primary&gt;Roseman,J.&lt;/Authors_Primary&gt;&lt;Authors_Primary&gt;Lisse,J.&lt;/Authors_Primary&gt;&lt;Authors_Primary&gt;Fessler,B.J.&lt;/Authors_Primary&gt;&lt;Authors_Primary&gt;Friedman,A.W.&lt;/Authors_Primary&gt;&lt;Authors_Primary&gt;Reveille,J.D.&lt;/Authors_Primary&gt;&lt;Date_Primary&gt;2001/4&lt;/Date_Primary&gt;&lt;Keywords&gt;African Americans&lt;/Keywords&gt;&lt;Keywords&gt;Alabama&lt;/Keywords&gt;&lt;Keywords&gt;analysis&lt;/Keywords&gt;&lt;Keywords&gt;Autoantibodies&lt;/Keywords&gt;&lt;Keywords&gt;Cause of Death&lt;/Keywords&gt;&lt;Keywords&gt;Cohort Studies&lt;/Keywords&gt;&lt;Keywords&gt;Creatinine&lt;/Keywords&gt;&lt;Keywords&gt;diagnosis&lt;/Keywords&gt;&lt;Keywords&gt;Disease&lt;/Keywords&gt;&lt;Keywords&gt;Employment&lt;/Keywords&gt;&lt;Keywords&gt;epidemiology&lt;/Keywords&gt;&lt;Keywords&gt;Ethnic Groups&lt;/Keywords&gt;&lt;Keywords&gt;ethnology&lt;/Keywords&gt;&lt;Keywords&gt;European Continental Ancestry Group&lt;/Keywords&gt;&lt;Keywords&gt;Fatigue&lt;/Keywords&gt;&lt;Keywords&gt;Female&lt;/Keywords&gt;&lt;Keywords&gt;Genotype&lt;/Keywords&gt;&lt;Keywords&gt;Health&lt;/Keywords&gt;&lt;Keywords&gt;Hematocrit&lt;/Keywords&gt;&lt;Keywords&gt;Hispanic Americans&lt;/Keywords&gt;&lt;Keywords&gt;Humans&lt;/Keywords&gt;&lt;Keywords&gt;Infection&lt;/Keywords&gt;&lt;Keywords&gt;Lupus Erythematosus,Systemic&lt;/Keywords&gt;&lt;Keywords&gt;Male&lt;/Keywords&gt;&lt;Keywords&gt;Marital Status&lt;/Keywords&gt;&lt;Keywords&gt;methods&lt;/Keywords&gt;&lt;Keywords&gt;mortality&lt;/Keywords&gt;&lt;Keywords&gt;Multicenter Studies as Topic&lt;/Keywords&gt;&lt;Keywords&gt;Pain&lt;/Keywords&gt;&lt;Keywords&gt;Poverty&lt;/Keywords&gt;&lt;Keywords&gt;Regression Analysis&lt;/Keywords&gt;&lt;Keywords&gt;Rheumatology&lt;/Keywords&gt;&lt;Keywords&gt;Risk&lt;/Keywords&gt;&lt;Keywords&gt;Risk Factors&lt;/Keywords&gt;&lt;Keywords&gt;Serum&lt;/Keywords&gt;&lt;Keywords&gt;Smoking&lt;/Keywords&gt;&lt;Keywords&gt;Social Support&lt;/Keywords&gt;&lt;Keywords&gt;Survival Rate&lt;/Keywords&gt;&lt;Keywords&gt;Survivors&lt;/Keywords&gt;&lt;Keywords&gt;Texas&lt;/Keywords&gt;&lt;Reprint&gt;Not in File&lt;/Reprint&gt;&lt;Start_Page&gt;191&lt;/Start_Page&gt;&lt;End_Page&gt;202&lt;/End_Page&gt;&lt;Periodical&gt;Arthritis Rheum.&lt;/Periodical&gt;&lt;Volume&gt;45&lt;/Volume&gt;&lt;Issue&gt;2&lt;/Issue&gt;&lt;User_Def_1&gt;y&lt;/User_Def_1&gt;&lt;ZZ_JournalStdAbbrev&gt;&lt;f name="System"&gt;Arthritis Rheum.&lt;/f&gt;&lt;/ZZ_JournalStdAbbrev&gt;&lt;ZZ_WorkformID&gt;1&lt;/ZZ_WorkformID&gt;&lt;/MDL&gt;&lt;/Cite&gt;&lt;/Refman&gt;</w:instrText>
      </w:r>
      <w:r w:rsidR="00E729BA">
        <w:fldChar w:fldCharType="separate"/>
      </w:r>
      <w:r w:rsidR="004D7951">
        <w:t>(146;158;163;166;167)</w:t>
      </w:r>
      <w:r w:rsidR="00E729BA">
        <w:fldChar w:fldCharType="end"/>
      </w:r>
      <w:r>
        <w:t xml:space="preserve">. One study did not find organ damage to be predictive of mortality </w:t>
      </w:r>
      <w:r w:rsidR="00E729BA">
        <w:fldChar w:fldCharType="begin"/>
      </w:r>
      <w:r w:rsidR="00FC61FD">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fldChar w:fldCharType="separate"/>
      </w:r>
      <w:r w:rsidR="004D7951">
        <w:t>(162)</w:t>
      </w:r>
      <w:r w:rsidR="00E729BA">
        <w:fldChar w:fldCharType="end"/>
      </w:r>
      <w:r>
        <w:t>. This came from a relatively small sample of 157 patients. Cardoso et al. found that a unit increase in the SLICC/ACR</w:t>
      </w:r>
      <w:r w:rsidR="00E94D16">
        <w:t xml:space="preserve"> Damage</w:t>
      </w:r>
      <w:r w:rsidR="002C404F">
        <w:t xml:space="preserve"> Index</w:t>
      </w:r>
      <w:r w:rsidR="00E94D16">
        <w:t xml:space="preserve"> score</w:t>
      </w:r>
      <w:r>
        <w:t xml:space="preserve"> increases the risk of mortality by 34% </w:t>
      </w:r>
      <w:r w:rsidR="00E729BA">
        <w:fldChar w:fldCharType="begin"/>
      </w:r>
      <w:r w:rsidR="00FC61FD">
        <w:instrText xml:space="preserve"> ADDIN REFMGR.CITE &lt;Refman&gt;&lt;Cite&gt;&lt;Author&gt;Cardoso&lt;/Author&gt;&lt;Year&gt;2008&lt;/Year&gt;&lt;RecNum&gt;147&lt;/RecNum&gt;&lt;IDText&gt;Initial and accrued damage as predictors of mortality in Brazilian patients with systemic lupus erythematosus: a cohort study&lt;/IDText&gt;&lt;MDL Ref_Type="Journal"&gt;&lt;Ref_Type&gt;Journal&lt;/Ref_Type&gt;&lt;Ref_ID&gt;147&lt;/Ref_ID&gt;&lt;Title_Primary&gt;Initial and accrued damage as predictors of mortality in Brazilian patients with systemic lupus erythematosus: a cohort study&lt;/Title_Primary&gt;&lt;Authors_Primary&gt;Cardoso,C.R.&lt;/Authors_Primary&gt;&lt;Authors_Primary&gt;Signorelli,F.V.&lt;/Authors_Primary&gt;&lt;Authors_Primary&gt;Papi,J.A.&lt;/Authors_Primary&gt;&lt;Authors_Primary&gt;Salles,G.F.&lt;/Authors_Primary&gt;&lt;Date_Primary&gt;2008/11&lt;/Date_Primary&gt;&lt;Keywords&gt;Adult&lt;/Keywords&gt;&lt;Keywords&gt;analysis&lt;/Keywords&gt;&lt;Keywords&gt;Brazil&lt;/Keywords&gt;&lt;Keywords&gt;Cohort Studies&lt;/Keywords&gt;&lt;Keywords&gt;Disease&lt;/Keywords&gt;&lt;Keywords&gt;epidemiology&lt;/Keywords&gt;&lt;Keywords&gt;Female&lt;/Keywords&gt;&lt;Keywords&gt;Follow-Up Studies&lt;/Keywords&gt;&lt;Keywords&gt;Humans&lt;/Keywords&gt;&lt;Keywords&gt;Infection&lt;/Keywords&gt;&lt;Keywords&gt;Lupus Erythematosus,Systemic&lt;/Keywords&gt;&lt;Keywords&gt;Male&lt;/Keywords&gt;&lt;Keywords&gt;mortality&lt;/Keywords&gt;&lt;Keywords&gt;Outpatients&lt;/Keywords&gt;&lt;Keywords&gt;Prognosis&lt;/Keywords&gt;&lt;Keywords&gt;Prospective Studies&lt;/Keywords&gt;&lt;Keywords&gt;Risk&lt;/Keywords&gt;&lt;Keywords&gt;Severity of Illness Index&lt;/Keywords&gt;&lt;Keywords&gt;Survival Analysis&lt;/Keywords&gt;&lt;Keywords&gt;Survivors&lt;/Keywords&gt;&lt;Reprint&gt;Not in File&lt;/Reprint&gt;&lt;Start_Page&gt;1042&lt;/Start_Page&gt;&lt;End_Page&gt;1048&lt;/End_Page&gt;&lt;Periodical&gt;Lupus.&lt;/Periodical&gt;&lt;Volume&gt;17&lt;/Volume&gt;&lt;Issue&gt;11&lt;/Issue&gt;&lt;User_Def_1&gt;y&lt;/User_Def_1&gt;&lt;ZZ_JournalStdAbbrev&gt;&lt;f name="System"&gt;Lupus.&lt;/f&gt;&lt;/ZZ_JournalStdAbbrev&gt;&lt;ZZ_WorkformID&gt;1&lt;/ZZ_WorkformID&gt;&lt;/MDL&gt;&lt;/Cite&gt;&lt;/Refman&gt;</w:instrText>
      </w:r>
      <w:r w:rsidR="00E729BA">
        <w:fldChar w:fldCharType="separate"/>
      </w:r>
      <w:r w:rsidR="004D7951">
        <w:t>(166)</w:t>
      </w:r>
      <w:r w:rsidR="00E729BA">
        <w:fldChar w:fldCharType="end"/>
      </w:r>
      <w:r>
        <w:t>. Fernandez and Alarcon et al. looked at the relationship between organ damage at baseline and mortality from the LUMINA cohort</w:t>
      </w:r>
      <w:r w:rsidR="007C1767">
        <w:t xml:space="preserve"> </w:t>
      </w:r>
      <w:r w:rsidR="00E729BA">
        <w:fldChar w:fldCharType="begin"/>
      </w:r>
      <w:r w:rsidR="00FC61FD">
        <w:instrText xml:space="preserve"> ADDIN REFMGR.CITE &lt;Refman&gt;&lt;Cite&gt;&lt;Author&gt;Alarcon&lt;/Author&gt;&lt;Year&gt;2001&lt;/Year&gt;&lt;RecNum&gt;972&lt;/RecNum&gt;&lt;IDText&gt;Systemic lupus erythematosus in three ethnic groups. VII [correction of VIII]. Predictors of early mortality in the LUMINA cohort. LUMINA Study Group&lt;/IDText&gt;&lt;MDL Ref_Type="Journal"&gt;&lt;Ref_Type&gt;Journal&lt;/Ref_Type&gt;&lt;Ref_ID&gt;972&lt;/Ref_ID&gt;&lt;Title_Primary&gt;Systemic lupus erythematosus in three ethnic groups. VII [correction of VIII]. Predictors of early mortality in the LUMINA cohort. LUMINA Study Group&lt;/Title_Primary&gt;&lt;Authors_Primary&gt;Alarcon,G.S.&lt;/Authors_Primary&gt;&lt;Authors_Primary&gt;McGwin,G.,Jr.&lt;/Authors_Primary&gt;&lt;Authors_Primary&gt;Bastian,H.M.&lt;/Authors_Primary&gt;&lt;Authors_Primary&gt;Roseman,J.&lt;/Authors_Primary&gt;&lt;Authors_Primary&gt;Lisse,J.&lt;/Authors_Primary&gt;&lt;Authors_Primary&gt;Fessler,B.J.&lt;/Authors_Primary&gt;&lt;Authors_Primary&gt;Friedman,A.W.&lt;/Authors_Primary&gt;&lt;Authors_Primary&gt;Reveille,J.D.&lt;/Authors_Primary&gt;&lt;Date_Primary&gt;2001/4&lt;/Date_Primary&gt;&lt;Keywords&gt;African Americans&lt;/Keywords&gt;&lt;Keywords&gt;Alabama&lt;/Keywords&gt;&lt;Keywords&gt;analysis&lt;/Keywords&gt;&lt;Keywords&gt;Autoantibodies&lt;/Keywords&gt;&lt;Keywords&gt;Cause of Death&lt;/Keywords&gt;&lt;Keywords&gt;Cohort Studies&lt;/Keywords&gt;&lt;Keywords&gt;Creatinine&lt;/Keywords&gt;&lt;Keywords&gt;diagnosis&lt;/Keywords&gt;&lt;Keywords&gt;Disease&lt;/Keywords&gt;&lt;Keywords&gt;Employment&lt;/Keywords&gt;&lt;Keywords&gt;epidemiology&lt;/Keywords&gt;&lt;Keywords&gt;Ethnic Groups&lt;/Keywords&gt;&lt;Keywords&gt;ethnology&lt;/Keywords&gt;&lt;Keywords&gt;European Continental Ancestry Group&lt;/Keywords&gt;&lt;Keywords&gt;Fatigue&lt;/Keywords&gt;&lt;Keywords&gt;Female&lt;/Keywords&gt;&lt;Keywords&gt;Genotype&lt;/Keywords&gt;&lt;Keywords&gt;Health&lt;/Keywords&gt;&lt;Keywords&gt;Hematocrit&lt;/Keywords&gt;&lt;Keywords&gt;Hispanic Americans&lt;/Keywords&gt;&lt;Keywords&gt;Humans&lt;/Keywords&gt;&lt;Keywords&gt;Infection&lt;/Keywords&gt;&lt;Keywords&gt;Lupus Erythematosus,Systemic&lt;/Keywords&gt;&lt;Keywords&gt;Male&lt;/Keywords&gt;&lt;Keywords&gt;Marital Status&lt;/Keywords&gt;&lt;Keywords&gt;methods&lt;/Keywords&gt;&lt;Keywords&gt;mortality&lt;/Keywords&gt;&lt;Keywords&gt;Multicenter Studies as Topic&lt;/Keywords&gt;&lt;Keywords&gt;Pain&lt;/Keywords&gt;&lt;Keywords&gt;Poverty&lt;/Keywords&gt;&lt;Keywords&gt;Regression Analysis&lt;/Keywords&gt;&lt;Keywords&gt;Rheumatology&lt;/Keywords&gt;&lt;Keywords&gt;Risk&lt;/Keywords&gt;&lt;Keywords&gt;Risk Factors&lt;/Keywords&gt;&lt;Keywords&gt;Serum&lt;/Keywords&gt;&lt;Keywords&gt;Smoking&lt;/Keywords&gt;&lt;Keywords&gt;Social Support&lt;/Keywords&gt;&lt;Keywords&gt;Survival Rate&lt;/Keywords&gt;&lt;Keywords&gt;Survivors&lt;/Keywords&gt;&lt;Keywords&gt;Texas&lt;/Keywords&gt;&lt;Reprint&gt;Not in File&lt;/Reprint&gt;&lt;Start_Page&gt;191&lt;/Start_Page&gt;&lt;End_Page&gt;202&lt;/End_Page&gt;&lt;Periodical&gt;Arthritis Rheum.&lt;/Periodical&gt;&lt;Volume&gt;45&lt;/Volume&gt;&lt;Issue&gt;2&lt;/Issue&gt;&lt;User_Def_1&gt;y&lt;/User_Def_1&gt;&lt;ZZ_JournalStdAbbrev&gt;&lt;f name="System"&gt;Arthritis Rheum.&lt;/f&gt;&lt;/ZZ_JournalStdAbbrev&gt;&lt;ZZ_WorkformID&gt;1&lt;/ZZ_WorkformID&gt;&lt;/MDL&gt;&lt;/Cite&gt;&lt;Cite&gt;&lt;Author&gt;Fernandez&lt;/Author&gt;&lt;Year&gt;2007&lt;/Year&gt;&lt;RecNum&gt;323&lt;/RecNum&gt;&lt;IDText&gt;A multiethnic, multicenter cohort of patients with systemic lupus erythematosus (SLE) as a model for the study of ethnic disparities in SLE&lt;/IDText&gt;&lt;MDL Ref_Type="Journal"&gt;&lt;Ref_Type&gt;Journal&lt;/Ref_Type&gt;&lt;Ref_ID&gt;323&lt;/Ref_ID&gt;&lt;Title_Primary&gt;A multiethnic, multicenter cohort of patients with systemic lupus erythematosus (SLE) as a model for the study of ethnic disparities in SLE&lt;/Title_Primary&gt;&lt;Authors_Primary&gt;Fernandez,M.&lt;/Authors_Primary&gt;&lt;Authors_Primary&gt;Alarcon,G.S.&lt;/Authors_Primary&gt;&lt;Authors_Primary&gt;Calvo-Alen,J.&lt;/Authors_Primary&gt;&lt;Authors_Primary&gt;Andrade,R.&lt;/Authors_Primary&gt;&lt;Authors_Primary&gt;McGwin,G.,Jr.&lt;/Authors_Primary&gt;&lt;Authors_Primary&gt;Vila,L.M.&lt;/Authors_Primary&gt;&lt;Authors_Primary&gt;Reveille,J.D.&lt;/Authors_Primary&gt;&lt;Date_Primary&gt;2007/5/15&lt;/Date_Primary&gt;&lt;Keywords&gt;Adult&lt;/Keywords&gt;&lt;Keywords&gt;African Americans&lt;/Keywords&gt;&lt;Keywords&gt;age&lt;/Keywords&gt;&lt;Keywords&gt;Alabama&lt;/Keywords&gt;&lt;Keywords&gt;Cohort Studies&lt;/Keywords&gt;&lt;Keywords&gt;Disease&lt;/Keywords&gt;&lt;Keywords&gt;disease activity&lt;/Keywords&gt;&lt;Keywords&gt;epidemiology&lt;/Keywords&gt;&lt;Keywords&gt;erythematosus&lt;/Keywords&gt;&lt;Keywords&gt;Ethnic Groups&lt;/Keywords&gt;&lt;Keywords&gt;ethnology&lt;/Keywords&gt;&lt;Keywords&gt;European Continental Ancestry Group&lt;/Keywords&gt;&lt;Keywords&gt;Female&lt;/Keywords&gt;&lt;Keywords&gt;genetics&lt;/Keywords&gt;&lt;Keywords&gt;Health&lt;/Keywords&gt;&lt;Keywords&gt;Health Services Accessibility&lt;/Keywords&gt;&lt;Keywords&gt;Hispanic Americans&lt;/Keywords&gt;&lt;Keywords&gt;HLA-DQ Antigens&lt;/Keywords&gt;&lt;Keywords&gt;HLA-DR Antigens&lt;/Keywords&gt;&lt;Keywords&gt;Humans&lt;/Keywords&gt;&lt;Keywords&gt;Longitudinal Studies&lt;/Keywords&gt;&lt;Keywords&gt;longitudinal study&lt;/Keywords&gt;&lt;Keywords&gt;lupus erythematosus&lt;/Keywords&gt;&lt;Keywords&gt;Lupus Erythematosus,Systemic&lt;/Keywords&gt;&lt;Keywords&gt;Lupus Nephritis&lt;/Keywords&gt;&lt;Keywords&gt;Male&lt;/Keywords&gt;&lt;Keywords&gt;methods&lt;/Keywords&gt;&lt;Keywords&gt;Middle Aged&lt;/Keywords&gt;&lt;Keywords&gt;mortality&lt;/Keywords&gt;&lt;Keywords&gt;Nephritis&lt;/Keywords&gt;&lt;Keywords&gt;patient&lt;/Keywords&gt;&lt;Keywords&gt;Patients&lt;/Keywords&gt;&lt;Keywords&gt;Proportional Hazards Models&lt;/Keywords&gt;&lt;Keywords&gt;Puerto Rico&lt;/Keywords&gt;&lt;Keywords&gt;Research&lt;/Keywords&gt;&lt;Keywords&gt;Rheumatology&lt;/Keywords&gt;&lt;Keywords&gt;Social Class&lt;/Keywords&gt;&lt;Keywords&gt;statistics &amp;amp; numerical data&lt;/Keywords&gt;&lt;Keywords&gt;systemic lupus erythematosus&lt;/Keywords&gt;&lt;Keywords&gt;Texas&lt;/Keywords&gt;&lt;Keywords&gt;therapy&lt;/Keywords&gt;&lt;Reprint&gt;Not in File&lt;/Reprint&gt;&lt;Start_Page&gt;576&lt;/Start_Page&gt;&lt;End_Page&gt;584&lt;/End_Page&gt;&lt;Periodical&gt;Arthritis Rheum.&lt;/Periodical&gt;&lt;Volume&gt;57&lt;/Volume&gt;&lt;Issue&gt;4&lt;/Issue&gt;&lt;User_Def_1&gt;y&lt;/User_Def_1&gt;&lt;ZZ_JournalStdAbbrev&gt;&lt;f name="System"&gt;Arthritis Rheum.&lt;/f&gt;&lt;/ZZ_JournalStdAbbrev&gt;&lt;ZZ_WorkformID&gt;1&lt;/ZZ_WorkformID&gt;&lt;/MDL&gt;&lt;/Cite&gt;&lt;/Refman&gt;</w:instrText>
      </w:r>
      <w:r w:rsidR="00E729BA">
        <w:fldChar w:fldCharType="separate"/>
      </w:r>
      <w:r w:rsidR="007C1767">
        <w:t>(158;168)</w:t>
      </w:r>
      <w:r w:rsidR="00E729BA">
        <w:fldChar w:fldCharType="end"/>
      </w:r>
      <w:r>
        <w:t>. A unit increase in damage score increased mortality risk by 20% and 45% respectively. Chambers et al. related the last available SLICC/ACR</w:t>
      </w:r>
      <w:r w:rsidR="00E94D16">
        <w:t xml:space="preserve"> Damage</w:t>
      </w:r>
      <w:r>
        <w:t xml:space="preserve"> </w:t>
      </w:r>
      <w:r w:rsidR="002C404F">
        <w:t xml:space="preserve">Index </w:t>
      </w:r>
      <w:r>
        <w:t>score to mortality and found that damage predicted a 40% increase in mortality risk</w:t>
      </w:r>
      <w:r w:rsidR="00B56487">
        <w:t xml:space="preserve">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r w:rsidR="007C1767">
        <w:t>(167)</w:t>
      </w:r>
      <w:r w:rsidR="00E729BA">
        <w:fldChar w:fldCharType="end"/>
      </w:r>
      <w:r>
        <w:t xml:space="preserve">. </w:t>
      </w:r>
    </w:p>
    <w:p w:rsidR="002D772C" w:rsidRDefault="002D772C" w:rsidP="00234693">
      <w:pPr>
        <w:pStyle w:val="Caption"/>
      </w:pPr>
      <w:bookmarkStart w:id="191" w:name="_Ref278284383"/>
      <w:bookmarkStart w:id="192" w:name="_Toc279009286"/>
    </w:p>
    <w:p w:rsidR="003B0B2A" w:rsidRPr="003B0B2A" w:rsidRDefault="007C1767" w:rsidP="007C1767">
      <w:pPr>
        <w:sectPr w:rsidR="003B0B2A" w:rsidRPr="003B0B2A" w:rsidSect="006A3B1E">
          <w:pgSz w:w="11906" w:h="16838"/>
          <w:pgMar w:top="1440" w:right="1440" w:bottom="1440" w:left="2268" w:header="708" w:footer="708" w:gutter="0"/>
          <w:cols w:space="708"/>
          <w:docGrid w:linePitch="360"/>
        </w:sectPr>
      </w:pPr>
      <w:r>
        <w:t xml:space="preserve">The variation in study risk associations could be due to three factors. Firstly, variation in covariate selection could lead to some confounding variables being omitted in the analyses. Secondly, geographical variations in cohorts may lead to different risk associations. Thirdly, the choice of disease activity measure and definition of risk (average or threshold0 will impact on estimates. </w:t>
      </w:r>
    </w:p>
    <w:p w:rsidR="008731E8" w:rsidRDefault="008731E8" w:rsidP="00234693">
      <w:pPr>
        <w:pStyle w:val="Caption"/>
      </w:pPr>
      <w:bookmarkStart w:id="193" w:name="_Ref331160389"/>
    </w:p>
    <w:p w:rsidR="008731E8" w:rsidRDefault="008731E8" w:rsidP="00234693">
      <w:pPr>
        <w:pStyle w:val="Caption"/>
      </w:pPr>
    </w:p>
    <w:p w:rsidR="002D772C" w:rsidRDefault="002D772C" w:rsidP="00234693">
      <w:pPr>
        <w:pStyle w:val="Caption"/>
      </w:pPr>
      <w:bookmarkStart w:id="194" w:name="_Ref364935575"/>
      <w:r>
        <w:t xml:space="preserve">Table </w:t>
      </w:r>
      <w:fldSimple w:instr=" SEQ Table \* ARABIC ">
        <w:r w:rsidR="004911B7">
          <w:rPr>
            <w:noProof/>
          </w:rPr>
          <w:t>10</w:t>
        </w:r>
      </w:fldSimple>
      <w:bookmarkEnd w:id="191"/>
      <w:bookmarkEnd w:id="193"/>
      <w:bookmarkEnd w:id="194"/>
      <w:r>
        <w:t>: Predictors of mortality from multivariate analysis</w:t>
      </w:r>
      <w:bookmarkEnd w:id="192"/>
    </w:p>
    <w:tbl>
      <w:tblPr>
        <w:tblW w:w="13330" w:type="dxa"/>
        <w:tblInd w:w="103" w:type="dxa"/>
        <w:tblBorders>
          <w:top w:val="single" w:sz="12" w:space="0" w:color="auto"/>
          <w:bottom w:val="single" w:sz="12" w:space="0" w:color="auto"/>
        </w:tblBorders>
        <w:tblLayout w:type="fixed"/>
        <w:tblCellMar>
          <w:right w:w="28" w:type="dxa"/>
        </w:tblCellMar>
        <w:tblLook w:val="00AF"/>
      </w:tblPr>
      <w:tblGrid>
        <w:gridCol w:w="1423"/>
        <w:gridCol w:w="142"/>
        <w:gridCol w:w="567"/>
        <w:gridCol w:w="141"/>
        <w:gridCol w:w="567"/>
        <w:gridCol w:w="1276"/>
        <w:gridCol w:w="284"/>
        <w:gridCol w:w="992"/>
        <w:gridCol w:w="425"/>
        <w:gridCol w:w="992"/>
        <w:gridCol w:w="426"/>
        <w:gridCol w:w="992"/>
        <w:gridCol w:w="425"/>
        <w:gridCol w:w="851"/>
        <w:gridCol w:w="567"/>
        <w:gridCol w:w="992"/>
        <w:gridCol w:w="425"/>
        <w:gridCol w:w="709"/>
        <w:gridCol w:w="567"/>
        <w:gridCol w:w="567"/>
      </w:tblGrid>
      <w:tr w:rsidR="002D772C" w:rsidRPr="004E70E9" w:rsidTr="00DD3003">
        <w:trPr>
          <w:trHeight w:val="20"/>
        </w:trPr>
        <w:tc>
          <w:tcPr>
            <w:tcW w:w="13330" w:type="dxa"/>
            <w:gridSpan w:val="20"/>
            <w:tcBorders>
              <w:bottom w:val="nil"/>
            </w:tcBorders>
          </w:tcPr>
          <w:p w:rsidR="002D772C" w:rsidRPr="004E70E9" w:rsidRDefault="002D772C" w:rsidP="0049322C">
            <w:pPr>
              <w:pStyle w:val="ListParagraph1"/>
              <w:rPr>
                <w:sz w:val="17"/>
                <w:szCs w:val="17"/>
                <w:lang w:eastAsia="en-GB"/>
              </w:rPr>
            </w:pPr>
            <w:r w:rsidRPr="004E70E9">
              <w:rPr>
                <w:sz w:val="17"/>
                <w:szCs w:val="17"/>
                <w:lang w:eastAsia="en-GB"/>
              </w:rPr>
              <w:t>Cox regression (Hazard ratio)</w:t>
            </w:r>
          </w:p>
        </w:tc>
      </w:tr>
      <w:tr w:rsidR="002D772C" w:rsidRPr="004E70E9" w:rsidTr="00DD3003">
        <w:trPr>
          <w:trHeight w:val="20"/>
        </w:trPr>
        <w:tc>
          <w:tcPr>
            <w:tcW w:w="1565"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Author</w:t>
            </w:r>
          </w:p>
        </w:tc>
        <w:tc>
          <w:tcPr>
            <w:tcW w:w="567" w:type="dxa"/>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Date</w:t>
            </w:r>
          </w:p>
        </w:tc>
        <w:tc>
          <w:tcPr>
            <w:tcW w:w="708" w:type="dxa"/>
            <w:gridSpan w:val="2"/>
            <w:tcBorders>
              <w:top w:val="nil"/>
              <w:bottom w:val="single" w:sz="4" w:space="0" w:color="auto"/>
            </w:tcBorders>
          </w:tcPr>
          <w:p w:rsidR="002D772C" w:rsidRPr="004E70E9" w:rsidRDefault="002D772C" w:rsidP="0049322C">
            <w:pPr>
              <w:pStyle w:val="ListParagraph1"/>
              <w:rPr>
                <w:sz w:val="17"/>
                <w:szCs w:val="17"/>
                <w:lang w:eastAsia="en-GB"/>
              </w:rPr>
            </w:pPr>
            <w:r w:rsidRPr="004E70E9">
              <w:rPr>
                <w:sz w:val="17"/>
                <w:szCs w:val="17"/>
                <w:lang w:eastAsia="en-GB"/>
              </w:rPr>
              <w:t xml:space="preserve">Sample </w:t>
            </w:r>
          </w:p>
        </w:tc>
        <w:tc>
          <w:tcPr>
            <w:tcW w:w="1276" w:type="dxa"/>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Renal involvement</w:t>
            </w:r>
          </w:p>
        </w:tc>
        <w:tc>
          <w:tcPr>
            <w:tcW w:w="1276" w:type="dxa"/>
            <w:gridSpan w:val="2"/>
            <w:tcBorders>
              <w:top w:val="nil"/>
              <w:bottom w:val="single" w:sz="4" w:space="0" w:color="auto"/>
            </w:tcBorders>
            <w:noWrap/>
          </w:tcPr>
          <w:p w:rsidR="002D772C" w:rsidRPr="004E70E9" w:rsidRDefault="007C4559" w:rsidP="007C4559">
            <w:pPr>
              <w:pStyle w:val="ListParagraph1"/>
              <w:rPr>
                <w:sz w:val="17"/>
                <w:szCs w:val="17"/>
                <w:lang w:eastAsia="en-GB"/>
              </w:rPr>
            </w:pPr>
            <w:r w:rsidRPr="004E70E9">
              <w:rPr>
                <w:sz w:val="17"/>
                <w:szCs w:val="17"/>
                <w:lang w:eastAsia="en-GB"/>
              </w:rPr>
              <w:t>Previous c</w:t>
            </w:r>
            <w:r w:rsidR="002D772C" w:rsidRPr="004E70E9">
              <w:rPr>
                <w:sz w:val="17"/>
                <w:szCs w:val="17"/>
                <w:lang w:eastAsia="en-GB"/>
              </w:rPr>
              <w:t>ardio-vascular</w:t>
            </w:r>
            <w:r w:rsidRPr="004E70E9">
              <w:rPr>
                <w:sz w:val="17"/>
                <w:szCs w:val="17"/>
                <w:lang w:eastAsia="en-GB"/>
              </w:rPr>
              <w:t xml:space="preserve"> events</w:t>
            </w:r>
          </w:p>
        </w:tc>
        <w:tc>
          <w:tcPr>
            <w:tcW w:w="1417"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Disease Activity</w:t>
            </w:r>
          </w:p>
        </w:tc>
        <w:tc>
          <w:tcPr>
            <w:tcW w:w="1418"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Organ damage</w:t>
            </w:r>
          </w:p>
        </w:tc>
        <w:tc>
          <w:tcPr>
            <w:tcW w:w="1276"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Age</w:t>
            </w:r>
          </w:p>
        </w:tc>
        <w:tc>
          <w:tcPr>
            <w:tcW w:w="1559"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Pulmonary</w:t>
            </w:r>
            <w:r w:rsidR="007C4559" w:rsidRPr="004E70E9">
              <w:rPr>
                <w:sz w:val="17"/>
                <w:szCs w:val="17"/>
                <w:lang w:eastAsia="en-GB"/>
              </w:rPr>
              <w:t xml:space="preserve"> damage</w:t>
            </w:r>
          </w:p>
        </w:tc>
        <w:tc>
          <w:tcPr>
            <w:tcW w:w="1134"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Thrombotic</w:t>
            </w:r>
            <w:r w:rsidR="007C4559" w:rsidRPr="004E70E9">
              <w:rPr>
                <w:sz w:val="17"/>
                <w:szCs w:val="17"/>
                <w:lang w:eastAsia="en-GB"/>
              </w:rPr>
              <w:t xml:space="preserve"> event</w:t>
            </w:r>
          </w:p>
        </w:tc>
        <w:tc>
          <w:tcPr>
            <w:tcW w:w="1134" w:type="dxa"/>
            <w:gridSpan w:val="2"/>
            <w:tcBorders>
              <w:top w:val="nil"/>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Disease duration</w:t>
            </w:r>
          </w:p>
        </w:tc>
      </w:tr>
      <w:tr w:rsidR="002D772C" w:rsidRPr="004E70E9" w:rsidTr="00DD3003">
        <w:trPr>
          <w:trHeight w:val="20"/>
        </w:trPr>
        <w:tc>
          <w:tcPr>
            <w:tcW w:w="1565"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 xml:space="preserve">Kasitanon </w:t>
            </w:r>
            <w:r w:rsidR="00E729BA" w:rsidRPr="004E70E9">
              <w:rPr>
                <w:sz w:val="17"/>
                <w:szCs w:val="17"/>
                <w:lang w:eastAsia="en-GB"/>
              </w:rPr>
              <w:fldChar w:fldCharType="begin"/>
            </w:r>
            <w:r w:rsidR="00FC61FD">
              <w:rPr>
                <w:sz w:val="17"/>
                <w:szCs w:val="17"/>
                <w:lang w:eastAsia="en-GB"/>
              </w:rPr>
              <w:instrText xml:space="preserve"> ADDIN REFMGR.CITE &lt;Refman&gt;&lt;Cite&gt;&lt;Author&gt;Kasitanon&lt;/Author&gt;&lt;Year&gt;2006&lt;/Year&gt;&lt;RecNum&gt;451&lt;/RecNum&gt;&lt;IDText&gt;Predictors of survival in systemic lupus erythematosus&lt;/IDText&gt;&lt;MDL Ref_Type="Journal"&gt;&lt;Ref_Type&gt;Journal&lt;/Ref_Type&gt;&lt;Ref_ID&gt;451&lt;/Ref_ID&gt;&lt;Title_Primary&gt;Predictors of survival in systemic lupus erythematosus&lt;/Title_Primary&gt;&lt;Authors_Primary&gt;Kasitanon,N.&lt;/Authors_Primary&gt;&lt;Authors_Primary&gt;Magder,L.S.&lt;/Authors_Primary&gt;&lt;Authors_Primary&gt;Petri,M.&lt;/Authors_Primary&gt;&lt;Date_Primary&gt;2006/5&lt;/Date_Primary&gt;&lt;Keywords&gt;Adolescent&lt;/Keywords&gt;&lt;Keywords&gt;Adult&lt;/Keywords&gt;&lt;Keywords&gt;Age Factors&lt;/Keywords&gt;&lt;Keywords&gt;Aged&lt;/Keywords&gt;&lt;Keywords&gt;Anemia&lt;/Keywords&gt;&lt;Keywords&gt;Baltimore&lt;/Keywords&gt;&lt;Keywords&gt;Child&lt;/Keywords&gt;&lt;Keywords&gt;Child,Preschool&lt;/Keywords&gt;&lt;Keywords&gt;Demography&lt;/Keywords&gt;&lt;Keywords&gt;diagnosis&lt;/Keywords&gt;&lt;Keywords&gt;Disease&lt;/Keywords&gt;&lt;Keywords&gt;epidemiology&lt;/Keywords&gt;&lt;Keywords&gt;Female&lt;/Keywords&gt;&lt;Keywords&gt;Humans&lt;/Keywords&gt;&lt;Keywords&gt;Income&lt;/Keywords&gt;&lt;Keywords&gt;Lupus Erythematosus,Systemic&lt;/Keywords&gt;&lt;Keywords&gt;Male&lt;/Keywords&gt;&lt;Keywords&gt;Maryland&lt;/Keywords&gt;&lt;Keywords&gt;Middle Aged&lt;/Keywords&gt;&lt;Keywords&gt;mortality&lt;/Keywords&gt;&lt;Keywords&gt;physiopathology&lt;/Keywords&gt;&lt;Keywords&gt;Probability&lt;/Keywords&gt;&lt;Keywords&gt;Prognosis&lt;/Keywords&gt;&lt;Keywords&gt;Proportional Hazards Models&lt;/Keywords&gt;&lt;Keywords&gt;Prospective Studies&lt;/Keywords&gt;&lt;Keywords&gt;Risk&lt;/Keywords&gt;&lt;Keywords&gt;Risk Assessment&lt;/Keywords&gt;&lt;Keywords&gt;Serologic Tests&lt;/Keywords&gt;&lt;Keywords&gt;Sex Factors&lt;/Keywords&gt;&lt;Keywords&gt;Socioeconomic Factors&lt;/Keywords&gt;&lt;Keywords&gt;Survival Analysis&lt;/Keywords&gt;&lt;Keywords&gt;Time&lt;/Keywords&gt;&lt;Keywords&gt;Time Factors&lt;/Keywords&gt;&lt;Keywords&gt;United States&lt;/Keywords&gt;&lt;Reprint&gt;Not in File&lt;/Reprint&gt;&lt;Start_Page&gt;147&lt;/Start_Page&gt;&lt;End_Page&gt;156&lt;/End_Page&gt;&lt;Periodical&gt;Medicine (Baltimore).&lt;/Periodical&gt;&lt;Volume&gt;85&lt;/Volume&gt;&lt;Issue&gt;3&lt;/Issue&gt;&lt;User_Def_1&gt;y&lt;/User_Def_1&gt;&lt;ZZ_JournalStdAbbrev&gt;&lt;f name="System"&gt;Medicine (Baltimore).&lt;/f&gt;&lt;/ZZ_JournalStdAbbrev&gt;&lt;ZZ_WorkformID&gt;1&lt;/ZZ_WorkformID&gt;&lt;/MDL&gt;&lt;/Cite&gt;&lt;/Refman&gt;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(153)</w:t>
            </w:r>
            <w:r w:rsidR="00E729BA" w:rsidRPr="004E70E9">
              <w:rPr>
                <w:sz w:val="17"/>
                <w:szCs w:val="17"/>
                <w:lang w:eastAsia="en-GB"/>
              </w:rPr>
              <w:fldChar w:fldCharType="end"/>
            </w:r>
          </w:p>
        </w:tc>
        <w:tc>
          <w:tcPr>
            <w:tcW w:w="567" w:type="dxa"/>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2006</w:t>
            </w:r>
          </w:p>
        </w:tc>
        <w:tc>
          <w:tcPr>
            <w:tcW w:w="708" w:type="dxa"/>
            <w:gridSpan w:val="2"/>
            <w:tcBorders>
              <w:top w:val="single" w:sz="4" w:space="0" w:color="auto"/>
            </w:tcBorders>
          </w:tcPr>
          <w:p w:rsidR="002D772C" w:rsidRPr="004E70E9" w:rsidRDefault="002D772C" w:rsidP="0049322C">
            <w:pPr>
              <w:pStyle w:val="ListParagraph1"/>
              <w:rPr>
                <w:sz w:val="17"/>
                <w:szCs w:val="17"/>
                <w:lang w:eastAsia="en-GB"/>
              </w:rPr>
            </w:pPr>
            <w:r w:rsidRPr="004E70E9">
              <w:rPr>
                <w:sz w:val="17"/>
                <w:szCs w:val="17"/>
                <w:lang w:eastAsia="en-GB"/>
              </w:rPr>
              <w:t>1378</w:t>
            </w:r>
          </w:p>
        </w:tc>
        <w:tc>
          <w:tcPr>
            <w:tcW w:w="1276" w:type="dxa"/>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Not significant</w:t>
            </w:r>
          </w:p>
        </w:tc>
        <w:tc>
          <w:tcPr>
            <w:tcW w:w="1276"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417"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Not significant</w:t>
            </w:r>
          </w:p>
        </w:tc>
        <w:tc>
          <w:tcPr>
            <w:tcW w:w="1418"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276"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5.9 (2.5-14.4)</w:t>
            </w:r>
          </w:p>
        </w:tc>
        <w:tc>
          <w:tcPr>
            <w:tcW w:w="1559"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Not significant</w:t>
            </w:r>
          </w:p>
        </w:tc>
        <w:tc>
          <w:tcPr>
            <w:tcW w:w="1134"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134" w:type="dxa"/>
            <w:gridSpan w:val="2"/>
            <w:tcBorders>
              <w:top w:val="single" w:sz="4" w:space="0" w:color="auto"/>
            </w:tcBorders>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it-IT" w:eastAsia="en-GB"/>
              </w:rPr>
            </w:pPr>
            <w:r w:rsidRPr="004E70E9">
              <w:rPr>
                <w:sz w:val="17"/>
                <w:szCs w:val="17"/>
                <w:lang w:val="it-IT" w:eastAsia="en-GB"/>
              </w:rPr>
              <w:t xml:space="preserve">Cardoso </w:t>
            </w:r>
            <w:r w:rsidR="00E729BA" w:rsidRPr="004E70E9">
              <w:rPr>
                <w:sz w:val="17"/>
                <w:szCs w:val="17"/>
                <w:lang w:val="it-IT" w:eastAsia="en-GB"/>
              </w:rPr>
              <w:fldChar w:fldCharType="begin"/>
            </w:r>
            <w:r w:rsidR="00FC61FD">
              <w:rPr>
                <w:sz w:val="17"/>
                <w:szCs w:val="17"/>
                <w:lang w:val="it-IT" w:eastAsia="en-GB"/>
              </w:rPr>
              <w:instrText xml:space="preserve"> ADDIN REFMGR.CITE &lt;Refman&gt;&lt;Cite&gt;&lt;Author&gt;Cardoso&lt;/Author&gt;&lt;Year&gt;2008&lt;/Year&gt;&lt;RecNum&gt;147&lt;/RecNum&gt;&lt;IDText&gt;Initial and accrued damage as predictors of mortality in Brazilian patients with systemic lupus erythematosus: a cohort study&lt;/IDText&gt;&lt;MDL Ref_Type="Journal"&gt;&lt;Ref_Type&gt;Journal&lt;/Ref_Type&gt;&lt;Ref_ID&gt;147&lt;/Ref_ID&gt;&lt;Title_Primary&gt;Initial and accrued damage as predictors of mortality in Brazilian patients with systemic lupus erythematosus: a cohort study&lt;/Title_Primary&gt;&lt;Authors_Primary&gt;Cardoso,C.R.&lt;/Authors_Primary&gt;&lt;Authors_Primary&gt;Signorelli,F.V.&lt;/Authors_Primary&gt;&lt;Authors_Primary&gt;Papi,J.A.&lt;/Authors_Primary&gt;&lt;Authors_Primary&gt;Salles,G.F.&lt;/Authors_Primary&gt;&lt;Date_Primary&gt;2008/11&lt;/Date_Primary&gt;&lt;Keywords&gt;Adult&lt;/Keywords&gt;&lt;Keywords&gt;analysis&lt;/Keywords&gt;&lt;Keywords&gt;Brazil&lt;/Keywords&gt;&lt;Keywords&gt;Cohort Studies&lt;/Keywords&gt;&lt;Keywords&gt;Disease&lt;/Keywords&gt;&lt;Keywords&gt;epidemiology&lt;/Keywords&gt;&lt;Keywords&gt;Female&lt;/Keywords&gt;&lt;Keywords&gt;Follow-Up Studies&lt;/Keywords&gt;&lt;Keywords&gt;Humans&lt;/Keywords&gt;&lt;Keywords&gt;Infection&lt;/Keywords&gt;&lt;Keywords&gt;Lupus Erythematosus,Systemic&lt;/Keywords&gt;&lt;Keywords&gt;Male&lt;/Keywords&gt;&lt;Keywords&gt;mortality&lt;/Keywords&gt;&lt;Keywords&gt;Outpatients&lt;/Keywords&gt;&lt;Keywords&gt;Prognosis&lt;/Keywords&gt;&lt;Keywords&gt;Prospective Studies&lt;/Keywords&gt;&lt;Keywords&gt;Risk&lt;/Keywords&gt;&lt;Keywords&gt;Severity of Illness Index&lt;/Keywords&gt;&lt;Keywords&gt;Survival Analysis&lt;/Keywords&gt;&lt;Keywords&gt;Survivors&lt;/Keywords&gt;&lt;Reprint&gt;Not in File&lt;/Reprint&gt;&lt;Start_Page&gt;1042&lt;/Start_Page&gt;&lt;End_Page&gt;1048&lt;/End_Page&gt;&lt;Periodical&gt;Lupus.&lt;/Periodical&gt;&lt;Volume&gt;17&lt;/Volume&gt;&lt;Issue&gt;11&lt;/Issue&gt;&lt;User_Def_1&gt;y&lt;/User_Def_1&gt;&lt;ZZ_JournalStdAbbrev&gt;&lt;f name="System"&gt;Lupus.&lt;/f&gt;&lt;/ZZ_JournalStdAbbrev&gt;&lt;ZZ_WorkformID&gt;1&lt;/ZZ_WorkformID&gt;&lt;/MDL&gt;&lt;/Cite&gt;&lt;/Refman&gt;</w:instrText>
            </w:r>
            <w:r w:rsidR="00E729BA" w:rsidRPr="004E70E9">
              <w:rPr>
                <w:sz w:val="17"/>
                <w:szCs w:val="17"/>
                <w:lang w:val="it-IT" w:eastAsia="en-GB"/>
              </w:rPr>
              <w:fldChar w:fldCharType="separate"/>
            </w:r>
            <w:r w:rsidR="004D7951">
              <w:rPr>
                <w:sz w:val="17"/>
                <w:szCs w:val="17"/>
                <w:lang w:val="it-IT" w:eastAsia="en-GB"/>
              </w:rPr>
              <w:t>(166)</w:t>
            </w:r>
            <w:r w:rsidR="00E729BA" w:rsidRPr="004E70E9">
              <w:rPr>
                <w:sz w:val="17"/>
                <w:szCs w:val="17"/>
                <w:lang w:val="it-IT"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2008</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105</w:t>
            </w:r>
          </w:p>
        </w:tc>
        <w:tc>
          <w:tcPr>
            <w:tcW w:w="1276" w:type="dxa"/>
            <w:noWrap/>
          </w:tcPr>
          <w:p w:rsidR="00DD3003" w:rsidRDefault="002D772C" w:rsidP="0049322C">
            <w:pPr>
              <w:pStyle w:val="ListParagraph1"/>
              <w:rPr>
                <w:sz w:val="17"/>
                <w:szCs w:val="17"/>
                <w:lang w:eastAsia="en-GB"/>
              </w:rPr>
            </w:pPr>
            <w:r w:rsidRPr="004E70E9">
              <w:rPr>
                <w:sz w:val="17"/>
                <w:szCs w:val="17"/>
                <w:lang w:eastAsia="en-GB"/>
              </w:rPr>
              <w:t xml:space="preserve">4.14 </w:t>
            </w:r>
          </w:p>
          <w:p w:rsidR="002D772C" w:rsidRPr="004E70E9" w:rsidRDefault="002D772C" w:rsidP="0049322C">
            <w:pPr>
              <w:pStyle w:val="ListParagraph1"/>
              <w:rPr>
                <w:sz w:val="17"/>
                <w:szCs w:val="17"/>
                <w:lang w:eastAsia="en-GB"/>
              </w:rPr>
            </w:pPr>
            <w:r w:rsidRPr="004E70E9">
              <w:rPr>
                <w:sz w:val="17"/>
                <w:szCs w:val="17"/>
                <w:lang w:eastAsia="en-GB"/>
              </w:rPr>
              <w:t>(1.47-11.71)</w:t>
            </w: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1.34 (1.14-1.58)</w:t>
            </w: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r w:rsidRPr="004E70E9">
              <w:rPr>
                <w:sz w:val="17"/>
                <w:szCs w:val="17"/>
                <w:lang w:eastAsia="en-GB"/>
              </w:rPr>
              <w:t>3.38 (1.2-9.51)</w:t>
            </w: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Ruiz-Irastorza </w:t>
            </w:r>
            <w:r w:rsidR="00E729BA" w:rsidRPr="004E70E9">
              <w:rPr>
                <w:sz w:val="17"/>
                <w:szCs w:val="17"/>
                <w:lang w:val="pt-PT" w:eastAsia="en-GB"/>
              </w:rPr>
              <w:fldChar w:fldCharType="begin"/>
            </w:r>
            <w:r w:rsidR="00FC61FD">
              <w:rPr>
                <w:sz w:val="17"/>
                <w:szCs w:val="17"/>
                <w:lang w:eastAsia="en-GB"/>
              </w:rPr>
              <w:instrText xml:space="preserve"> ADDIN REFMGR.CITE &lt;Refman&gt;&lt;Cite&gt;&lt;Author&gt;Ruiz-Irastorza&lt;/Author&gt;&lt;Year&gt;2004&lt;/Year&gt;&lt;RecNum&gt;711&lt;/RecNum&gt;&lt;IDText&gt;High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name="System"&gt;Arch.Intern.Med.&lt;/f&gt;&lt;/ZZ_JournalStdAbbrev&gt;&lt;ZZ_WorkformID&gt;1&lt;/ZZ_WorkformID&gt;&lt;/MDL&gt;&lt;/Cite&gt;&lt;/Refman&gt;</w:instrText>
            </w:r>
            <w:r w:rsidR="00E729BA" w:rsidRPr="004E70E9">
              <w:rPr>
                <w:sz w:val="17"/>
                <w:szCs w:val="17"/>
                <w:lang w:val="pt-PT" w:eastAsia="en-GB"/>
              </w:rPr>
              <w:fldChar w:fldCharType="separate"/>
            </w:r>
            <w:r w:rsidR="004D7951">
              <w:rPr>
                <w:sz w:val="17"/>
                <w:szCs w:val="17"/>
                <w:lang w:eastAsia="en-GB"/>
              </w:rPr>
              <w:t>(154)</w:t>
            </w:r>
            <w:r w:rsidR="00E729BA" w:rsidRPr="004E70E9">
              <w:rPr>
                <w:sz w:val="17"/>
                <w:szCs w:val="17"/>
                <w:lang w:val="pt-PT"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2004</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202</w:t>
            </w:r>
          </w:p>
        </w:tc>
        <w:tc>
          <w:tcPr>
            <w:tcW w:w="1276" w:type="dxa"/>
            <w:noWrap/>
          </w:tcPr>
          <w:p w:rsidR="002D772C" w:rsidRPr="004E70E9" w:rsidRDefault="002D772C" w:rsidP="0049322C">
            <w:pPr>
              <w:pStyle w:val="ListParagraph1"/>
              <w:rPr>
                <w:sz w:val="17"/>
                <w:szCs w:val="17"/>
                <w:lang w:eastAsia="en-GB"/>
              </w:rPr>
            </w:pPr>
            <w:r w:rsidRPr="004E70E9">
              <w:rPr>
                <w:sz w:val="17"/>
                <w:szCs w:val="17"/>
                <w:lang w:eastAsia="en-GB"/>
              </w:rPr>
              <w:t>4.4 (1.4-14.0)</w:t>
            </w: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1.07 (1.03-1.1)</w:t>
            </w: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sv-SE" w:eastAsia="en-GB"/>
              </w:rPr>
            </w:pPr>
            <w:r w:rsidRPr="004E70E9">
              <w:rPr>
                <w:sz w:val="17"/>
                <w:szCs w:val="17"/>
                <w:lang w:val="sv-SE" w:eastAsia="en-GB"/>
              </w:rPr>
              <w:t xml:space="preserve">Becker-Merok </w:t>
            </w:r>
            <w:r w:rsidR="00E729BA" w:rsidRPr="004E70E9">
              <w:rPr>
                <w:sz w:val="17"/>
                <w:szCs w:val="17"/>
                <w:lang w:val="sv-SE" w:eastAsia="en-GB"/>
              </w:rPr>
              <w:fldChar w:fldCharType="begin"/>
            </w:r>
            <w:r w:rsidR="00FC61FD">
              <w:rPr>
                <w:sz w:val="17"/>
                <w:szCs w:val="17"/>
                <w:lang w:val="sv-SE" w:eastAsia="en-GB"/>
              </w:rPr>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rsidRPr="004E70E9">
              <w:rPr>
                <w:sz w:val="17"/>
                <w:szCs w:val="17"/>
                <w:lang w:val="sv-SE" w:eastAsia="en-GB"/>
              </w:rPr>
              <w:fldChar w:fldCharType="separate"/>
            </w:r>
            <w:r w:rsidR="004D7951">
              <w:rPr>
                <w:sz w:val="17"/>
                <w:szCs w:val="17"/>
                <w:lang w:val="sv-SE" w:eastAsia="en-GB"/>
              </w:rPr>
              <w:t>(162)</w:t>
            </w:r>
            <w:r w:rsidR="00E729BA" w:rsidRPr="004E70E9">
              <w:rPr>
                <w:sz w:val="17"/>
                <w:szCs w:val="17"/>
                <w:lang w:val="sv-SE"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2006</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158</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r w:rsidRPr="004E70E9">
              <w:rPr>
                <w:sz w:val="17"/>
                <w:szCs w:val="17"/>
                <w:lang w:eastAsia="en-GB"/>
              </w:rPr>
              <w:t>2.4 (1.19-4.42)</w:t>
            </w:r>
          </w:p>
        </w:tc>
        <w:tc>
          <w:tcPr>
            <w:tcW w:w="1418" w:type="dxa"/>
            <w:gridSpan w:val="2"/>
            <w:noWrap/>
          </w:tcPr>
          <w:p w:rsidR="002D772C" w:rsidRPr="004E70E9" w:rsidRDefault="002D772C" w:rsidP="0049322C">
            <w:pPr>
              <w:pStyle w:val="ListParagraph1"/>
              <w:rPr>
                <w:sz w:val="17"/>
                <w:szCs w:val="17"/>
                <w:lang w:eastAsia="en-GB"/>
              </w:rPr>
            </w:pPr>
            <w:r w:rsidRPr="004E70E9">
              <w:rPr>
                <w:sz w:val="17"/>
                <w:szCs w:val="17"/>
                <w:lang w:eastAsia="en-GB"/>
              </w:rPr>
              <w:t>Not significant</w:t>
            </w: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5.57 (2.44-12.7)</w:t>
            </w: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Fernandez </w:t>
            </w:r>
            <w:r w:rsidR="00E729BA" w:rsidRPr="004E70E9">
              <w:rPr>
                <w:sz w:val="17"/>
                <w:szCs w:val="17"/>
                <w:lang w:eastAsia="en-GB"/>
              </w:rPr>
              <w:fldChar w:fldCharType="begin"/>
            </w:r>
            <w:r w:rsidR="00FC61FD">
              <w:rPr>
                <w:sz w:val="17"/>
                <w:szCs w:val="17"/>
                <w:lang w:eastAsia="en-GB"/>
              </w:rPr>
              <w:instrText xml:space="preserve"> ADDIN REFMGR.CITE &lt;Refman&gt;&lt;Cite&gt;&lt;Author&gt;Fernandez&lt;/Author&gt;&lt;Year&gt;2007&lt;/Year&gt;&lt;RecNum&gt;323&lt;/RecNum&gt;&lt;IDText&gt;A multiethnic, multicenter cohort of patients with systemic lupus erythematosus (SLE) as a model for the study of ethnic disparities in SLE&lt;/IDText&gt;&lt;MDL Ref_Type="Journal"&gt;&lt;Ref_Type&gt;Journal&lt;/Ref_Type&gt;&lt;Ref_ID&gt;323&lt;/Ref_ID&gt;&lt;Title_Primary&gt;A multiethnic, multicenter cohort of patients with systemic lupus erythematosus (SLE) as a model for the study of ethnic disparities in SLE&lt;/Title_Primary&gt;&lt;Authors_Primary&gt;Fernandez,M.&lt;/Authors_Primary&gt;&lt;Authors_Primary&gt;Alarcon,G.S.&lt;/Authors_Primary&gt;&lt;Authors_Primary&gt;Calvo-Alen,J.&lt;/Authors_Primary&gt;&lt;Authors_Primary&gt;Andrade,R.&lt;/Authors_Primary&gt;&lt;Authors_Primary&gt;McGwin,G.,Jr.&lt;/Authors_Primary&gt;&lt;Authors_Primary&gt;Vila,L.M.&lt;/Authors_Primary&gt;&lt;Authors_Primary&gt;Reveille,J.D.&lt;/Authors_Primary&gt;&lt;Date_Primary&gt;2007/5/15&lt;/Date_Primary&gt;&lt;Keywords&gt;Adult&lt;/Keywords&gt;&lt;Keywords&gt;African Americans&lt;/Keywords&gt;&lt;Keywords&gt;age&lt;/Keywords&gt;&lt;Keywords&gt;Alabama&lt;/Keywords&gt;&lt;Keywords&gt;Cohort Studies&lt;/Keywords&gt;&lt;Keywords&gt;Disease&lt;/Keywords&gt;&lt;Keywords&gt;disease activity&lt;/Keywords&gt;&lt;Keywords&gt;epidemiology&lt;/Keywords&gt;&lt;Keywords&gt;erythematosus&lt;/Keywords&gt;&lt;Keywords&gt;Ethnic Groups&lt;/Keywords&gt;&lt;Keywords&gt;ethnology&lt;/Keywords&gt;&lt;Keywords&gt;European Continental Ancestry Group&lt;/Keywords&gt;&lt;Keywords&gt;Female&lt;/Keywords&gt;&lt;Keywords&gt;genetics&lt;/Keywords&gt;&lt;Keywords&gt;Health&lt;/Keywords&gt;&lt;Keywords&gt;Health Services Accessibility&lt;/Keywords&gt;&lt;Keywords&gt;Hispanic Americans&lt;/Keywords&gt;&lt;Keywords&gt;HLA-DQ Antigens&lt;/Keywords&gt;&lt;Keywords&gt;HLA-DR Antigens&lt;/Keywords&gt;&lt;Keywords&gt;Humans&lt;/Keywords&gt;&lt;Keywords&gt;Longitudinal Studies&lt;/Keywords&gt;&lt;Keywords&gt;longitudinal study&lt;/Keywords&gt;&lt;Keywords&gt;lupus erythematosus&lt;/Keywords&gt;&lt;Keywords&gt;Lupus Erythematosus,Systemic&lt;/Keywords&gt;&lt;Keywords&gt;Lupus Nephritis&lt;/Keywords&gt;&lt;Keywords&gt;Male&lt;/Keywords&gt;&lt;Keywords&gt;methods&lt;/Keywords&gt;&lt;Keywords&gt;Middle Aged&lt;/Keywords&gt;&lt;Keywords&gt;mortality&lt;/Keywords&gt;&lt;Keywords&gt;Nephritis&lt;/Keywords&gt;&lt;Keywords&gt;patient&lt;/Keywords&gt;&lt;Keywords&gt;Patients&lt;/Keywords&gt;&lt;Keywords&gt;Proportional Hazards Models&lt;/Keywords&gt;&lt;Keywords&gt;Puerto Rico&lt;/Keywords&gt;&lt;Keywords&gt;Research&lt;/Keywords&gt;&lt;Keywords&gt;Rheumatology&lt;/Keywords&gt;&lt;Keywords&gt;Social Class&lt;/Keywords&gt;&lt;Keywords&gt;statistics &amp;amp; numerical data&lt;/Keywords&gt;&lt;Keywords&gt;systemic lupus erythematosus&lt;/Keywords&gt;&lt;Keywords&gt;Texas&lt;/Keywords&gt;&lt;Keywords&gt;therapy&lt;/Keywords&gt;&lt;Reprint&gt;Not in File&lt;/Reprint&gt;&lt;Start_Page&gt;576&lt;/Start_Page&gt;&lt;End_Page&gt;584&lt;/End_Page&gt;&lt;Periodical&gt;Arthritis Rheum.&lt;/Periodical&gt;&lt;Volume&gt;57&lt;/Volume&gt;&lt;Issue&gt;4&lt;/Issue&gt;&lt;User_Def_1&gt;y&lt;/User_Def_1&gt;&lt;ZZ_JournalStdAbbrev&gt;&lt;f name="System"&gt;Arthritis Rheum.&lt;/f&gt;&lt;/ZZ_JournalStdAbbrev&gt;&lt;ZZ_WorkformID&gt;1&lt;/ZZ_WorkformID&gt;&lt;/MDL&gt;&lt;/Cite&gt;&lt;/Refman&gt;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(168)</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2007</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552</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1.1 (1.06-1.16)</w:t>
            </w:r>
          </w:p>
        </w:tc>
        <w:tc>
          <w:tcPr>
            <w:tcW w:w="1418"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1.20 (1.00-1.44)</w:t>
            </w: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1.03 (1.01-1.05)</w:t>
            </w: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nl-NL" w:eastAsia="en-GB"/>
              </w:rPr>
            </w:pPr>
            <w:r w:rsidRPr="004E70E9">
              <w:rPr>
                <w:sz w:val="17"/>
                <w:szCs w:val="17"/>
                <w:lang w:val="nl-NL" w:eastAsia="en-GB"/>
              </w:rPr>
              <w:t xml:space="preserve">Mok </w:t>
            </w:r>
            <w:r w:rsidR="00E729BA" w:rsidRPr="004E70E9">
              <w:rPr>
                <w:sz w:val="17"/>
                <w:szCs w:val="17"/>
                <w:lang w:val="nl-NL" w:eastAsia="en-GB"/>
              </w:rPr>
              <w:fldChar w:fldCharType="begin"/>
            </w:r>
            <w:r w:rsidR="00FC61FD">
              <w:rPr>
                <w:sz w:val="17"/>
                <w:szCs w:val="17"/>
                <w:lang w:val="nl-NL" w:eastAsia="en-GB"/>
              </w:rPr>
              <w:instrText xml:space="preserve"> ADDIN REFMGR.CITE &lt;Refman&gt;&lt;Cite&gt;&lt;Author&gt;Mok&lt;/Author&gt;&lt;Year&gt;2000&lt;/Year&gt;&lt;RecNum&gt;1060&lt;/RecNum&gt;&lt;IDText&gt;A prospective study of survival and prognostic indicators of systemic lupus erythematosus in a southern Chinese population&lt;/IDText&gt;&lt;MDL Ref_Type="Journal"&gt;&lt;Ref_Type&gt;Journal&lt;/Ref_Type&gt;&lt;Ref_ID&gt;1060&lt;/Ref_ID&gt;&lt;Title_Primary&gt;A prospective study of survival and prognostic indicators of systemic lupus erythematosus in a southern Chinese population&lt;/Title_Primary&gt;&lt;Authors_Primary&gt;Mok,C.C.&lt;/Authors_Primary&gt;&lt;Authors_Primary&gt;Lee,K.W.&lt;/Authors_Primary&gt;&lt;Authors_Primary&gt;Ho,C.T.&lt;/Authors_Primary&gt;&lt;Authors_Primary&gt;Lau,C.S.&lt;/Authors_Primary&gt;&lt;Authors_Primary&gt;Wong,R.W.&lt;/Authors_Primary&gt;&lt;Date_Primary&gt;2000/4&lt;/Date_Primary&gt;&lt;Keywords&gt;Adolescent&lt;/Keywords&gt;&lt;Keywords&gt;Adult&lt;/Keywords&gt;&lt;Keywords&gt;adverse effects&lt;/Keywords&gt;&lt;Keywords&gt;Aged&lt;/Keywords&gt;&lt;Keywords&gt;Alopecia&lt;/Keywords&gt;&lt;Keywords&gt;analysis&lt;/Keywords&gt;&lt;Keywords&gt;Arthritis&lt;/Keywords&gt;&lt;Keywords&gt;Autoantibodies&lt;/Keywords&gt;&lt;Keywords&gt;Cause of Death&lt;/Keywords&gt;&lt;Keywords&gt;Central Nervous System&lt;/Keywords&gt;&lt;Keywords&gt;Child&lt;/Keywords&gt;&lt;Keywords&gt;China&lt;/Keywords&gt;&lt;Keywords&gt;complications&lt;/Keywords&gt;&lt;Keywords&gt;diagnosis&lt;/Keywords&gt;&lt;Keywords&gt;Disease&lt;/Keywords&gt;&lt;Keywords&gt;epidemiology&lt;/Keywords&gt;&lt;Keywords&gt;etiology&lt;/Keywords&gt;&lt;Keywords&gt;Female&lt;/Keywords&gt;&lt;Keywords&gt;Humans&lt;/Keywords&gt;&lt;Keywords&gt;Immunosuppressive Agents&lt;/Keywords&gt;&lt;Keywords&gt;Infection&lt;/Keywords&gt;&lt;Keywords&gt;Lupus Erythematosus,Systemic&lt;/Keywords&gt;&lt;Keywords&gt;Male&lt;/Keywords&gt;&lt;Keywords&gt;methods&lt;/Keywords&gt;&lt;Keywords&gt;Middle Aged&lt;/Keywords&gt;&lt;Keywords&gt;mortality&lt;/Keywords&gt;&lt;Keywords&gt;Nephritis&lt;/Keywords&gt;&lt;Keywords&gt;Prevalence&lt;/Keywords&gt;&lt;Keywords&gt;Prognosis&lt;/Keywords&gt;&lt;Keywords&gt;Prospective Studies&lt;/Keywords&gt;&lt;Keywords&gt;Regression Analysis&lt;/Keywords&gt;&lt;Keywords&gt;Rheumatology&lt;/Keywords&gt;&lt;Keywords&gt;Risk&lt;/Keywords&gt;&lt;Keywords&gt;Risk Factors&lt;/Keywords&gt;&lt;Keywords&gt;Steroids&lt;/Keywords&gt;&lt;Keywords&gt;Survival Analysis&lt;/Keywords&gt;&lt;Keywords&gt;Survival Rate&lt;/Keywords&gt;&lt;Keywords&gt;therapeutic use&lt;/Keywords&gt;&lt;Keywords&gt;Thrombocytopenia&lt;/Keywords&gt;&lt;Keywords&gt;Time&lt;/Keywords&gt;&lt;Reprint&gt;Not in File&lt;/Reprint&gt;&lt;Start_Page&gt;399&lt;/Start_Page&gt;&lt;End_Page&gt;406&lt;/End_Page&gt;&lt;Periodical&gt;Rheumatology.(Oxford).&lt;/Periodical&gt;&lt;Volume&gt;39&lt;/Volume&gt;&lt;Issue&gt;4&lt;/Issue&gt;&lt;User_Def_1&gt;y&lt;/User_Def_1&gt;&lt;ZZ_JournalStdAbbrev&gt;&lt;f name="System"&gt;Rheumatology.(Oxford).&lt;/f&gt;&lt;/ZZ_JournalStdAbbrev&gt;&lt;ZZ_WorkformID&gt;1&lt;/ZZ_WorkformID&gt;&lt;/MDL&gt;&lt;/Cite&gt;&lt;/Refman&gt;</w:instrText>
            </w:r>
            <w:r w:rsidR="00E729BA" w:rsidRPr="004E70E9">
              <w:rPr>
                <w:sz w:val="17"/>
                <w:szCs w:val="17"/>
                <w:lang w:val="nl-NL" w:eastAsia="en-GB"/>
              </w:rPr>
              <w:fldChar w:fldCharType="separate"/>
            </w:r>
            <w:r w:rsidR="004D7951">
              <w:rPr>
                <w:sz w:val="17"/>
                <w:szCs w:val="17"/>
                <w:lang w:val="nl-NL" w:eastAsia="en-GB"/>
              </w:rPr>
              <w:t>(160)</w:t>
            </w:r>
            <w:r w:rsidR="00E729BA" w:rsidRPr="004E70E9">
              <w:rPr>
                <w:sz w:val="17"/>
                <w:szCs w:val="17"/>
                <w:lang w:val="nl-NL"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2000</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163</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r w:rsidRPr="004E70E9">
              <w:rPr>
                <w:sz w:val="17"/>
                <w:szCs w:val="17"/>
                <w:lang w:eastAsia="en-GB"/>
              </w:rPr>
              <w:t>38.2 (1.2-124)</w:t>
            </w: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de-DE" w:eastAsia="en-GB"/>
              </w:rPr>
            </w:pPr>
            <w:r w:rsidRPr="004E70E9">
              <w:rPr>
                <w:sz w:val="17"/>
                <w:szCs w:val="17"/>
                <w:lang w:val="de-DE" w:eastAsia="en-GB"/>
              </w:rPr>
              <w:t xml:space="preserve">Chambers </w:t>
            </w:r>
            <w:r w:rsidR="00E729BA" w:rsidRPr="004E70E9">
              <w:rPr>
                <w:sz w:val="17"/>
                <w:szCs w:val="17"/>
                <w:lang w:val="de-DE" w:eastAsia="en-GB"/>
              </w:rPr>
              <w:fldChar w:fldCharType="begin"/>
            </w:r>
            <w:r w:rsidR="00FC61FD">
              <w:rPr>
                <w:sz w:val="17"/>
                <w:szCs w:val="17"/>
                <w:lang w:val="de-DE" w:eastAsia="en-GB"/>
              </w:rPr>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rsidRPr="004E70E9">
              <w:rPr>
                <w:sz w:val="17"/>
                <w:szCs w:val="17"/>
                <w:lang w:val="de-DE" w:eastAsia="en-GB"/>
              </w:rPr>
              <w:fldChar w:fldCharType="separate"/>
            </w:r>
            <w:r w:rsidR="004D7951">
              <w:rPr>
                <w:sz w:val="17"/>
                <w:szCs w:val="17"/>
                <w:lang w:val="de-DE" w:eastAsia="en-GB"/>
              </w:rPr>
              <w:t>(167)</w:t>
            </w:r>
            <w:r w:rsidR="00E729BA" w:rsidRPr="004E70E9">
              <w:rPr>
                <w:sz w:val="17"/>
                <w:szCs w:val="17"/>
                <w:lang w:val="de-DE"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2009</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232</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1.4 (1.14-1.72)</w:t>
            </w: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sv-SE" w:eastAsia="en-GB"/>
              </w:rPr>
            </w:pPr>
            <w:r w:rsidRPr="004E70E9">
              <w:rPr>
                <w:sz w:val="17"/>
                <w:szCs w:val="17"/>
                <w:lang w:val="sv-SE" w:eastAsia="en-GB"/>
              </w:rPr>
              <w:t xml:space="preserve">Bernatsky </w:t>
            </w:r>
            <w:r w:rsidR="00E729BA" w:rsidRPr="004E70E9">
              <w:rPr>
                <w:sz w:val="17"/>
                <w:szCs w:val="17"/>
                <w:lang w:val="sv-SE" w:eastAsia="en-GB"/>
              </w:rPr>
              <w:fldChar w:fldCharType="begin"/>
            </w:r>
            <w:r w:rsidR="00FC61FD">
              <w:rPr>
                <w:sz w:val="17"/>
                <w:szCs w:val="17"/>
                <w:lang w:val="sv-SE" w:eastAsia="en-GB"/>
              </w:rPr>
              <w:instrText xml:space="preserve"> ADDIN REFMGR.CITE &lt;Refman&gt;&lt;Cite&gt;&lt;Author&gt;Bernatsky&lt;/Author&gt;&lt;Year&gt;2006&lt;/Year&gt;&lt;RecNum&gt;551&lt;/RecNum&gt;&lt;IDText&gt;Mortality in systemic lupus erythematosus&lt;/IDText&gt;&lt;MDL Ref_Type="Journal"&gt;&lt;Ref_Type&gt;Journal&lt;/Ref_Type&gt;&lt;Ref_ID&gt;551&lt;/Ref_ID&gt;&lt;Title_Primary&gt;Mortality in systemic lupus erythematosus&lt;/Title_Primary&gt;&lt;Authors_Primary&gt;Bernatsky,S.&lt;/Authors_Primary&gt;&lt;Authors_Primary&gt;Boivin,J.F.&lt;/Authors_Primary&gt;&lt;Authors_Primary&gt;Joseph,L.&lt;/Authors_Primary&gt;&lt;Authors_Primary&gt;Manzi,S.&lt;/Authors_Primary&gt;&lt;Authors_Primary&gt;Ginzler,E.&lt;/Authors_Primary&gt;&lt;Authors_Primary&gt;Gladman,D.D.&lt;/Authors_Primary&gt;&lt;Authors_Primary&gt;Urowitz,M.&lt;/Authors_Primary&gt;&lt;Authors_Primary&gt;Fortin,P.R.&lt;/Authors_Primary&gt;&lt;Authors_Primary&gt;Petri,M.&lt;/Authors_Primary&gt;&lt;Authors_Primary&gt;Barr,S.&lt;/Authors_Primary&gt;&lt;Authors_Primary&gt;Gordon,C.&lt;/Authors_Primary&gt;&lt;Authors_Primary&gt;Bae,S.C.&lt;/Authors_Primary&gt;&lt;Authors_Primary&gt;Isenberg,D.&lt;/Authors_Primary&gt;&lt;Authors_Primary&gt;Zoma,A.&lt;/Authors_Primary&gt;&lt;Authors_Primary&gt;Aranow,C.&lt;/Authors_Primary&gt;&lt;Authors_Primary&gt;Dooley,M.A.&lt;/Authors_Primary&gt;&lt;Authors_Primary&gt;Nived,O.&lt;/Authors_Primary&gt;&lt;Authors_Primary&gt;Sturfelt,G.&lt;/Authors_Primary&gt;&lt;Authors_Primary&gt;Steinsson,K.&lt;/Authors_Primary&gt;&lt;Authors_Primary&gt;Alarcon,G.&lt;/Authors_Primary&gt;&lt;Authors_Primary&gt;Senecal,J.L.&lt;/Authors_Primary&gt;&lt;Authors_Primary&gt;Zummer,M.&lt;/Authors_Primary&gt;&lt;Authors_Primary&gt;Hanly,J.&lt;/Authors_Primary&gt;&lt;Authors_Primary&gt;Ensworth,S.&lt;/Authors_Primary&gt;&lt;Authors_Primary&gt;Pope,J.&lt;/Authors_Primary&gt;&lt;Authors_Primary&gt;Edworthy,S.&lt;/Authors_Primary&gt;&lt;Authors_Primary&gt;Rahman,A.&lt;/Authors_Primary&gt;&lt;Authors_Primary&gt;Sibley,J.&lt;/Authors_Primary&gt;&lt;Authors_Primary&gt;El-Gabalawy,H.&lt;/Authors_Primary&gt;&lt;Authors_Primary&gt;McCarthy,T.&lt;/Authors_Primary&gt;&lt;Authors_Primary&gt;St,Pierre Y.&lt;/Authors_Primary&gt;&lt;Authors_Primary&gt;Clarke,A.&lt;/Authors_Primary&gt;&lt;Authors_Primary&gt;Ramsey-Goldman,R.&lt;/Authors_Primary&gt;&lt;Date_Primary&gt;2006/8&lt;/Date_Primary&gt;&lt;Keywords&gt;Adolescent&lt;/Keywords&gt;&lt;Keywords&gt;Adult&lt;/Keywords&gt;&lt;Keywords&gt;age&lt;/Keywords&gt;&lt;Keywords&gt;cancer&lt;/Keywords&gt;&lt;Keywords&gt;Cause of Death&lt;/Keywords&gt;&lt;Keywords&gt;confidence interval&lt;/Keywords&gt;&lt;Keywords&gt;death&lt;/Keywords&gt;&lt;Keywords&gt;Disease&lt;/Keywords&gt;&lt;Keywords&gt;epidemiology&lt;/Keywords&gt;&lt;Keywords&gt;erythematosus&lt;/Keywords&gt;&lt;Keywords&gt;Female&lt;/Keywords&gt;&lt;Keywords&gt;general hospital&lt;/Keywords&gt;&lt;Keywords&gt;Great Britain&lt;/Keywords&gt;&lt;Keywords&gt;hospital&lt;/Keywords&gt;&lt;Keywords&gt;Humans&lt;/Keywords&gt;&lt;Keywords&gt;Iceland&lt;/Keywords&gt;&lt;Keywords&gt;Infection&lt;/Keywords&gt;&lt;Keywords&gt;International Cooperation&lt;/Keywords&gt;&lt;Keywords&gt;Korea&lt;/Keywords&gt;&lt;Keywords&gt;Lung&lt;/Keywords&gt;&lt;Keywords&gt;lung cancer&lt;/Keywords&gt;&lt;Keywords&gt;lupus erythematosus&lt;/Keywords&gt;&lt;Keywords&gt;Lupus Erythematosus,Systemic&lt;/Keywords&gt;&lt;Keywords&gt;Lymphoma&lt;/Keywords&gt;&lt;Keywords&gt;Male&lt;/Keywords&gt;&lt;Keywords&gt;methods&lt;/Keywords&gt;&lt;Keywords&gt;Middle Aged&lt;/Keywords&gt;&lt;Keywords&gt;mortality&lt;/Keywords&gt;&lt;Keywords&gt;non hodgkin&amp;apos;s lymphoma&lt;/Keywords&gt;&lt;Keywords&gt;North America&lt;/Keywords&gt;&lt;Keywords&gt;patient&lt;/Keywords&gt;&lt;Keywords&gt;Patients&lt;/Keywords&gt;&lt;Keywords&gt;population&lt;/Keywords&gt;&lt;Keywords&gt;Quebec&lt;/Keywords&gt;&lt;Keywords&gt;race&lt;/Keywords&gt;&lt;Keywords&gt;Registries&lt;/Keywords&gt;&lt;Keywords&gt;Risk&lt;/Keywords&gt;&lt;Keywords&gt;sample&lt;/Keywords&gt;&lt;Keywords&gt;sex&lt;/Keywords&gt;&lt;Keywords&gt;standardized mortality ratio&lt;/Keywords&gt;&lt;Keywords&gt;statistics&lt;/Keywords&gt;&lt;Keywords&gt;Survival Rate&lt;/Keywords&gt;&lt;Keywords&gt;Sweden&lt;/Keywords&gt;&lt;Keywords&gt;systemic lupus erythematosus&lt;/Keywords&gt;&lt;Keywords&gt;Time&lt;/Keywords&gt;&lt;Reprint&gt;Not in File&lt;/Reprint&gt;&lt;Start_Page&gt;2550&lt;/Start_Page&gt;&lt;End_Page&gt;2557&lt;/End_Page&gt;&lt;Periodical&gt;Arthritis Rheum.&lt;/Periodical&gt;&lt;Volume&gt;54&lt;/Volume&gt;&lt;Issue&gt;8&lt;/Issue&gt;&lt;User_Def_1&gt;y&lt;/User_Def_1&gt;&lt;User_Def_2&gt;y&lt;/User_Def_2&gt;&lt;User_Def_3&gt;OB&lt;/User_Def_3&gt;&lt;User_Def_4&gt;SLE&lt;/User_Def_4&gt;&lt;ZZ_JournalStdAbbrev&gt;&lt;f name="System"&gt;Arthritis Rheum.&lt;/f&gt;&lt;/ZZ_JournalStdAbbrev&gt;&lt;ZZ_WorkformID&gt;1&lt;/ZZ_WorkformID&gt;&lt;/MDL&gt;&lt;/Cite&gt;&lt;/Refman&gt;</w:instrText>
            </w:r>
            <w:r w:rsidR="00E729BA" w:rsidRPr="004E70E9">
              <w:rPr>
                <w:sz w:val="17"/>
                <w:szCs w:val="17"/>
                <w:lang w:val="sv-SE" w:eastAsia="en-GB"/>
              </w:rPr>
              <w:fldChar w:fldCharType="separate"/>
            </w:r>
            <w:r w:rsidR="004D7951">
              <w:rPr>
                <w:sz w:val="17"/>
                <w:szCs w:val="17"/>
                <w:lang w:val="sv-SE" w:eastAsia="en-GB"/>
              </w:rPr>
              <w:t>(144)</w:t>
            </w:r>
            <w:r w:rsidR="00E729BA" w:rsidRPr="004E70E9">
              <w:rPr>
                <w:sz w:val="17"/>
                <w:szCs w:val="17"/>
                <w:lang w:val="sv-SE"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2006</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9547</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6.4 (5.5-7.5)</w:t>
            </w: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r w:rsidRPr="004E70E9">
              <w:rPr>
                <w:sz w:val="17"/>
                <w:szCs w:val="17"/>
                <w:lang w:eastAsia="en-GB"/>
              </w:rPr>
              <w:t>7.7 (5.9-10.2)</w:t>
            </w: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Cook </w:t>
            </w:r>
            <w:r w:rsidR="00E729BA" w:rsidRPr="004E70E9">
              <w:rPr>
                <w:sz w:val="17"/>
                <w:szCs w:val="17"/>
                <w:lang w:eastAsia="en-GB"/>
              </w:rPr>
              <w:fldChar w:fldCharType="begin"/>
            </w:r>
            <w:r w:rsidR="00FC61FD">
              <w:rPr>
                <w:sz w:val="17"/>
                <w:szCs w:val="17"/>
                <w:lang w:eastAsia="en-GB"/>
              </w:rPr>
              <w:instrText xml:space="preserve"> ADDIN REFMGR.CITE &lt;Refman&gt;&lt;Cite&gt;&lt;Author&gt;Cook&lt;/Author&gt;&lt;Year&gt;2000&lt;/Year&gt;&lt;RecNum&gt;1038&lt;/RecNum&gt;&lt;IDText&gt;Prediction of short term mortality in systemic lupus erythematosus with time dependent measures of disease activity&lt;/IDText&gt;&lt;MDL Ref_Type="Journal"&gt;&lt;Ref_Type&gt;Journal&lt;/Ref_Type&gt;&lt;Ref_ID&gt;1038&lt;/Ref_ID&gt;&lt;Title_Primary&gt;Prediction of short term mortality in systemic lupus erythematosus with time dependent measures of disease activity&lt;/Title_Primary&gt;&lt;Authors_Primary&gt;Cook,R.J.&lt;/Authors_Primary&gt;&lt;Authors_Primary&gt;Gladman,D.D.&lt;/Authors_Primary&gt;&lt;Authors_Primary&gt;Pericak,D.&lt;/Authors_Primary&gt;&lt;Authors_Primary&gt;Urowitz,M.B.&lt;/Authors_Primary&gt;&lt;Date_Primary&gt;2000/8&lt;/Date_Primary&gt;&lt;Keywords&gt;Adult&lt;/Keywords&gt;&lt;Keywords&gt;analysis&lt;/Keywords&gt;&lt;Keywords&gt;Antibodies&lt;/Keywords&gt;&lt;Keywords&gt;Brain&lt;/Keywords&gt;&lt;Keywords&gt;Canada&lt;/Keywords&gt;&lt;Keywords&gt;Confidence Intervals&lt;/Keywords&gt;&lt;Keywords&gt;Disease&lt;/Keywords&gt;&lt;Keywords&gt;epidemiology&lt;/Keywords&gt;&lt;Keywords&gt;Female&lt;/Keywords&gt;&lt;Keywords&gt;Fever&lt;/Keywords&gt;&lt;Keywords&gt;Follow-Up Studies&lt;/Keywords&gt;&lt;Keywords&gt;Humans&lt;/Keywords&gt;&lt;Keywords&gt;Leukopenia&lt;/Keywords&gt;&lt;Keywords&gt;Lupus Erythematosus,Systemic&lt;/Keywords&gt;&lt;Keywords&gt;Male&lt;/Keywords&gt;&lt;Keywords&gt;methods&lt;/Keywords&gt;&lt;Keywords&gt;mortality&lt;/Keywords&gt;&lt;Keywords&gt;Ontario&lt;/Keywords&gt;&lt;Keywords&gt;pathology&lt;/Keywords&gt;&lt;Keywords&gt;Pleurisy&lt;/Keywords&gt;&lt;Keywords&gt;Prognosis&lt;/Keywords&gt;&lt;Keywords&gt;Proportional Hazards Models&lt;/Keywords&gt;&lt;Keywords&gt;Proteinuria&lt;/Keywords&gt;&lt;Keywords&gt;Pyuria&lt;/Keywords&gt;&lt;Keywords&gt;Regression Analysis&lt;/Keywords&gt;&lt;Keywords&gt;Risk&lt;/Keywords&gt;&lt;Keywords&gt;Risk Factors&lt;/Keywords&gt;&lt;Keywords&gt;Severity of Illness Index&lt;/Keywords&gt;&lt;Keywords&gt;Survival Analysis&lt;/Keywords&gt;&lt;Keywords&gt;Survival Rate&lt;/Keywords&gt;&lt;Keywords&gt;Syndrome&lt;/Keywords&gt;&lt;Keywords&gt;Thrombocytopenia&lt;/Keywords&gt;&lt;Keywords&gt;Time&lt;/Keywords&gt;&lt;Keywords&gt;Time Factors&lt;/Keywords&gt;&lt;Reprint&gt;Not in File&lt;/Reprint&gt;&lt;Start_Page&gt;1892&lt;/Start_Page&gt;&lt;End_Page&gt;1895&lt;/End_Page&gt;&lt;Periodical&gt;J.Rheumatol.&lt;/Periodical&gt;&lt;Volume&gt;27&lt;/Volume&gt;&lt;Issue&gt;8&lt;/Issue&gt;&lt;User_Def_1&gt;y&lt;/User_Def_1&gt;&lt;ZZ_JournalStdAbbrev&gt;&lt;f name="System"&gt;J.Rheumatol.&lt;/f&gt;&lt;/ZZ_JournalStdAbbrev&gt;&lt;ZZ_WorkformID&gt;1&lt;/ZZ_WorkformID&gt;&lt;/MDL&gt;&lt;/Cite&gt;&lt;/Refman&gt;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(164)</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2000</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806</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r w:rsidRPr="004E70E9">
              <w:rPr>
                <w:sz w:val="17"/>
                <w:szCs w:val="17"/>
                <w:lang w:eastAsia="en-GB"/>
              </w:rPr>
              <w:t>2.98  (1.06-8.38)</w:t>
            </w: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Urowitz </w:t>
            </w:r>
            <w:r w:rsidR="00E729BA" w:rsidRPr="004E70E9">
              <w:rPr>
                <w:sz w:val="17"/>
                <w:szCs w:val="17"/>
                <w:lang w:eastAsia="en-GB"/>
              </w:rPr>
              <w:fldChar w:fldCharType="begin"/>
            </w:r>
            <w:r w:rsidR="00FC61FD">
              <w:rPr>
                <w:sz w:val="17"/>
                <w:szCs w:val="17"/>
                <w:lang w:eastAsia="en-GB"/>
              </w:rPr>
              <w:instrText xml:space="preserve"> ADDIN REFMGR.CITE &lt;Refman&gt;&lt;Cite&gt;&lt;Author&gt;Urowitz&lt;/Author&gt;&lt;Year&gt;2008&lt;/Year&gt;&lt;RecNum&gt;145&lt;/RecNum&gt;&lt;IDText&gt;Changing patterns in mortality and disease outcomes for patients with systemic lupus erythematosus&lt;/IDText&gt;&lt;MDL Ref_Type="Journal"&gt;&lt;Ref_Type&gt;Journal&lt;/Ref_Type&gt;&lt;Ref_ID&gt;145&lt;/Ref_ID&gt;&lt;Title_Primary&gt;Changing patterns in mortality and disease outcomes for patients with systemic lupus erythematosus&lt;/Title_Primary&gt;&lt;Authors_Primary&gt;Urowitz,M.B.&lt;/Authors_Primary&gt;&lt;Authors_Primary&gt;Gladman,D.D.&lt;/Authors_Primary&gt;&lt;Authors_Primary&gt;Tom,B.D.&lt;/Authors_Primary&gt;&lt;Authors_Primary&gt;Ibanez,D.&lt;/Authors_Primary&gt;&lt;Authors_Primary&gt;Farewell,V.T.&lt;/Authors_Primary&gt;&lt;Date_Primary&gt;2008/11&lt;/Date_Primary&gt;&lt;Keywords&gt;Adult&lt;/Keywords&gt;&lt;Keywords&gt;African Continental Ancestry Group&lt;/Keywords&gt;&lt;Keywords&gt;Antimalarials&lt;/Keywords&gt;&lt;Keywords&gt;Arteries&lt;/Keywords&gt;&lt;Keywords&gt;Asian Continental Ancestry Group&lt;/Keywords&gt;&lt;Keywords&gt;Canada&lt;/Keywords&gt;&lt;Keywords&gt;Comorbidity&lt;/Keywords&gt;&lt;Keywords&gt;Coronary Artery Disease&lt;/Keywords&gt;&lt;Keywords&gt;Disease&lt;/Keywords&gt;&lt;Keywords&gt;epidemiology&lt;/Keywords&gt;&lt;Keywords&gt;ethnology&lt;/Keywords&gt;&lt;Keywords&gt;European Continental Ancestry Group&lt;/Keywords&gt;&lt;Keywords&gt;Female&lt;/Keywords&gt;&lt;Keywords&gt;Follow-Up Studies&lt;/Keywords&gt;&lt;Keywords&gt;Health&lt;/Keywords&gt;&lt;Keywords&gt;Humans&lt;/Keywords&gt;&lt;Keywords&gt;Lupus Erythematosus,Systemic&lt;/Keywords&gt;&lt;Keywords&gt;Male&lt;/Keywords&gt;&lt;Keywords&gt;methods&lt;/Keywords&gt;&lt;Keywords&gt;Middle Aged&lt;/Keywords&gt;&lt;Keywords&gt;Morbidity&lt;/Keywords&gt;&lt;Keywords&gt;mortality&lt;/Keywords&gt;&lt;Keywords&gt;Ontario&lt;/Keywords&gt;&lt;Keywords&gt;Osteonecrosis&lt;/Keywords&gt;&lt;Keywords&gt;Prevalence&lt;/Keywords&gt;&lt;Keywords&gt;Prognosis&lt;/Keywords&gt;&lt;Keywords&gt;Proportional Hazards Models&lt;/Keywords&gt;&lt;Keywords&gt;Prospective Studies&lt;/Keywords&gt;&lt;Keywords&gt;Rheumatic Diseases&lt;/Keywords&gt;&lt;Keywords&gt;Risk Factors&lt;/Keywords&gt;&lt;Keywords&gt;Severity of Illness Index&lt;/Keywords&gt;&lt;Keywords&gt;Sex Distribution&lt;/Keywords&gt;&lt;Keywords&gt;statistics &amp;amp; numerical data&lt;/Keywords&gt;&lt;Keywords&gt;Survival Analysis&lt;/Keywords&gt;&lt;Keywords&gt;therapy&lt;/Keywords&gt;&lt;Keywords&gt;Time&lt;/Keywords&gt;&lt;Keywords&gt;Treatment Outcome&lt;/Keywords&gt;&lt;Reprint&gt;Not in File&lt;/Reprint&gt;&lt;Start_Page&gt;2152&lt;/Start_Page&gt;&lt;End_Page&gt;2158&lt;/End_Page&gt;&lt;Periodical&gt;J.Rheumatol.&lt;/Periodical&gt;&lt;Volume&gt;35&lt;/Volume&gt;&lt;Issue&gt;11&lt;/Issue&gt;&lt;User_Def_1&gt;y&lt;/User_Def_1&gt;&lt;ZZ_JournalStdAbbrev&gt;&lt;f name="System"&gt;J.Rheumatol.&lt;/f&gt;&lt;/ZZ_JournalStdAbbrev&gt;&lt;ZZ_WorkformID&gt;1&lt;/ZZ_WorkformID&gt;&lt;/MDL&gt;&lt;/Cite&gt;&lt;/Refman&gt;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(146)</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2008</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1241</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1.52 (1.02-2.26)</w:t>
            </w:r>
          </w:p>
        </w:tc>
        <w:tc>
          <w:tcPr>
            <w:tcW w:w="1417"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1.15 (1.11-1.20)</w:t>
            </w:r>
          </w:p>
        </w:tc>
        <w:tc>
          <w:tcPr>
            <w:tcW w:w="1418"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1.24 (1.14-1.35)</w:t>
            </w: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Ward </w:t>
            </w:r>
            <w:r w:rsidR="00E729BA" w:rsidRPr="004E70E9">
              <w:rPr>
                <w:sz w:val="17"/>
                <w:szCs w:val="17"/>
                <w:lang w:eastAsia="en-GB"/>
              </w:rPr>
              <w:fldChar w:fldCharType="begin"/>
            </w:r>
            <w:r w:rsidR="00FC61FD">
              <w:rPr>
                <w:sz w:val="17"/>
                <w:szCs w:val="17"/>
                <w:lang w:eastAsia="en-GB"/>
              </w:rPr>
              <w:instrText xml:space="preserve"> ADDIN REFMGR.CITE &lt;Refman&gt;&lt;Cite&gt;&lt;Author&gt;Ward&lt;/Author&gt;&lt;Year&gt;1996&lt;/Year&gt;&lt;RecNum&gt;1360&lt;/RecNum&gt;&lt;IDText&gt;Mortality risks associated with specific clinical manifestations of systemic lupus erythematosus&lt;/IDText&gt;&lt;MDL Ref_Type="Journal"&gt;&lt;Ref_Type&gt;Journal&lt;/Ref_Type&gt;&lt;Ref_ID&gt;1360&lt;/Ref_ID&gt;&lt;Title_Primary&gt;Mortality risks associated with specific clinical manifestations of systemic lupus erythematosus&lt;/Title_Primary&gt;&lt;Authors_Primary&gt;Ward,M.M.&lt;/Authors_Primary&gt;&lt;Authors_Primary&gt;Pyun,E.&lt;/Authors_Primary&gt;&lt;Authors_Primary&gt;Studenski,S.&lt;/Authors_Primary&gt;&lt;Date_Primary&gt;1996/6/24&lt;/Date_Primary&gt;&lt;Keywords&gt;Adult&lt;/Keywords&gt;&lt;Keywords&gt;analysis&lt;/Keywords&gt;&lt;Keywords&gt;Anemia&lt;/Keywords&gt;&lt;Keywords&gt;Anemia,Hemolytic&lt;/Keywords&gt;&lt;Keywords&gt;Arthritis&lt;/Keywords&gt;&lt;Keywords&gt;Cause of Death&lt;/Keywords&gt;&lt;Keywords&gt;complications&lt;/Keywords&gt;&lt;Keywords&gt;Disease&lt;/Keywords&gt;&lt;Keywords&gt;etiology&lt;/Keywords&gt;&lt;Keywords&gt;Female&lt;/Keywords&gt;&lt;Keywords&gt;Humans&lt;/Keywords&gt;&lt;Keywords&gt;Leukopenia&lt;/Keywords&gt;&lt;Keywords&gt;Life&lt;/Keywords&gt;&lt;Keywords&gt;Life Tables&lt;/Keywords&gt;&lt;Keywords&gt;Lupus Erythematosus,Systemic&lt;/Keywords&gt;&lt;Keywords&gt;Male&lt;/Keywords&gt;&lt;Keywords&gt;methods&lt;/Keywords&gt;&lt;Keywords&gt;Middle Aged&lt;/Keywords&gt;&lt;Keywords&gt;mortality&lt;/Keywords&gt;&lt;Keywords&gt;Multivariate Analysis&lt;/Keywords&gt;&lt;Keywords&gt;Nephritis&lt;/Keywords&gt;&lt;Keywords&gt;Proportional Hazards Models&lt;/Keywords&gt;&lt;Keywords&gt;Psychotic Disorders&lt;/Keywords&gt;&lt;Keywords&gt;Risk&lt;/Keywords&gt;&lt;Keywords&gt;Seizures&lt;/Keywords&gt;&lt;Keywords&gt;Serositis&lt;/Keywords&gt;&lt;Keywords&gt;Thrombocytopenia&lt;/Keywords&gt;&lt;Keywords&gt;Veterans&lt;/Keywords&gt;&lt;Reprint&gt;Not in File&lt;/Reprint&gt;&lt;Start_Page&gt;1337&lt;/Start_Page&gt;&lt;End_Page&gt;1344&lt;/End_Page&gt;&lt;Periodical&gt;Arch.Intern.Med.&lt;/Periodical&gt;&lt;Volume&gt;156&lt;/Volume&gt;&lt;Issue&gt;12&lt;/Issue&gt;&lt;User_Def_1&gt;y&lt;/User_Def_1&gt;&lt;ZZ_JournalStdAbbrev&gt;&lt;f name="System"&gt;Arch.Intern.Med.&lt;/f&gt;&lt;/ZZ_JournalStdAbbrev&gt;&lt;ZZ_WorkformID&gt;1&lt;/ZZ_WorkformID&gt;&lt;/MDL&gt;&lt;/Cite&gt;&lt;/Refman&gt;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(165)</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1996</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408</w:t>
            </w:r>
          </w:p>
        </w:tc>
        <w:tc>
          <w:tcPr>
            <w:tcW w:w="1276" w:type="dxa"/>
            <w:noWrap/>
          </w:tcPr>
          <w:p w:rsidR="002D772C" w:rsidRPr="004E70E9" w:rsidRDefault="002D772C" w:rsidP="0049322C">
            <w:pPr>
              <w:pStyle w:val="ListParagraph1"/>
              <w:rPr>
                <w:sz w:val="17"/>
                <w:szCs w:val="17"/>
                <w:lang w:eastAsia="en-GB"/>
              </w:rPr>
            </w:pPr>
            <w:r w:rsidRPr="004E70E9">
              <w:rPr>
                <w:sz w:val="17"/>
                <w:szCs w:val="17"/>
                <w:lang w:eastAsia="en-GB"/>
              </w:rPr>
              <w:t>2.38 (1.63-3.48)</w:t>
            </w: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Campbell </w:t>
            </w:r>
            <w:r w:rsidR="00E729BA" w:rsidRPr="004E70E9">
              <w:rPr>
                <w:sz w:val="17"/>
                <w:szCs w:val="17"/>
                <w:lang w:eastAsia="en-GB"/>
              </w:rPr>
              <w:fldChar w:fldCharType="begin"/>
            </w:r>
            <w:r w:rsidR="00FC61FD">
              <w:rPr>
                <w:sz w:val="17"/>
                <w:szCs w:val="17"/>
                <w:lang w:eastAsia="en-GB"/>
              </w:rPr>
              <w:instrText xml:space="preserve"> ADDIN REFMGR.CITE &lt;Refman&gt;&lt;Cite&gt;&lt;Author&gt;Campbell&lt;/Author&gt;&lt;Year&gt;2008&lt;/Year&gt;&lt;RecNum&gt;200&lt;/RecNum&gt;&lt;IDText&gt;Two aspects of the clinical and humanistic burden of systemic lupus erythematosus: mortality risk and quality of life early in the course of disease&lt;/IDText&gt;&lt;MDL Ref_Type="Journal"&gt;&lt;Ref_Type&gt;Journal&lt;/Ref_Type&gt;&lt;Ref_ID&gt;200&lt;/Ref_ID&gt;&lt;Title_Primary&gt;Two aspects of the clinical and humanistic burden of systemic lupus erythematosus: mortality risk and quality of life early in the course of disease&lt;/Title_Primary&gt;&lt;Authors_Primary&gt;Campbell,R.,Jr.&lt;/Authors_Primary&gt;&lt;Authors_Primary&gt;Cooper,G.S.&lt;/Authors_Primary&gt;&lt;Authors_Primary&gt;Gilkeson,G.S.&lt;/Authors_Primary&gt;&lt;Date_Primary&gt;2008/4/15&lt;/Date_Primary&gt;&lt;Keywords&gt;Adolescent&lt;/Keywords&gt;&lt;Keywords&gt;Adult&lt;/Keywords&gt;&lt;Keywords&gt;African Americans&lt;/Keywords&gt;&lt;Keywords&gt;Aged&lt;/Keywords&gt;&lt;Keywords&gt;Antibodies&lt;/Keywords&gt;&lt;Keywords&gt;blood&lt;/Keywords&gt;&lt;Keywords&gt;Case-Control Studies&lt;/Keywords&gt;&lt;Keywords&gt;Cost of Illness&lt;/Keywords&gt;&lt;Keywords&gt;diagnosis&lt;/Keywords&gt;&lt;Keywords&gt;Disease&lt;/Keywords&gt;&lt;Keywords&gt;Dna&lt;/Keywords&gt;&lt;Keywords&gt;Female&lt;/Keywords&gt;&lt;Keywords&gt;Humans&lt;/Keywords&gt;&lt;Keywords&gt;Life&lt;/Keywords&gt;&lt;Keywords&gt;Lupus Erythematosus,Systemic&lt;/Keywords&gt;&lt;Keywords&gt;Lupus Nephritis&lt;/Keywords&gt;&lt;Keywords&gt;Male&lt;/Keywords&gt;&lt;Keywords&gt;methods&lt;/Keywords&gt;&lt;Keywords&gt;Middle Aged&lt;/Keywords&gt;&lt;Keywords&gt;mortality&lt;/Keywords&gt;&lt;Keywords&gt;Nephritis&lt;/Keywords&gt;&lt;Keywords&gt;Quality of Life&lt;/Keywords&gt;&lt;Keywords&gt;Risk&lt;/Keywords&gt;&lt;Keywords&gt;South Carolina&lt;/Keywords&gt;&lt;Keywords&gt;Survival Analysis&lt;/Keywords&gt;&lt;Keywords&gt;Time&lt;/Keywords&gt;&lt;Keywords&gt;Time Factors&lt;/Keywords&gt;&lt;Reprint&gt;Not in File&lt;/Reprint&gt;&lt;Start_Page&gt;458&lt;/Start_Page&gt;&lt;End_Page&gt;464&lt;/End_Page&gt;&lt;Periodical&gt;Arthritis Rheum.&lt;/Periodical&gt;&lt;Volume&gt;59&lt;/Volume&gt;&lt;Issue&gt;4&lt;/Issue&gt;&lt;User_Def_1&gt;y&lt;/User_Def_1&gt;&lt;ZZ_JournalStdAbbrev&gt;&lt;f name="System"&gt;Arthritis Rheum.&lt;/f&gt;&lt;/ZZ_JournalStdAbbrev&gt;&lt;ZZ_WorkformID&gt;1&lt;/ZZ_WorkformID&gt;&lt;/MDL&gt;&lt;/Cite&gt;&lt;/Refman&gt;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(151)</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2008</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265</w:t>
            </w:r>
          </w:p>
        </w:tc>
        <w:tc>
          <w:tcPr>
            <w:tcW w:w="1276" w:type="dxa"/>
            <w:noWrap/>
          </w:tcPr>
          <w:p w:rsidR="002D772C" w:rsidRPr="004E70E9" w:rsidRDefault="002D772C" w:rsidP="0049322C">
            <w:pPr>
              <w:pStyle w:val="ListParagraph1"/>
              <w:rPr>
                <w:sz w:val="17"/>
                <w:szCs w:val="17"/>
                <w:lang w:eastAsia="en-GB"/>
              </w:rPr>
            </w:pPr>
            <w:r w:rsidRPr="004E70E9">
              <w:rPr>
                <w:sz w:val="17"/>
                <w:szCs w:val="17"/>
                <w:lang w:eastAsia="en-GB"/>
              </w:rPr>
              <w:t>2.5 (1.1-5.5)</w:t>
            </w: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val="de-DE" w:eastAsia="en-GB"/>
              </w:rPr>
            </w:pPr>
            <w:r w:rsidRPr="004E70E9">
              <w:rPr>
                <w:sz w:val="17"/>
                <w:szCs w:val="17"/>
                <w:lang w:val="de-DE" w:eastAsia="en-GB"/>
              </w:rPr>
              <w:t xml:space="preserve">Manger </w:t>
            </w:r>
            <w:r w:rsidR="00E729BA" w:rsidRPr="004E70E9">
              <w:rPr>
                <w:sz w:val="17"/>
                <w:szCs w:val="17"/>
                <w:lang w:val="de-DE" w:eastAsia="en-GB"/>
              </w:rPr>
              <w:fldChar w:fldCharType="begin"/>
            </w:r>
            <w:r w:rsidR="00FC61FD">
              <w:rPr>
                <w:sz w:val="17"/>
                <w:szCs w:val="17"/>
                <w:lang w:val="de-DE" w:eastAsia="en-GB"/>
              </w:rPr>
              <w:instrText xml:space="preserve"> ADDIN REFMGR.CITE &lt;Refman&gt;&lt;Cite&gt;&lt;Author&gt;Manger&lt;/Author&gt;&lt;Year&gt;2002&lt;/Year&gt;&lt;RecNum&gt;843&lt;/RecNum&gt;&lt;IDText&gt;Definition of risk factors for death, end stage renal disease, and thromboembolic events in a monocentric cohort of 338 patients with systemic lupus erythematosus&lt;/IDText&gt;&lt;MDL Ref_Type="Journal"&gt;&lt;Ref_Type&gt;Journal&lt;/Ref_Type&gt;&lt;Ref_ID&gt;843&lt;/Ref_ID&gt;&lt;Title_Primary&gt;Definition of risk factors for death, end stage renal disease, and thromboembolic events in a monocentric cohort of 338 patients with systemic lupus erythematosus&lt;/Title_Primary&gt;&lt;Authors_Primary&gt;Manger,K.&lt;/Authors_Primary&gt;&lt;Authors_Primary&gt;Manger,B.&lt;/Authors_Primary&gt;&lt;Authors_Primary&gt;Repp,R.&lt;/Authors_Primary&gt;&lt;Authors_Primary&gt;Geisselbrecht,M.&lt;/Authors_Primary&gt;&lt;Authors_Primary&gt;Geiger,A.&lt;/Authors_Primary&gt;&lt;Authors_Primary&gt;Pfahlberg,A.&lt;/Authors_Primary&gt;&lt;Authors_Primary&gt;Harrer,T.&lt;/Authors_Primary&gt;&lt;Authors_Primary&gt;Kalden,J.R.&lt;/Authors_Primary&gt;&lt;Date_Primary&gt;2002/12&lt;/Date_Primary&gt;&lt;Keywords&gt;Adult&lt;/Keywords&gt;&lt;Keywords&gt;Age Factors&lt;/Keywords&gt;&lt;Keywords&gt;analysis&lt;/Keywords&gt;&lt;Keywords&gt;Antibodies&lt;/Keywords&gt;&lt;Keywords&gt;Biometry&lt;/Keywords&gt;&lt;Keywords&gt;Cardiovascular Diseases&lt;/Keywords&gt;&lt;Keywords&gt;Central Nervous System&lt;/Keywords&gt;&lt;Keywords&gt;Central Nervous System Diseases&lt;/Keywords&gt;&lt;Keywords&gt;Cohort Studies&lt;/Keywords&gt;&lt;Keywords&gt;complications&lt;/Keywords&gt;&lt;Keywords&gt;Creatinine&lt;/Keywords&gt;&lt;Keywords&gt;Cryoglobulins&lt;/Keywords&gt;&lt;Keywords&gt;Disease&lt;/Keywords&gt;&lt;Keywords&gt;epidemiology&lt;/Keywords&gt;&lt;Keywords&gt;Female&lt;/Keywords&gt;&lt;Keywords&gt;Germany&lt;/Keywords&gt;&lt;Keywords&gt;Heart&lt;/Keywords&gt;&lt;Keywords&gt;Heart Diseases&lt;/Keywords&gt;&lt;Keywords&gt;Humans&lt;/Keywords&gt;&lt;Keywords&gt;Hypertension&lt;/Keywords&gt;&lt;Keywords&gt;immunology&lt;/Keywords&gt;&lt;Keywords&gt;Infection&lt;/Keywords&gt;&lt;Keywords&gt;Kidney Failure,Chronic&lt;/Keywords&gt;&lt;Keywords&gt;Lupus Erythematosus,Systemic&lt;/Keywords&gt;&lt;Keywords&gt;Male&lt;/Keywords&gt;&lt;Keywords&gt;metabolism&lt;/Keywords&gt;&lt;Keywords&gt;methods&lt;/Keywords&gt;&lt;Keywords&gt;mortality&lt;/Keywords&gt;&lt;Keywords&gt;Multivariate Analysis&lt;/Keywords&gt;&lt;Keywords&gt;Nephritis&lt;/Keywords&gt;&lt;Keywords&gt;Phenotype&lt;/Keywords&gt;&lt;Keywords&gt;Prevalence&lt;/Keywords&gt;&lt;Keywords&gt;Rheumatology&lt;/Keywords&gt;&lt;Keywords&gt;Risk&lt;/Keywords&gt;&lt;Keywords&gt;Risk Factors&lt;/Keywords&gt;&lt;Keywords&gt;Sex Factors&lt;/Keywords&gt;&lt;Keywords&gt;Survival Rate&lt;/Keywords&gt;&lt;Keywords&gt;Thromboembolism&lt;/Keywords&gt;&lt;Keywords&gt;Time&lt;/Keywords&gt;&lt;Reprint&gt;Not in File&lt;/Reprint&gt;&lt;Start_Page&gt;1065&lt;/Start_Page&gt;&lt;End_Page&gt;1070&lt;/End_Page&gt;&lt;Periodical&gt;Ann.Rheum.Dis.&lt;/Periodical&gt;&lt;Volume&gt;61&lt;/Volume&gt;&lt;Issue&gt;12&lt;/Issue&gt;&lt;User_Def_1&gt;y&lt;/User_Def_1&gt;&lt;ZZ_JournalStdAbbrev&gt;&lt;f name="System"&gt;Ann.Rheum.Dis.&lt;/f&gt;&lt;/ZZ_JournalStdAbbrev&gt;&lt;ZZ_WorkformID&gt;1&lt;/ZZ_WorkformID&gt;&lt;/MDL&gt;&lt;/Cite&gt;&lt;/Refman&gt;</w:instrText>
            </w:r>
            <w:r w:rsidR="00E729BA" w:rsidRPr="004E70E9">
              <w:rPr>
                <w:sz w:val="17"/>
                <w:szCs w:val="17"/>
                <w:lang w:val="de-DE" w:eastAsia="en-GB"/>
              </w:rPr>
              <w:fldChar w:fldCharType="separate"/>
            </w:r>
            <w:r w:rsidR="004D7951">
              <w:rPr>
                <w:sz w:val="17"/>
                <w:szCs w:val="17"/>
                <w:lang w:val="de-DE" w:eastAsia="en-GB"/>
              </w:rPr>
              <w:t>(145)</w:t>
            </w:r>
            <w:r w:rsidR="00E729BA" w:rsidRPr="004E70E9">
              <w:rPr>
                <w:sz w:val="17"/>
                <w:szCs w:val="17"/>
                <w:lang w:val="de-DE"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2002</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338</w:t>
            </w:r>
          </w:p>
        </w:tc>
        <w:tc>
          <w:tcPr>
            <w:tcW w:w="1276" w:type="dxa"/>
            <w:noWrap/>
          </w:tcPr>
          <w:p w:rsidR="002D772C" w:rsidRPr="004E70E9" w:rsidRDefault="002D772C" w:rsidP="0049322C">
            <w:pPr>
              <w:pStyle w:val="ListParagraph1"/>
              <w:rPr>
                <w:sz w:val="17"/>
                <w:szCs w:val="17"/>
                <w:lang w:eastAsia="en-GB"/>
              </w:rPr>
            </w:pPr>
            <w:r w:rsidRPr="004E70E9">
              <w:rPr>
                <w:sz w:val="17"/>
                <w:szCs w:val="17"/>
                <w:lang w:eastAsia="en-GB"/>
              </w:rPr>
              <w:t>1.6 (1.1-2.4)</w:t>
            </w: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1.5 (1.0-2.4)</w:t>
            </w:r>
          </w:p>
        </w:tc>
        <w:tc>
          <w:tcPr>
            <w:tcW w:w="1417" w:type="dxa"/>
            <w:gridSpan w:val="2"/>
            <w:noWrap/>
          </w:tcPr>
          <w:p w:rsidR="002D772C" w:rsidRPr="004E70E9" w:rsidRDefault="002D772C" w:rsidP="0049322C">
            <w:pPr>
              <w:pStyle w:val="ListParagraph1"/>
              <w:rPr>
                <w:sz w:val="17"/>
                <w:szCs w:val="17"/>
                <w:lang w:eastAsia="en-GB"/>
              </w:rPr>
            </w:pP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noWrap/>
          </w:tcPr>
          <w:p w:rsidR="002D772C" w:rsidRPr="004E70E9" w:rsidRDefault="002D772C" w:rsidP="0049322C">
            <w:pPr>
              <w:pStyle w:val="ListParagraph1"/>
              <w:rPr>
                <w:sz w:val="17"/>
                <w:szCs w:val="17"/>
                <w:lang w:eastAsia="en-GB"/>
              </w:rPr>
            </w:pPr>
            <w:r w:rsidRPr="004E70E9">
              <w:rPr>
                <w:sz w:val="17"/>
                <w:szCs w:val="17"/>
                <w:lang w:eastAsia="en-GB"/>
              </w:rPr>
              <w:t xml:space="preserve">Ibanez </w:t>
            </w:r>
            <w:r w:rsidR="00E729BA" w:rsidRPr="004E70E9">
              <w:rPr>
                <w:sz w:val="17"/>
                <w:szCs w:val="17"/>
                <w:lang w:eastAsia="en-GB"/>
              </w:rPr>
              <w:fldChar w:fldCharType="begin"/>
            </w:r>
            <w:r w:rsidR="00FC61FD">
              <w:rPr>
                <w:sz w:val="17"/>
                <w:szCs w:val="17"/>
                <w:lang w:eastAsia="en-GB"/>
              </w:rPr>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(142)</w:t>
            </w:r>
            <w:r w:rsidR="00E729BA" w:rsidRPr="004E70E9">
              <w:rPr>
                <w:sz w:val="17"/>
                <w:szCs w:val="17"/>
                <w:lang w:eastAsia="en-GB"/>
              </w:rPr>
              <w:fldChar w:fldCharType="end"/>
            </w:r>
          </w:p>
        </w:tc>
        <w:tc>
          <w:tcPr>
            <w:tcW w:w="567" w:type="dxa"/>
            <w:noWrap/>
          </w:tcPr>
          <w:p w:rsidR="002D772C" w:rsidRPr="004E70E9" w:rsidRDefault="002D772C" w:rsidP="0049322C">
            <w:pPr>
              <w:pStyle w:val="ListParagraph1"/>
              <w:rPr>
                <w:sz w:val="17"/>
                <w:szCs w:val="17"/>
                <w:lang w:eastAsia="en-GB"/>
              </w:rPr>
            </w:pPr>
            <w:r w:rsidRPr="004E70E9">
              <w:rPr>
                <w:sz w:val="17"/>
                <w:szCs w:val="17"/>
                <w:lang w:eastAsia="en-GB"/>
              </w:rPr>
              <w:t>2003</w:t>
            </w:r>
          </w:p>
        </w:tc>
        <w:tc>
          <w:tcPr>
            <w:tcW w:w="708" w:type="dxa"/>
            <w:gridSpan w:val="2"/>
          </w:tcPr>
          <w:p w:rsidR="002D772C" w:rsidRPr="004E70E9" w:rsidRDefault="002D772C" w:rsidP="0049322C">
            <w:pPr>
              <w:pStyle w:val="ListParagraph1"/>
              <w:rPr>
                <w:sz w:val="17"/>
                <w:szCs w:val="17"/>
                <w:lang w:eastAsia="en-GB"/>
              </w:rPr>
            </w:pPr>
            <w:r w:rsidRPr="004E70E9">
              <w:rPr>
                <w:sz w:val="17"/>
                <w:szCs w:val="17"/>
                <w:lang w:eastAsia="en-GB"/>
              </w:rPr>
              <w:t>575</w:t>
            </w:r>
          </w:p>
        </w:tc>
        <w:tc>
          <w:tcPr>
            <w:tcW w:w="1276" w:type="dxa"/>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p>
        </w:tc>
        <w:tc>
          <w:tcPr>
            <w:tcW w:w="1417"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1.15 (1.09-1.20)</w:t>
            </w:r>
          </w:p>
        </w:tc>
        <w:tc>
          <w:tcPr>
            <w:tcW w:w="1418" w:type="dxa"/>
            <w:gridSpan w:val="2"/>
            <w:noWrap/>
          </w:tcPr>
          <w:p w:rsidR="002D772C" w:rsidRPr="004E70E9" w:rsidRDefault="002D772C" w:rsidP="0049322C">
            <w:pPr>
              <w:pStyle w:val="ListParagraph1"/>
              <w:rPr>
                <w:sz w:val="17"/>
                <w:szCs w:val="17"/>
                <w:lang w:eastAsia="en-GB"/>
              </w:rPr>
            </w:pPr>
          </w:p>
        </w:tc>
        <w:tc>
          <w:tcPr>
            <w:tcW w:w="1276" w:type="dxa"/>
            <w:gridSpan w:val="2"/>
            <w:noWrap/>
          </w:tcPr>
          <w:p w:rsidR="002D772C" w:rsidRPr="004E70E9" w:rsidRDefault="002D772C" w:rsidP="0049322C">
            <w:pPr>
              <w:pStyle w:val="ListParagraph1"/>
              <w:rPr>
                <w:sz w:val="17"/>
                <w:szCs w:val="17"/>
                <w:lang w:eastAsia="en-GB"/>
              </w:rPr>
            </w:pPr>
            <w:r w:rsidRPr="004E70E9">
              <w:rPr>
                <w:sz w:val="17"/>
                <w:szCs w:val="17"/>
                <w:lang w:eastAsia="en-GB"/>
              </w:rPr>
              <w:t>1.05 (1.03-1.06)</w:t>
            </w:r>
          </w:p>
        </w:tc>
        <w:tc>
          <w:tcPr>
            <w:tcW w:w="1559"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c>
          <w:tcPr>
            <w:tcW w:w="1134" w:type="dxa"/>
            <w:gridSpan w:val="2"/>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565" w:type="dxa"/>
            <w:gridSpan w:val="2"/>
            <w:tcBorders>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Abu-Shakra</w:t>
            </w:r>
            <w:r w:rsidR="00FD18C9" w:rsidRPr="004E70E9">
              <w:rPr>
                <w:sz w:val="17"/>
                <w:szCs w:val="17"/>
                <w:lang w:eastAsia="en-GB"/>
              </w:rPr>
              <w:t xml:space="preserve"> </w:t>
            </w:r>
            <w:r w:rsidR="00E729BA" w:rsidRPr="004E70E9">
              <w:rPr>
                <w:sz w:val="17"/>
                <w:szCs w:val="17"/>
                <w:lang w:eastAsia="en-GB"/>
              </w:rPr>
              <w:fldChar w:fldCharType="begin"/>
            </w:r>
            <w:r w:rsidR="00FC61FD">
              <w:rPr>
                <w:sz w:val="17"/>
                <w:szCs w:val="17"/>
                <w:lang w:eastAsia="en-GB"/>
              </w:rPr>
              <w:instrText xml:space="preserve"> ADDIN REFMGR.CITE &lt;Refman&gt;&lt;Cite&gt;&lt;Author&gt;Abu-Shakra&lt;/Author&gt;&lt;Year&gt;1995&lt;/Year&gt;&lt;RecNum&gt;1405&lt;/RecNum&gt;&lt;IDText&gt;Mortality studies in systemic lupus erythematosus. Results from a single center. II. Predictor variables for mortality&lt;/IDText&gt;&lt;MDL Ref_Type="Journal"&gt;&lt;Ref_Type&gt;Journal&lt;/Ref_Type&gt;&lt;Ref_ID&gt;1405&lt;/Ref_ID&gt;&lt;Title_Primary&gt;Mortality studies in systemic lupus erythematosus. Results from a single center. II. Predictor variables for mortality&lt;/Title_Primary&gt;&lt;Authors_Primary&gt;Abu-Shakra,M.&lt;/Authors_Primary&gt;&lt;Authors_Primary&gt;Urowitz,M.B.&lt;/Authors_Primary&gt;&lt;Authors_Primary&gt;Gladman,D.D.&lt;/Authors_Primary&gt;&lt;Authors_Primary&gt;Gough,J.&lt;/Authors_Primary&gt;&lt;Date_Primary&gt;1995/7&lt;/Date_Primary&gt;&lt;Keywords&gt;Adolescent&lt;/Keywords&gt;&lt;Keywords&gt;Adult&lt;/Keywords&gt;&lt;Keywords&gt;Aged&lt;/Keywords&gt;&lt;Keywords&gt;Aged,80 and over&lt;/Keywords&gt;&lt;Keywords&gt;analysis&lt;/Keywords&gt;&lt;Keywords&gt;Cause of Death&lt;/Keywords&gt;&lt;Keywords&gt;Child&lt;/Keywords&gt;&lt;Keywords&gt;diagnosis&lt;/Keywords&gt;&lt;Keywords&gt;Disease&lt;/Keywords&gt;&lt;Keywords&gt;Female&lt;/Keywords&gt;&lt;Keywords&gt;Heart&lt;/Keywords&gt;&lt;Keywords&gt;Humans&lt;/Keywords&gt;&lt;Keywords&gt;Hypertension&lt;/Keywords&gt;&lt;Keywords&gt;Life Tables&lt;/Keywords&gt;&lt;Keywords&gt;Lung&lt;/Keywords&gt;&lt;Keywords&gt;Lupus Erythematosus,Systemic&lt;/Keywords&gt;&lt;Keywords&gt;Male&lt;/Keywords&gt;&lt;Keywords&gt;methods&lt;/Keywords&gt;&lt;Keywords&gt;Middle Aged&lt;/Keywords&gt;&lt;Keywords&gt;mortality&lt;/Keywords&gt;&lt;Keywords&gt;Multivariate Analysis&lt;/Keywords&gt;&lt;Keywords&gt;Ontario&lt;/Keywords&gt;&lt;Keywords&gt;Prognosis&lt;/Keywords&gt;&lt;Keywords&gt;Proportional Hazards Models&lt;/Keywords&gt;&lt;Keywords&gt;Prospective Studies&lt;/Keywords&gt;&lt;Keywords&gt;Risk&lt;/Keywords&gt;&lt;Keywords&gt;Risk Factors&lt;/Keywords&gt;&lt;Keywords&gt;Survival Rate&lt;/Keywords&gt;&lt;Keywords&gt;Thrombocytopenia&lt;/Keywords&gt;&lt;Reprint&gt;Not in File&lt;/Reprint&gt;&lt;Start_Page&gt;1265&lt;/Start_Page&gt;&lt;End_Page&gt;1270&lt;/End_Page&gt;&lt;Periodical&gt;J.Rheumatol.&lt;/Periodical&gt;&lt;Volume&gt;22&lt;/Volume&gt;&lt;Issue&gt;7&lt;/Issue&gt;&lt;User_Def_1&gt;y&lt;/User_Def_1&gt;&lt;ZZ_JournalStdAbbrev&gt;&lt;f name="System"&gt;J.Rheumatol.&lt;/f&gt;&lt;/ZZ_JournalStdAbbrev&gt;&lt;ZZ_WorkformID&gt;1&lt;/ZZ_WorkformID&gt;&lt;/MDL&gt;&lt;/Cite&gt;&lt;/Refman&gt;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(147)</w:t>
            </w:r>
            <w:r w:rsidR="00E729BA" w:rsidRPr="004E70E9">
              <w:rPr>
                <w:sz w:val="17"/>
                <w:szCs w:val="17"/>
                <w:lang w:eastAsia="en-GB"/>
              </w:rPr>
              <w:fldChar w:fldCharType="end"/>
            </w:r>
          </w:p>
        </w:tc>
        <w:tc>
          <w:tcPr>
            <w:tcW w:w="567" w:type="dxa"/>
            <w:tcBorders>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1995</w:t>
            </w:r>
          </w:p>
        </w:tc>
        <w:tc>
          <w:tcPr>
            <w:tcW w:w="708" w:type="dxa"/>
            <w:gridSpan w:val="2"/>
            <w:tcBorders>
              <w:bottom w:val="single" w:sz="4" w:space="0" w:color="auto"/>
            </w:tcBorders>
          </w:tcPr>
          <w:p w:rsidR="002D772C" w:rsidRPr="004E70E9" w:rsidRDefault="002D772C" w:rsidP="0049322C">
            <w:pPr>
              <w:pStyle w:val="ListParagraph1"/>
              <w:rPr>
                <w:sz w:val="17"/>
                <w:szCs w:val="17"/>
                <w:lang w:eastAsia="en-GB"/>
              </w:rPr>
            </w:pPr>
            <w:r w:rsidRPr="004E70E9">
              <w:rPr>
                <w:sz w:val="17"/>
                <w:szCs w:val="17"/>
                <w:lang w:eastAsia="en-GB"/>
              </w:rPr>
              <w:t>665</w:t>
            </w:r>
          </w:p>
        </w:tc>
        <w:tc>
          <w:tcPr>
            <w:tcW w:w="1276" w:type="dxa"/>
            <w:tcBorders>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Not significant</w:t>
            </w:r>
          </w:p>
        </w:tc>
        <w:tc>
          <w:tcPr>
            <w:tcW w:w="1276" w:type="dxa"/>
            <w:gridSpan w:val="2"/>
            <w:tcBorders>
              <w:bottom w:val="single" w:sz="4" w:space="0" w:color="auto"/>
            </w:tcBorders>
            <w:noWrap/>
          </w:tcPr>
          <w:p w:rsidR="002D772C" w:rsidRPr="004E70E9" w:rsidRDefault="002D772C" w:rsidP="0049322C">
            <w:pPr>
              <w:pStyle w:val="ListParagraph1"/>
              <w:rPr>
                <w:sz w:val="17"/>
                <w:szCs w:val="17"/>
                <w:lang w:eastAsia="en-GB"/>
              </w:rPr>
            </w:pPr>
          </w:p>
        </w:tc>
        <w:tc>
          <w:tcPr>
            <w:tcW w:w="1417" w:type="dxa"/>
            <w:gridSpan w:val="2"/>
            <w:tcBorders>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2.02 (1.34-3.04)</w:t>
            </w:r>
          </w:p>
        </w:tc>
        <w:tc>
          <w:tcPr>
            <w:tcW w:w="1418" w:type="dxa"/>
            <w:gridSpan w:val="2"/>
            <w:tcBorders>
              <w:bottom w:val="single" w:sz="4" w:space="0" w:color="auto"/>
            </w:tcBorders>
            <w:noWrap/>
          </w:tcPr>
          <w:p w:rsidR="002D772C" w:rsidRPr="004E70E9" w:rsidRDefault="002D772C" w:rsidP="0049322C">
            <w:pPr>
              <w:pStyle w:val="ListParagraph1"/>
              <w:rPr>
                <w:sz w:val="17"/>
                <w:szCs w:val="17"/>
                <w:lang w:eastAsia="en-GB"/>
              </w:rPr>
            </w:pPr>
          </w:p>
        </w:tc>
        <w:tc>
          <w:tcPr>
            <w:tcW w:w="1276" w:type="dxa"/>
            <w:gridSpan w:val="2"/>
            <w:tcBorders>
              <w:bottom w:val="single" w:sz="4" w:space="0" w:color="auto"/>
            </w:tcBorders>
            <w:noWrap/>
          </w:tcPr>
          <w:p w:rsidR="002D772C" w:rsidRPr="004E70E9" w:rsidRDefault="002D772C" w:rsidP="0049322C">
            <w:pPr>
              <w:pStyle w:val="ListParagraph1"/>
              <w:rPr>
                <w:sz w:val="17"/>
                <w:szCs w:val="17"/>
                <w:lang w:eastAsia="en-GB"/>
              </w:rPr>
            </w:pPr>
          </w:p>
        </w:tc>
        <w:tc>
          <w:tcPr>
            <w:tcW w:w="1559" w:type="dxa"/>
            <w:gridSpan w:val="2"/>
            <w:tcBorders>
              <w:bottom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1.71 (1.18-2.49)</w:t>
            </w:r>
          </w:p>
        </w:tc>
        <w:tc>
          <w:tcPr>
            <w:tcW w:w="1134" w:type="dxa"/>
            <w:gridSpan w:val="2"/>
            <w:tcBorders>
              <w:bottom w:val="single" w:sz="4" w:space="0" w:color="auto"/>
            </w:tcBorders>
            <w:noWrap/>
          </w:tcPr>
          <w:p w:rsidR="002D772C" w:rsidRPr="004E70E9" w:rsidRDefault="002D772C" w:rsidP="0049322C">
            <w:pPr>
              <w:pStyle w:val="ListParagraph1"/>
              <w:rPr>
                <w:sz w:val="17"/>
                <w:szCs w:val="17"/>
                <w:lang w:eastAsia="en-GB"/>
              </w:rPr>
            </w:pPr>
          </w:p>
        </w:tc>
        <w:tc>
          <w:tcPr>
            <w:tcW w:w="1134" w:type="dxa"/>
            <w:gridSpan w:val="2"/>
            <w:tcBorders>
              <w:bottom w:val="single" w:sz="4" w:space="0" w:color="auto"/>
            </w:tcBorders>
            <w:noWrap/>
          </w:tcPr>
          <w:p w:rsidR="002D772C" w:rsidRPr="004E70E9" w:rsidRDefault="002D772C" w:rsidP="0049322C">
            <w:pPr>
              <w:pStyle w:val="ListParagraph1"/>
              <w:rPr>
                <w:sz w:val="17"/>
                <w:szCs w:val="17"/>
                <w:lang w:eastAsia="en-GB"/>
              </w:rPr>
            </w:pPr>
          </w:p>
        </w:tc>
      </w:tr>
      <w:tr w:rsidR="002D772C" w:rsidRPr="004E70E9" w:rsidTr="00DD3003">
        <w:trPr>
          <w:trHeight w:val="20"/>
        </w:trPr>
        <w:tc>
          <w:tcPr>
            <w:tcW w:w="13330" w:type="dxa"/>
            <w:gridSpan w:val="20"/>
            <w:tcBorders>
              <w:top w:val="single" w:sz="4" w:space="0" w:color="auto"/>
              <w:bottom w:val="single" w:sz="4" w:space="0" w:color="auto"/>
            </w:tcBorders>
          </w:tcPr>
          <w:p w:rsidR="002D772C" w:rsidRPr="004E70E9" w:rsidRDefault="002D772C" w:rsidP="0049322C">
            <w:pPr>
              <w:pStyle w:val="ListParagraph1"/>
              <w:rPr>
                <w:sz w:val="17"/>
                <w:szCs w:val="17"/>
                <w:lang w:eastAsia="en-GB"/>
              </w:rPr>
            </w:pPr>
            <w:r w:rsidRPr="004E70E9">
              <w:rPr>
                <w:sz w:val="17"/>
                <w:szCs w:val="17"/>
                <w:lang w:eastAsia="en-GB"/>
              </w:rPr>
              <w:t>Logistic regression (Odds ratio</w:t>
            </w:r>
            <w:r w:rsidR="004F2504" w:rsidRPr="004E70E9">
              <w:rPr>
                <w:sz w:val="17"/>
                <w:szCs w:val="17"/>
                <w:lang w:eastAsia="en-GB"/>
              </w:rPr>
              <w:t xml:space="preserve"> at 5 years</w:t>
            </w:r>
            <w:r w:rsidRPr="004E70E9">
              <w:rPr>
                <w:sz w:val="17"/>
                <w:szCs w:val="17"/>
                <w:lang w:eastAsia="en-GB"/>
              </w:rPr>
              <w:t>)</w:t>
            </w:r>
          </w:p>
        </w:tc>
      </w:tr>
      <w:tr w:rsidR="002D772C" w:rsidRPr="004E70E9" w:rsidTr="00DD3003">
        <w:trPr>
          <w:trHeight w:val="20"/>
        </w:trPr>
        <w:tc>
          <w:tcPr>
            <w:tcW w:w="1423" w:type="dxa"/>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 xml:space="preserve">Alarcon </w:t>
            </w:r>
            <w:r w:rsidR="00E729BA" w:rsidRPr="004E70E9">
              <w:rPr>
                <w:sz w:val="17"/>
                <w:szCs w:val="17"/>
                <w:lang w:eastAsia="en-GB"/>
              </w:rPr>
              <w:fldChar w:fldCharType="begin"/>
            </w:r>
            <w:r w:rsidR="00FC61FD">
              <w:rPr>
                <w:sz w:val="17"/>
                <w:szCs w:val="17"/>
                <w:lang w:eastAsia="en-GB"/>
              </w:rPr>
              <w:instrText xml:space="preserve"> ADDIN REFMGR.CITE &lt;Refman&gt;&lt;Cite&gt;&lt;Author&gt;Alarcon&lt;/Author&gt;&lt;Year&gt;2001&lt;/Year&gt;&lt;RecNum&gt;972&lt;/RecNum&gt;&lt;IDText&gt;Systemic lupus erythematosus in three ethnic groups. VII [correction of VIII]. Predictors of early mortality in the LUMINA cohort. LUMINA Study Group&lt;/IDText&gt;&lt;MDL Ref_Type="Journal"&gt;&lt;Ref_Type&gt;Journal&lt;/Ref_Type&gt;&lt;Ref_ID&gt;972&lt;/Ref_ID&gt;&lt;Title_Primary&gt;Systemic lupus erythematosus in three ethnic groups. VII [correction of VIII]. Predictors of early mortality in the LUMINA cohort. LUMINA Study Group&lt;/Title_Primary&gt;&lt;Authors_Primary&gt;Alarcon,G.S.&lt;/Authors_Primary&gt;&lt;Authors_Primary&gt;McGwin,G.,Jr.&lt;/Authors_Primary&gt;&lt;Authors_Primary&gt;Bastian,H.M.&lt;/Authors_Primary&gt;&lt;Authors_Primary&gt;Roseman,J.&lt;/Authors_Primary&gt;&lt;Authors_Primary&gt;Lisse,J.&lt;/Authors_Primary&gt;&lt;Authors_Primary&gt;Fessler,B.J.&lt;/Authors_Primary&gt;&lt;Authors_Primary&gt;Friedman,A.W.&lt;/Authors_Primary&gt;&lt;Authors_Primary&gt;Reveille,J.D.&lt;/Authors_Primary&gt;&lt;Date_Primary&gt;2001/4&lt;/Date_Primary&gt;&lt;Keywords&gt;African Americans&lt;/Keywords&gt;&lt;Keywords&gt;Alabama&lt;/Keywords&gt;&lt;Keywords&gt;analysis&lt;/Keywords&gt;&lt;Keywords&gt;Autoantibodies&lt;/Keywords&gt;&lt;Keywords&gt;Cause of Death&lt;/Keywords&gt;&lt;Keywords&gt;Cohort Studies&lt;/Keywords&gt;&lt;Keywords&gt;Creatinine&lt;/Keywords&gt;&lt;Keywords&gt;diagnosis&lt;/Keywords&gt;&lt;Keywords&gt;Disease&lt;/Keywords&gt;&lt;Keywords&gt;Employment&lt;/Keywords&gt;&lt;Keywords&gt;epidemiology&lt;/Keywords&gt;&lt;Keywords&gt;Ethnic Groups&lt;/Keywords&gt;&lt;Keywords&gt;ethnology&lt;/Keywords&gt;&lt;Keywords&gt;European Continental Ancestry Group&lt;/Keywords&gt;&lt;Keywords&gt;Fatigue&lt;/Keywords&gt;&lt;Keywords&gt;Female&lt;/Keywords&gt;&lt;Keywords&gt;Genotype&lt;/Keywords&gt;&lt;Keywords&gt;Health&lt;/Keywords&gt;&lt;Keywords&gt;Hematocrit&lt;/Keywords&gt;&lt;Keywords&gt;Hispanic Americans&lt;/Keywords&gt;&lt;Keywords&gt;Humans&lt;/Keywords&gt;&lt;Keywords&gt;Infection&lt;/Keywords&gt;&lt;Keywords&gt;Lupus Erythematosus,Systemic&lt;/Keywords&gt;&lt;Keywords&gt;Male&lt;/Keywords&gt;&lt;Keywords&gt;Marital Status&lt;/Keywords&gt;&lt;Keywords&gt;methods&lt;/Keywords&gt;&lt;Keywords&gt;mortality&lt;/Keywords&gt;&lt;Keywords&gt;Multicenter Studies as Topic&lt;/Keywords&gt;&lt;Keywords&gt;Pain&lt;/Keywords&gt;&lt;Keywords&gt;Poverty&lt;/Keywords&gt;&lt;Keywords&gt;Regression Analysis&lt;/Keywords&gt;&lt;Keywords&gt;Rheumatology&lt;/Keywords&gt;&lt;Keywords&gt;Risk&lt;/Keywords&gt;&lt;Keywords&gt;Risk Factors&lt;/Keywords&gt;&lt;Keywords&gt;Serum&lt;/Keywords&gt;&lt;Keywords&gt;Smoking&lt;/Keywords&gt;&lt;Keywords&gt;Social Support&lt;/Keywords&gt;&lt;Keywords&gt;Survival Rate&lt;/Keywords&gt;&lt;Keywords&gt;Survivors&lt;/Keywords&gt;&lt;Keywords&gt;Texas&lt;/Keywords&gt;&lt;Reprint&gt;Not in File&lt;/Reprint&gt;&lt;Start_Page&gt;191&lt;/Start_Page&gt;&lt;End_Page&gt;202&lt;/End_Page&gt;&lt;Periodical&gt;Arthritis Rheum.&lt;/Periodical&gt;&lt;Volume&gt;45&lt;/Volume&gt;&lt;Issue&gt;2&lt;/Issue&gt;&lt;User_Def_1&gt;y&lt;/User_Def_1&gt;&lt;ZZ_JournalStdAbbrev&gt;&lt;f name="System"&gt;Arthritis Rheum.&lt;/f&gt;&lt;/ZZ_JournalStdAbbrev&gt;&lt;ZZ_WorkformID&gt;1&lt;/ZZ_WorkformID&gt;&lt;/MDL&gt;&lt;/Cite&gt;&lt;/Refman&gt;</w:instrText>
            </w:r>
            <w:r w:rsidR="00E729BA" w:rsidRPr="004E70E9">
              <w:rPr>
                <w:sz w:val="17"/>
                <w:szCs w:val="17"/>
                <w:lang w:eastAsia="en-GB"/>
              </w:rPr>
              <w:fldChar w:fldCharType="separate"/>
            </w:r>
            <w:r w:rsidR="004D7951">
              <w:rPr>
                <w:sz w:val="17"/>
                <w:szCs w:val="17"/>
                <w:lang w:eastAsia="en-GB"/>
              </w:rPr>
              <w:t>(158)</w:t>
            </w:r>
            <w:r w:rsidR="00E729BA" w:rsidRPr="004E70E9">
              <w:rPr>
                <w:sz w:val="17"/>
                <w:szCs w:val="17"/>
                <w:lang w:eastAsia="en-GB"/>
              </w:rPr>
              <w:fldChar w:fldCharType="end"/>
            </w:r>
          </w:p>
        </w:tc>
        <w:tc>
          <w:tcPr>
            <w:tcW w:w="850" w:type="dxa"/>
            <w:gridSpan w:val="3"/>
            <w:tcBorders>
              <w:top w:val="single" w:sz="4" w:space="0" w:color="auto"/>
            </w:tcBorders>
            <w:noWrap/>
          </w:tcPr>
          <w:p w:rsidR="002D772C" w:rsidRPr="004E70E9" w:rsidRDefault="002D772C" w:rsidP="004F2504">
            <w:pPr>
              <w:pStyle w:val="ListParagraph1"/>
              <w:jc w:val="right"/>
              <w:rPr>
                <w:sz w:val="17"/>
                <w:szCs w:val="17"/>
                <w:lang w:eastAsia="en-GB"/>
              </w:rPr>
            </w:pPr>
            <w:r w:rsidRPr="004E70E9">
              <w:rPr>
                <w:sz w:val="17"/>
                <w:szCs w:val="17"/>
                <w:lang w:eastAsia="en-GB"/>
              </w:rPr>
              <w:t>2001</w:t>
            </w:r>
          </w:p>
        </w:tc>
        <w:tc>
          <w:tcPr>
            <w:tcW w:w="567" w:type="dxa"/>
            <w:tcBorders>
              <w:top w:val="single" w:sz="4" w:space="0" w:color="auto"/>
            </w:tcBorders>
          </w:tcPr>
          <w:p w:rsidR="002D772C" w:rsidRPr="004E70E9" w:rsidRDefault="002D772C" w:rsidP="004F2504">
            <w:pPr>
              <w:pStyle w:val="ListParagraph1"/>
              <w:rPr>
                <w:sz w:val="17"/>
                <w:szCs w:val="17"/>
                <w:lang w:eastAsia="en-GB"/>
              </w:rPr>
            </w:pPr>
            <w:r w:rsidRPr="004E70E9">
              <w:rPr>
                <w:sz w:val="17"/>
                <w:szCs w:val="17"/>
                <w:lang w:eastAsia="en-GB"/>
              </w:rPr>
              <w:t>288</w:t>
            </w:r>
          </w:p>
        </w:tc>
        <w:tc>
          <w:tcPr>
            <w:tcW w:w="1560"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417"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418"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1.09 (1.01-1.17)</w:t>
            </w:r>
          </w:p>
        </w:tc>
        <w:tc>
          <w:tcPr>
            <w:tcW w:w="1417"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1.45 (1.19-1.91)</w:t>
            </w:r>
          </w:p>
        </w:tc>
        <w:tc>
          <w:tcPr>
            <w:tcW w:w="1418"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417" w:type="dxa"/>
            <w:gridSpan w:val="2"/>
            <w:tcBorders>
              <w:top w:val="single" w:sz="4" w:space="0" w:color="auto"/>
            </w:tcBorders>
            <w:noWrap/>
          </w:tcPr>
          <w:p w:rsidR="002D772C" w:rsidRPr="004E70E9" w:rsidRDefault="002D772C" w:rsidP="0049322C">
            <w:pPr>
              <w:pStyle w:val="ListParagraph1"/>
              <w:rPr>
                <w:sz w:val="17"/>
                <w:szCs w:val="17"/>
                <w:lang w:eastAsia="en-GB"/>
              </w:rPr>
            </w:pPr>
          </w:p>
        </w:tc>
        <w:tc>
          <w:tcPr>
            <w:tcW w:w="1276" w:type="dxa"/>
            <w:gridSpan w:val="2"/>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 </w:t>
            </w:r>
          </w:p>
        </w:tc>
        <w:tc>
          <w:tcPr>
            <w:tcW w:w="567" w:type="dxa"/>
            <w:tcBorders>
              <w:top w:val="single" w:sz="4" w:space="0" w:color="auto"/>
            </w:tcBorders>
            <w:noWrap/>
          </w:tcPr>
          <w:p w:rsidR="002D772C" w:rsidRPr="004E70E9" w:rsidRDefault="002D772C" w:rsidP="0049322C">
            <w:pPr>
              <w:pStyle w:val="ListParagraph1"/>
              <w:rPr>
                <w:sz w:val="17"/>
                <w:szCs w:val="17"/>
                <w:lang w:eastAsia="en-GB"/>
              </w:rPr>
            </w:pPr>
            <w:r w:rsidRPr="004E70E9">
              <w:rPr>
                <w:sz w:val="17"/>
                <w:szCs w:val="17"/>
                <w:lang w:eastAsia="en-GB"/>
              </w:rPr>
              <w:t> </w:t>
            </w:r>
          </w:p>
        </w:tc>
      </w:tr>
    </w:tbl>
    <w:p w:rsidR="002D772C" w:rsidRDefault="002D772C" w:rsidP="002D772C">
      <w:pPr>
        <w:sectPr w:rsidR="002D772C" w:rsidSect="006A3B1E">
          <w:pgSz w:w="16838" w:h="11906" w:orient="landscape"/>
          <w:pgMar w:top="1440" w:right="1440" w:bottom="1440" w:left="2268" w:header="708" w:footer="708" w:gutter="0"/>
          <w:cols w:space="708"/>
          <w:docGrid w:linePitch="360"/>
        </w:sectPr>
      </w:pPr>
    </w:p>
    <w:p w:rsidR="002D772C" w:rsidRPr="004E70E9" w:rsidRDefault="008032ED" w:rsidP="004E70E9">
      <w:pPr>
        <w:pStyle w:val="Heading3"/>
        <w:rPr>
          <w:rStyle w:val="Emphasis"/>
          <w:spacing w:val="15"/>
          <w:sz w:val="22"/>
        </w:rPr>
      </w:pPr>
      <w:bookmarkStart w:id="195" w:name="_Ref345769089"/>
      <w:bookmarkStart w:id="196" w:name="_Toc379467600"/>
      <w:r w:rsidRPr="004E70E9">
        <w:rPr>
          <w:rStyle w:val="Emphasis"/>
          <w:spacing w:val="15"/>
          <w:sz w:val="22"/>
        </w:rPr>
        <w:t>Organ Damage</w:t>
      </w:r>
      <w:bookmarkEnd w:id="195"/>
      <w:bookmarkEnd w:id="196"/>
    </w:p>
    <w:p w:rsidR="002D772C" w:rsidRPr="00E437F4" w:rsidRDefault="002D772C" w:rsidP="002D772C">
      <w:pPr>
        <w:pStyle w:val="Heading4"/>
      </w:pPr>
      <w:r>
        <w:t>SLICC/ACR Damage Index</w:t>
      </w:r>
    </w:p>
    <w:p w:rsidR="005E3AF0" w:rsidRPr="0066047A" w:rsidRDefault="005E3AF0" w:rsidP="005E3AF0">
      <w:pPr>
        <w:rPr>
          <w:lang w:eastAsia="zh-CN"/>
        </w:rPr>
      </w:pPr>
      <w:r>
        <w:rPr>
          <w:lang w:eastAsia="zh-CN"/>
        </w:rPr>
        <w:t xml:space="preserve">Organ damage has been widely studied using the </w:t>
      </w:r>
      <w:r>
        <w:t>SLICC/ACR Damage Index and within individual organ systems.</w:t>
      </w:r>
      <w:r w:rsidR="009602B1">
        <w:t xml:space="preserve"> Details of the SLICC/ACR Damage Index are provided in Appendix 1.</w:t>
      </w:r>
      <w:r>
        <w:t xml:space="preserve"> </w:t>
      </w:r>
      <w:r w:rsidR="007C4559">
        <w:t xml:space="preserve">In these observational studies the SLICC/ACR Damage Index is recorded by the rheumatologist to monitor a patient’s accumulation of organ damage. </w:t>
      </w:r>
      <w:r>
        <w:t xml:space="preserve">The search identified eighteen studies investigating organ damage using the composite index. </w:t>
      </w:r>
    </w:p>
    <w:p w:rsidR="002D772C" w:rsidRDefault="002D772C" w:rsidP="008B1572">
      <w:pPr>
        <w:spacing w:after="0" w:afterAutospacing="0"/>
      </w:pPr>
      <w:r>
        <w:t xml:space="preserve">Mean SLICC/ACR </w:t>
      </w:r>
      <w:r w:rsidR="00E94D16">
        <w:t>D</w:t>
      </w:r>
      <w:r>
        <w:t xml:space="preserve">amage </w:t>
      </w:r>
      <w:r w:rsidR="002C404F">
        <w:t xml:space="preserve">Index </w:t>
      </w:r>
      <w:r>
        <w:t xml:space="preserve">scores for a group of cohorts are summarised in </w:t>
      </w:r>
      <w:fldSimple w:instr=" REF _Ref249425304 \h  \* MERGEFORMAT ">
        <w:r w:rsidR="004911B7">
          <w:t xml:space="preserve">Table </w:t>
        </w:r>
        <w:r w:rsidR="004911B7">
          <w:rPr>
            <w:noProof/>
          </w:rPr>
          <w:t>11</w:t>
        </w:r>
      </w:fldSimple>
      <w:r>
        <w:t xml:space="preserve">. It has been reported that the mean SLICC/ACR </w:t>
      </w:r>
      <w:r w:rsidR="00E94D16">
        <w:t xml:space="preserve">Damage </w:t>
      </w:r>
      <w:r w:rsidR="002C404F">
        <w:t xml:space="preserve">Index </w:t>
      </w:r>
      <w:r>
        <w:t xml:space="preserve">score accumulates linearly over time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(169)</w:t>
      </w:r>
      <w:r w:rsidR="00E729BA">
        <w:fldChar w:fldCharType="end"/>
      </w:r>
      <w:r>
        <w:t xml:space="preserve">. </w:t>
      </w:r>
      <w:fldSimple w:instr=" REF _Ref278527625 \h  \* MERGEFORMAT ">
        <w:r w:rsidR="004911B7">
          <w:t xml:space="preserve">Figure </w:t>
        </w:r>
        <w:r w:rsidR="004911B7">
          <w:rPr>
            <w:noProof/>
          </w:rPr>
          <w:t>7</w:t>
        </w:r>
      </w:fldSimple>
      <w:r>
        <w:t xml:space="preserve"> illustrates how the mean organ damage score changed in time in three studies. The results illustrate a linear trend in the accumulation of organ damage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Cite&gt;&lt;Author&gt;Petri&lt;/Author&gt;&lt;Year&gt;1995&lt;/Year&gt;&lt;RecNum&gt;1395&lt;/RecNum&gt;&lt;IDText&gt;Musculoskeletal complications of systemic lupus erythematosus in the Hopkins Lupus Cohort: an update&lt;/IDText&gt;&lt;MDL Ref_Type="Journal"&gt;&lt;Ref_Type&gt;Journal&lt;/Ref_Type&gt;&lt;Ref_ID&gt;1395&lt;/Ref_ID&gt;&lt;Title_Primary&gt;Musculoskeletal complications of systemic lupus erythematosus in the Hopkins Lupus Cohort: an update&lt;/Title_Primary&gt;&lt;Authors_Primary&gt;Petri,M.&lt;/Authors_Primary&gt;&lt;Date_Primary&gt;1995/9&lt;/Date_Primary&gt;&lt;Keywords&gt;Adult&lt;/Keywords&gt;&lt;Keywords&gt;African Americans&lt;/Keywords&gt;&lt;Keywords&gt;Cohort Studies&lt;/Keywords&gt;&lt;Keywords&gt;complications&lt;/Keywords&gt;&lt;Keywords&gt;diagnosis&lt;/Keywords&gt;&lt;Keywords&gt;erythematosus&lt;/Keywords&gt;&lt;Keywords&gt;etiology&lt;/Keywords&gt;&lt;Keywords&gt;Female&lt;/Keywords&gt;&lt;Keywords&gt;Humans&lt;/Keywords&gt;&lt;Keywords&gt;lupus erythematosus&lt;/Keywords&gt;&lt;Keywords&gt;Lupus Erythematosus,Systemic&lt;/Keywords&gt;&lt;Keywords&gt;Male&lt;/Keywords&gt;&lt;Keywords&gt;methods&lt;/Keywords&gt;&lt;Keywords&gt;Middle Aged&lt;/Keywords&gt;&lt;Keywords&gt;Musculoskeletal Diseases&lt;/Keywords&gt;&lt;Keywords&gt;Musculoskeletal System&lt;/Keywords&gt;&lt;Keywords&gt;Necrosis&lt;/Keywords&gt;&lt;Keywords&gt;Osteoporosis&lt;/Keywords&gt;&lt;Keywords&gt;patient&lt;/Keywords&gt;&lt;Keywords&gt;Patients&lt;/Keywords&gt;&lt;Keywords&gt;Predictive Value of Tests&lt;/Keywords&gt;&lt;Keywords&gt;Prednisone&lt;/Keywords&gt;&lt;Keywords&gt;prevention &amp;amp; control&lt;/Keywords&gt;&lt;Keywords&gt;Risk&lt;/Keywords&gt;&lt;Keywords&gt;Risk Factors&lt;/Keywords&gt;&lt;Keywords&gt;systemic lupus erythematosus&lt;/Keywords&gt;&lt;Keywords&gt;Time&lt;/Keywords&gt;&lt;Keywords&gt;Time Factors&lt;/Keywords&gt;&lt;Reprint&gt;Not in File&lt;/Reprint&gt;&lt;Start_Page&gt;137&lt;/Start_Page&gt;&lt;End_Page&gt;145&lt;/End_Page&gt;&lt;Periodical&gt;Arthritis Care Res.&lt;/Periodical&gt;&lt;Volume&gt;8&lt;/Volume&gt;&lt;Issue&gt;3&lt;/Issue&gt;&lt;User_Def_1&gt;y&lt;/User_Def_1&gt;&lt;ZZ_JournalStdAbbrev&gt;&lt;f name="System"&gt;Arthritis Care Res.&lt;/f&gt;&lt;/ZZ_JournalStdAbbrev&gt;&lt;ZZ_WorkformID&gt;1&lt;/ZZ_WorkformID&gt;&lt;/MDL&gt;&lt;/Cite&gt;&lt;/Refman&gt;</w:instrText>
      </w:r>
      <w:r w:rsidR="00E729BA">
        <w:fldChar w:fldCharType="separate"/>
      </w:r>
      <w:r w:rsidR="004D7951">
        <w:t>(167;169;170)</w:t>
      </w:r>
      <w:r w:rsidR="00E729BA">
        <w:fldChar w:fldCharType="end"/>
      </w:r>
      <w:r>
        <w:t xml:space="preserve">. </w:t>
      </w:r>
      <w:r w:rsidR="007C4559">
        <w:t>The rate of accumulation is faster in the Baltimore cohort</w:t>
      </w:r>
      <w:r w:rsidR="008B1572">
        <w:t xml:space="preserve"> </w:t>
      </w:r>
      <w:r w:rsidR="00E729BA">
        <w:fldChar w:fldCharType="begin"/>
      </w:r>
      <w:r w:rsidR="00FC61FD">
        <w:instrText xml:space="preserve"> ADDIN REFMGR.CITE &lt;Refman&gt;&lt;Cite&gt;&lt;Author&gt;Petri&lt;/Author&gt;&lt;Year&gt;1995&lt;/Year&gt;&lt;RecNum&gt;1395&lt;/RecNum&gt;&lt;IDText&gt;Musculoskeletal complications of systemic lupus erythematosus in the Hopkins Lupus Cohort: an update&lt;/IDText&gt;&lt;MDL Ref_Type="Journal"&gt;&lt;Ref_Type&gt;Journal&lt;/Ref_Type&gt;&lt;Ref_ID&gt;1395&lt;/Ref_ID&gt;&lt;Title_Primary&gt;Musculoskeletal complications of systemic lupus erythematosus in the Hopkins Lupus Cohort: an update&lt;/Title_Primary&gt;&lt;Authors_Primary&gt;Petri,M.&lt;/Authors_Primary&gt;&lt;Date_Primary&gt;1995/9&lt;/Date_Primary&gt;&lt;Keywords&gt;Adult&lt;/Keywords&gt;&lt;Keywords&gt;African Americans&lt;/Keywords&gt;&lt;Keywords&gt;Cohort Studies&lt;/Keywords&gt;&lt;Keywords&gt;complications&lt;/Keywords&gt;&lt;Keywords&gt;diagnosis&lt;/Keywords&gt;&lt;Keywords&gt;erythematosus&lt;/Keywords&gt;&lt;Keywords&gt;etiology&lt;/Keywords&gt;&lt;Keywords&gt;Female&lt;/Keywords&gt;&lt;Keywords&gt;Humans&lt;/Keywords&gt;&lt;Keywords&gt;lupus erythematosus&lt;/Keywords&gt;&lt;Keywords&gt;Lupus Erythematosus,Systemic&lt;/Keywords&gt;&lt;Keywords&gt;Male&lt;/Keywords&gt;&lt;Keywords&gt;methods&lt;/Keywords&gt;&lt;Keywords&gt;Middle Aged&lt;/Keywords&gt;&lt;Keywords&gt;Musculoskeletal Diseases&lt;/Keywords&gt;&lt;Keywords&gt;Musculoskeletal System&lt;/Keywords&gt;&lt;Keywords&gt;Necrosis&lt;/Keywords&gt;&lt;Keywords&gt;Osteoporosis&lt;/Keywords&gt;&lt;Keywords&gt;patient&lt;/Keywords&gt;&lt;Keywords&gt;Patients&lt;/Keywords&gt;&lt;Keywords&gt;Predictive Value of Tests&lt;/Keywords&gt;&lt;Keywords&gt;Prednisone&lt;/Keywords&gt;&lt;Keywords&gt;prevention &amp;amp; control&lt;/Keywords&gt;&lt;Keywords&gt;Risk&lt;/Keywords&gt;&lt;Keywords&gt;Risk Factors&lt;/Keywords&gt;&lt;Keywords&gt;systemic lupus erythematosus&lt;/Keywords&gt;&lt;Keywords&gt;Time&lt;/Keywords&gt;&lt;Keywords&gt;Time Factors&lt;/Keywords&gt;&lt;Reprint&gt;Not in File&lt;/Reprint&gt;&lt;Start_Page&gt;137&lt;/Start_Page&gt;&lt;End_Page&gt;145&lt;/End_Page&gt;&lt;Periodical&gt;Arthritis Care Res.&lt;/Periodical&gt;&lt;Volume&gt;8&lt;/Volume&gt;&lt;Issue&gt;3&lt;/Issue&gt;&lt;User_Def_1&gt;y&lt;/User_Def_1&gt;&lt;ZZ_JournalStdAbbrev&gt;&lt;f name="System"&gt;Arthritis Care Res.&lt;/f&gt;&lt;/ZZ_JournalStdAbbrev&gt;&lt;ZZ_WorkformID&gt;1&lt;/ZZ_WorkformID&gt;&lt;/MDL&gt;&lt;/Cite&gt;&lt;/Refman&gt;</w:instrText>
      </w:r>
      <w:r w:rsidR="00E729BA">
        <w:fldChar w:fldCharType="separate"/>
      </w:r>
      <w:r w:rsidR="004D7951">
        <w:t>(170)</w:t>
      </w:r>
      <w:r w:rsidR="00E729BA">
        <w:fldChar w:fldCharType="end"/>
      </w:r>
      <w:r w:rsidR="007C4559">
        <w:t xml:space="preserve"> than the London Clinic</w:t>
      </w:r>
      <w:r w:rsidR="008B1572">
        <w:t xml:space="preserve">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r w:rsidR="004D7951">
        <w:t>(167)</w:t>
      </w:r>
      <w:r w:rsidR="00E729BA">
        <w:fldChar w:fldCharType="end"/>
      </w:r>
      <w:r w:rsidR="007C4559">
        <w:t>, this is likely due to differences in the ethnic profile of these regions.</w:t>
      </w:r>
    </w:p>
    <w:p w:rsidR="007C1767" w:rsidRDefault="007C1767" w:rsidP="008B1572">
      <w:pPr>
        <w:spacing w:after="0" w:afterAutospacing="0"/>
      </w:pPr>
    </w:p>
    <w:p w:rsidR="002D772C" w:rsidRDefault="002D772C" w:rsidP="00234693">
      <w:pPr>
        <w:pStyle w:val="Caption"/>
      </w:pPr>
      <w:bookmarkStart w:id="197" w:name="_Ref249425304"/>
      <w:bookmarkStart w:id="198" w:name="_Ref249425299"/>
      <w:bookmarkStart w:id="199" w:name="_Toc279009287"/>
      <w:r>
        <w:t xml:space="preserve">Table </w:t>
      </w:r>
      <w:fldSimple w:instr=" SEQ Table \* ARABIC ">
        <w:r w:rsidR="004911B7">
          <w:rPr>
            <w:noProof/>
          </w:rPr>
          <w:t>11</w:t>
        </w:r>
      </w:fldSimple>
      <w:bookmarkEnd w:id="197"/>
      <w:r>
        <w:t>: Damage accrual over time</w:t>
      </w:r>
      <w:bookmarkEnd w:id="198"/>
      <w:bookmarkEnd w:id="199"/>
    </w:p>
    <w:tbl>
      <w:tblPr>
        <w:tblW w:w="0" w:type="auto"/>
        <w:tblBorders>
          <w:top w:val="single" w:sz="12" w:space="0" w:color="auto"/>
          <w:bottom w:val="single" w:sz="12" w:space="0" w:color="auto"/>
        </w:tblBorders>
        <w:tblCellMar>
          <w:left w:w="57" w:type="dxa"/>
          <w:right w:w="57" w:type="dxa"/>
        </w:tblCellMar>
        <w:tblLook w:val="0000"/>
      </w:tblPr>
      <w:tblGrid>
        <w:gridCol w:w="1526"/>
        <w:gridCol w:w="915"/>
        <w:gridCol w:w="1127"/>
        <w:gridCol w:w="1273"/>
        <w:gridCol w:w="1163"/>
        <w:gridCol w:w="1160"/>
        <w:gridCol w:w="1148"/>
      </w:tblGrid>
      <w:tr w:rsidR="002D772C" w:rsidRPr="00E856EE" w:rsidTr="00FD18C9">
        <w:trPr>
          <w:cantSplit/>
        </w:trPr>
        <w:tc>
          <w:tcPr>
            <w:tcW w:w="9140" w:type="dxa"/>
            <w:gridSpan w:val="7"/>
            <w:tcBorders>
              <w:bottom w:val="nil"/>
            </w:tcBorders>
          </w:tcPr>
          <w:p w:rsidR="002D772C" w:rsidRPr="00E856EE" w:rsidRDefault="004F2504" w:rsidP="0049322C">
            <w:pPr>
              <w:pStyle w:val="ListParagraph1"/>
            </w:pPr>
            <w:r>
              <w:t>M</w:t>
            </w:r>
            <w:r w:rsidR="002D772C" w:rsidRPr="00E856EE">
              <w:t>ean SLICC/ACR</w:t>
            </w:r>
            <w:r w:rsidR="00E94D16">
              <w:t xml:space="preserve"> Damage</w:t>
            </w:r>
            <w:r w:rsidR="002D772C" w:rsidRPr="00E856EE">
              <w:t xml:space="preserve"> </w:t>
            </w:r>
            <w:r w:rsidR="002C404F">
              <w:t xml:space="preserve">Index </w:t>
            </w:r>
            <w:r w:rsidR="002D772C" w:rsidRPr="00E856EE">
              <w:t>score over time from diagnosis</w:t>
            </w:r>
          </w:p>
        </w:tc>
      </w:tr>
      <w:tr w:rsidR="002D772C" w:rsidRPr="00E856EE" w:rsidTr="00FD18C9">
        <w:tc>
          <w:tcPr>
            <w:tcW w:w="1653" w:type="dxa"/>
            <w:tcBorders>
              <w:top w:val="nil"/>
              <w:bottom w:val="single" w:sz="4" w:space="0" w:color="auto"/>
            </w:tcBorders>
          </w:tcPr>
          <w:p w:rsidR="002D772C" w:rsidRPr="00E856EE" w:rsidRDefault="002D772C" w:rsidP="0049322C">
            <w:pPr>
              <w:pStyle w:val="ListParagraph1"/>
            </w:pPr>
            <w:r w:rsidRPr="00E856EE">
              <w:t>Author</w:t>
            </w:r>
          </w:p>
        </w:tc>
        <w:tc>
          <w:tcPr>
            <w:tcW w:w="998" w:type="dxa"/>
            <w:tcBorders>
              <w:top w:val="nil"/>
              <w:bottom w:val="single" w:sz="4" w:space="0" w:color="auto"/>
            </w:tcBorders>
          </w:tcPr>
          <w:p w:rsidR="002D772C" w:rsidRPr="00E856EE" w:rsidRDefault="002D772C" w:rsidP="0049322C">
            <w:pPr>
              <w:pStyle w:val="ListParagraph1"/>
            </w:pPr>
            <w:r w:rsidRPr="00E856EE">
              <w:t>Date</w:t>
            </w:r>
          </w:p>
        </w:tc>
        <w:tc>
          <w:tcPr>
            <w:tcW w:w="1216" w:type="dxa"/>
            <w:tcBorders>
              <w:top w:val="nil"/>
              <w:bottom w:val="single" w:sz="4" w:space="0" w:color="auto"/>
            </w:tcBorders>
          </w:tcPr>
          <w:p w:rsidR="002D772C" w:rsidRPr="00E856EE" w:rsidRDefault="002D772C" w:rsidP="0049322C">
            <w:pPr>
              <w:pStyle w:val="ListParagraph1"/>
            </w:pPr>
            <w:r w:rsidRPr="00E856EE">
              <w:t>Sample size</w:t>
            </w:r>
          </w:p>
        </w:tc>
        <w:tc>
          <w:tcPr>
            <w:tcW w:w="1420" w:type="dxa"/>
            <w:tcBorders>
              <w:top w:val="nil"/>
              <w:bottom w:val="single" w:sz="4" w:space="0" w:color="auto"/>
            </w:tcBorders>
          </w:tcPr>
          <w:p w:rsidR="002D772C" w:rsidRPr="00E856EE" w:rsidRDefault="002D772C" w:rsidP="0049322C">
            <w:pPr>
              <w:pStyle w:val="ListParagraph1"/>
            </w:pPr>
            <w:r w:rsidRPr="00E856EE">
              <w:t>Year 1</w:t>
            </w:r>
          </w:p>
        </w:tc>
        <w:tc>
          <w:tcPr>
            <w:tcW w:w="1289" w:type="dxa"/>
            <w:tcBorders>
              <w:top w:val="nil"/>
              <w:bottom w:val="single" w:sz="4" w:space="0" w:color="auto"/>
            </w:tcBorders>
          </w:tcPr>
          <w:p w:rsidR="002D772C" w:rsidRPr="00E856EE" w:rsidRDefault="002D772C" w:rsidP="0049322C">
            <w:pPr>
              <w:pStyle w:val="ListParagraph1"/>
            </w:pPr>
            <w:r w:rsidRPr="00E856EE">
              <w:t>Year 5</w:t>
            </w:r>
          </w:p>
        </w:tc>
        <w:tc>
          <w:tcPr>
            <w:tcW w:w="1287" w:type="dxa"/>
            <w:tcBorders>
              <w:top w:val="nil"/>
              <w:bottom w:val="single" w:sz="4" w:space="0" w:color="auto"/>
            </w:tcBorders>
          </w:tcPr>
          <w:p w:rsidR="002D772C" w:rsidRPr="00E856EE" w:rsidRDefault="002D772C" w:rsidP="0049322C">
            <w:pPr>
              <w:pStyle w:val="ListParagraph1"/>
            </w:pPr>
            <w:r w:rsidRPr="00E856EE">
              <w:t>Year 10</w:t>
            </w:r>
          </w:p>
        </w:tc>
        <w:tc>
          <w:tcPr>
            <w:tcW w:w="1277" w:type="dxa"/>
            <w:tcBorders>
              <w:top w:val="nil"/>
              <w:bottom w:val="single" w:sz="4" w:space="0" w:color="auto"/>
            </w:tcBorders>
          </w:tcPr>
          <w:p w:rsidR="002D772C" w:rsidRPr="00E856EE" w:rsidRDefault="002D772C" w:rsidP="0049322C">
            <w:pPr>
              <w:pStyle w:val="ListParagraph1"/>
            </w:pPr>
            <w:r w:rsidRPr="00E856EE">
              <w:t>Year 15</w:t>
            </w:r>
          </w:p>
        </w:tc>
      </w:tr>
      <w:tr w:rsidR="002D772C" w:rsidRPr="00E856EE" w:rsidTr="00FD18C9">
        <w:tc>
          <w:tcPr>
            <w:tcW w:w="1653" w:type="dxa"/>
            <w:tcBorders>
              <w:top w:val="single" w:sz="4" w:space="0" w:color="auto"/>
            </w:tcBorders>
          </w:tcPr>
          <w:p w:rsidR="002D772C" w:rsidRPr="00E856EE" w:rsidRDefault="002D772C" w:rsidP="0049322C">
            <w:pPr>
              <w:pStyle w:val="ListParagraph1"/>
              <w:rPr>
                <w:lang w:val="de-DE"/>
              </w:rPr>
            </w:pPr>
            <w:r w:rsidRPr="00E856EE">
              <w:rPr>
                <w:lang w:val="de-DE"/>
              </w:rPr>
              <w:t xml:space="preserve">Chambers </w:t>
            </w:r>
            <w:r w:rsidR="00E729BA">
              <w:rPr>
                <w:lang w:val="de-DE"/>
              </w:rPr>
              <w:fldChar w:fldCharType="begin"/>
            </w:r>
            <w:r w:rsidR="00FC61FD">
              <w:rPr>
                <w:lang w:val="de-DE"/>
              </w:rPr>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rPr>
                <w:lang w:val="de-DE"/>
              </w:rPr>
              <w:fldChar w:fldCharType="separate"/>
            </w:r>
            <w:r w:rsidR="004D7951">
              <w:rPr>
                <w:lang w:val="de-DE"/>
              </w:rPr>
              <w:t>(167)</w:t>
            </w:r>
            <w:r w:rsidR="00E729BA">
              <w:rPr>
                <w:lang w:val="de-DE"/>
              </w:rPr>
              <w:fldChar w:fldCharType="end"/>
            </w:r>
          </w:p>
        </w:tc>
        <w:tc>
          <w:tcPr>
            <w:tcW w:w="998" w:type="dxa"/>
            <w:tcBorders>
              <w:top w:val="single" w:sz="4" w:space="0" w:color="auto"/>
            </w:tcBorders>
          </w:tcPr>
          <w:p w:rsidR="002D772C" w:rsidRPr="00E856EE" w:rsidRDefault="002D772C" w:rsidP="0049322C">
            <w:pPr>
              <w:pStyle w:val="ListParagraph1"/>
            </w:pPr>
            <w:r w:rsidRPr="00E856EE">
              <w:t>2009</w:t>
            </w:r>
          </w:p>
        </w:tc>
        <w:tc>
          <w:tcPr>
            <w:tcW w:w="1216" w:type="dxa"/>
            <w:tcBorders>
              <w:top w:val="single" w:sz="4" w:space="0" w:color="auto"/>
            </w:tcBorders>
          </w:tcPr>
          <w:p w:rsidR="002D772C" w:rsidRPr="00E856EE" w:rsidRDefault="002D772C" w:rsidP="0049322C">
            <w:pPr>
              <w:pStyle w:val="ListParagraph1"/>
            </w:pPr>
            <w:r w:rsidRPr="00E856EE">
              <w:t>232</w:t>
            </w:r>
          </w:p>
        </w:tc>
        <w:tc>
          <w:tcPr>
            <w:tcW w:w="1420" w:type="dxa"/>
            <w:tcBorders>
              <w:top w:val="single" w:sz="4" w:space="0" w:color="auto"/>
            </w:tcBorders>
          </w:tcPr>
          <w:p w:rsidR="002D772C" w:rsidRPr="00E856EE" w:rsidRDefault="002D772C" w:rsidP="0049322C">
            <w:pPr>
              <w:pStyle w:val="ListParagraph1"/>
            </w:pPr>
            <w:r w:rsidRPr="00E856EE">
              <w:t>0.11</w:t>
            </w:r>
          </w:p>
        </w:tc>
        <w:tc>
          <w:tcPr>
            <w:tcW w:w="1289" w:type="dxa"/>
            <w:tcBorders>
              <w:top w:val="single" w:sz="4" w:space="0" w:color="auto"/>
            </w:tcBorders>
          </w:tcPr>
          <w:p w:rsidR="002D772C" w:rsidRPr="00E856EE" w:rsidRDefault="002D772C" w:rsidP="0049322C">
            <w:pPr>
              <w:pStyle w:val="ListParagraph1"/>
            </w:pPr>
            <w:r w:rsidRPr="00E856EE">
              <w:t>0.42</w:t>
            </w:r>
          </w:p>
        </w:tc>
        <w:tc>
          <w:tcPr>
            <w:tcW w:w="1287" w:type="dxa"/>
            <w:tcBorders>
              <w:top w:val="single" w:sz="4" w:space="0" w:color="auto"/>
            </w:tcBorders>
          </w:tcPr>
          <w:p w:rsidR="002D772C" w:rsidRPr="00E856EE" w:rsidRDefault="002D772C" w:rsidP="0049322C">
            <w:pPr>
              <w:pStyle w:val="ListParagraph1"/>
            </w:pPr>
            <w:r w:rsidRPr="00E856EE">
              <w:t>0.77</w:t>
            </w:r>
          </w:p>
        </w:tc>
        <w:tc>
          <w:tcPr>
            <w:tcW w:w="1277" w:type="dxa"/>
            <w:tcBorders>
              <w:top w:val="single" w:sz="4" w:space="0" w:color="auto"/>
            </w:tcBorders>
          </w:tcPr>
          <w:p w:rsidR="002D772C" w:rsidRPr="00E856EE" w:rsidRDefault="002D772C" w:rsidP="0049322C">
            <w:pPr>
              <w:pStyle w:val="ListParagraph1"/>
            </w:pPr>
            <w:r w:rsidRPr="00E856EE">
              <w:t>1.01</w:t>
            </w:r>
          </w:p>
        </w:tc>
      </w:tr>
      <w:tr w:rsidR="002D772C" w:rsidRPr="00E856EE" w:rsidTr="00FD18C9">
        <w:tc>
          <w:tcPr>
            <w:tcW w:w="1653" w:type="dxa"/>
          </w:tcPr>
          <w:p w:rsidR="002D772C" w:rsidRPr="00E856EE" w:rsidRDefault="002D772C" w:rsidP="0049322C">
            <w:pPr>
              <w:pStyle w:val="ListParagraph1"/>
            </w:pPr>
            <w:r w:rsidRPr="00E856EE">
              <w:t xml:space="preserve">Gladman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(169)</w:t>
            </w:r>
            <w:r w:rsidR="00E729BA">
              <w:fldChar w:fldCharType="end"/>
            </w:r>
          </w:p>
        </w:tc>
        <w:tc>
          <w:tcPr>
            <w:tcW w:w="998" w:type="dxa"/>
          </w:tcPr>
          <w:p w:rsidR="002D772C" w:rsidRPr="00E856EE" w:rsidRDefault="002D772C" w:rsidP="0049322C">
            <w:pPr>
              <w:pStyle w:val="ListParagraph1"/>
            </w:pPr>
            <w:r w:rsidRPr="00E856EE">
              <w:t>2003</w:t>
            </w:r>
          </w:p>
        </w:tc>
        <w:tc>
          <w:tcPr>
            <w:tcW w:w="1216" w:type="dxa"/>
          </w:tcPr>
          <w:p w:rsidR="002D772C" w:rsidRPr="00E856EE" w:rsidRDefault="002D772C" w:rsidP="0049322C">
            <w:pPr>
              <w:pStyle w:val="ListParagraph1"/>
            </w:pPr>
            <w:r w:rsidRPr="00E856EE">
              <w:t>73</w:t>
            </w:r>
          </w:p>
        </w:tc>
        <w:tc>
          <w:tcPr>
            <w:tcW w:w="1420" w:type="dxa"/>
          </w:tcPr>
          <w:p w:rsidR="002D772C" w:rsidRPr="00E856EE" w:rsidRDefault="002D772C" w:rsidP="0049322C">
            <w:pPr>
              <w:pStyle w:val="ListParagraph1"/>
            </w:pPr>
            <w:r w:rsidRPr="00E856EE">
              <w:t>0.33</w:t>
            </w:r>
          </w:p>
        </w:tc>
        <w:tc>
          <w:tcPr>
            <w:tcW w:w="1289" w:type="dxa"/>
          </w:tcPr>
          <w:p w:rsidR="002D772C" w:rsidRPr="00E856EE" w:rsidRDefault="002D772C" w:rsidP="0049322C">
            <w:pPr>
              <w:pStyle w:val="ListParagraph1"/>
            </w:pPr>
            <w:r w:rsidRPr="00E856EE">
              <w:t>0.81</w:t>
            </w:r>
          </w:p>
        </w:tc>
        <w:tc>
          <w:tcPr>
            <w:tcW w:w="1287" w:type="dxa"/>
          </w:tcPr>
          <w:p w:rsidR="002D772C" w:rsidRPr="00E856EE" w:rsidRDefault="002D772C" w:rsidP="0049322C">
            <w:pPr>
              <w:pStyle w:val="ListParagraph1"/>
            </w:pPr>
            <w:r w:rsidRPr="00E856EE">
              <w:t>1.19</w:t>
            </w:r>
          </w:p>
        </w:tc>
        <w:tc>
          <w:tcPr>
            <w:tcW w:w="1277" w:type="dxa"/>
          </w:tcPr>
          <w:p w:rsidR="002D772C" w:rsidRPr="00E856EE" w:rsidRDefault="002D772C" w:rsidP="0049322C">
            <w:pPr>
              <w:pStyle w:val="ListParagraph1"/>
            </w:pPr>
            <w:r w:rsidRPr="00E856EE">
              <w:t>1.9</w:t>
            </w:r>
          </w:p>
        </w:tc>
      </w:tr>
      <w:tr w:rsidR="002D772C" w:rsidRPr="00E856EE" w:rsidTr="00FD18C9">
        <w:tc>
          <w:tcPr>
            <w:tcW w:w="1653" w:type="dxa"/>
          </w:tcPr>
          <w:p w:rsidR="002D772C" w:rsidRPr="00FD18C9" w:rsidRDefault="002D772C" w:rsidP="0049322C">
            <w:pPr>
              <w:pStyle w:val="ListParagraph1"/>
            </w:pPr>
            <w:r w:rsidRPr="00FD18C9">
              <w:t xml:space="preserve">Ruiz-Irastorza </w:t>
            </w:r>
            <w:r w:rsidR="00E729BA">
              <w:rPr>
                <w:lang w:val="pt-PT"/>
              </w:rPr>
              <w:fldChar w:fldCharType="begin"/>
            </w:r>
            <w:r w:rsidR="00FC61FD">
              <w:instrText xml:space="preserve"> ADDIN REFMGR.CITE &lt;Refman&gt;&lt;Cite&gt;&lt;Author&gt;Ruiz-Irastorza&lt;/Author&gt;&lt;Year&gt;2004&lt;/Year&gt;&lt;RecNum&gt;711&lt;/RecNum&gt;&lt;IDText&gt;High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name="System"&gt;Arch.Intern.Med.&lt;/f&gt;&lt;/ZZ_JournalStdAbbrev&gt;&lt;ZZ_WorkformID&gt;1&lt;/ZZ_WorkformID&gt;&lt;/MDL&gt;&lt;/Cite&gt;&lt;/Refman&gt;</w:instrText>
            </w:r>
            <w:r w:rsidR="00E729BA">
              <w:rPr>
                <w:lang w:val="pt-PT"/>
              </w:rPr>
              <w:fldChar w:fldCharType="separate"/>
            </w:r>
            <w:r w:rsidR="004D7951">
              <w:t>(154)</w:t>
            </w:r>
            <w:r w:rsidR="00E729BA">
              <w:rPr>
                <w:lang w:val="pt-PT"/>
              </w:rPr>
              <w:fldChar w:fldCharType="end"/>
            </w:r>
          </w:p>
        </w:tc>
        <w:tc>
          <w:tcPr>
            <w:tcW w:w="998" w:type="dxa"/>
          </w:tcPr>
          <w:p w:rsidR="002D772C" w:rsidRPr="00E856EE" w:rsidRDefault="002D772C" w:rsidP="0049322C">
            <w:pPr>
              <w:pStyle w:val="ListParagraph1"/>
            </w:pPr>
            <w:r w:rsidRPr="00E856EE">
              <w:t>2004</w:t>
            </w:r>
          </w:p>
        </w:tc>
        <w:tc>
          <w:tcPr>
            <w:tcW w:w="1216" w:type="dxa"/>
          </w:tcPr>
          <w:p w:rsidR="002D772C" w:rsidRPr="00E856EE" w:rsidRDefault="002D772C" w:rsidP="0049322C">
            <w:pPr>
              <w:pStyle w:val="ListParagraph1"/>
            </w:pPr>
            <w:r w:rsidRPr="00E856EE">
              <w:t>202</w:t>
            </w:r>
          </w:p>
        </w:tc>
        <w:tc>
          <w:tcPr>
            <w:tcW w:w="1420" w:type="dxa"/>
          </w:tcPr>
          <w:p w:rsidR="002D772C" w:rsidRPr="00E856EE" w:rsidRDefault="002D772C" w:rsidP="0049322C">
            <w:pPr>
              <w:pStyle w:val="ListParagraph1"/>
            </w:pPr>
          </w:p>
        </w:tc>
        <w:tc>
          <w:tcPr>
            <w:tcW w:w="1289" w:type="dxa"/>
          </w:tcPr>
          <w:p w:rsidR="002D772C" w:rsidRPr="00E856EE" w:rsidRDefault="002D772C" w:rsidP="0049322C">
            <w:pPr>
              <w:pStyle w:val="ListParagraph1"/>
            </w:pPr>
          </w:p>
        </w:tc>
        <w:tc>
          <w:tcPr>
            <w:tcW w:w="1287" w:type="dxa"/>
          </w:tcPr>
          <w:p w:rsidR="002D772C" w:rsidRPr="00E856EE" w:rsidRDefault="002D772C" w:rsidP="0049322C">
            <w:pPr>
              <w:pStyle w:val="ListParagraph1"/>
            </w:pPr>
            <w:r w:rsidRPr="00E856EE">
              <w:t>1.00</w:t>
            </w:r>
            <w:r w:rsidRPr="00E856EE">
              <w:rPr>
                <w:vertAlign w:val="superscript"/>
              </w:rPr>
              <w:t>a</w:t>
            </w:r>
          </w:p>
        </w:tc>
        <w:tc>
          <w:tcPr>
            <w:tcW w:w="1277" w:type="dxa"/>
          </w:tcPr>
          <w:p w:rsidR="002D772C" w:rsidRPr="00E856EE" w:rsidRDefault="002D772C" w:rsidP="0049322C">
            <w:pPr>
              <w:pStyle w:val="ListParagraph1"/>
            </w:pPr>
            <w:r w:rsidRPr="00E856EE">
              <w:t>2</w:t>
            </w:r>
            <w:r w:rsidRPr="00E856EE">
              <w:rPr>
                <w:vertAlign w:val="superscript"/>
              </w:rPr>
              <w:t>a</w:t>
            </w:r>
          </w:p>
        </w:tc>
      </w:tr>
      <w:tr w:rsidR="002D772C" w:rsidRPr="00E856EE" w:rsidTr="00FD18C9">
        <w:tc>
          <w:tcPr>
            <w:tcW w:w="1653" w:type="dxa"/>
            <w:tcBorders>
              <w:bottom w:val="single" w:sz="4" w:space="0" w:color="auto"/>
            </w:tcBorders>
          </w:tcPr>
          <w:p w:rsidR="002D772C" w:rsidRPr="00E856EE" w:rsidRDefault="002D772C" w:rsidP="0049322C">
            <w:pPr>
              <w:pStyle w:val="ListParagraph1"/>
            </w:pPr>
            <w:r w:rsidRPr="00E856EE">
              <w:t xml:space="preserve">Petri </w:t>
            </w:r>
            <w:r w:rsidR="00E729BA">
              <w:fldChar w:fldCharType="begin"/>
            </w:r>
            <w:r w:rsidR="00FC61FD">
              <w:instrText xml:space="preserve"> ADDIN REFMGR.CITE &lt;Refman&gt;&lt;Cite&gt;&lt;Author&gt;Petri&lt;/Author&gt;&lt;Year&gt;1995&lt;/Year&gt;&lt;RecNum&gt;1395&lt;/RecNum&gt;&lt;IDText&gt;Musculoskeletal complications of systemic lupus erythematosus in the Hopkins Lupus Cohort: an update&lt;/IDText&gt;&lt;MDL Ref_Type="Journal"&gt;&lt;Ref_Type&gt;Journal&lt;/Ref_Type&gt;&lt;Ref_ID&gt;1395&lt;/Ref_ID&gt;&lt;Title_Primary&gt;Musculoskeletal complications of systemic lupus erythematosus in the Hopkins Lupus Cohort: an update&lt;/Title_Primary&gt;&lt;Authors_Primary&gt;Petri,M.&lt;/Authors_Primary&gt;&lt;Date_Primary&gt;1995/9&lt;/Date_Primary&gt;&lt;Keywords&gt;Adult&lt;/Keywords&gt;&lt;Keywords&gt;African Americans&lt;/Keywords&gt;&lt;Keywords&gt;Cohort Studies&lt;/Keywords&gt;&lt;Keywords&gt;complications&lt;/Keywords&gt;&lt;Keywords&gt;diagnosis&lt;/Keywords&gt;&lt;Keywords&gt;erythematosus&lt;/Keywords&gt;&lt;Keywords&gt;etiology&lt;/Keywords&gt;&lt;Keywords&gt;Female&lt;/Keywords&gt;&lt;Keywords&gt;Humans&lt;/Keywords&gt;&lt;Keywords&gt;lupus erythematosus&lt;/Keywords&gt;&lt;Keywords&gt;Lupus Erythematosus,Systemic&lt;/Keywords&gt;&lt;Keywords&gt;Male&lt;/Keywords&gt;&lt;Keywords&gt;methods&lt;/Keywords&gt;&lt;Keywords&gt;Middle Aged&lt;/Keywords&gt;&lt;Keywords&gt;Musculoskeletal Diseases&lt;/Keywords&gt;&lt;Keywords&gt;Musculoskeletal System&lt;/Keywords&gt;&lt;Keywords&gt;Necrosis&lt;/Keywords&gt;&lt;Keywords&gt;Osteoporosis&lt;/Keywords&gt;&lt;Keywords&gt;patient&lt;/Keywords&gt;&lt;Keywords&gt;Patients&lt;/Keywords&gt;&lt;Keywords&gt;Predictive Value of Tests&lt;/Keywords&gt;&lt;Keywords&gt;Prednisone&lt;/Keywords&gt;&lt;Keywords&gt;prevention &amp;amp; control&lt;/Keywords&gt;&lt;Keywords&gt;Risk&lt;/Keywords&gt;&lt;Keywords&gt;Risk Factors&lt;/Keywords&gt;&lt;Keywords&gt;systemic lupus erythematosus&lt;/Keywords&gt;&lt;Keywords&gt;Time&lt;/Keywords&gt;&lt;Keywords&gt;Time Factors&lt;/Keywords&gt;&lt;Reprint&gt;Not in File&lt;/Reprint&gt;&lt;Start_Page&gt;137&lt;/Start_Page&gt;&lt;End_Page&gt;145&lt;/End_Page&gt;&lt;Periodical&gt;Arthritis Care Res.&lt;/Periodical&gt;&lt;Volume&gt;8&lt;/Volume&gt;&lt;Issue&gt;3&lt;/Issue&gt;&lt;User_Def_1&gt;y&lt;/User_Def_1&gt;&lt;ZZ_JournalStdAbbrev&gt;&lt;f name="System"&gt;Arthritis Care Res.&lt;/f&gt;&lt;/ZZ_JournalStdAbbrev&gt;&lt;ZZ_WorkformID&gt;1&lt;/ZZ_WorkformID&gt;&lt;/MDL&gt;&lt;/Cite&gt;&lt;/Refman&gt;</w:instrText>
            </w:r>
            <w:r w:rsidR="00E729BA">
              <w:fldChar w:fldCharType="separate"/>
            </w:r>
            <w:r w:rsidR="004D7951">
              <w:t>(170)</w:t>
            </w:r>
            <w:r w:rsidR="00E729BA">
              <w:fldChar w:fldCharType="end"/>
            </w:r>
          </w:p>
        </w:tc>
        <w:tc>
          <w:tcPr>
            <w:tcW w:w="998" w:type="dxa"/>
            <w:tcBorders>
              <w:bottom w:val="single" w:sz="4" w:space="0" w:color="auto"/>
            </w:tcBorders>
          </w:tcPr>
          <w:p w:rsidR="002D772C" w:rsidRPr="00E856EE" w:rsidRDefault="002D772C" w:rsidP="0049322C">
            <w:pPr>
              <w:pStyle w:val="ListParagraph1"/>
            </w:pPr>
            <w:r w:rsidRPr="00E856EE">
              <w:t>1995</w:t>
            </w:r>
          </w:p>
        </w:tc>
        <w:tc>
          <w:tcPr>
            <w:tcW w:w="1216" w:type="dxa"/>
            <w:tcBorders>
              <w:bottom w:val="single" w:sz="4" w:space="0" w:color="auto"/>
            </w:tcBorders>
          </w:tcPr>
          <w:p w:rsidR="002D772C" w:rsidRPr="00E856EE" w:rsidRDefault="002D772C" w:rsidP="0049322C">
            <w:pPr>
              <w:pStyle w:val="ListParagraph1"/>
            </w:pPr>
            <w:r w:rsidRPr="00E856EE">
              <w:t>407</w:t>
            </w:r>
          </w:p>
        </w:tc>
        <w:tc>
          <w:tcPr>
            <w:tcW w:w="1420" w:type="dxa"/>
            <w:tcBorders>
              <w:bottom w:val="single" w:sz="4" w:space="0" w:color="auto"/>
            </w:tcBorders>
          </w:tcPr>
          <w:p w:rsidR="002D772C" w:rsidRPr="00E856EE" w:rsidRDefault="002D772C" w:rsidP="0049322C">
            <w:pPr>
              <w:pStyle w:val="ListParagraph1"/>
            </w:pPr>
            <w:r w:rsidRPr="00E856EE">
              <w:t>0.45</w:t>
            </w:r>
          </w:p>
        </w:tc>
        <w:tc>
          <w:tcPr>
            <w:tcW w:w="1289" w:type="dxa"/>
            <w:tcBorders>
              <w:bottom w:val="single" w:sz="4" w:space="0" w:color="auto"/>
            </w:tcBorders>
          </w:tcPr>
          <w:p w:rsidR="002D772C" w:rsidRPr="00E856EE" w:rsidRDefault="002D772C" w:rsidP="0049322C">
            <w:pPr>
              <w:pStyle w:val="ListParagraph1"/>
            </w:pPr>
            <w:r w:rsidRPr="00E856EE">
              <w:t>0.9</w:t>
            </w:r>
          </w:p>
        </w:tc>
        <w:tc>
          <w:tcPr>
            <w:tcW w:w="1287" w:type="dxa"/>
            <w:tcBorders>
              <w:bottom w:val="single" w:sz="4" w:space="0" w:color="auto"/>
            </w:tcBorders>
          </w:tcPr>
          <w:p w:rsidR="002D772C" w:rsidRPr="00E856EE" w:rsidRDefault="002D772C" w:rsidP="0049322C">
            <w:pPr>
              <w:pStyle w:val="ListParagraph1"/>
            </w:pPr>
            <w:r w:rsidRPr="00E856EE">
              <w:t>1.6</w:t>
            </w:r>
          </w:p>
        </w:tc>
        <w:tc>
          <w:tcPr>
            <w:tcW w:w="1277" w:type="dxa"/>
            <w:tcBorders>
              <w:bottom w:val="single" w:sz="4" w:space="0" w:color="auto"/>
            </w:tcBorders>
          </w:tcPr>
          <w:p w:rsidR="002D772C" w:rsidRPr="00E856EE" w:rsidRDefault="002D772C" w:rsidP="0049322C">
            <w:pPr>
              <w:pStyle w:val="ListParagraph1"/>
            </w:pPr>
          </w:p>
        </w:tc>
      </w:tr>
      <w:tr w:rsidR="002D772C" w:rsidRPr="00E856EE" w:rsidTr="00FD18C9">
        <w:trPr>
          <w:cantSplit/>
        </w:trPr>
        <w:tc>
          <w:tcPr>
            <w:tcW w:w="9140" w:type="dxa"/>
            <w:gridSpan w:val="7"/>
            <w:tcBorders>
              <w:top w:val="single" w:sz="4" w:space="0" w:color="auto"/>
              <w:bottom w:val="nil"/>
            </w:tcBorders>
          </w:tcPr>
          <w:p w:rsidR="002D772C" w:rsidRPr="00E856EE" w:rsidRDefault="004F2504" w:rsidP="0049322C">
            <w:pPr>
              <w:pStyle w:val="ListParagraph1"/>
            </w:pPr>
            <w:r>
              <w:t>M</w:t>
            </w:r>
            <w:r w:rsidR="002D772C" w:rsidRPr="00E856EE">
              <w:t>ean SLICC/ACR</w:t>
            </w:r>
            <w:r w:rsidR="00E94D16">
              <w:t xml:space="preserve"> Damage</w:t>
            </w:r>
            <w:r w:rsidR="002C404F">
              <w:t xml:space="preserve"> Index</w:t>
            </w:r>
            <w:r w:rsidR="002D772C" w:rsidRPr="00E856EE">
              <w:t xml:space="preserve"> score over time from enrolment</w:t>
            </w:r>
          </w:p>
        </w:tc>
      </w:tr>
      <w:tr w:rsidR="002D772C" w:rsidRPr="00E856EE" w:rsidTr="00FD18C9">
        <w:tc>
          <w:tcPr>
            <w:tcW w:w="1653" w:type="dxa"/>
            <w:tcBorders>
              <w:top w:val="nil"/>
              <w:bottom w:val="single" w:sz="4" w:space="0" w:color="auto"/>
            </w:tcBorders>
          </w:tcPr>
          <w:p w:rsidR="002D772C" w:rsidRPr="00E856EE" w:rsidRDefault="002D772C" w:rsidP="0049322C">
            <w:pPr>
              <w:pStyle w:val="ListParagraph1"/>
            </w:pPr>
            <w:r w:rsidRPr="00E856EE">
              <w:t>Author</w:t>
            </w:r>
          </w:p>
        </w:tc>
        <w:tc>
          <w:tcPr>
            <w:tcW w:w="998" w:type="dxa"/>
            <w:tcBorders>
              <w:top w:val="nil"/>
              <w:bottom w:val="single" w:sz="4" w:space="0" w:color="auto"/>
            </w:tcBorders>
          </w:tcPr>
          <w:p w:rsidR="002D772C" w:rsidRPr="00E856EE" w:rsidRDefault="002D772C" w:rsidP="0049322C">
            <w:pPr>
              <w:pStyle w:val="ListParagraph1"/>
            </w:pPr>
            <w:r w:rsidRPr="00E856EE">
              <w:t>Date</w:t>
            </w:r>
          </w:p>
        </w:tc>
        <w:tc>
          <w:tcPr>
            <w:tcW w:w="1216" w:type="dxa"/>
            <w:tcBorders>
              <w:top w:val="nil"/>
              <w:bottom w:val="single" w:sz="4" w:space="0" w:color="auto"/>
            </w:tcBorders>
          </w:tcPr>
          <w:p w:rsidR="002D772C" w:rsidRPr="00E856EE" w:rsidRDefault="002D772C" w:rsidP="0049322C">
            <w:pPr>
              <w:pStyle w:val="ListParagraph1"/>
            </w:pPr>
            <w:r w:rsidRPr="00E856EE">
              <w:t>Sample size</w:t>
            </w:r>
          </w:p>
        </w:tc>
        <w:tc>
          <w:tcPr>
            <w:tcW w:w="1420" w:type="dxa"/>
            <w:tcBorders>
              <w:top w:val="nil"/>
              <w:bottom w:val="single" w:sz="4" w:space="0" w:color="auto"/>
            </w:tcBorders>
          </w:tcPr>
          <w:p w:rsidR="002D772C" w:rsidRPr="00E856EE" w:rsidRDefault="002D772C" w:rsidP="0049322C">
            <w:pPr>
              <w:pStyle w:val="ListParagraph1"/>
            </w:pPr>
            <w:r w:rsidRPr="00E856EE">
              <w:t>Time = 0</w:t>
            </w:r>
          </w:p>
        </w:tc>
        <w:tc>
          <w:tcPr>
            <w:tcW w:w="1289" w:type="dxa"/>
            <w:tcBorders>
              <w:top w:val="nil"/>
              <w:bottom w:val="single" w:sz="4" w:space="0" w:color="auto"/>
            </w:tcBorders>
          </w:tcPr>
          <w:p w:rsidR="002D772C" w:rsidRPr="00E856EE" w:rsidRDefault="002D772C" w:rsidP="0049322C">
            <w:pPr>
              <w:pStyle w:val="ListParagraph1"/>
            </w:pPr>
            <w:r w:rsidRPr="00E856EE">
              <w:t>Time = 5 years</w:t>
            </w:r>
          </w:p>
        </w:tc>
        <w:tc>
          <w:tcPr>
            <w:tcW w:w="1287" w:type="dxa"/>
            <w:tcBorders>
              <w:top w:val="nil"/>
              <w:bottom w:val="single" w:sz="4" w:space="0" w:color="auto"/>
            </w:tcBorders>
          </w:tcPr>
          <w:p w:rsidR="002D772C" w:rsidRPr="00E856EE" w:rsidRDefault="002D772C" w:rsidP="0049322C">
            <w:pPr>
              <w:pStyle w:val="ListParagraph1"/>
            </w:pPr>
          </w:p>
        </w:tc>
        <w:tc>
          <w:tcPr>
            <w:tcW w:w="1277" w:type="dxa"/>
            <w:tcBorders>
              <w:top w:val="nil"/>
              <w:bottom w:val="single" w:sz="4" w:space="0" w:color="auto"/>
            </w:tcBorders>
          </w:tcPr>
          <w:p w:rsidR="002D772C" w:rsidRPr="00E856EE" w:rsidRDefault="002D772C" w:rsidP="0049322C">
            <w:pPr>
              <w:pStyle w:val="ListParagraph1"/>
            </w:pPr>
          </w:p>
        </w:tc>
      </w:tr>
      <w:tr w:rsidR="002D772C" w:rsidRPr="00E856EE" w:rsidTr="00FD18C9">
        <w:tc>
          <w:tcPr>
            <w:tcW w:w="1653" w:type="dxa"/>
            <w:tcBorders>
              <w:top w:val="single" w:sz="4" w:space="0" w:color="auto"/>
            </w:tcBorders>
          </w:tcPr>
          <w:p w:rsidR="002D772C" w:rsidRPr="00E856EE" w:rsidRDefault="002D772C" w:rsidP="0049322C">
            <w:pPr>
              <w:pStyle w:val="ListParagraph1"/>
            </w:pPr>
            <w:r w:rsidRPr="00E856EE">
              <w:t xml:space="preserve">Alarcon </w:t>
            </w:r>
            <w:r w:rsidR="00E729BA">
              <w:fldChar w:fldCharType="begin"/>
            </w:r>
            <w:r w:rsidR="00FC61FD">
              <w:instrText xml:space="preserve"> ADDIN REFMGR.CITE &lt;Refman&gt;&lt;Cite&gt;&lt;Author&gt;Alarcon&lt;/Author&gt;&lt;Year&gt;2004&lt;/Year&gt;&lt;RecNum&gt;708&lt;/RecNum&gt;&lt;IDText&gt;Systemic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name="System"&gt;Rheumatology.(Oxford).&lt;/f&gt;&lt;/ZZ_JournalStdAbbrev&gt;&lt;ZZ_WorkformID&gt;1&lt;/ZZ_WorkformID&gt;&lt;/MDL&gt;&lt;/Cite&gt;&lt;/Refman&gt;</w:instrText>
            </w:r>
            <w:r w:rsidR="00E729BA">
              <w:fldChar w:fldCharType="separate"/>
            </w:r>
            <w:r w:rsidR="004D7951">
              <w:t>(171)</w:t>
            </w:r>
            <w:r w:rsidR="00E729BA">
              <w:fldChar w:fldCharType="end"/>
            </w:r>
          </w:p>
        </w:tc>
        <w:tc>
          <w:tcPr>
            <w:tcW w:w="998" w:type="dxa"/>
            <w:tcBorders>
              <w:top w:val="single" w:sz="4" w:space="0" w:color="auto"/>
            </w:tcBorders>
          </w:tcPr>
          <w:p w:rsidR="002D772C" w:rsidRPr="00E856EE" w:rsidRDefault="002D772C" w:rsidP="0049322C">
            <w:pPr>
              <w:pStyle w:val="ListParagraph1"/>
            </w:pPr>
            <w:r w:rsidRPr="00E856EE">
              <w:t>2004</w:t>
            </w:r>
          </w:p>
        </w:tc>
        <w:tc>
          <w:tcPr>
            <w:tcW w:w="1216" w:type="dxa"/>
            <w:tcBorders>
              <w:top w:val="single" w:sz="4" w:space="0" w:color="auto"/>
            </w:tcBorders>
          </w:tcPr>
          <w:p w:rsidR="002D772C" w:rsidRPr="00E856EE" w:rsidRDefault="002D772C" w:rsidP="0049322C">
            <w:pPr>
              <w:pStyle w:val="ListParagraph1"/>
            </w:pPr>
            <w:r w:rsidRPr="00E856EE">
              <w:t>352</w:t>
            </w:r>
          </w:p>
        </w:tc>
        <w:tc>
          <w:tcPr>
            <w:tcW w:w="1420" w:type="dxa"/>
            <w:tcBorders>
              <w:top w:val="single" w:sz="4" w:space="0" w:color="auto"/>
            </w:tcBorders>
          </w:tcPr>
          <w:p w:rsidR="002D772C" w:rsidRPr="00E856EE" w:rsidRDefault="002D772C" w:rsidP="0049322C">
            <w:pPr>
              <w:pStyle w:val="ListParagraph1"/>
            </w:pPr>
            <w:r w:rsidRPr="00E856EE">
              <w:t>1.3</w:t>
            </w:r>
          </w:p>
        </w:tc>
        <w:tc>
          <w:tcPr>
            <w:tcW w:w="1289" w:type="dxa"/>
            <w:tcBorders>
              <w:top w:val="single" w:sz="4" w:space="0" w:color="auto"/>
            </w:tcBorders>
          </w:tcPr>
          <w:p w:rsidR="002D772C" w:rsidRPr="00E856EE" w:rsidRDefault="002D772C" w:rsidP="0049322C">
            <w:pPr>
              <w:pStyle w:val="ListParagraph1"/>
            </w:pPr>
            <w:r w:rsidRPr="00E856EE">
              <w:t>2.4</w:t>
            </w:r>
          </w:p>
        </w:tc>
        <w:tc>
          <w:tcPr>
            <w:tcW w:w="1287" w:type="dxa"/>
            <w:tcBorders>
              <w:top w:val="single" w:sz="4" w:space="0" w:color="auto"/>
            </w:tcBorders>
          </w:tcPr>
          <w:p w:rsidR="002D772C" w:rsidRPr="00E856EE" w:rsidRDefault="002D772C" w:rsidP="0049322C">
            <w:pPr>
              <w:pStyle w:val="ListParagraph1"/>
            </w:pPr>
          </w:p>
        </w:tc>
        <w:tc>
          <w:tcPr>
            <w:tcW w:w="1277" w:type="dxa"/>
            <w:tcBorders>
              <w:top w:val="single" w:sz="4" w:space="0" w:color="auto"/>
            </w:tcBorders>
          </w:tcPr>
          <w:p w:rsidR="002D772C" w:rsidRPr="00E856EE" w:rsidRDefault="002D772C" w:rsidP="0049322C">
            <w:pPr>
              <w:pStyle w:val="ListParagraph1"/>
            </w:pPr>
          </w:p>
        </w:tc>
      </w:tr>
      <w:tr w:rsidR="002D772C" w:rsidRPr="00E856EE" w:rsidTr="00FD18C9">
        <w:tc>
          <w:tcPr>
            <w:tcW w:w="1653" w:type="dxa"/>
            <w:tcBorders>
              <w:bottom w:val="single" w:sz="4" w:space="0" w:color="auto"/>
            </w:tcBorders>
          </w:tcPr>
          <w:p w:rsidR="002D772C" w:rsidRPr="00E856EE" w:rsidRDefault="002D772C" w:rsidP="0049322C">
            <w:pPr>
              <w:pStyle w:val="ListParagraph1"/>
            </w:pPr>
            <w:r w:rsidRPr="00E856EE">
              <w:t xml:space="preserve">Stoll </w:t>
            </w:r>
            <w:r w:rsidR="00E729BA">
              <w:fldChar w:fldCharType="begin"/>
            </w:r>
            <w:r w:rsidR="00FC61FD">
              <w:instrText xml:space="preserve"> ADDIN REFMGR.CITE &lt;Refman&gt;&lt;Cite&gt;&lt;Author&gt;Stoll&lt;/Author&gt;&lt;Year&gt;2004&lt;/Year&gt;&lt;RecNum&gt;667&lt;/RecNum&gt;&lt;IDText&gt;Analysis of the relationship between disease activity and damage in patients with systemic lupus erythematosus--a 5-yr prospective study&lt;/IDText&gt;&lt;MDL Ref_Type="Journal"&gt;&lt;Ref_Type&gt;Journal&lt;/Ref_Type&gt;&lt;Ref_ID&gt;667&lt;/Ref_ID&gt;&lt;Title_Primary&gt;Analysis of the relationship between disease activity and damage in patients with systemic lupus erythematosus--a 5-yr prospective study&lt;/Title_Primary&gt;&lt;Authors_Primary&gt;Stoll,T.&lt;/Authors_Primary&gt;&lt;Authors_Primary&gt;Sutcliffe,N.&lt;/Authors_Primary&gt;&lt;Authors_Primary&gt;Mach,J.&lt;/Authors_Primary&gt;&lt;Authors_Primary&gt;Klaghofer,R.&lt;/Authors_Primary&gt;&lt;Authors_Primary&gt;Isenberg,D.A.&lt;/Authors_Primary&gt;&lt;Date_Primary&gt;2004/8&lt;/Date_Primary&gt;&lt;Keywords&gt;Adult&lt;/Keywords&gt;&lt;Keywords&gt;age&lt;/Keywords&gt;&lt;Keywords&gt;analysis&lt;/Keywords&gt;&lt;Keywords&gt;Anti-Inflammatory Agents&lt;/Keywords&gt;&lt;Keywords&gt;complications&lt;/Keywords&gt;&lt;Keywords&gt;death&lt;/Keywords&gt;&lt;Keywords&gt;Disease&lt;/Keywords&gt;&lt;Keywords&gt;drug therapy&lt;/Keywords&gt;&lt;Keywords&gt;erythematosus&lt;/Keywords&gt;&lt;Keywords&gt;etiology&lt;/Keywords&gt;&lt;Keywords&gt;Fatigue&lt;/Keywords&gt;&lt;Keywords&gt;Female&lt;/Keywords&gt;&lt;Keywords&gt;Health&lt;/Keywords&gt;&lt;Keywords&gt;Health Status&lt;/Keywords&gt;&lt;Keywords&gt;Humans&lt;/Keywords&gt;&lt;Keywords&gt;Immunosuppressive Agents&lt;/Keywords&gt;&lt;Keywords&gt;London&lt;/Keywords&gt;&lt;Keywords&gt;Longitudinal Studies&lt;/Keywords&gt;&lt;Keywords&gt;lupus erythematosus&lt;/Keywords&gt;&lt;Keywords&gt;Lupus Erythematosus,Systemic&lt;/Keywords&gt;&lt;Keywords&gt;Male&lt;/Keywords&gt;&lt;Keywords&gt;methods&lt;/Keywords&gt;&lt;Keywords&gt;Musculoskeletal Diseases&lt;/Keywords&gt;&lt;Keywords&gt;patient&lt;/Keywords&gt;&lt;Keywords&gt;Patients&lt;/Keywords&gt;&lt;Keywords&gt;Prednisone&lt;/Keywords&gt;&lt;Keywords&gt;Prospective Studies&lt;/Keywords&gt;&lt;Keywords&gt;Regression Analysis&lt;/Keywords&gt;&lt;Keywords&gt;Severity of Illness Index&lt;/Keywords&gt;&lt;Keywords&gt;systemic lupus erythematosus&lt;/Keywords&gt;&lt;Keywords&gt;therapeutic use&lt;/Keywords&gt;&lt;Keywords&gt;Time Factors&lt;/Keywords&gt;&lt;Reprint&gt;Not in File&lt;/Reprint&gt;&lt;Start_Page&gt;1039&lt;/Start_Page&gt;&lt;End_Page&gt;1044&lt;/End_Page&gt;&lt;Periodical&gt;Rheumatology.(Oxford).&lt;/Periodical&gt;&lt;Volume&gt;43&lt;/Volume&gt;&lt;Issue&gt;8&lt;/Issue&gt;&lt;User_Def_1&gt;y&lt;/User_Def_1&gt;&lt;ZZ_JournalStdAbbrev&gt;&lt;f name="System"&gt;Rheumatology.(Oxford).&lt;/f&gt;&lt;/ZZ_JournalStdAbbrev&gt;&lt;ZZ_WorkformID&gt;1&lt;/ZZ_WorkformID&gt;&lt;/MDL&gt;&lt;/Cite&gt;&lt;/Refman&gt;</w:instrText>
            </w:r>
            <w:r w:rsidR="00E729BA">
              <w:fldChar w:fldCharType="separate"/>
            </w:r>
            <w:r w:rsidR="004D7951">
              <w:t>(172)</w:t>
            </w:r>
            <w:r w:rsidR="00E729BA">
              <w:fldChar w:fldCharType="end"/>
            </w:r>
          </w:p>
        </w:tc>
        <w:tc>
          <w:tcPr>
            <w:tcW w:w="998" w:type="dxa"/>
            <w:tcBorders>
              <w:bottom w:val="single" w:sz="4" w:space="0" w:color="auto"/>
            </w:tcBorders>
          </w:tcPr>
          <w:p w:rsidR="002D772C" w:rsidRPr="00E856EE" w:rsidRDefault="002D772C" w:rsidP="0049322C">
            <w:pPr>
              <w:pStyle w:val="ListParagraph1"/>
            </w:pPr>
            <w:r w:rsidRPr="00E856EE">
              <w:t>2004</w:t>
            </w:r>
          </w:p>
        </w:tc>
        <w:tc>
          <w:tcPr>
            <w:tcW w:w="1216" w:type="dxa"/>
            <w:tcBorders>
              <w:bottom w:val="single" w:sz="4" w:space="0" w:color="auto"/>
            </w:tcBorders>
          </w:tcPr>
          <w:p w:rsidR="002D772C" w:rsidRPr="00E856EE" w:rsidRDefault="002D772C" w:rsidP="0049322C">
            <w:pPr>
              <w:pStyle w:val="ListParagraph1"/>
            </w:pPr>
            <w:r w:rsidRPr="00E856EE">
              <w:t>141</w:t>
            </w:r>
          </w:p>
        </w:tc>
        <w:tc>
          <w:tcPr>
            <w:tcW w:w="1420" w:type="dxa"/>
            <w:tcBorders>
              <w:bottom w:val="single" w:sz="4" w:space="0" w:color="auto"/>
            </w:tcBorders>
          </w:tcPr>
          <w:p w:rsidR="002D772C" w:rsidRPr="00E856EE" w:rsidRDefault="002D772C" w:rsidP="0049322C">
            <w:pPr>
              <w:pStyle w:val="ListParagraph1"/>
            </w:pPr>
            <w:r w:rsidRPr="00E856EE">
              <w:t>1.2</w:t>
            </w:r>
          </w:p>
        </w:tc>
        <w:tc>
          <w:tcPr>
            <w:tcW w:w="1289" w:type="dxa"/>
            <w:tcBorders>
              <w:bottom w:val="single" w:sz="4" w:space="0" w:color="auto"/>
            </w:tcBorders>
          </w:tcPr>
          <w:p w:rsidR="002D772C" w:rsidRPr="00E856EE" w:rsidRDefault="002D772C" w:rsidP="0049322C">
            <w:pPr>
              <w:pStyle w:val="ListParagraph1"/>
            </w:pPr>
            <w:r w:rsidRPr="00E856EE">
              <w:t>1.6</w:t>
            </w:r>
          </w:p>
        </w:tc>
        <w:tc>
          <w:tcPr>
            <w:tcW w:w="1287" w:type="dxa"/>
            <w:tcBorders>
              <w:bottom w:val="single" w:sz="4" w:space="0" w:color="auto"/>
            </w:tcBorders>
          </w:tcPr>
          <w:p w:rsidR="002D772C" w:rsidRPr="00E856EE" w:rsidRDefault="002D772C" w:rsidP="0049322C">
            <w:pPr>
              <w:pStyle w:val="ListParagraph1"/>
            </w:pPr>
          </w:p>
        </w:tc>
        <w:tc>
          <w:tcPr>
            <w:tcW w:w="1277" w:type="dxa"/>
            <w:tcBorders>
              <w:bottom w:val="single" w:sz="4" w:space="0" w:color="auto"/>
            </w:tcBorders>
          </w:tcPr>
          <w:p w:rsidR="002D772C" w:rsidRPr="00E856EE" w:rsidRDefault="002D772C" w:rsidP="0049322C">
            <w:pPr>
              <w:pStyle w:val="ListParagraph1"/>
            </w:pPr>
          </w:p>
        </w:tc>
      </w:tr>
      <w:tr w:rsidR="002D772C" w:rsidRPr="00E856EE" w:rsidTr="00FD18C9">
        <w:tc>
          <w:tcPr>
            <w:tcW w:w="9140" w:type="dxa"/>
            <w:gridSpan w:val="7"/>
            <w:tcBorders>
              <w:top w:val="single" w:sz="4" w:space="0" w:color="auto"/>
              <w:bottom w:val="single" w:sz="12" w:space="0" w:color="auto"/>
            </w:tcBorders>
          </w:tcPr>
          <w:p w:rsidR="002D772C" w:rsidRPr="00D9310B" w:rsidRDefault="002D772C" w:rsidP="00433502">
            <w:pPr>
              <w:spacing w:line="240" w:lineRule="auto"/>
              <w:rPr>
                <w:sz w:val="16"/>
                <w:szCs w:val="16"/>
              </w:rPr>
            </w:pPr>
            <w:r w:rsidRPr="00D9310B">
              <w:rPr>
                <w:sz w:val="16"/>
                <w:szCs w:val="16"/>
                <w:vertAlign w:val="superscript"/>
              </w:rPr>
              <w:t>a</w:t>
            </w:r>
            <w:r w:rsidRPr="00D9310B">
              <w:rPr>
                <w:sz w:val="16"/>
                <w:szCs w:val="16"/>
              </w:rPr>
              <w:t xml:space="preserve"> median SLICC/ACR</w:t>
            </w:r>
            <w:r w:rsidR="002C404F">
              <w:rPr>
                <w:sz w:val="16"/>
                <w:szCs w:val="16"/>
              </w:rPr>
              <w:t xml:space="preserve"> Damage Index</w:t>
            </w:r>
          </w:p>
        </w:tc>
      </w:tr>
    </w:tbl>
    <w:p w:rsidR="002D772C" w:rsidRDefault="002D772C" w:rsidP="002D772C">
      <w:pPr>
        <w:spacing w:after="0" w:afterAutospacing="0"/>
        <w:rPr>
          <w:b/>
          <w:bCs/>
          <w:sz w:val="18"/>
          <w:szCs w:val="16"/>
        </w:rPr>
      </w:pPr>
      <w:bookmarkStart w:id="200" w:name="_Ref252368410"/>
      <w:r>
        <w:br w:type="page"/>
      </w:r>
    </w:p>
    <w:p w:rsidR="002D772C" w:rsidRDefault="002D772C" w:rsidP="00234693">
      <w:pPr>
        <w:pStyle w:val="Caption"/>
      </w:pPr>
      <w:bookmarkStart w:id="201" w:name="_Ref278527625"/>
      <w:bookmarkStart w:id="202" w:name="_Toc279009306"/>
      <w:r>
        <w:t xml:space="preserve">Figure </w:t>
      </w:r>
      <w:r w:rsidR="00E729BA">
        <w:fldChar w:fldCharType="begin"/>
      </w:r>
      <w:r w:rsidR="000B0EDB">
        <w:instrText xml:space="preserve"> SEQ Figure \* ARABIC </w:instrText>
      </w:r>
      <w:r w:rsidR="00E729BA">
        <w:fldChar w:fldCharType="separate"/>
      </w:r>
      <w:r w:rsidR="004911B7">
        <w:rPr>
          <w:noProof/>
        </w:rPr>
        <w:t>7</w:t>
      </w:r>
      <w:r w:rsidR="00E729BA">
        <w:fldChar w:fldCharType="end"/>
      </w:r>
      <w:bookmarkEnd w:id="200"/>
      <w:bookmarkEnd w:id="201"/>
      <w:r>
        <w:t>: Rate of organ damage accumulation over time</w:t>
      </w:r>
      <w:bookmarkEnd w:id="202"/>
    </w:p>
    <w:p w:rsidR="002D772C" w:rsidRDefault="002D772C" w:rsidP="00234693">
      <w:pPr>
        <w:pStyle w:val="Caption"/>
      </w:pPr>
      <w:r>
        <w:rPr>
          <w:noProof/>
          <w:lang w:eastAsia="zh-CN" w:bidi="ar-SA"/>
        </w:rPr>
        <w:drawing>
          <wp:inline distT="0" distB="0" distL="0" distR="0">
            <wp:extent cx="4395420" cy="2880000"/>
            <wp:effectExtent l="19050" t="19050" r="24180" b="1560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395420" cy="2880000"/>
                    </a:xfrm>
                    <a:prstGeom prst="rect">
                      <a:avLst/>
                    </a:prstGeom>
                    <a:noFill/>
                    <a:ln w="6350" cmpd="sng">
                      <a:solidFill>
                        <a:srgbClr val="000000"/>
                      </a:solidFill>
                      <a:miter lim="800000"/>
                      <a:headEnd/>
                      <a:tailEnd/>
                    </a:ln>
                    <a:effectLst/>
                  </pic:spPr>
                </pic:pic>
              </a:graphicData>
            </a:graphic>
          </wp:inline>
        </w:drawing>
      </w:r>
    </w:p>
    <w:p w:rsidR="002D772C" w:rsidRPr="008B6651" w:rsidRDefault="002D772C" w:rsidP="002D772C">
      <w:pPr>
        <w:pStyle w:val="Heading4"/>
      </w:pPr>
      <w:r>
        <w:t>Time t</w:t>
      </w:r>
      <w:r w:rsidRPr="008B6651">
        <w:t>o Initial Damage</w:t>
      </w:r>
    </w:p>
    <w:p w:rsidR="002D772C" w:rsidRPr="005E3AF0" w:rsidRDefault="008B1572" w:rsidP="005E3AF0">
      <w:r>
        <w:t>Three</w:t>
      </w:r>
      <w:r w:rsidR="002D772C">
        <w:t xml:space="preserve"> studies have reported time </w:t>
      </w:r>
      <w:r w:rsidR="009A48D5">
        <w:t>from</w:t>
      </w:r>
      <w:r w:rsidR="002D772C">
        <w:t xml:space="preserve"> cohort entry to the first damage event. The results from these studies are summarised in </w:t>
      </w:r>
      <w:r w:rsidR="00E729BA">
        <w:fldChar w:fldCharType="begin"/>
      </w:r>
      <w:r w:rsidR="002D772C">
        <w:instrText xml:space="preserve"> REF _Ref279046640 \h </w:instrText>
      </w:r>
      <w:r w:rsidR="00E729BA">
        <w:fldChar w:fldCharType="separate"/>
      </w:r>
      <w:r w:rsidR="004911B7">
        <w:t xml:space="preserve">Table </w:t>
      </w:r>
      <w:r w:rsidR="004911B7">
        <w:rPr>
          <w:noProof/>
        </w:rPr>
        <w:t>12</w:t>
      </w:r>
      <w:r w:rsidR="00E729BA">
        <w:fldChar w:fldCharType="end"/>
      </w:r>
      <w:r w:rsidR="002D772C">
        <w:t xml:space="preserve">. The summary suggests that there is substantial variation in time to initial damage between the studies reported here. Chambers and Becker-Merok report slower time to damage than Ruiz-Irastroza. Toloza et al. </w:t>
      </w:r>
      <w:r w:rsidR="00E729BA">
        <w:fldChar w:fldCharType="begin"/>
      </w:r>
      <w:r w:rsidR="00FC61FD">
        <w:instrText xml:space="preserve"> ADDIN REFMGR.CITE &lt;Refman&gt;&lt;Cite&gt;&lt;Author&gt;Toloza&lt;/Author&gt;&lt;Year&gt;2004&lt;/Year&gt;&lt;RecNum&gt;640&lt;/RecNum&gt;&lt;IDText&gt;Systemic lupus erythematosus in a multiethnic US cohort (LUMINA): XXII. Predictors of time to the occurrence of initial damage&lt;/IDText&gt;&lt;MDL Ref_Type="Journal"&gt;&lt;Ref_Type&gt;Journal&lt;/Ref_Type&gt;&lt;Ref_ID&gt;640&lt;/Ref_ID&gt;&lt;Title_Primary&gt;Systemic lupus erythematosus in a multiethnic US cohort (LUMINA): XXII. Predictors of time to the occurrence of initial damage&lt;/Title_Primary&gt;&lt;Authors_Primary&gt;Toloza,S.M.&lt;/Authors_Primary&gt;&lt;Authors_Primary&gt;Roseman,J.M.&lt;/Authors_Primary&gt;&lt;Authors_Primary&gt;Alarcon,G.S.&lt;/Authors_Primary&gt;&lt;Authors_Primary&gt;McGwin,G.,Jr.&lt;/Authors_Primary&gt;&lt;Authors_Primary&gt;Uribe,A.G.&lt;/Authors_Primary&gt;&lt;Authors_Primary&gt;Fessler,B.J.&lt;/Authors_Primary&gt;&lt;Authors_Primary&gt;Bastian,H.M.&lt;/Authors_Primary&gt;&lt;Authors_Primary&gt;Vila,L.M.&lt;/Authors_Primary&gt;&lt;Authors_Primary&gt;Reveille,J.D.&lt;/Authors_Primary&gt;&lt;Date_Primary&gt;2004/10&lt;/Date_Primary&gt;&lt;Keywords&gt;Adolescent&lt;/Keywords&gt;&lt;Keywords&gt;Adult&lt;/Keywords&gt;&lt;Keywords&gt;African Americans&lt;/Keywords&gt;&lt;Keywords&gt;Aged&lt;/Keywords&gt;&lt;Keywords&gt;Alabama&lt;/Keywords&gt;&lt;Keywords&gt;Alopecia&lt;/Keywords&gt;&lt;Keywords&gt;Arteries&lt;/Keywords&gt;&lt;Keywords&gt;Cataract&lt;/Keywords&gt;&lt;Keywords&gt;Cohort Studies&lt;/Keywords&gt;&lt;Keywords&gt;confidence interval&lt;/Keywords&gt;&lt;Keywords&gt;Disease&lt;/Keywords&gt;&lt;Keywords&gt;epidemiology&lt;/Keywords&gt;&lt;Keywords&gt;erythematosus&lt;/Keywords&gt;&lt;Keywords&gt;European Continental Ancestry Group&lt;/Keywords&gt;&lt;Keywords&gt;Female&lt;/Keywords&gt;&lt;Keywords&gt;Health&lt;/Keywords&gt;&lt;Keywords&gt;Hispanic Americans&lt;/Keywords&gt;&lt;Keywords&gt;Humans&lt;/Keywords&gt;&lt;Keywords&gt;lupus erythematosus&lt;/Keywords&gt;&lt;Keywords&gt;Lupus Erythematosus,Systemic&lt;/Keywords&gt;&lt;Keywords&gt;Male&lt;/Keywords&gt;&lt;Keywords&gt;methods&lt;/Keywords&gt;&lt;Keywords&gt;Middle Aged&lt;/Keywords&gt;&lt;Keywords&gt;Multivariate Analysis&lt;/Keywords&gt;&lt;Keywords&gt;patient&lt;/Keywords&gt;&lt;Keywords&gt;Patients&lt;/Keywords&gt;&lt;Keywords&gt;Prednisone&lt;/Keywords&gt;&lt;Keywords&gt;Proportional Hazards Models&lt;/Keywords&gt;&lt;Keywords&gt;Proteinuria&lt;/Keywords&gt;&lt;Keywords&gt;Puerto Rico&lt;/Keywords&gt;&lt;Keywords&gt;systemic lupus erythematosus&lt;/Keywords&gt;&lt;Keywords&gt;Texas&lt;/Keywords&gt;&lt;Keywords&gt;therapy&lt;/Keywords&gt;&lt;Keywords&gt;Time&lt;/Keywords&gt;&lt;Keywords&gt;Time Factors&lt;/Keywords&gt;&lt;Keywords&gt;United States&lt;/Keywords&gt;&lt;Keywords&gt;Veins&lt;/Keywords&gt;&lt;Reprint&gt;Not in File&lt;/Reprint&gt;&lt;Start_Page&gt;3177&lt;/Start_Page&gt;&lt;End_Page&gt;3186&lt;/End_Page&gt;&lt;Periodical&gt;Arthritis Rheum.&lt;/Periodical&gt;&lt;Volume&gt;50&lt;/Volume&gt;&lt;Issue&gt;10&lt;/Issue&gt;&lt;User_Def_1&gt;y&lt;/User_Def_1&gt;&lt;ZZ_JournalStdAbbrev&gt;&lt;f name="System"&gt;Arthritis Rheum.&lt;/f&gt;&lt;/ZZ_JournalStdAbbrev&gt;&lt;ZZ_WorkformID&gt;1&lt;/ZZ_WorkformID&gt;&lt;/MDL&gt;&lt;/Cite&gt;&lt;/Refman&gt;</w:instrText>
      </w:r>
      <w:r w:rsidR="00E729BA">
        <w:fldChar w:fldCharType="separate"/>
      </w:r>
      <w:r w:rsidR="004D7951">
        <w:t>(173)</w:t>
      </w:r>
      <w:r w:rsidR="00E729BA">
        <w:fldChar w:fldCharType="end"/>
      </w:r>
      <w:r w:rsidR="002D772C">
        <w:t xml:space="preserve"> report time to initial damage across different ethnic groups in a survival curve. After 5 years of the disease approximately 50% of Hispanic and African Americans are damage free, whereas 67% of Caucasians have not accrued damage. Ethnicity and environmental factors are important determinants of damage accrual. Ruiz-Irastroza studies a Spanish population whereas the other two studies are from mainly North European populations. Differences in the ethnicity profile of cohorts may explain some of the variation.</w:t>
      </w:r>
      <w:bookmarkStart w:id="203" w:name="_Ref249432854"/>
      <w:bookmarkStart w:id="204" w:name="_Toc279009288"/>
    </w:p>
    <w:p w:rsidR="002D772C" w:rsidRDefault="002D772C" w:rsidP="00234693">
      <w:pPr>
        <w:pStyle w:val="Caption"/>
      </w:pPr>
      <w:bookmarkStart w:id="205" w:name="_Ref279046640"/>
      <w:r>
        <w:t xml:space="preserve">Table </w:t>
      </w:r>
      <w:fldSimple w:instr=" SEQ Table \* ARABIC ">
        <w:r w:rsidR="004911B7">
          <w:rPr>
            <w:noProof/>
          </w:rPr>
          <w:t>12</w:t>
        </w:r>
      </w:fldSimple>
      <w:bookmarkEnd w:id="203"/>
      <w:bookmarkEnd w:id="205"/>
      <w:r>
        <w:t>: Time to initial damage</w:t>
      </w:r>
      <w:bookmarkEnd w:id="204"/>
    </w:p>
    <w:tbl>
      <w:tblPr>
        <w:tblW w:w="0" w:type="auto"/>
        <w:tblBorders>
          <w:top w:val="single" w:sz="12" w:space="0" w:color="auto"/>
          <w:bottom w:val="single" w:sz="12" w:space="0" w:color="auto"/>
        </w:tblBorders>
        <w:tblLook w:val="0000"/>
      </w:tblPr>
      <w:tblGrid>
        <w:gridCol w:w="1749"/>
        <w:gridCol w:w="897"/>
        <w:gridCol w:w="1269"/>
        <w:gridCol w:w="1546"/>
        <w:gridCol w:w="1546"/>
        <w:gridCol w:w="1407"/>
      </w:tblGrid>
      <w:tr w:rsidR="002D772C" w:rsidRPr="00E856EE" w:rsidTr="00433502">
        <w:trPr>
          <w:trHeight w:val="299"/>
        </w:trPr>
        <w:tc>
          <w:tcPr>
            <w:tcW w:w="1759" w:type="dxa"/>
            <w:vMerge w:val="restart"/>
            <w:tcBorders>
              <w:top w:val="single" w:sz="12" w:space="0" w:color="auto"/>
              <w:bottom w:val="nil"/>
            </w:tcBorders>
          </w:tcPr>
          <w:p w:rsidR="002D772C" w:rsidRPr="00E856EE" w:rsidRDefault="002D772C" w:rsidP="0049322C">
            <w:pPr>
              <w:pStyle w:val="ListParagraph1"/>
            </w:pPr>
            <w:r w:rsidRPr="00E856EE">
              <w:t>Author</w:t>
            </w:r>
          </w:p>
        </w:tc>
        <w:tc>
          <w:tcPr>
            <w:tcW w:w="901" w:type="dxa"/>
            <w:vMerge w:val="restart"/>
            <w:tcBorders>
              <w:top w:val="single" w:sz="12" w:space="0" w:color="auto"/>
              <w:bottom w:val="nil"/>
            </w:tcBorders>
          </w:tcPr>
          <w:p w:rsidR="002D772C" w:rsidRPr="00E856EE" w:rsidRDefault="002D772C" w:rsidP="0049322C">
            <w:pPr>
              <w:pStyle w:val="ListParagraph1"/>
            </w:pPr>
            <w:r w:rsidRPr="00E856EE">
              <w:t>Year</w:t>
            </w:r>
          </w:p>
        </w:tc>
        <w:tc>
          <w:tcPr>
            <w:tcW w:w="1276" w:type="dxa"/>
            <w:vMerge w:val="restart"/>
            <w:tcBorders>
              <w:top w:val="single" w:sz="12" w:space="0" w:color="auto"/>
              <w:bottom w:val="nil"/>
            </w:tcBorders>
          </w:tcPr>
          <w:p w:rsidR="002D772C" w:rsidRPr="00E856EE" w:rsidRDefault="002D772C" w:rsidP="0049322C">
            <w:pPr>
              <w:pStyle w:val="ListParagraph1"/>
            </w:pPr>
            <w:r w:rsidRPr="00E856EE">
              <w:t>Sample size</w:t>
            </w:r>
          </w:p>
        </w:tc>
        <w:tc>
          <w:tcPr>
            <w:tcW w:w="4536" w:type="dxa"/>
            <w:gridSpan w:val="3"/>
            <w:tcBorders>
              <w:top w:val="single" w:sz="12" w:space="0" w:color="auto"/>
              <w:bottom w:val="nil"/>
            </w:tcBorders>
          </w:tcPr>
          <w:p w:rsidR="002D772C" w:rsidRPr="00E856EE" w:rsidRDefault="002D772C" w:rsidP="0049322C">
            <w:pPr>
              <w:pStyle w:val="ListParagraph1"/>
            </w:pPr>
            <w:r>
              <w:t>Proportions of patients damage free</w:t>
            </w:r>
            <w:r w:rsidR="009602B1">
              <w:t xml:space="preserve"> at the time point</w:t>
            </w:r>
          </w:p>
        </w:tc>
      </w:tr>
      <w:tr w:rsidR="002D772C" w:rsidRPr="00E856EE" w:rsidTr="00433502">
        <w:trPr>
          <w:trHeight w:val="239"/>
        </w:trPr>
        <w:tc>
          <w:tcPr>
            <w:tcW w:w="1759" w:type="dxa"/>
            <w:vMerge/>
            <w:tcBorders>
              <w:top w:val="nil"/>
              <w:bottom w:val="single" w:sz="4" w:space="0" w:color="auto"/>
            </w:tcBorders>
          </w:tcPr>
          <w:p w:rsidR="002D772C" w:rsidRPr="00E856EE" w:rsidRDefault="002D772C" w:rsidP="0049322C">
            <w:pPr>
              <w:pStyle w:val="ListParagraph1"/>
            </w:pPr>
          </w:p>
        </w:tc>
        <w:tc>
          <w:tcPr>
            <w:tcW w:w="901" w:type="dxa"/>
            <w:vMerge/>
            <w:tcBorders>
              <w:top w:val="nil"/>
              <w:bottom w:val="single" w:sz="4" w:space="0" w:color="auto"/>
            </w:tcBorders>
          </w:tcPr>
          <w:p w:rsidR="002D772C" w:rsidRPr="00E856EE" w:rsidRDefault="002D772C" w:rsidP="0049322C">
            <w:pPr>
              <w:pStyle w:val="ListParagraph1"/>
            </w:pPr>
          </w:p>
        </w:tc>
        <w:tc>
          <w:tcPr>
            <w:tcW w:w="1276" w:type="dxa"/>
            <w:vMerge/>
            <w:tcBorders>
              <w:top w:val="nil"/>
              <w:bottom w:val="single" w:sz="4" w:space="0" w:color="auto"/>
            </w:tcBorders>
          </w:tcPr>
          <w:p w:rsidR="002D772C" w:rsidRPr="00E856EE" w:rsidRDefault="002D772C" w:rsidP="0049322C">
            <w:pPr>
              <w:pStyle w:val="ListParagraph1"/>
            </w:pPr>
          </w:p>
        </w:tc>
        <w:tc>
          <w:tcPr>
            <w:tcW w:w="1559" w:type="dxa"/>
            <w:tcBorders>
              <w:top w:val="nil"/>
              <w:bottom w:val="single" w:sz="4" w:space="0" w:color="auto"/>
            </w:tcBorders>
          </w:tcPr>
          <w:p w:rsidR="002D772C" w:rsidRPr="00E856EE" w:rsidRDefault="002D772C" w:rsidP="0049322C">
            <w:pPr>
              <w:pStyle w:val="ListParagraph1"/>
            </w:pPr>
            <w:r w:rsidRPr="00E856EE">
              <w:t>1 year</w:t>
            </w:r>
          </w:p>
        </w:tc>
        <w:tc>
          <w:tcPr>
            <w:tcW w:w="1559" w:type="dxa"/>
            <w:tcBorders>
              <w:top w:val="nil"/>
              <w:bottom w:val="single" w:sz="4" w:space="0" w:color="auto"/>
            </w:tcBorders>
          </w:tcPr>
          <w:p w:rsidR="002D772C" w:rsidRPr="00E856EE" w:rsidRDefault="002D772C" w:rsidP="0049322C">
            <w:pPr>
              <w:pStyle w:val="ListParagraph1"/>
            </w:pPr>
            <w:r w:rsidRPr="00E856EE">
              <w:t>5 year</w:t>
            </w:r>
          </w:p>
        </w:tc>
        <w:tc>
          <w:tcPr>
            <w:tcW w:w="1418" w:type="dxa"/>
            <w:tcBorders>
              <w:top w:val="nil"/>
              <w:bottom w:val="single" w:sz="4" w:space="0" w:color="auto"/>
            </w:tcBorders>
          </w:tcPr>
          <w:p w:rsidR="002D772C" w:rsidRPr="00E856EE" w:rsidRDefault="002D772C" w:rsidP="0049322C">
            <w:pPr>
              <w:pStyle w:val="ListParagraph1"/>
            </w:pPr>
            <w:r w:rsidRPr="00E856EE">
              <w:t>10 yea</w:t>
            </w:r>
            <w:r>
              <w:t>r</w:t>
            </w:r>
          </w:p>
        </w:tc>
      </w:tr>
      <w:tr w:rsidR="002D772C" w:rsidRPr="00E856EE" w:rsidTr="00433502">
        <w:tc>
          <w:tcPr>
            <w:tcW w:w="1759" w:type="dxa"/>
            <w:tcBorders>
              <w:top w:val="single" w:sz="4" w:space="0" w:color="auto"/>
            </w:tcBorders>
          </w:tcPr>
          <w:p w:rsidR="002D772C" w:rsidRPr="00E856EE" w:rsidRDefault="002D772C" w:rsidP="0049322C">
            <w:pPr>
              <w:pStyle w:val="ListParagraph1"/>
              <w:rPr>
                <w:lang w:val="sv-SE"/>
              </w:rPr>
            </w:pPr>
            <w:r w:rsidRPr="00E856EE">
              <w:rPr>
                <w:lang w:val="sv-SE"/>
              </w:rPr>
              <w:t xml:space="preserve">Becker-Merok </w:t>
            </w:r>
            <w:r w:rsidR="00E729BA">
              <w:rPr>
                <w:lang w:val="sv-SE"/>
              </w:rPr>
              <w:fldChar w:fldCharType="begin"/>
            </w:r>
            <w:r w:rsidR="00FC61FD">
              <w:rPr>
                <w:lang w:val="sv-SE"/>
              </w:rPr>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rPr>
                <w:lang w:val="sv-SE"/>
              </w:rPr>
              <w:fldChar w:fldCharType="separate"/>
            </w:r>
            <w:r w:rsidR="004D7951">
              <w:rPr>
                <w:lang w:val="sv-SE"/>
              </w:rPr>
              <w:t>(162)</w:t>
            </w:r>
            <w:r w:rsidR="00E729BA">
              <w:rPr>
                <w:lang w:val="sv-SE"/>
              </w:rPr>
              <w:fldChar w:fldCharType="end"/>
            </w:r>
          </w:p>
        </w:tc>
        <w:tc>
          <w:tcPr>
            <w:tcW w:w="901" w:type="dxa"/>
            <w:tcBorders>
              <w:top w:val="single" w:sz="4" w:space="0" w:color="auto"/>
            </w:tcBorders>
          </w:tcPr>
          <w:p w:rsidR="002D772C" w:rsidRPr="00E856EE" w:rsidRDefault="002D772C" w:rsidP="0049322C">
            <w:pPr>
              <w:pStyle w:val="ListParagraph1"/>
            </w:pPr>
            <w:r w:rsidRPr="00E856EE">
              <w:t>2006</w:t>
            </w:r>
          </w:p>
        </w:tc>
        <w:tc>
          <w:tcPr>
            <w:tcW w:w="1276" w:type="dxa"/>
            <w:tcBorders>
              <w:top w:val="single" w:sz="4" w:space="0" w:color="auto"/>
            </w:tcBorders>
          </w:tcPr>
          <w:p w:rsidR="002D772C" w:rsidRPr="00E856EE" w:rsidRDefault="002D772C" w:rsidP="0049322C">
            <w:pPr>
              <w:pStyle w:val="ListParagraph1"/>
            </w:pPr>
            <w:r w:rsidRPr="00E856EE">
              <w:t>158</w:t>
            </w:r>
          </w:p>
        </w:tc>
        <w:tc>
          <w:tcPr>
            <w:tcW w:w="1559" w:type="dxa"/>
            <w:tcBorders>
              <w:top w:val="single" w:sz="4" w:space="0" w:color="auto"/>
            </w:tcBorders>
          </w:tcPr>
          <w:p w:rsidR="002D772C" w:rsidRPr="00E856EE" w:rsidRDefault="002D772C" w:rsidP="0049322C">
            <w:pPr>
              <w:pStyle w:val="ListParagraph1"/>
            </w:pPr>
            <w:r w:rsidRPr="00E856EE">
              <w:t>0.97</w:t>
            </w:r>
          </w:p>
        </w:tc>
        <w:tc>
          <w:tcPr>
            <w:tcW w:w="1559" w:type="dxa"/>
            <w:tcBorders>
              <w:top w:val="single" w:sz="4" w:space="0" w:color="auto"/>
            </w:tcBorders>
          </w:tcPr>
          <w:p w:rsidR="002D772C" w:rsidRPr="00E856EE" w:rsidRDefault="002D772C" w:rsidP="0049322C">
            <w:pPr>
              <w:pStyle w:val="ListParagraph1"/>
            </w:pPr>
            <w:r w:rsidRPr="00E856EE">
              <w:t>0.58</w:t>
            </w:r>
          </w:p>
        </w:tc>
        <w:tc>
          <w:tcPr>
            <w:tcW w:w="1418" w:type="dxa"/>
            <w:tcBorders>
              <w:top w:val="single" w:sz="4" w:space="0" w:color="auto"/>
            </w:tcBorders>
          </w:tcPr>
          <w:p w:rsidR="002D772C" w:rsidRPr="00E856EE" w:rsidRDefault="002D772C" w:rsidP="0049322C">
            <w:pPr>
              <w:pStyle w:val="ListParagraph1"/>
            </w:pPr>
          </w:p>
        </w:tc>
      </w:tr>
      <w:tr w:rsidR="002D772C" w:rsidRPr="00E856EE" w:rsidTr="00433502">
        <w:tc>
          <w:tcPr>
            <w:tcW w:w="1759" w:type="dxa"/>
          </w:tcPr>
          <w:p w:rsidR="002D772C" w:rsidRPr="00FD18C9" w:rsidRDefault="002D772C" w:rsidP="00FD18C9">
            <w:pPr>
              <w:pStyle w:val="ListParagraph1"/>
            </w:pPr>
            <w:r w:rsidRPr="00FD18C9">
              <w:t xml:space="preserve">Chambers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r w:rsidR="004D7951">
              <w:t>(167)</w:t>
            </w:r>
            <w:r w:rsidR="00E729BA">
              <w:fldChar w:fldCharType="end"/>
            </w:r>
          </w:p>
        </w:tc>
        <w:tc>
          <w:tcPr>
            <w:tcW w:w="901" w:type="dxa"/>
          </w:tcPr>
          <w:p w:rsidR="002D772C" w:rsidRPr="00E856EE" w:rsidRDefault="002D772C" w:rsidP="0049322C">
            <w:pPr>
              <w:pStyle w:val="ListParagraph1"/>
            </w:pPr>
            <w:r w:rsidRPr="00E856EE">
              <w:t>2009</w:t>
            </w:r>
          </w:p>
        </w:tc>
        <w:tc>
          <w:tcPr>
            <w:tcW w:w="1276" w:type="dxa"/>
          </w:tcPr>
          <w:p w:rsidR="002D772C" w:rsidRPr="00E856EE" w:rsidRDefault="002D772C" w:rsidP="0049322C">
            <w:pPr>
              <w:pStyle w:val="ListParagraph1"/>
            </w:pPr>
            <w:r w:rsidRPr="00E856EE">
              <w:t>232</w:t>
            </w:r>
          </w:p>
        </w:tc>
        <w:tc>
          <w:tcPr>
            <w:tcW w:w="1559" w:type="dxa"/>
          </w:tcPr>
          <w:p w:rsidR="002D772C" w:rsidRPr="00E856EE" w:rsidRDefault="002D772C" w:rsidP="0049322C">
            <w:pPr>
              <w:pStyle w:val="ListParagraph1"/>
            </w:pPr>
            <w:r w:rsidRPr="00E856EE">
              <w:t>0.90</w:t>
            </w:r>
          </w:p>
        </w:tc>
        <w:tc>
          <w:tcPr>
            <w:tcW w:w="1559" w:type="dxa"/>
          </w:tcPr>
          <w:p w:rsidR="002D772C" w:rsidRPr="00E856EE" w:rsidRDefault="002D772C" w:rsidP="0049322C">
            <w:pPr>
              <w:pStyle w:val="ListParagraph1"/>
            </w:pPr>
            <w:r w:rsidRPr="00E856EE">
              <w:t>0.67</w:t>
            </w:r>
          </w:p>
        </w:tc>
        <w:tc>
          <w:tcPr>
            <w:tcW w:w="1418" w:type="dxa"/>
          </w:tcPr>
          <w:p w:rsidR="002D772C" w:rsidRPr="00E856EE" w:rsidRDefault="002D772C" w:rsidP="0049322C">
            <w:pPr>
              <w:pStyle w:val="ListParagraph1"/>
            </w:pPr>
            <w:r w:rsidRPr="00E856EE">
              <w:t>0.49</w:t>
            </w:r>
          </w:p>
        </w:tc>
      </w:tr>
      <w:tr w:rsidR="002D772C" w:rsidRPr="00E856EE" w:rsidTr="00433502">
        <w:tc>
          <w:tcPr>
            <w:tcW w:w="1759" w:type="dxa"/>
          </w:tcPr>
          <w:p w:rsidR="002D772C" w:rsidRPr="00FD18C9" w:rsidRDefault="002D772C" w:rsidP="0049322C">
            <w:pPr>
              <w:pStyle w:val="ListParagraph1"/>
            </w:pPr>
            <w:r w:rsidRPr="00FD18C9">
              <w:t xml:space="preserve">Ruiz-Irastorza </w:t>
            </w:r>
            <w:r w:rsidR="00E729BA">
              <w:rPr>
                <w:lang w:val="pt-PT"/>
              </w:rPr>
              <w:fldChar w:fldCharType="begin"/>
            </w:r>
            <w:r w:rsidR="00FC61FD">
              <w:instrText xml:space="preserve"> ADDIN REFMGR.CITE &lt;Refman&gt;&lt;Cite&gt;&lt;Author&gt;Ruiz-Irastorza&lt;/Author&gt;&lt;Year&gt;2004&lt;/Year&gt;&lt;RecNum&gt;711&lt;/RecNum&gt;&lt;IDText&gt;High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name="System"&gt;Arch.Intern.Med.&lt;/f&gt;&lt;/ZZ_JournalStdAbbrev&gt;&lt;ZZ_WorkformID&gt;1&lt;/ZZ_WorkformID&gt;&lt;/MDL&gt;&lt;/Cite&gt;&lt;/Refman&gt;</w:instrText>
            </w:r>
            <w:r w:rsidR="00E729BA">
              <w:rPr>
                <w:lang w:val="pt-PT"/>
              </w:rPr>
              <w:fldChar w:fldCharType="separate"/>
            </w:r>
            <w:r w:rsidR="004D7951">
              <w:t>(154)</w:t>
            </w:r>
            <w:r w:rsidR="00E729BA">
              <w:rPr>
                <w:lang w:val="pt-PT"/>
              </w:rPr>
              <w:fldChar w:fldCharType="end"/>
            </w:r>
          </w:p>
        </w:tc>
        <w:tc>
          <w:tcPr>
            <w:tcW w:w="901" w:type="dxa"/>
          </w:tcPr>
          <w:p w:rsidR="002D772C" w:rsidRPr="00E856EE" w:rsidRDefault="002D772C" w:rsidP="0049322C">
            <w:pPr>
              <w:pStyle w:val="ListParagraph1"/>
            </w:pPr>
            <w:r w:rsidRPr="00E856EE">
              <w:t>2004</w:t>
            </w:r>
          </w:p>
        </w:tc>
        <w:tc>
          <w:tcPr>
            <w:tcW w:w="1276" w:type="dxa"/>
          </w:tcPr>
          <w:p w:rsidR="002D772C" w:rsidRPr="00E856EE" w:rsidRDefault="002D772C" w:rsidP="0049322C">
            <w:pPr>
              <w:pStyle w:val="ListParagraph1"/>
            </w:pPr>
            <w:r w:rsidRPr="00E856EE">
              <w:t>202</w:t>
            </w:r>
          </w:p>
        </w:tc>
        <w:tc>
          <w:tcPr>
            <w:tcW w:w="1559" w:type="dxa"/>
          </w:tcPr>
          <w:p w:rsidR="002D772C" w:rsidRPr="00E856EE" w:rsidRDefault="002D772C" w:rsidP="0049322C">
            <w:pPr>
              <w:pStyle w:val="ListParagraph1"/>
            </w:pPr>
            <w:r w:rsidRPr="00E856EE">
              <w:t>0.65</w:t>
            </w:r>
          </w:p>
        </w:tc>
        <w:tc>
          <w:tcPr>
            <w:tcW w:w="1559" w:type="dxa"/>
          </w:tcPr>
          <w:p w:rsidR="002D772C" w:rsidRPr="00E856EE" w:rsidRDefault="002D772C" w:rsidP="0049322C">
            <w:pPr>
              <w:pStyle w:val="ListParagraph1"/>
            </w:pPr>
            <w:r w:rsidRPr="00E856EE">
              <w:t>0.46</w:t>
            </w:r>
          </w:p>
        </w:tc>
        <w:tc>
          <w:tcPr>
            <w:tcW w:w="1418" w:type="dxa"/>
          </w:tcPr>
          <w:p w:rsidR="002D772C" w:rsidRPr="00E856EE" w:rsidRDefault="002D772C" w:rsidP="0049322C">
            <w:pPr>
              <w:pStyle w:val="ListParagraph1"/>
            </w:pPr>
          </w:p>
        </w:tc>
      </w:tr>
    </w:tbl>
    <w:p w:rsidR="002D772C" w:rsidRDefault="002D772C" w:rsidP="002D772C">
      <w:pPr>
        <w:pStyle w:val="Heading4"/>
      </w:pPr>
      <w:r>
        <w:t>Predictors of organ damage</w:t>
      </w:r>
    </w:p>
    <w:p w:rsidR="002D772C" w:rsidRPr="007C4559" w:rsidRDefault="008B1572" w:rsidP="007C1767">
      <w:r>
        <w:t>Twelve</w:t>
      </w:r>
      <w:r w:rsidR="002D772C">
        <w:t xml:space="preserve"> studies use </w:t>
      </w:r>
      <w:r w:rsidR="00B56487">
        <w:t>Cox-</w:t>
      </w:r>
      <w:r w:rsidR="002D772C">
        <w:t xml:space="preserve">regression </w:t>
      </w:r>
      <w:r w:rsidR="00B56487">
        <w:t xml:space="preserve">ad logistic regression </w:t>
      </w:r>
      <w:r w:rsidR="002D772C">
        <w:t>analysis to identify predictors of organ damage. The results are reported in</w:t>
      </w:r>
      <w:r w:rsidR="00F40F95">
        <w:t xml:space="preserve"> </w:t>
      </w:r>
      <w:r w:rsidR="00E729BA">
        <w:fldChar w:fldCharType="begin"/>
      </w:r>
      <w:r w:rsidR="00F40F95">
        <w:instrText xml:space="preserve"> REF _Ref364925644 \h </w:instrText>
      </w:r>
      <w:r w:rsidR="00E729BA">
        <w:fldChar w:fldCharType="separate"/>
      </w:r>
      <w:r w:rsidR="004911B7">
        <w:t xml:space="preserve">Table </w:t>
      </w:r>
      <w:r w:rsidR="004911B7">
        <w:rPr>
          <w:noProof/>
        </w:rPr>
        <w:t>13</w:t>
      </w:r>
      <w:r w:rsidR="00E729BA">
        <w:fldChar w:fldCharType="end"/>
      </w:r>
      <w:r w:rsidR="002D772C">
        <w:t xml:space="preserve">. </w:t>
      </w:r>
      <w:r>
        <w:t xml:space="preserve">In summary, three studies identified steroids and other treatment as predictors of organ damage </w:t>
      </w:r>
      <w:r w:rsidR="00E729BA">
        <w:fldChar w:fldCharType="begin"/>
      </w:r>
      <w:r w:rsidR="00FC61FD">
        <w:instrText xml:space="preserve"> ADDIN REFMGR.CITE &lt;Refman&gt;&lt;Cite&gt;&lt;Author&gt;Santos&lt;/Author&gt;&lt;Year&gt;2009&lt;/Year&gt;&lt;RecNum&gt;1422&lt;/RecNum&gt;&lt;IDText&gt;Predictors of damage progression in Portuguese patients with systemic lupus erythematosus&lt;/IDText&gt;&lt;MDL Ref_Type="Journal"&gt;&lt;Ref_Type&gt;Journal&lt;/Ref_Type&gt;&lt;Ref_ID&gt;1422&lt;/Ref_ID&gt;&lt;Title_Primary&gt;Predictors of damage progression in Portuguese patients with systemic lupus erythematosus&lt;/Title_Primary&gt;&lt;Authors_Primary&gt;Santos,M.J.&lt;/Authors_Primary&gt;&lt;Authors_Primary&gt;Vinagre,F.&lt;/Authors_Primary&gt;&lt;Authors_Primary&gt;Nero,P.&lt;/Authors_Primary&gt;&lt;Authors_Primary&gt;Barcelos,F.&lt;/Authors_Primary&gt;&lt;Authors_Primary&gt;Barcelos,A.&lt;/Authors_Primary&gt;&lt;Authors_Primary&gt;Rodrigues,A.M.&lt;/Authors_Primary&gt;&lt;Authors_Primary&gt;de Matos,A.A.&lt;/Authors_Primary&gt;&lt;Authors_Primary&gt;Silva,C.&lt;/Authors_Primary&gt;&lt;Authors_Primary&gt;Miranda,L.&lt;/Authors_Primary&gt;&lt;Authors_Primary&gt;Capela,S.&lt;/Authors_Primary&gt;&lt;Authors_Primary&gt;Marques,A.&lt;/Authors_Primary&gt;&lt;Authors_Primary&gt;Branco,J.&lt;/Authors_Primary&gt;&lt;Authors_Primary&gt;da Silva,J.C.&lt;/Authors_Primary&gt;&lt;Date_Primary&gt;2009/9&lt;/Date_Primary&gt;&lt;Keywords&gt;Adult&lt;/Keywords&gt;&lt;Keywords&gt;age&lt;/Keywords&gt;&lt;Keywords&gt;Aged&lt;/Keywords&gt;&lt;Keywords&gt;analysis&lt;/Keywords&gt;&lt;Keywords&gt;Antibodies&lt;/Keywords&gt;&lt;Keywords&gt;Antibodies,Antiphospholipid&lt;/Keywords&gt;&lt;Keywords&gt;Azathioprine&lt;/Keywords&gt;&lt;Keywords&gt;Comorbidity&lt;/Keywords&gt;&lt;Keywords&gt;confidence interval&lt;/Keywords&gt;&lt;Keywords&gt;Disease Progression&lt;/Keywords&gt;&lt;Keywords&gt;epidemiology&lt;/Keywords&gt;&lt;Keywords&gt;erythematosus&lt;/Keywords&gt;&lt;Keywords&gt;Female&lt;/Keywords&gt;&lt;Keywords&gt;Follow-Up Studies&lt;/Keywords&gt;&lt;Keywords&gt;hospital&lt;/Keywords&gt;&lt;Keywords&gt;Humans&lt;/Keywords&gt;&lt;Keywords&gt;Hypertension&lt;/Keywords&gt;&lt;Keywords&gt;immunology&lt;/Keywords&gt;&lt;Keywords&gt;Life&lt;/Keywords&gt;&lt;Keywords&gt;Life Expectancy&lt;/Keywords&gt;&lt;Keywords&gt;lupus erythematosus&lt;/Keywords&gt;&lt;Keywords&gt;Lupus Erythematosus,Systemic&lt;/Keywords&gt;&lt;Keywords&gt;Male&lt;/Keywords&gt;&lt;Keywords&gt;Middle Aged&lt;/Keywords&gt;&lt;Keywords&gt;Multivariate Analysis&lt;/Keywords&gt;&lt;Keywords&gt;Musculoskeletal System&lt;/Keywords&gt;&lt;Keywords&gt;Osteoporosis&lt;/Keywords&gt;&lt;Keywords&gt;pathology&lt;/Keywords&gt;&lt;Keywords&gt;patient&lt;/Keywords&gt;&lt;Keywords&gt;Patients&lt;/Keywords&gt;&lt;Keywords&gt;Portugal&lt;/Keywords&gt;&lt;Keywords&gt;Predictive Value of Tests&lt;/Keywords&gt;&lt;Keywords&gt;Prognosis&lt;/Keywords&gt;&lt;Keywords&gt;Prospective Studies&lt;/Keywords&gt;&lt;Keywords&gt;Rheumatology&lt;/Keywords&gt;&lt;Keywords&gt;systemic lupus erythematosus&lt;/Keywords&gt;&lt;Keywords&gt;Time&lt;/Keywords&gt;&lt;Keywords&gt;Young Adult&lt;/Keywords&gt;&lt;Reprint&gt;Not in File&lt;/Reprint&gt;&lt;Start_Page&gt;822&lt;/Start_Page&gt;&lt;End_Page&gt;828&lt;/End_Page&gt;&lt;Periodical&gt;Ann.N.Y.Acad.Sci.&lt;/Periodical&gt;&lt;Volume&gt;1173:822-8.&lt;/Volume&gt;&lt;User_Def_1&gt;y&lt;/User_Def_1&gt;&lt;ZZ_JournalStdAbbrev&gt;&lt;f name="System"&gt;Ann.N.Y.Acad.Sci.&lt;/f&gt;&lt;/ZZ_JournalStdAbbrev&gt;&lt;ZZ_WorkformID&gt;1&lt;/ZZ_WorkformID&gt;&lt;/MDL&gt;&lt;/Cite&gt;&lt;Cite&gt;&lt;Author&gt;Alarcon&lt;/Author&gt;&lt;Year&gt;2004&lt;/Year&gt;&lt;RecNum&gt;708&lt;/RecNum&gt;&lt;IDText&gt;Systemic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name="System"&gt;Rheumatology.(Oxford).&lt;/f&gt;&lt;/ZZ_JournalStdAbbrev&gt;&lt;ZZ_WorkformID&gt;1&lt;/ZZ_WorkformID&gt;&lt;/MDL&gt;&lt;/Cite&gt;&lt;Cite&gt;&lt;Author&gt;Thamer&lt;/Author&gt;&lt;Year&gt;2009&lt;/Year&gt;&lt;RecNum&gt;102&lt;/RecNum&gt;&lt;IDText&gt;Prednisone, lupus activity, and permanent organ damage&lt;/IDText&gt;&lt;MDL Ref_Type="Journal"&gt;&lt;Ref_Type&gt;Journal&lt;/Ref_Type&gt;&lt;Ref_ID&gt;102&lt;/Ref_ID&gt;&lt;Title_Primary&gt;Prednisone, lupus activity, and permanent organ damage&lt;/Title_Primary&gt;&lt;Authors_Primary&gt;Thamer,M.&lt;/Authors_Primary&gt;&lt;Authors_Primary&gt;Hernan,M.A.&lt;/Authors_Primary&gt;&lt;Authors_Primary&gt;Zhang,Y.&lt;/Authors_Primary&gt;&lt;Authors_Primary&gt;Cotter,D.&lt;/Authors_Primary&gt;&lt;Authors_Primary&gt;Petri,M.&lt;/Authors_Primary&gt;&lt;Date_Primary&gt;2009/3&lt;/Date_Primary&gt;&lt;Keywords&gt;Adolescent&lt;/Keywords&gt;&lt;Keywords&gt;Adrenal Cortex Hormones&lt;/Keywords&gt;&lt;Keywords&gt;Adult&lt;/Keywords&gt;&lt;Keywords&gt;adverse effects&lt;/Keywords&gt;&lt;Keywords&gt;Aged&lt;/Keywords&gt;&lt;Keywords&gt;Child&lt;/Keywords&gt;&lt;Keywords&gt;death&lt;/Keywords&gt;&lt;Keywords&gt;Disease&lt;/Keywords&gt;&lt;Keywords&gt;drug therapy&lt;/Keywords&gt;&lt;Keywords&gt;erythematosus&lt;/Keywords&gt;&lt;Keywords&gt;Female&lt;/Keywords&gt;&lt;Keywords&gt;Humans&lt;/Keywords&gt;&lt;Keywords&gt;lupus erythematosus&lt;/Keywords&gt;&lt;Keywords&gt;Lupus Erythematosus,Systemic&lt;/Keywords&gt;&lt;Keywords&gt;Male&lt;/Keywords&gt;&lt;Keywords&gt;methods&lt;/Keywords&gt;&lt;Keywords&gt;Methylprednisolone&lt;/Keywords&gt;&lt;Keywords&gt;Middle Aged&lt;/Keywords&gt;&lt;Keywords&gt;Odds Ratio&lt;/Keywords&gt;&lt;Keywords&gt;patient&lt;/Keywords&gt;&lt;Keywords&gt;Patients&lt;/Keywords&gt;&lt;Keywords&gt;population&lt;/Keywords&gt;&lt;Keywords&gt;Prednisone&lt;/Keywords&gt;&lt;Keywords&gt;Proportional Hazards Models&lt;/Keywords&gt;&lt;Keywords&gt;Prospective Studies&lt;/Keywords&gt;&lt;Keywords&gt;Risk&lt;/Keywords&gt;&lt;Keywords&gt;Severity of Illness Index&lt;/Keywords&gt;&lt;Keywords&gt;systemic lupus erythematosus&lt;/Keywords&gt;&lt;Keywords&gt;therapy&lt;/Keywords&gt;&lt;Keywords&gt;Time Factors&lt;/Keywords&gt;&lt;Keywords&gt;Young Adult&lt;/Keywords&gt;&lt;Reprint&gt;Not in File&lt;/Reprint&gt;&lt;Start_Page&gt;560&lt;/Start_Page&gt;&lt;End_Page&gt;564&lt;/End_Page&gt;&lt;Periodical&gt;J.Rheumatol.&lt;/Periodical&gt;&lt;Volume&gt;36&lt;/Volume&gt;&lt;Issue&gt;3&lt;/Issue&gt;&lt;User_Def_1&gt;y&lt;/User_Def_1&gt;&lt;ZZ_JournalStdAbbrev&gt;&lt;f name="System"&gt;J.Rheumatol.&lt;/f&gt;&lt;/ZZ_JournalStdAbbrev&gt;&lt;ZZ_WorkformID&gt;1&lt;/ZZ_WorkformID&gt;&lt;/MDL&gt;&lt;/Cite&gt;&lt;Cite&gt;&lt;Author&gt;Ibanez&lt;/Author&gt;&lt;Year&gt;2005&lt;/Year&gt;&lt;RecNum&gt;575&lt;/RecNum&gt;&lt;IDText&gt;Adjusted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4D7951">
        <w:t>(171;174-176)</w:t>
      </w:r>
      <w:r w:rsidR="00E729BA">
        <w:fldChar w:fldCharType="end"/>
      </w:r>
      <w:r w:rsidR="002D772C">
        <w:t xml:space="preserve">. Thamer et al. </w:t>
      </w:r>
      <w:r>
        <w:t>do not find a statistically  results, but do identify a trend towards an association that is robust to sensitivity analyses</w:t>
      </w:r>
      <w:r w:rsidR="002D772C">
        <w:t xml:space="preserve"> </w:t>
      </w:r>
      <w:r w:rsidR="00E729BA">
        <w:fldChar w:fldCharType="begin"/>
      </w:r>
      <w:r w:rsidR="00FC61FD">
        <w:instrText xml:space="preserve"> ADDIN REFMGR.CITE &lt;Refman&gt;&lt;Cite&gt;&lt;Author&gt;Thamer&lt;/Author&gt;&lt;Year&gt;2009&lt;/Year&gt;&lt;RecNum&gt;102&lt;/RecNum&gt;&lt;IDText&gt;Prednisone, lupus activity, and permanent organ damage&lt;/IDText&gt;&lt;MDL Ref_Type="Journal"&gt;&lt;Ref_Type&gt;Journal&lt;/Ref_Type&gt;&lt;Ref_ID&gt;102&lt;/Ref_ID&gt;&lt;Title_Primary&gt;Prednisone, lupus activity, and permanent organ damage&lt;/Title_Primary&gt;&lt;Authors_Primary&gt;Thamer,M.&lt;/Authors_Primary&gt;&lt;Authors_Primary&gt;Hernan,M.A.&lt;/Authors_Primary&gt;&lt;Authors_Primary&gt;Zhang,Y.&lt;/Authors_Primary&gt;&lt;Authors_Primary&gt;Cotter,D.&lt;/Authors_Primary&gt;&lt;Authors_Primary&gt;Petri,M.&lt;/Authors_Primary&gt;&lt;Date_Primary&gt;2009/3&lt;/Date_Primary&gt;&lt;Keywords&gt;Adolescent&lt;/Keywords&gt;&lt;Keywords&gt;Adrenal Cortex Hormones&lt;/Keywords&gt;&lt;Keywords&gt;Adult&lt;/Keywords&gt;&lt;Keywords&gt;adverse effects&lt;/Keywords&gt;&lt;Keywords&gt;Aged&lt;/Keywords&gt;&lt;Keywords&gt;Child&lt;/Keywords&gt;&lt;Keywords&gt;death&lt;/Keywords&gt;&lt;Keywords&gt;Disease&lt;/Keywords&gt;&lt;Keywords&gt;drug therapy&lt;/Keywords&gt;&lt;Keywords&gt;erythematosus&lt;/Keywords&gt;&lt;Keywords&gt;Female&lt;/Keywords&gt;&lt;Keywords&gt;Humans&lt;/Keywords&gt;&lt;Keywords&gt;lupus erythematosus&lt;/Keywords&gt;&lt;Keywords&gt;Lupus Erythematosus,Systemic&lt;/Keywords&gt;&lt;Keywords&gt;Male&lt;/Keywords&gt;&lt;Keywords&gt;methods&lt;/Keywords&gt;&lt;Keywords&gt;Methylprednisolone&lt;/Keywords&gt;&lt;Keywords&gt;Middle Aged&lt;/Keywords&gt;&lt;Keywords&gt;Odds Ratio&lt;/Keywords&gt;&lt;Keywords&gt;patient&lt;/Keywords&gt;&lt;Keywords&gt;Patients&lt;/Keywords&gt;&lt;Keywords&gt;population&lt;/Keywords&gt;&lt;Keywords&gt;Prednisone&lt;/Keywords&gt;&lt;Keywords&gt;Proportional Hazards Models&lt;/Keywords&gt;&lt;Keywords&gt;Prospective Studies&lt;/Keywords&gt;&lt;Keywords&gt;Risk&lt;/Keywords&gt;&lt;Keywords&gt;Severity of Illness Index&lt;/Keywords&gt;&lt;Keywords&gt;systemic lupus erythematosus&lt;/Keywords&gt;&lt;Keywords&gt;therapy&lt;/Keywords&gt;&lt;Keywords&gt;Time Factors&lt;/Keywords&gt;&lt;Keywords&gt;Young Adult&lt;/Keywords&gt;&lt;Reprint&gt;Not in File&lt;/Reprint&gt;&lt;Start_Page&gt;560&lt;/Start_Page&gt;&lt;End_Page&gt;564&lt;/End_Page&gt;&lt;Periodical&gt;J.Rheumatol.&lt;/Periodical&gt;&lt;Volume&gt;36&lt;/Volume&gt;&lt;Issue&gt;3&lt;/Issue&gt;&lt;User_Def_1&gt;y&lt;/User_Def_1&gt;&lt;ZZ_JournalStdAbbrev&gt;&lt;f name="System"&gt;J.Rheumatol.&lt;/f&gt;&lt;/ZZ_JournalStdAbbrev&gt;&lt;ZZ_WorkformID&gt;1&lt;/ZZ_WorkformID&gt;&lt;/MDL&gt;&lt;/Cite&gt;&lt;/Refman&gt;</w:instrText>
      </w:r>
      <w:r w:rsidR="00E729BA">
        <w:fldChar w:fldCharType="separate"/>
      </w:r>
      <w:r w:rsidR="004D7951">
        <w:t>(175)</w:t>
      </w:r>
      <w:r w:rsidR="00E729BA">
        <w:fldChar w:fldCharType="end"/>
      </w:r>
      <w:r w:rsidR="002D772C">
        <w:t xml:space="preserve">. </w:t>
      </w:r>
      <w:r>
        <w:t xml:space="preserve">Four studies associated baseline disease activity with organ damage </w:t>
      </w:r>
      <w:r w:rsidR="00E729BA">
        <w:fldChar w:fldCharType="begin"/>
      </w:r>
      <w:r w:rsidR="00FC61FD">
        <w:instrText xml:space="preserve"> ADDIN REFMGR.CITE &lt;Refman&gt;&lt;Cite&gt;&lt;Author&gt;Alarcon&lt;/Author&gt;&lt;Year&gt;2004&lt;/Year&gt;&lt;RecNum&gt;708&lt;/RecNum&gt;&lt;IDText&gt;Systemic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name="System"&gt;Rheumatology.(Oxford).&lt;/f&gt;&lt;/ZZ_JournalStdAbbrev&gt;&lt;ZZ_WorkformID&gt;1&lt;/ZZ_WorkformID&gt;&lt;/MDL&gt;&lt;/Cite&gt;&lt;Cite&gt;&lt;Author&gt;Stoll&lt;/Author&gt;&lt;Year&gt;2004&lt;/Year&gt;&lt;RecNum&gt;667&lt;/RecNum&gt;&lt;IDText&gt;Analysis of the relationship between disease activity and damage in patients with systemic lupus erythematosus--a 5-yr prospective study&lt;/IDText&gt;&lt;MDL Ref_Type="Journal"&gt;&lt;Ref_Type&gt;Journal&lt;/Ref_Type&gt;&lt;Ref_ID&gt;667&lt;/Ref_ID&gt;&lt;Title_Primary&gt;Analysis of the relationship between disease activity and damage in patients with systemic lupus erythematosus--a 5-yr prospective study&lt;/Title_Primary&gt;&lt;Authors_Primary&gt;Stoll,T.&lt;/Authors_Primary&gt;&lt;Authors_Primary&gt;Sutcliffe,N.&lt;/Authors_Primary&gt;&lt;Authors_Primary&gt;Mach,J.&lt;/Authors_Primary&gt;&lt;Authors_Primary&gt;Klaghofer,R.&lt;/Authors_Primary&gt;&lt;Authors_Primary&gt;Isenberg,D.A.&lt;/Authors_Primary&gt;&lt;Date_Primary&gt;2004/8&lt;/Date_Primary&gt;&lt;Keywords&gt;Adult&lt;/Keywords&gt;&lt;Keywords&gt;age&lt;/Keywords&gt;&lt;Keywords&gt;analysis&lt;/Keywords&gt;&lt;Keywords&gt;Anti-Inflammatory Agents&lt;/Keywords&gt;&lt;Keywords&gt;complications&lt;/Keywords&gt;&lt;Keywords&gt;death&lt;/Keywords&gt;&lt;Keywords&gt;Disease&lt;/Keywords&gt;&lt;Keywords&gt;drug therapy&lt;/Keywords&gt;&lt;Keywords&gt;erythematosus&lt;/Keywords&gt;&lt;Keywords&gt;etiology&lt;/Keywords&gt;&lt;Keywords&gt;Fatigue&lt;/Keywords&gt;&lt;Keywords&gt;Female&lt;/Keywords&gt;&lt;Keywords&gt;Health&lt;/Keywords&gt;&lt;Keywords&gt;Health Status&lt;/Keywords&gt;&lt;Keywords&gt;Humans&lt;/Keywords&gt;&lt;Keywords&gt;Immunosuppressive Agents&lt;/Keywords&gt;&lt;Keywords&gt;London&lt;/Keywords&gt;&lt;Keywords&gt;Longitudinal Studies&lt;/Keywords&gt;&lt;Keywords&gt;lupus erythematosus&lt;/Keywords&gt;&lt;Keywords&gt;Lupus Erythematosus,Systemic&lt;/Keywords&gt;&lt;Keywords&gt;Male&lt;/Keywords&gt;&lt;Keywords&gt;methods&lt;/Keywords&gt;&lt;Keywords&gt;Musculoskeletal Diseases&lt;/Keywords&gt;&lt;Keywords&gt;patient&lt;/Keywords&gt;&lt;Keywords&gt;Patients&lt;/Keywords&gt;&lt;Keywords&gt;Prednisone&lt;/Keywords&gt;&lt;Keywords&gt;Prospective Studies&lt;/Keywords&gt;&lt;Keywords&gt;Regression Analysis&lt;/Keywords&gt;&lt;Keywords&gt;Severity of Illness Index&lt;/Keywords&gt;&lt;Keywords&gt;systemic lupus erythematosus&lt;/Keywords&gt;&lt;Keywords&gt;therapeutic use&lt;/Keywords&gt;&lt;Keywords&gt;Time Factors&lt;/Keywords&gt;&lt;Reprint&gt;Not in File&lt;/Reprint&gt;&lt;Start_Page&gt;1039&lt;/Start_Page&gt;&lt;End_Page&gt;1044&lt;/End_Page&gt;&lt;Periodical&gt;Rheumatology.(Oxford).&lt;/Periodical&gt;&lt;Volume&gt;43&lt;/Volume&gt;&lt;Issue&gt;8&lt;/Issue&gt;&lt;User_Def_1&gt;y&lt;/User_Def_1&gt;&lt;ZZ_JournalStdAbbrev&gt;&lt;f name="System"&gt;Rheumatology.(Oxford).&lt;/f&gt;&lt;/ZZ_JournalStdAbbrev&gt;&lt;ZZ_WorkformID&gt;1&lt;/ZZ_WorkformID&gt;&lt;/MDL&gt;&lt;/Cite&gt;&lt;Cite&gt;&lt;Author&gt;Toloza&lt;/Author&gt;&lt;Year&gt;2004&lt;/Year&gt;&lt;RecNum&gt;640&lt;/RecNum&gt;&lt;IDText&gt;Systemic lupus erythematosus in a multiethnic US cohort (LUMINA): XXII. Predictors of time to the occurrence of initial damage&lt;/IDText&gt;&lt;MDL Ref_Type="Journal"&gt;&lt;Ref_Type&gt;Journal&lt;/Ref_Type&gt;&lt;Ref_ID&gt;640&lt;/Ref_ID&gt;&lt;Title_Primary&gt;Systemic lupus erythematosus in a multiethnic US cohort (LUMINA): XXII. Predictors of time to the occurrence of initial damage&lt;/Title_Primary&gt;&lt;Authors_Primary&gt;Toloza,S.M.&lt;/Authors_Primary&gt;&lt;Authors_Primary&gt;Roseman,J.M.&lt;/Authors_Primary&gt;&lt;Authors_Primary&gt;Alarcon,G.S.&lt;/Authors_Primary&gt;&lt;Authors_Primary&gt;McGwin,G.,Jr.&lt;/Authors_Primary&gt;&lt;Authors_Primary&gt;Uribe,A.G.&lt;/Authors_Primary&gt;&lt;Authors_Primary&gt;Fessler,B.J.&lt;/Authors_Primary&gt;&lt;Authors_Primary&gt;Bastian,H.M.&lt;/Authors_Primary&gt;&lt;Authors_Primary&gt;Vila,L.M.&lt;/Authors_Primary&gt;&lt;Authors_Primary&gt;Reveille,J.D.&lt;/Authors_Primary&gt;&lt;Date_Primary&gt;2004/10&lt;/Date_Primary&gt;&lt;Keywords&gt;Adolescent&lt;/Keywords&gt;&lt;Keywords&gt;Adult&lt;/Keywords&gt;&lt;Keywords&gt;African Americans&lt;/Keywords&gt;&lt;Keywords&gt;Aged&lt;/Keywords&gt;&lt;Keywords&gt;Alabama&lt;/Keywords&gt;&lt;Keywords&gt;Alopecia&lt;/Keywords&gt;&lt;Keywords&gt;Arteries&lt;/Keywords&gt;&lt;Keywords&gt;Cataract&lt;/Keywords&gt;&lt;Keywords&gt;Cohort Studies&lt;/Keywords&gt;&lt;Keywords&gt;confidence interval&lt;/Keywords&gt;&lt;Keywords&gt;Disease&lt;/Keywords&gt;&lt;Keywords&gt;epidemiology&lt;/Keywords&gt;&lt;Keywords&gt;erythematosus&lt;/Keywords&gt;&lt;Keywords&gt;European Continental Ancestry Group&lt;/Keywords&gt;&lt;Keywords&gt;Female&lt;/Keywords&gt;&lt;Keywords&gt;Health&lt;/Keywords&gt;&lt;Keywords&gt;Hispanic Americans&lt;/Keywords&gt;&lt;Keywords&gt;Humans&lt;/Keywords&gt;&lt;Keywords&gt;lupus erythematosus&lt;/Keywords&gt;&lt;Keywords&gt;Lupus Erythematosus,Systemic&lt;/Keywords&gt;&lt;Keywords&gt;Male&lt;/Keywords&gt;&lt;Keywords&gt;methods&lt;/Keywords&gt;&lt;Keywords&gt;Middle Aged&lt;/Keywords&gt;&lt;Keywords&gt;Multivariate Analysis&lt;/Keywords&gt;&lt;Keywords&gt;patient&lt;/Keywords&gt;&lt;Keywords&gt;Patients&lt;/Keywords&gt;&lt;Keywords&gt;Prednisone&lt;/Keywords&gt;&lt;Keywords&gt;Proportional Hazards Models&lt;/Keywords&gt;&lt;Keywords&gt;Proteinuria&lt;/Keywords&gt;&lt;Keywords&gt;Puerto Rico&lt;/Keywords&gt;&lt;Keywords&gt;systemic lupus erythematosus&lt;/Keywords&gt;&lt;Keywords&gt;Texas&lt;/Keywords&gt;&lt;Keywords&gt;therapy&lt;/Keywords&gt;&lt;Keywords&gt;Time&lt;/Keywords&gt;&lt;Keywords&gt;Time Factors&lt;/Keywords&gt;&lt;Keywords&gt;United States&lt;/Keywords&gt;&lt;Keywords&gt;Veins&lt;/Keywords&gt;&lt;Reprint&gt;Not in File&lt;/Reprint&gt;&lt;Start_Page&gt;3177&lt;/Start_Page&gt;&lt;End_Page&gt;3186&lt;/End_Page&gt;&lt;Periodical&gt;Arthritis Rheum.&lt;/Periodical&gt;&lt;Volume&gt;50&lt;/Volume&gt;&lt;Issue&gt;10&lt;/Issue&gt;&lt;User_Def_1&gt;y&lt;/User_Def_1&gt;&lt;ZZ_JournalStdAbbrev&gt;&lt;f name="System"&gt;Arthritis Rheum.&lt;/f&gt;&lt;/ZZ_JournalStdAbbrev&gt;&lt;ZZ_WorkformID&gt;1&lt;/ZZ_WorkformID&gt;&lt;/MDL&gt;&lt;/Cite&gt;&lt;Cite&gt;&lt;Author&gt;Gilboe&lt;/Author&gt;&lt;Year&gt;2001&lt;/Year&gt;&lt;RecNum&gt;989&lt;/RecNum&gt;&lt;IDText&gt;Disease course in systemic lupus erythematosus: changes in health status, disease activity, and organ damage after 2 years&lt;/IDText&gt;&lt;MDL Ref_Type="Journal"&gt;&lt;Ref_Type&gt;Journal&lt;/Ref_Type&gt;&lt;Ref_ID&gt;989&lt;/Ref_ID&gt;&lt;Title_Primary&gt;Disease course in systemic lupus erythematosus: changes in health status, disease activity, and organ damage after 2 years&lt;/Title_Primary&gt;&lt;Authors_Primary&gt;Gilboe,I.M.&lt;/Authors_Primary&gt;&lt;Authors_Primary&gt;Kvien,T.K.&lt;/Authors_Primary&gt;&lt;Authors_Primary&gt;Husby,G.&lt;/Authors_Primary&gt;&lt;Date_Primary&gt;2001/2&lt;/Date_Primary&gt;&lt;Keywords&gt;Adolescent&lt;/Keywords&gt;&lt;Keywords&gt;Adult&lt;/Keywords&gt;&lt;Keywords&gt;Age Factors&lt;/Keywords&gt;&lt;Keywords&gt;Aged&lt;/Keywords&gt;&lt;Keywords&gt;Aged,80 and over&lt;/Keywords&gt;&lt;Keywords&gt;Arthritis&lt;/Keywords&gt;&lt;Keywords&gt;Arthritis,Rheumatoid&lt;/Keywords&gt;&lt;Keywords&gt;Disease&lt;/Keywords&gt;&lt;Keywords&gt;Disease Progression&lt;/Keywords&gt;&lt;Keywords&gt;erythematosus&lt;/Keywords&gt;&lt;Keywords&gt;Fatigue&lt;/Keywords&gt;&lt;Keywords&gt;Female&lt;/Keywords&gt;&lt;Keywords&gt;Follow-Up Studies&lt;/Keywords&gt;&lt;Keywords&gt;Health&lt;/Keywords&gt;&lt;Keywords&gt;Health Status&lt;/Keywords&gt;&lt;Keywords&gt;hospital&lt;/Keywords&gt;&lt;Keywords&gt;Humans&lt;/Keywords&gt;&lt;Keywords&gt;lupus erythematosus&lt;/Keywords&gt;&lt;Keywords&gt;Lupus Erythematosus,Systemic&lt;/Keywords&gt;&lt;Keywords&gt;Male&lt;/Keywords&gt;&lt;Keywords&gt;methods&lt;/Keywords&gt;&lt;Keywords&gt;Middle Aged&lt;/Keywords&gt;&lt;Keywords&gt;Pain&lt;/Keywords&gt;&lt;Keywords&gt;Pain Measurement&lt;/Keywords&gt;&lt;Keywords&gt;pathology&lt;/Keywords&gt;&lt;Keywords&gt;patient&lt;/Keywords&gt;&lt;Keywords&gt;Patients&lt;/Keywords&gt;&lt;Keywords&gt;physiopathology&lt;/Keywords&gt;&lt;Keywords&gt;population&lt;/Keywords&gt;&lt;Keywords&gt;Predictive Value of Tests&lt;/Keywords&gt;&lt;Keywords&gt;Rheumatic Diseases&lt;/Keywords&gt;&lt;Keywords&gt;Rheumatology&lt;/Keywords&gt;&lt;Keywords&gt;Sex Factors&lt;/Keywords&gt;&lt;Keywords&gt;systemic lupus erythematosus&lt;/Keywords&gt;&lt;Keywords&gt;Time&lt;/Keywords&gt;&lt;Keywords&gt;Time Factors&lt;/Keywords&gt;&lt;Reprint&gt;Not in File&lt;/Reprint&gt;&lt;Start_Page&gt;266&lt;/Start_Page&gt;&lt;End_Page&gt;274&lt;/End_Page&gt;&lt;Periodical&gt;J.Rheumatol.&lt;/Periodical&gt;&lt;Volume&gt;28&lt;/Volume&gt;&lt;Issue&gt;2&lt;/Issue&gt;&lt;User_Def_1&gt;y&lt;/User_Def_1&gt;&lt;ZZ_JournalStdAbbrev&gt;&lt;f name="System"&gt;J.Rheumatol.&lt;/f&gt;&lt;/ZZ_JournalStdAbbrev&gt;&lt;ZZ_WorkformID&gt;1&lt;/ZZ_WorkformID&gt;&lt;/MDL&gt;&lt;/Cite&gt;&lt;/Refman&gt;</w:instrText>
      </w:r>
      <w:r w:rsidR="00E729BA">
        <w:fldChar w:fldCharType="separate"/>
      </w:r>
      <w:r w:rsidR="004D7951">
        <w:t>(171-173;177)</w:t>
      </w:r>
      <w:r w:rsidR="00E729BA">
        <w:fldChar w:fldCharType="end"/>
      </w:r>
      <w:r>
        <w:t xml:space="preserve">. </w:t>
      </w:r>
      <w:r w:rsidR="002D772C">
        <w:t xml:space="preserve"> </w:t>
      </w:r>
      <w:r>
        <w:t xml:space="preserve">Three studies </w:t>
      </w:r>
      <w:r w:rsidR="007C1767">
        <w:t xml:space="preserve">with </w:t>
      </w:r>
      <w:r>
        <w:t>disease activity</w:t>
      </w:r>
      <w:r w:rsidR="007C1767">
        <w:t xml:space="preserve"> as a covariate</w:t>
      </w:r>
      <w:r>
        <w:t xml:space="preserve"> </w:t>
      </w:r>
      <w:r w:rsidR="00E729BA">
        <w:fldChar w:fldCharType="begin"/>
      </w:r>
      <w:r w:rsidR="00FC61FD">
        <w:instrText xml:space="preserve"> ADDIN REFMGR.CITE &lt;Refman&gt;&lt;Cite&gt;&lt;Author&gt;Stoll&lt;/Author&gt;&lt;Year&gt;2004&lt;/Year&gt;&lt;RecNum&gt;667&lt;/RecNum&gt;&lt;IDText&gt;Analysis of the relationship between disease activity and damage in patients with systemic lupus erythematosus--a 5-yr prospective study&lt;/IDText&gt;&lt;MDL Ref_Type="Journal"&gt;&lt;Ref_Type&gt;Journal&lt;/Ref_Type&gt;&lt;Ref_ID&gt;667&lt;/Ref_ID&gt;&lt;Title_Primary&gt;Analysis of the relationship between disease activity and damage in patients with systemic lupus erythematosus--a 5-yr prospective study&lt;/Title_Primary&gt;&lt;Authors_Primary&gt;Stoll,T.&lt;/Authors_Primary&gt;&lt;Authors_Primary&gt;Sutcliffe,N.&lt;/Authors_Primary&gt;&lt;Authors_Primary&gt;Mach,J.&lt;/Authors_Primary&gt;&lt;Authors_Primary&gt;Klaghofer,R.&lt;/Authors_Primary&gt;&lt;Authors_Primary&gt;Isenberg,D.A.&lt;/Authors_Primary&gt;&lt;Date_Primary&gt;2004/8&lt;/Date_Primary&gt;&lt;Keywords&gt;Adult&lt;/Keywords&gt;&lt;Keywords&gt;age&lt;/Keywords&gt;&lt;Keywords&gt;analysis&lt;/Keywords&gt;&lt;Keywords&gt;Anti-Inflammatory Agents&lt;/Keywords&gt;&lt;Keywords&gt;complications&lt;/Keywords&gt;&lt;Keywords&gt;death&lt;/Keywords&gt;&lt;Keywords&gt;Disease&lt;/Keywords&gt;&lt;Keywords&gt;drug therapy&lt;/Keywords&gt;&lt;Keywords&gt;erythematosus&lt;/Keywords&gt;&lt;Keywords&gt;etiology&lt;/Keywords&gt;&lt;Keywords&gt;Fatigue&lt;/Keywords&gt;&lt;Keywords&gt;Female&lt;/Keywords&gt;&lt;Keywords&gt;Health&lt;/Keywords&gt;&lt;Keywords&gt;Health Status&lt;/Keywords&gt;&lt;Keywords&gt;Humans&lt;/Keywords&gt;&lt;Keywords&gt;Immunosuppressive Agents&lt;/Keywords&gt;&lt;Keywords&gt;London&lt;/Keywords&gt;&lt;Keywords&gt;Longitudinal Studies&lt;/Keywords&gt;&lt;Keywords&gt;lupus erythematosus&lt;/Keywords&gt;&lt;Keywords&gt;Lupus Erythematosus,Systemic&lt;/Keywords&gt;&lt;Keywords&gt;Male&lt;/Keywords&gt;&lt;Keywords&gt;methods&lt;/Keywords&gt;&lt;Keywords&gt;Musculoskeletal Diseases&lt;/Keywords&gt;&lt;Keywords&gt;patient&lt;/Keywords&gt;&lt;Keywords&gt;Patients&lt;/Keywords&gt;&lt;Keywords&gt;Prednisone&lt;/Keywords&gt;&lt;Keywords&gt;Prospective Studies&lt;/Keywords&gt;&lt;Keywords&gt;Regression Analysis&lt;/Keywords&gt;&lt;Keywords&gt;Severity of Illness Index&lt;/Keywords&gt;&lt;Keywords&gt;systemic lupus erythematosus&lt;/Keywords&gt;&lt;Keywords&gt;therapeutic use&lt;/Keywords&gt;&lt;Keywords&gt;Time Factors&lt;/Keywords&gt;&lt;Reprint&gt;Not in File&lt;/Reprint&gt;&lt;Start_Page&gt;1039&lt;/Start_Page&gt;&lt;End_Page&gt;1044&lt;/End_Page&gt;&lt;Periodical&gt;Rheumatology.(Oxford).&lt;/Periodical&gt;&lt;Volume&gt;43&lt;/Volume&gt;&lt;Issue&gt;8&lt;/Issue&gt;&lt;User_Def_1&gt;y&lt;/User_Def_1&gt;&lt;ZZ_JournalStdAbbrev&gt;&lt;f name="System"&gt;Rheumatology.(Oxford).&lt;/f&gt;&lt;/ZZ_JournalStdAbbrev&gt;&lt;ZZ_WorkformID&gt;1&lt;/ZZ_WorkformID&gt;&lt;/MDL&gt;&lt;/Cite&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4D7951">
        <w:t>(162;172;176)</w:t>
      </w:r>
      <w:r w:rsidR="00E729BA">
        <w:fldChar w:fldCharType="end"/>
      </w:r>
      <w:r w:rsidR="002D772C" w:rsidRPr="00542EA8">
        <w:t xml:space="preserve"> use an average score for disease activity. </w:t>
      </w:r>
    </w:p>
    <w:p w:rsidR="002D772C" w:rsidRDefault="002D772C" w:rsidP="009A48D5">
      <w:r>
        <w:t xml:space="preserve">Only three studies reported hazard ratios for the independent risks of disease activity and treatments. Ibanez et al. </w:t>
      </w:r>
      <w:r w:rsidR="00E729BA">
        <w:fldChar w:fldCharType="begin"/>
      </w:r>
      <w:r w:rsidR="00FC61FD">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4D7951">
        <w:t>(176)</w:t>
      </w:r>
      <w:r w:rsidR="00E729BA">
        <w:fldChar w:fldCharType="end"/>
      </w:r>
      <w:r>
        <w:t xml:space="preserve"> found disease activity and steroid use to be statistically significant predictors of organ damage. A one unit increase in the SLEDAI score increased the risk of damage by 4%. The use of steroids increased the risk of damage by 80%. Mok et al. found the number of major flares and cyclophosphamide to be independent predictors of organ damage </w:t>
      </w:r>
      <w:r w:rsidR="00E729BA">
        <w:fldChar w:fldCharType="begin"/>
      </w:r>
      <w:r w:rsidR="00FC61FD">
        <w:instrText xml:space="preserve"> ADDIN REFMGR.CITE &lt;Refman&gt;&lt;Cite&gt;&lt;Author&gt;Mok&lt;/Author&gt;&lt;Year&gt;2003&lt;/Year&gt;&lt;RecNum&gt;778&lt;/RecNum&gt;&lt;IDText&gt;Damage accrual in southern Chinese patients with systemic lupus erythematosus&lt;/IDText&gt;&lt;MDL Ref_Type="Journal"&gt;&lt;Ref_Type&gt;Journal&lt;/Ref_Type&gt;&lt;Ref_ID&gt;778&lt;/Ref_ID&gt;&lt;Title_Primary&gt;Damage accrual in southern Chinese patients with systemic lupus erythematosus&lt;/Title_Primary&gt;&lt;Authors_Primary&gt;Mok,C.C.&lt;/Authors_Primary&gt;&lt;Authors_Primary&gt;Ho,C.T.&lt;/Authors_Primary&gt;&lt;Authors_Primary&gt;Wong,R.W.&lt;/Authors_Primary&gt;&lt;Authors_Primary&gt;Lau,C.S.&lt;/Authors_Primary&gt;&lt;Date_Primary&gt;2003/7&lt;/Date_Primary&gt;&lt;Keywords&gt;Adult&lt;/Keywords&gt;&lt;Keywords&gt;age&lt;/Keywords&gt;&lt;Keywords&gt;Age of Onset&lt;/Keywords&gt;&lt;Keywords&gt;analysis&lt;/Keywords&gt;&lt;Keywords&gt;Asian Continental Ancestry Group&lt;/Keywords&gt;&lt;Keywords&gt;Central Nervous System&lt;/Keywords&gt;&lt;Keywords&gt;China&lt;/Keywords&gt;&lt;Keywords&gt;classification&lt;/Keywords&gt;&lt;Keywords&gt;Cohort Studies&lt;/Keywords&gt;&lt;Keywords&gt;Cyclophosphamide&lt;/Keywords&gt;&lt;Keywords&gt;Disease&lt;/Keywords&gt;&lt;Keywords&gt;Disease Progression&lt;/Keywords&gt;&lt;Keywords&gt;drug therapy&lt;/Keywords&gt;&lt;Keywords&gt;epidemiology&lt;/Keywords&gt;&lt;Keywords&gt;erythematosus&lt;/Keywords&gt;&lt;Keywords&gt;ethnology&lt;/Keywords&gt;&lt;Keywords&gt;Female&lt;/Keywords&gt;&lt;Keywords&gt;Follow-Up Studies&lt;/Keywords&gt;&lt;Keywords&gt;Hong Kong&lt;/Keywords&gt;&lt;Keywords&gt;hospital&lt;/Keywords&gt;&lt;Keywords&gt;Humans&lt;/Keywords&gt;&lt;Keywords&gt;Immunosuppressive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ortality&lt;/Keywords&gt;&lt;Keywords&gt;patient&lt;/Keywords&gt;&lt;Keywords&gt;Patients&lt;/Keywords&gt;&lt;Keywords&gt;physiopathology&lt;/Keywords&gt;&lt;Keywords&gt;Rheumatology&lt;/Keywords&gt;&lt;Keywords&gt;Risk&lt;/Keywords&gt;&lt;Keywords&gt;Severity of Illness Index&lt;/Keywords&gt;&lt;Keywords&gt;Survival Rate&lt;/Keywords&gt;&lt;Keywords&gt;systemic lupus erythematosus&lt;/Keywords&gt;&lt;Keywords&gt;therapeutic use&lt;/Keywords&gt;&lt;Keywords&gt;Women&lt;/Keywords&gt;&lt;Reprint&gt;Not in File&lt;/Reprint&gt;&lt;Start_Page&gt;1513&lt;/Start_Page&gt;&lt;End_Page&gt;1519&lt;/End_Page&gt;&lt;Periodical&gt;J.Rheumatol.&lt;/Periodical&gt;&lt;Volume&gt;30&lt;/Volume&gt;&lt;Issue&gt;7&lt;/Issue&gt;&lt;User_Def_1&gt;y&lt;/User_Def_1&gt;&lt;ZZ_JournalStdAbbrev&gt;&lt;f name="System"&gt;J.Rheumatol.&lt;/f&gt;&lt;/ZZ_JournalStdAbbrev&gt;&lt;ZZ_WorkformID&gt;1&lt;/ZZ_WorkformID&gt;&lt;/MDL&gt;&lt;/Cite&gt;&lt;/Refman&gt;</w:instrText>
      </w:r>
      <w:r w:rsidR="00E729BA">
        <w:fldChar w:fldCharType="separate"/>
      </w:r>
      <w:r w:rsidR="004D7951">
        <w:t>(178)</w:t>
      </w:r>
      <w:r w:rsidR="00E729BA">
        <w:fldChar w:fldCharType="end"/>
      </w:r>
      <w:r>
        <w:t xml:space="preserve">. Finally, Alarcon et al. found that disease activity at baseline and maximum steroid dose are significant predictors of a change in damage score </w:t>
      </w:r>
      <w:r w:rsidR="00E729BA">
        <w:fldChar w:fldCharType="begin"/>
      </w:r>
      <w:r w:rsidR="00FC61FD">
        <w:instrText xml:space="preserve"> ADDIN REFMGR.CITE &lt;Refman&gt;&lt;Cite&gt;&lt;Author&gt;Alarcon&lt;/Author&gt;&lt;Year&gt;2004&lt;/Year&gt;&lt;RecNum&gt;708&lt;/RecNum&gt;&lt;IDText&gt;Systemic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name="System"&gt;Rheumatology.(Oxford).&lt;/f&gt;&lt;/ZZ_JournalStdAbbrev&gt;&lt;ZZ_WorkformID&gt;1&lt;/ZZ_WorkformID&gt;&lt;/MDL&gt;&lt;/Cite&gt;&lt;/Refman&gt;</w:instrText>
      </w:r>
      <w:r w:rsidR="00E729BA">
        <w:fldChar w:fldCharType="separate"/>
      </w:r>
      <w:r w:rsidR="004D7951">
        <w:t>(171)</w:t>
      </w:r>
      <w:r w:rsidR="00E729BA">
        <w:fldChar w:fldCharType="end"/>
      </w:r>
      <w:r>
        <w:t xml:space="preserve">. These findings suggested that that disease activity and </w:t>
      </w:r>
      <w:r w:rsidR="009A48D5">
        <w:t>steroids</w:t>
      </w:r>
      <w:r>
        <w:t xml:space="preserve"> are independent predictors of organ damage. </w:t>
      </w:r>
    </w:p>
    <w:p w:rsidR="002D772C" w:rsidRDefault="002D772C" w:rsidP="002D772C">
      <w:pPr>
        <w:sectPr w:rsidR="002D772C" w:rsidSect="006A3B1E">
          <w:pgSz w:w="11906" w:h="16838"/>
          <w:pgMar w:top="1440" w:right="1440" w:bottom="1440" w:left="2268" w:header="708" w:footer="708" w:gutter="0"/>
          <w:cols w:space="708"/>
          <w:docGrid w:linePitch="360"/>
        </w:sectPr>
      </w:pPr>
    </w:p>
    <w:p w:rsidR="008731E8" w:rsidRDefault="008731E8" w:rsidP="00234693">
      <w:pPr>
        <w:pStyle w:val="Caption"/>
      </w:pPr>
      <w:bookmarkStart w:id="206" w:name="_Ref278284596"/>
      <w:bookmarkStart w:id="207" w:name="_Toc279009289"/>
    </w:p>
    <w:p w:rsidR="008731E8" w:rsidRDefault="008731E8" w:rsidP="00234693">
      <w:pPr>
        <w:pStyle w:val="Caption"/>
      </w:pPr>
    </w:p>
    <w:p w:rsidR="002D772C" w:rsidRDefault="002D772C" w:rsidP="00234693">
      <w:pPr>
        <w:pStyle w:val="Caption"/>
      </w:pPr>
      <w:bookmarkStart w:id="208" w:name="_Ref364925644"/>
      <w:r>
        <w:t xml:space="preserve">Table </w:t>
      </w:r>
      <w:fldSimple w:instr=" SEQ Table \* ARABIC ">
        <w:r w:rsidR="004911B7">
          <w:rPr>
            <w:noProof/>
          </w:rPr>
          <w:t>13</w:t>
        </w:r>
      </w:fldSimple>
      <w:bookmarkEnd w:id="206"/>
      <w:bookmarkEnd w:id="208"/>
      <w:r>
        <w:t>: Predictors of organ damage from multivariate analysis</w:t>
      </w:r>
      <w:bookmarkEnd w:id="207"/>
    </w:p>
    <w:tbl>
      <w:tblPr>
        <w:tblW w:w="0" w:type="auto"/>
        <w:tblBorders>
          <w:top w:val="single" w:sz="12" w:space="0" w:color="auto"/>
          <w:bottom w:val="single" w:sz="12" w:space="0" w:color="auto"/>
        </w:tblBorders>
        <w:tblCellMar>
          <w:left w:w="28" w:type="dxa"/>
          <w:right w:w="28" w:type="dxa"/>
        </w:tblCellMar>
        <w:tblLook w:val="0000"/>
      </w:tblPr>
      <w:tblGrid>
        <w:gridCol w:w="1209"/>
        <w:gridCol w:w="544"/>
        <w:gridCol w:w="812"/>
        <w:gridCol w:w="1217"/>
        <w:gridCol w:w="1326"/>
        <w:gridCol w:w="1290"/>
        <w:gridCol w:w="1289"/>
        <w:gridCol w:w="1319"/>
        <w:gridCol w:w="1318"/>
        <w:gridCol w:w="1659"/>
        <w:gridCol w:w="1203"/>
      </w:tblGrid>
      <w:tr w:rsidR="002D772C" w:rsidRPr="00850DE4" w:rsidTr="00433502">
        <w:tc>
          <w:tcPr>
            <w:tcW w:w="12761" w:type="dxa"/>
            <w:gridSpan w:val="10"/>
            <w:tcBorders>
              <w:bottom w:val="nil"/>
            </w:tcBorders>
          </w:tcPr>
          <w:p w:rsidR="002D772C" w:rsidRPr="00850DE4" w:rsidRDefault="002D772C" w:rsidP="0049322C">
            <w:pPr>
              <w:pStyle w:val="ListParagraph1"/>
              <w:rPr>
                <w:lang w:eastAsia="en-GB"/>
              </w:rPr>
            </w:pPr>
            <w:r w:rsidRPr="00850DE4">
              <w:rPr>
                <w:lang w:eastAsia="en-GB"/>
              </w:rPr>
              <w:t>Predictors of organ damage from logistic regression (O</w:t>
            </w:r>
            <w:r>
              <w:rPr>
                <w:lang w:eastAsia="en-GB"/>
              </w:rPr>
              <w:t>dds ratio</w:t>
            </w:r>
            <w:r w:rsidRPr="00850DE4">
              <w:rPr>
                <w:lang w:eastAsia="en-GB"/>
              </w:rPr>
              <w:t>)</w:t>
            </w:r>
          </w:p>
        </w:tc>
        <w:tc>
          <w:tcPr>
            <w:tcW w:w="1253" w:type="dxa"/>
            <w:tcBorders>
              <w:bottom w:val="nil"/>
            </w:tcBorders>
          </w:tcPr>
          <w:p w:rsidR="002D772C" w:rsidRPr="00850DE4" w:rsidRDefault="002D772C" w:rsidP="0049322C">
            <w:pPr>
              <w:pStyle w:val="ListParagraph1"/>
              <w:rPr>
                <w:lang w:eastAsia="en-GB"/>
              </w:rPr>
            </w:pPr>
          </w:p>
        </w:tc>
      </w:tr>
      <w:tr w:rsidR="002D772C" w:rsidRPr="00850DE4" w:rsidTr="00FD18C9">
        <w:tc>
          <w:tcPr>
            <w:tcW w:w="1304"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Author name</w:t>
            </w:r>
          </w:p>
        </w:tc>
        <w:tc>
          <w:tcPr>
            <w:tcW w:w="567"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Date</w:t>
            </w:r>
          </w:p>
        </w:tc>
        <w:tc>
          <w:tcPr>
            <w:tcW w:w="851"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Sample size</w:t>
            </w:r>
          </w:p>
        </w:tc>
        <w:tc>
          <w:tcPr>
            <w:tcW w:w="1289"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Age</w:t>
            </w:r>
          </w:p>
        </w:tc>
        <w:tc>
          <w:tcPr>
            <w:tcW w:w="1418"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Initial disease activity</w:t>
            </w:r>
          </w:p>
        </w:tc>
        <w:tc>
          <w:tcPr>
            <w:tcW w:w="1402"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Average disease activity</w:t>
            </w:r>
          </w:p>
        </w:tc>
        <w:tc>
          <w:tcPr>
            <w:tcW w:w="1410"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Prior damage score</w:t>
            </w:r>
          </w:p>
        </w:tc>
        <w:tc>
          <w:tcPr>
            <w:tcW w:w="1410"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Steroids</w:t>
            </w:r>
          </w:p>
        </w:tc>
        <w:tc>
          <w:tcPr>
            <w:tcW w:w="1412"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APL antibodies</w:t>
            </w:r>
          </w:p>
        </w:tc>
        <w:tc>
          <w:tcPr>
            <w:tcW w:w="1698"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Cyclophosphamide</w:t>
            </w:r>
          </w:p>
        </w:tc>
        <w:tc>
          <w:tcPr>
            <w:tcW w:w="1253"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Myocarditis</w:t>
            </w:r>
          </w:p>
        </w:tc>
      </w:tr>
      <w:tr w:rsidR="002D772C" w:rsidRPr="00850DE4" w:rsidTr="00FD18C9">
        <w:tc>
          <w:tcPr>
            <w:tcW w:w="1304" w:type="dxa"/>
            <w:tcBorders>
              <w:top w:val="single" w:sz="4" w:space="0" w:color="auto"/>
            </w:tcBorders>
          </w:tcPr>
          <w:p w:rsidR="002D772C" w:rsidRPr="00850DE4" w:rsidRDefault="002D772C" w:rsidP="0049322C">
            <w:pPr>
              <w:pStyle w:val="ListParagraph1"/>
              <w:rPr>
                <w:lang w:eastAsia="en-GB"/>
              </w:rPr>
            </w:pPr>
            <w:r w:rsidRPr="00850DE4">
              <w:rPr>
                <w:lang w:eastAsia="en-GB"/>
              </w:rPr>
              <w:t>Alarcon</w:t>
            </w:r>
            <w:r w:rsidR="00FD18C9">
              <w:rPr>
                <w:lang w:eastAsia="en-GB"/>
              </w:rPr>
              <w:t xml:space="preserve"> </w:t>
            </w:r>
            <w:r w:rsidR="00E729BA">
              <w:rPr>
                <w:lang w:eastAsia="en-GB"/>
              </w:rPr>
              <w:fldChar w:fldCharType="begin"/>
            </w:r>
            <w:r w:rsidR="00FC61FD">
              <w:rPr>
                <w:lang w:eastAsia="en-GB"/>
              </w:rPr>
              <w:instrText xml:space="preserve"> ADDIN REFMGR.CITE &lt;Refman&gt;&lt;Cite&gt;&lt;Author&gt;Alarcon&lt;/Author&gt;&lt;Year&gt;2004&lt;/Year&gt;&lt;RecNum&gt;708&lt;/RecNum&gt;&lt;IDText&gt;Systemic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name="System"&gt;Rheumatology.(Oxford).&lt;/f&gt;&lt;/ZZ_JournalStdAbbrev&gt;&lt;ZZ_WorkformID&gt;1&lt;/ZZ_WorkformID&gt;&lt;/MDL&gt;&lt;/Cite&gt;&lt;/Refman&gt;</w:instrText>
            </w:r>
            <w:r w:rsidR="00E729BA">
              <w:rPr>
                <w:lang w:eastAsia="en-GB"/>
              </w:rPr>
              <w:fldChar w:fldCharType="separate"/>
            </w:r>
            <w:r w:rsidR="004D7951">
              <w:rPr>
                <w:lang w:eastAsia="en-GB"/>
              </w:rPr>
              <w:t>(171)</w:t>
            </w:r>
            <w:r w:rsidR="00E729BA">
              <w:rPr>
                <w:lang w:eastAsia="en-GB"/>
              </w:rPr>
              <w:fldChar w:fldCharType="end"/>
            </w:r>
          </w:p>
        </w:tc>
        <w:tc>
          <w:tcPr>
            <w:tcW w:w="567" w:type="dxa"/>
            <w:tcBorders>
              <w:top w:val="single" w:sz="4" w:space="0" w:color="auto"/>
            </w:tcBorders>
          </w:tcPr>
          <w:p w:rsidR="002D772C" w:rsidRPr="00850DE4" w:rsidRDefault="002D772C" w:rsidP="0049322C">
            <w:pPr>
              <w:pStyle w:val="ListParagraph1"/>
              <w:rPr>
                <w:lang w:eastAsia="en-GB"/>
              </w:rPr>
            </w:pPr>
            <w:r w:rsidRPr="00850DE4">
              <w:rPr>
                <w:lang w:eastAsia="en-GB"/>
              </w:rPr>
              <w:t>2004</w:t>
            </w:r>
          </w:p>
        </w:tc>
        <w:tc>
          <w:tcPr>
            <w:tcW w:w="851" w:type="dxa"/>
            <w:tcBorders>
              <w:top w:val="single" w:sz="4" w:space="0" w:color="auto"/>
            </w:tcBorders>
          </w:tcPr>
          <w:p w:rsidR="002D772C" w:rsidRPr="00850DE4" w:rsidRDefault="002D772C" w:rsidP="0049322C">
            <w:pPr>
              <w:pStyle w:val="ListParagraph1"/>
              <w:rPr>
                <w:lang w:eastAsia="en-GB"/>
              </w:rPr>
            </w:pPr>
            <w:r w:rsidRPr="00850DE4">
              <w:rPr>
                <w:lang w:eastAsia="en-GB"/>
              </w:rPr>
              <w:t>352</w:t>
            </w:r>
          </w:p>
        </w:tc>
        <w:tc>
          <w:tcPr>
            <w:tcW w:w="1289" w:type="dxa"/>
            <w:tcBorders>
              <w:top w:val="single" w:sz="4" w:space="0" w:color="auto"/>
            </w:tcBorders>
          </w:tcPr>
          <w:p w:rsidR="002D772C" w:rsidRPr="00850DE4" w:rsidRDefault="002D772C" w:rsidP="0049322C">
            <w:pPr>
              <w:pStyle w:val="ListParagraph1"/>
              <w:rPr>
                <w:lang w:eastAsia="en-GB"/>
              </w:rPr>
            </w:pPr>
            <w:r w:rsidRPr="00850DE4">
              <w:rPr>
                <w:lang w:eastAsia="en-GB"/>
              </w:rPr>
              <w:t>1.02 (1.00-1.03)</w:t>
            </w:r>
          </w:p>
        </w:tc>
        <w:tc>
          <w:tcPr>
            <w:tcW w:w="1418" w:type="dxa"/>
            <w:tcBorders>
              <w:top w:val="single" w:sz="4" w:space="0" w:color="auto"/>
            </w:tcBorders>
          </w:tcPr>
          <w:p w:rsidR="002D772C" w:rsidRPr="00850DE4" w:rsidRDefault="002D772C" w:rsidP="0049322C">
            <w:pPr>
              <w:pStyle w:val="ListParagraph1"/>
              <w:rPr>
                <w:lang w:eastAsia="en-GB"/>
              </w:rPr>
            </w:pPr>
            <w:r w:rsidRPr="00850DE4">
              <w:rPr>
                <w:lang w:eastAsia="en-GB"/>
              </w:rPr>
              <w:t>1.07 (1.05-1.10)</w:t>
            </w:r>
          </w:p>
        </w:tc>
        <w:tc>
          <w:tcPr>
            <w:tcW w:w="1402" w:type="dxa"/>
            <w:tcBorders>
              <w:top w:val="single" w:sz="4" w:space="0" w:color="auto"/>
            </w:tcBorders>
          </w:tcPr>
          <w:p w:rsidR="002D772C" w:rsidRPr="00850DE4" w:rsidRDefault="002D772C" w:rsidP="0049322C">
            <w:pPr>
              <w:pStyle w:val="ListParagraph1"/>
              <w:rPr>
                <w:lang w:eastAsia="en-GB"/>
              </w:rPr>
            </w:pPr>
          </w:p>
        </w:tc>
        <w:tc>
          <w:tcPr>
            <w:tcW w:w="1410" w:type="dxa"/>
            <w:tcBorders>
              <w:top w:val="single" w:sz="4" w:space="0" w:color="auto"/>
            </w:tcBorders>
          </w:tcPr>
          <w:p w:rsidR="002D772C" w:rsidRPr="00850DE4" w:rsidRDefault="002D772C" w:rsidP="0049322C">
            <w:pPr>
              <w:pStyle w:val="ListParagraph1"/>
              <w:rPr>
                <w:lang w:eastAsia="en-GB"/>
              </w:rPr>
            </w:pPr>
            <w:r w:rsidRPr="00850DE4">
              <w:rPr>
                <w:lang w:eastAsia="en-GB"/>
              </w:rPr>
              <w:t>1.07 (1.04-1.10)</w:t>
            </w:r>
          </w:p>
        </w:tc>
        <w:tc>
          <w:tcPr>
            <w:tcW w:w="1410" w:type="dxa"/>
            <w:tcBorders>
              <w:top w:val="single" w:sz="4" w:space="0" w:color="auto"/>
            </w:tcBorders>
          </w:tcPr>
          <w:p w:rsidR="002D772C" w:rsidRPr="00850DE4" w:rsidRDefault="002D772C" w:rsidP="0049322C">
            <w:pPr>
              <w:pStyle w:val="ListParagraph1"/>
              <w:rPr>
                <w:lang w:eastAsia="en-GB"/>
              </w:rPr>
            </w:pPr>
            <w:r w:rsidRPr="00850DE4">
              <w:rPr>
                <w:lang w:eastAsia="en-GB"/>
              </w:rPr>
              <w:t>1.63 (1.16-2.29)</w:t>
            </w:r>
          </w:p>
        </w:tc>
        <w:tc>
          <w:tcPr>
            <w:tcW w:w="1412" w:type="dxa"/>
            <w:tcBorders>
              <w:top w:val="single" w:sz="4" w:space="0" w:color="auto"/>
            </w:tcBorders>
          </w:tcPr>
          <w:p w:rsidR="002D772C" w:rsidRPr="00850DE4" w:rsidRDefault="002D772C" w:rsidP="0049322C">
            <w:pPr>
              <w:pStyle w:val="ListParagraph1"/>
              <w:rPr>
                <w:lang w:eastAsia="en-GB"/>
              </w:rPr>
            </w:pPr>
          </w:p>
        </w:tc>
        <w:tc>
          <w:tcPr>
            <w:tcW w:w="1698" w:type="dxa"/>
            <w:tcBorders>
              <w:top w:val="single" w:sz="4" w:space="0" w:color="auto"/>
            </w:tcBorders>
          </w:tcPr>
          <w:p w:rsidR="002D772C" w:rsidRPr="00850DE4" w:rsidRDefault="002D772C" w:rsidP="0049322C">
            <w:pPr>
              <w:pStyle w:val="ListParagraph1"/>
              <w:rPr>
                <w:lang w:eastAsia="en-GB"/>
              </w:rPr>
            </w:pPr>
          </w:p>
        </w:tc>
        <w:tc>
          <w:tcPr>
            <w:tcW w:w="1253" w:type="dxa"/>
            <w:tcBorders>
              <w:top w:val="single" w:sz="4" w:space="0" w:color="auto"/>
            </w:tcBorders>
          </w:tcPr>
          <w:p w:rsidR="002D772C" w:rsidRPr="00850DE4" w:rsidRDefault="002D772C" w:rsidP="0049322C">
            <w:pPr>
              <w:pStyle w:val="ListParagraph1"/>
              <w:rPr>
                <w:lang w:eastAsia="en-GB"/>
              </w:rPr>
            </w:pPr>
          </w:p>
        </w:tc>
      </w:tr>
      <w:tr w:rsidR="002D772C" w:rsidRPr="00850DE4" w:rsidTr="00FD18C9">
        <w:tc>
          <w:tcPr>
            <w:tcW w:w="1304" w:type="dxa"/>
          </w:tcPr>
          <w:p w:rsidR="002D772C" w:rsidRPr="00850DE4" w:rsidRDefault="002D772C" w:rsidP="0049322C">
            <w:pPr>
              <w:pStyle w:val="ListParagraph1"/>
              <w:rPr>
                <w:lang w:val="pt-PT" w:eastAsia="en-GB"/>
              </w:rPr>
            </w:pPr>
            <w:r w:rsidRPr="00850DE4">
              <w:rPr>
                <w:lang w:val="pt-PT" w:eastAsia="en-GB"/>
              </w:rPr>
              <w:t xml:space="preserve">Santos </w:t>
            </w:r>
            <w:r w:rsidR="00E729BA">
              <w:rPr>
                <w:lang w:val="pt-PT" w:eastAsia="en-GB"/>
              </w:rPr>
              <w:fldChar w:fldCharType="begin"/>
            </w:r>
            <w:r w:rsidR="00FC61FD">
              <w:rPr>
                <w:lang w:val="pt-PT" w:eastAsia="en-GB"/>
              </w:rPr>
              <w:instrText xml:space="preserve"> ADDIN REFMGR.CITE &lt;Refman&gt;&lt;Cite&gt;&lt;Author&gt;Santos&lt;/Author&gt;&lt;Year&gt;2009&lt;/Year&gt;&lt;RecNum&gt;1422&lt;/RecNum&gt;&lt;IDText&gt;Predictors of damage progression in Portuguese patients with systemic lupus erythematosus&lt;/IDText&gt;&lt;MDL Ref_Type="Journal"&gt;&lt;Ref_Type&gt;Journal&lt;/Ref_Type&gt;&lt;Ref_ID&gt;1422&lt;/Ref_ID&gt;&lt;Title_Primary&gt;Predictors of damage progression in Portuguese patients with systemic lupus erythematosus&lt;/Title_Primary&gt;&lt;Authors_Primary&gt;Santos,M.J.&lt;/Authors_Primary&gt;&lt;Authors_Primary&gt;Vinagre,F.&lt;/Authors_Primary&gt;&lt;Authors_Primary&gt;Nero,P.&lt;/Authors_Primary&gt;&lt;Authors_Primary&gt;Barcelos,F.&lt;/Authors_Primary&gt;&lt;Authors_Primary&gt;Barcelos,A.&lt;/Authors_Primary&gt;&lt;Authors_Primary&gt;Rodrigues,A.M.&lt;/Authors_Primary&gt;&lt;Authors_Primary&gt;de Matos,A.A.&lt;/Authors_Primary&gt;&lt;Authors_Primary&gt;Silva,C.&lt;/Authors_Primary&gt;&lt;Authors_Primary&gt;Miranda,L.&lt;/Authors_Primary&gt;&lt;Authors_Primary&gt;Capela,S.&lt;/Authors_Primary&gt;&lt;Authors_Primary&gt;Marques,A.&lt;/Authors_Primary&gt;&lt;Authors_Primary&gt;Branco,J.&lt;/Authors_Primary&gt;&lt;Authors_Primary&gt;da Silva,J.C.&lt;/Authors_Primary&gt;&lt;Date_Primary&gt;2009/9&lt;/Date_Primary&gt;&lt;Keywords&gt;Adult&lt;/Keywords&gt;&lt;Keywords&gt;age&lt;/Keywords&gt;&lt;Keywords&gt;Aged&lt;/Keywords&gt;&lt;Keywords&gt;analysis&lt;/Keywords&gt;&lt;Keywords&gt;Antibodies&lt;/Keywords&gt;&lt;Keywords&gt;Antibodies,Antiphospholipid&lt;/Keywords&gt;&lt;Keywords&gt;Azathioprine&lt;/Keywords&gt;&lt;Keywords&gt;Comorbidity&lt;/Keywords&gt;&lt;Keywords&gt;confidence interval&lt;/Keywords&gt;&lt;Keywords&gt;Disease Progression&lt;/Keywords&gt;&lt;Keywords&gt;epidemiology&lt;/Keywords&gt;&lt;Keywords&gt;erythematosus&lt;/Keywords&gt;&lt;Keywords&gt;Female&lt;/Keywords&gt;&lt;Keywords&gt;Follow-Up Studies&lt;/Keywords&gt;&lt;Keywords&gt;hospital&lt;/Keywords&gt;&lt;Keywords&gt;Humans&lt;/Keywords&gt;&lt;Keywords&gt;Hypertension&lt;/Keywords&gt;&lt;Keywords&gt;immunology&lt;/Keywords&gt;&lt;Keywords&gt;Life&lt;/Keywords&gt;&lt;Keywords&gt;Life Expectancy&lt;/Keywords&gt;&lt;Keywords&gt;lupus erythematosus&lt;/Keywords&gt;&lt;Keywords&gt;Lupus Erythematosus,Systemic&lt;/Keywords&gt;&lt;Keywords&gt;Male&lt;/Keywords&gt;&lt;Keywords&gt;Middle Aged&lt;/Keywords&gt;&lt;Keywords&gt;Multivariate Analysis&lt;/Keywords&gt;&lt;Keywords&gt;Musculoskeletal System&lt;/Keywords&gt;&lt;Keywords&gt;Osteoporosis&lt;/Keywords&gt;&lt;Keywords&gt;pathology&lt;/Keywords&gt;&lt;Keywords&gt;patient&lt;/Keywords&gt;&lt;Keywords&gt;Patients&lt;/Keywords&gt;&lt;Keywords&gt;Portugal&lt;/Keywords&gt;&lt;Keywords&gt;Predictive Value of Tests&lt;/Keywords&gt;&lt;Keywords&gt;Prognosis&lt;/Keywords&gt;&lt;Keywords&gt;Prospective Studies&lt;/Keywords&gt;&lt;Keywords&gt;Rheumatology&lt;/Keywords&gt;&lt;Keywords&gt;systemic lupus erythematosus&lt;/Keywords&gt;&lt;Keywords&gt;Time&lt;/Keywords&gt;&lt;Keywords&gt;Young Adult&lt;/Keywords&gt;&lt;Reprint&gt;Not in File&lt;/Reprint&gt;&lt;Start_Page&gt;822&lt;/Start_Page&gt;&lt;End_Page&gt;828&lt;/End_Page&gt;&lt;Periodical&gt;Ann.N.Y.Acad.Sci.&lt;/Periodical&gt;&lt;Volume&gt;1173:822-8.&lt;/Volume&gt;&lt;User_Def_1&gt;y&lt;/User_Def_1&gt;&lt;ZZ_JournalStdAbbrev&gt;&lt;f name="System"&gt;Ann.N.Y.Acad.Sci.&lt;/f&gt;&lt;/ZZ_JournalStdAbbrev&gt;&lt;ZZ_WorkformID&gt;1&lt;/ZZ_WorkformID&gt;&lt;/MDL&gt;&lt;/Cite&gt;&lt;/Refman&gt;</w:instrText>
            </w:r>
            <w:r w:rsidR="00E729BA">
              <w:rPr>
                <w:lang w:val="pt-PT" w:eastAsia="en-GB"/>
              </w:rPr>
              <w:fldChar w:fldCharType="separate"/>
            </w:r>
            <w:r w:rsidR="004D7951">
              <w:rPr>
                <w:lang w:val="pt-PT" w:eastAsia="en-GB"/>
              </w:rPr>
              <w:t>(174)</w:t>
            </w:r>
            <w:r w:rsidR="00E729BA">
              <w:rPr>
                <w:lang w:val="pt-PT"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2009</w:t>
            </w:r>
          </w:p>
        </w:tc>
        <w:tc>
          <w:tcPr>
            <w:tcW w:w="851" w:type="dxa"/>
          </w:tcPr>
          <w:p w:rsidR="002D772C" w:rsidRPr="00850DE4" w:rsidRDefault="002D772C" w:rsidP="0049322C">
            <w:pPr>
              <w:pStyle w:val="ListParagraph1"/>
              <w:rPr>
                <w:lang w:eastAsia="en-GB"/>
              </w:rPr>
            </w:pPr>
            <w:r w:rsidRPr="00850DE4">
              <w:rPr>
                <w:lang w:eastAsia="en-GB"/>
              </w:rPr>
              <w:t>221</w:t>
            </w:r>
          </w:p>
        </w:tc>
        <w:tc>
          <w:tcPr>
            <w:tcW w:w="1289" w:type="dxa"/>
          </w:tcPr>
          <w:p w:rsidR="002D772C" w:rsidRPr="00850DE4" w:rsidRDefault="002D772C" w:rsidP="0049322C">
            <w:pPr>
              <w:pStyle w:val="ListParagraph1"/>
              <w:rPr>
                <w:lang w:eastAsia="en-GB"/>
              </w:rPr>
            </w:pPr>
            <w:r w:rsidRPr="00850DE4">
              <w:rPr>
                <w:lang w:eastAsia="en-GB"/>
              </w:rPr>
              <w:t>1.05 (1.02-1.07)</w:t>
            </w:r>
          </w:p>
        </w:tc>
        <w:tc>
          <w:tcPr>
            <w:tcW w:w="1418" w:type="dxa"/>
          </w:tcPr>
          <w:p w:rsidR="002D772C" w:rsidRPr="00850DE4" w:rsidRDefault="002D772C" w:rsidP="0049322C">
            <w:pPr>
              <w:pStyle w:val="ListParagraph1"/>
              <w:rPr>
                <w:lang w:eastAsia="en-GB"/>
              </w:rPr>
            </w:pPr>
          </w:p>
        </w:tc>
        <w:tc>
          <w:tcPr>
            <w:tcW w:w="1402"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r w:rsidRPr="00850DE4">
              <w:rPr>
                <w:lang w:eastAsia="en-GB"/>
              </w:rPr>
              <w:t>6.04 (1.60-25.21)</w:t>
            </w:r>
          </w:p>
        </w:tc>
        <w:tc>
          <w:tcPr>
            <w:tcW w:w="1412" w:type="dxa"/>
          </w:tcPr>
          <w:p w:rsidR="002D772C" w:rsidRPr="00850DE4" w:rsidRDefault="002D772C" w:rsidP="0049322C">
            <w:pPr>
              <w:pStyle w:val="ListParagraph1"/>
              <w:rPr>
                <w:lang w:eastAsia="en-GB"/>
              </w:rPr>
            </w:pPr>
            <w:r w:rsidRPr="00850DE4">
              <w:rPr>
                <w:lang w:eastAsia="en-GB"/>
              </w:rPr>
              <w:t>3.05 (1.17-7.94)</w:t>
            </w: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Pr>
          <w:p w:rsidR="002D772C" w:rsidRPr="00850DE4" w:rsidRDefault="002D772C" w:rsidP="0049322C">
            <w:pPr>
              <w:pStyle w:val="ListParagraph1"/>
              <w:rPr>
                <w:lang w:eastAsia="en-GB"/>
              </w:rPr>
            </w:pPr>
            <w:r w:rsidRPr="00850DE4">
              <w:rPr>
                <w:lang w:eastAsia="en-GB"/>
              </w:rPr>
              <w:t xml:space="preserve">Gilboe </w:t>
            </w:r>
            <w:r w:rsidR="00E729BA">
              <w:rPr>
                <w:lang w:eastAsia="en-GB"/>
              </w:rPr>
              <w:fldChar w:fldCharType="begin"/>
            </w:r>
            <w:r w:rsidR="00FC61FD">
              <w:rPr>
                <w:lang w:eastAsia="en-GB"/>
              </w:rPr>
              <w:instrText xml:space="preserve"> ADDIN REFMGR.CITE &lt;Refman&gt;&lt;Cite&gt;&lt;Author&gt;Gilboe&lt;/Author&gt;&lt;Year&gt;2001&lt;/Year&gt;&lt;RecNum&gt;989&lt;/RecNum&gt;&lt;IDText&gt;Disease course in systemic lupus erythematosus: changes in health status, disease activity, and organ damage after 2 years&lt;/IDText&gt;&lt;MDL Ref_Type="Journal"&gt;&lt;Ref_Type&gt;Journal&lt;/Ref_Type&gt;&lt;Ref_ID&gt;989&lt;/Ref_ID&gt;&lt;Title_Primary&gt;Disease course in systemic lupus erythematosus: changes in health status, disease activity, and organ damage after 2 years&lt;/Title_Primary&gt;&lt;Authors_Primary&gt;Gilboe,I.M.&lt;/Authors_Primary&gt;&lt;Authors_Primary&gt;Kvien,T.K.&lt;/Authors_Primary&gt;&lt;Authors_Primary&gt;Husby,G.&lt;/Authors_Primary&gt;&lt;Date_Primary&gt;2001/2&lt;/Date_Primary&gt;&lt;Keywords&gt;Adolescent&lt;/Keywords&gt;&lt;Keywords&gt;Adult&lt;/Keywords&gt;&lt;Keywords&gt;Age Factors&lt;/Keywords&gt;&lt;Keywords&gt;Aged&lt;/Keywords&gt;&lt;Keywords&gt;Aged,80 and over&lt;/Keywords&gt;&lt;Keywords&gt;Arthritis&lt;/Keywords&gt;&lt;Keywords&gt;Arthritis,Rheumatoid&lt;/Keywords&gt;&lt;Keywords&gt;Disease&lt;/Keywords&gt;&lt;Keywords&gt;Disease Progression&lt;/Keywords&gt;&lt;Keywords&gt;erythematosus&lt;/Keywords&gt;&lt;Keywords&gt;Fatigue&lt;/Keywords&gt;&lt;Keywords&gt;Female&lt;/Keywords&gt;&lt;Keywords&gt;Follow-Up Studies&lt;/Keywords&gt;&lt;Keywords&gt;Health&lt;/Keywords&gt;&lt;Keywords&gt;Health Status&lt;/Keywords&gt;&lt;Keywords&gt;hospital&lt;/Keywords&gt;&lt;Keywords&gt;Humans&lt;/Keywords&gt;&lt;Keywords&gt;lupus erythematosus&lt;/Keywords&gt;&lt;Keywords&gt;Lupus Erythematosus,Systemic&lt;/Keywords&gt;&lt;Keywords&gt;Male&lt;/Keywords&gt;&lt;Keywords&gt;methods&lt;/Keywords&gt;&lt;Keywords&gt;Middle Aged&lt;/Keywords&gt;&lt;Keywords&gt;Pain&lt;/Keywords&gt;&lt;Keywords&gt;Pain Measurement&lt;/Keywords&gt;&lt;Keywords&gt;pathology&lt;/Keywords&gt;&lt;Keywords&gt;patient&lt;/Keywords&gt;&lt;Keywords&gt;Patients&lt;/Keywords&gt;&lt;Keywords&gt;physiopathology&lt;/Keywords&gt;&lt;Keywords&gt;population&lt;/Keywords&gt;&lt;Keywords&gt;Predictive Value of Tests&lt;/Keywords&gt;&lt;Keywords&gt;Rheumatic Diseases&lt;/Keywords&gt;&lt;Keywords&gt;Rheumatology&lt;/Keywords&gt;&lt;Keywords&gt;Sex Factors&lt;/Keywords&gt;&lt;Keywords&gt;systemic lupus erythematosus&lt;/Keywords&gt;&lt;Keywords&gt;Time&lt;/Keywords&gt;&lt;Keywords&gt;Time Factors&lt;/Keywords&gt;&lt;Reprint&gt;Not in File&lt;/Reprint&gt;&lt;Start_Page&gt;266&lt;/Start_Page&gt;&lt;End_Page&gt;274&lt;/End_Page&gt;&lt;Periodical&gt;J.Rheumatol.&lt;/Periodical&gt;&lt;Volume&gt;28&lt;/Volume&gt;&lt;Issue&gt;2&lt;/Issue&gt;&lt;User_Def_1&gt;y&lt;/User_Def_1&gt;&lt;ZZ_JournalStdAbbrev&gt;&lt;f name="System"&gt;J.Rheumatol.&lt;/f&gt;&lt;/ZZ_JournalStdAbbrev&gt;&lt;ZZ_WorkformID&gt;1&lt;/ZZ_WorkformID&gt;&lt;/MDL&gt;&lt;/Cite&gt;&lt;/Refman&gt;</w:instrText>
            </w:r>
            <w:r w:rsidR="00E729BA">
              <w:rPr>
                <w:lang w:eastAsia="en-GB"/>
              </w:rPr>
              <w:fldChar w:fldCharType="separate"/>
            </w:r>
            <w:r w:rsidR="004D7951">
              <w:rPr>
                <w:lang w:eastAsia="en-GB"/>
              </w:rPr>
              <w:t>(177)</w:t>
            </w:r>
            <w:r w:rsidR="00E729BA">
              <w:rPr>
                <w:lang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2001</w:t>
            </w:r>
          </w:p>
        </w:tc>
        <w:tc>
          <w:tcPr>
            <w:tcW w:w="851" w:type="dxa"/>
          </w:tcPr>
          <w:p w:rsidR="002D772C" w:rsidRPr="00850DE4" w:rsidRDefault="002D772C" w:rsidP="0049322C">
            <w:pPr>
              <w:pStyle w:val="ListParagraph1"/>
              <w:rPr>
                <w:lang w:eastAsia="en-GB"/>
              </w:rPr>
            </w:pPr>
            <w:r w:rsidRPr="00850DE4">
              <w:rPr>
                <w:lang w:eastAsia="en-GB"/>
              </w:rPr>
              <w:t>93</w:t>
            </w:r>
          </w:p>
        </w:tc>
        <w:tc>
          <w:tcPr>
            <w:tcW w:w="1289" w:type="dxa"/>
          </w:tcPr>
          <w:p w:rsidR="002D772C" w:rsidRPr="00850DE4" w:rsidRDefault="002D772C" w:rsidP="0049322C">
            <w:pPr>
              <w:pStyle w:val="ListParagraph1"/>
              <w:rPr>
                <w:lang w:eastAsia="en-GB"/>
              </w:rPr>
            </w:pPr>
            <w:r w:rsidRPr="00850DE4">
              <w:rPr>
                <w:lang w:eastAsia="en-GB"/>
              </w:rPr>
              <w:t>Not significant</w:t>
            </w:r>
          </w:p>
        </w:tc>
        <w:tc>
          <w:tcPr>
            <w:tcW w:w="1418" w:type="dxa"/>
          </w:tcPr>
          <w:p w:rsidR="002D772C" w:rsidRPr="00850DE4" w:rsidRDefault="002D772C" w:rsidP="0049322C">
            <w:pPr>
              <w:pStyle w:val="ListParagraph1"/>
              <w:rPr>
                <w:lang w:eastAsia="en-GB"/>
              </w:rPr>
            </w:pPr>
            <w:r w:rsidRPr="00850DE4">
              <w:rPr>
                <w:lang w:eastAsia="en-GB"/>
              </w:rPr>
              <w:t>1.14 (1.00-1.28)</w:t>
            </w:r>
          </w:p>
        </w:tc>
        <w:tc>
          <w:tcPr>
            <w:tcW w:w="1402"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r w:rsidRPr="00850DE4">
              <w:rPr>
                <w:lang w:eastAsia="en-GB"/>
              </w:rPr>
              <w:t>1.52 (1.02-2.27)</w:t>
            </w:r>
          </w:p>
        </w:tc>
        <w:tc>
          <w:tcPr>
            <w:tcW w:w="1410" w:type="dxa"/>
          </w:tcPr>
          <w:p w:rsidR="002D772C" w:rsidRPr="00850DE4" w:rsidRDefault="002D772C" w:rsidP="0049322C">
            <w:pPr>
              <w:pStyle w:val="ListParagraph1"/>
              <w:rPr>
                <w:lang w:eastAsia="en-GB"/>
              </w:rPr>
            </w:pPr>
          </w:p>
        </w:tc>
        <w:tc>
          <w:tcPr>
            <w:tcW w:w="1412" w:type="dxa"/>
          </w:tcPr>
          <w:p w:rsidR="002D772C" w:rsidRPr="00850DE4" w:rsidRDefault="002D772C" w:rsidP="0049322C">
            <w:pPr>
              <w:pStyle w:val="ListParagraph1"/>
              <w:rPr>
                <w:lang w:eastAsia="en-GB"/>
              </w:rPr>
            </w:pP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Pr>
          <w:p w:rsidR="002D772C" w:rsidRPr="00FD18C9" w:rsidRDefault="002D772C" w:rsidP="0049322C">
            <w:pPr>
              <w:pStyle w:val="ListParagraph1"/>
              <w:rPr>
                <w:lang w:eastAsia="en-GB"/>
              </w:rPr>
            </w:pPr>
            <w:r w:rsidRPr="00FD18C9">
              <w:rPr>
                <w:lang w:eastAsia="en-GB"/>
              </w:rPr>
              <w:t xml:space="preserve">Ruiz-Irastorza </w:t>
            </w:r>
            <w:r w:rsidR="00E729BA">
              <w:rPr>
                <w:lang w:val="pt-PT" w:eastAsia="en-GB"/>
              </w:rPr>
              <w:fldChar w:fldCharType="begin"/>
            </w:r>
            <w:r w:rsidR="00FC61FD">
              <w:rPr>
                <w:lang w:eastAsia="en-GB"/>
              </w:rPr>
              <w:instrText xml:space="preserve"> ADDIN REFMGR.CITE &lt;Refman&gt;&lt;Cite&gt;&lt;Author&gt;Ruiz-Irastorza&lt;/Author&gt;&lt;Year&gt;2004&lt;/Year&gt;&lt;RecNum&gt;711&lt;/RecNum&gt;&lt;IDText&gt;High impact of antiphospholipid syndrome on irreversible organ damage and survival of patients with systemic lupus erythematosus&lt;/IDText&gt;&lt;MDL Ref_Type="Journal"&gt;&lt;Ref_Type&gt;Journal&lt;/Ref_Type&gt;&lt;Ref_ID&gt;711&lt;/Ref_ID&gt;&lt;Title_Primary&gt;High impact of antiphospholipid syndrome on irreversible organ damage and survival of patients with systemic lupus erythematosus&lt;/Title_Primary&gt;&lt;Authors_Primary&gt;Ruiz-Irastorza,G.&lt;/Authors_Primary&gt;&lt;Authors_Primary&gt;Egurbide,M.V.&lt;/Authors_Primary&gt;&lt;Authors_Primary&gt;Ugalde,J.&lt;/Authors_Primary&gt;&lt;Authors_Primary&gt;Aguirre,C.&lt;/Authors_Primary&gt;&lt;Date_Primary&gt;2004/1/12&lt;/Date_Primary&gt;&lt;Keywords&gt;Adult&lt;/Keywords&gt;&lt;Keywords&gt;age&lt;/Keywords&gt;&lt;Keywords&gt;Age Factors&lt;/Keywords&gt;&lt;Keywords&gt;Antiphospholipid Syndrome&lt;/Keywords&gt;&lt;Keywords&gt;Cohort Studies&lt;/Keywords&gt;&lt;Keywords&gt;complications&lt;/Keywords&gt;&lt;Keywords&gt;death&lt;/Keywords&gt;&lt;Keywords&gt;diagnosis&lt;/Keywords&gt;&lt;Keywords&gt;erythematosus&lt;/Keywords&gt;&lt;Keywords&gt;etiology&lt;/Keywords&gt;&lt;Keywords&gt;Female&lt;/Keywords&gt;&lt;Keywords&gt;hospital&lt;/Keywords&gt;&lt;Keywords&gt;Humans&lt;/Keywords&gt;&lt;Keywords&gt;lupus erythematosus&lt;/Keywords&gt;&lt;Keywords&gt;Lupus Erythematosus,Systemic&lt;/Keywords&gt;&lt;Keywords&gt;Lupus Nephritis&lt;/Keywords&gt;&lt;Keywords&gt;Male&lt;/Keywords&gt;&lt;Keywords&gt;methods&lt;/Keywords&gt;&lt;Keywords&gt;Morbidity&lt;/Keywords&gt;&lt;Keywords&gt;mortality&lt;/Keywords&gt;&lt;Keywords&gt;Multiple Organ Failure&lt;/Keywords&gt;&lt;Keywords&gt;Nephritis&lt;/Keywords&gt;&lt;Keywords&gt;patient&lt;/Keywords&gt;&lt;Keywords&gt;Patients&lt;/Keywords&gt;&lt;Keywords&gt;Proportional Hazards Models&lt;/Keywords&gt;&lt;Keywords&gt;Prospective Studies&lt;/Keywords&gt;&lt;Keywords&gt;Rheumatology&lt;/Keywords&gt;&lt;Keywords&gt;Spain&lt;/Keywords&gt;&lt;Keywords&gt;Survival Analysis&lt;/Keywords&gt;&lt;Keywords&gt;Syndrome&lt;/Keywords&gt;&lt;Keywords&gt;systemic lupus erythematosus&lt;/Keywords&gt;&lt;Keywords&gt;Thrombosis&lt;/Keywords&gt;&lt;Keywords&gt;Women&lt;/Keywords&gt;&lt;Reprint&gt;Not in File&lt;/Reprint&gt;&lt;Start_Page&gt;77&lt;/Start_Page&gt;&lt;End_Page&gt;82&lt;/End_Page&gt;&lt;Periodical&gt;Arch.Intern.Med.&lt;/Periodical&gt;&lt;Volume&gt;164&lt;/Volume&gt;&lt;Issue&gt;1&lt;/Issue&gt;&lt;User_Def_1&gt;y&lt;/User_Def_1&gt;&lt;ZZ_JournalStdAbbrev&gt;&lt;f name="System"&gt;Arch.Intern.Med.&lt;/f&gt;&lt;/ZZ_JournalStdAbbrev&gt;&lt;ZZ_WorkformID&gt;1&lt;/ZZ_WorkformID&gt;&lt;/MDL&gt;&lt;/Cite&gt;&lt;/Refman&gt;</w:instrText>
            </w:r>
            <w:r w:rsidR="00E729BA">
              <w:rPr>
                <w:lang w:val="pt-PT" w:eastAsia="en-GB"/>
              </w:rPr>
              <w:fldChar w:fldCharType="separate"/>
            </w:r>
            <w:r w:rsidR="004D7951">
              <w:rPr>
                <w:lang w:eastAsia="en-GB"/>
              </w:rPr>
              <w:t>(154)</w:t>
            </w:r>
            <w:r w:rsidR="00E729BA">
              <w:rPr>
                <w:lang w:val="pt-PT"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2004</w:t>
            </w:r>
          </w:p>
        </w:tc>
        <w:tc>
          <w:tcPr>
            <w:tcW w:w="851" w:type="dxa"/>
          </w:tcPr>
          <w:p w:rsidR="002D772C" w:rsidRPr="00850DE4" w:rsidRDefault="002D772C" w:rsidP="0049322C">
            <w:pPr>
              <w:pStyle w:val="ListParagraph1"/>
              <w:rPr>
                <w:lang w:eastAsia="en-GB"/>
              </w:rPr>
            </w:pPr>
            <w:r w:rsidRPr="00850DE4">
              <w:rPr>
                <w:lang w:eastAsia="en-GB"/>
              </w:rPr>
              <w:t>202</w:t>
            </w:r>
          </w:p>
        </w:tc>
        <w:tc>
          <w:tcPr>
            <w:tcW w:w="1289" w:type="dxa"/>
          </w:tcPr>
          <w:p w:rsidR="002D772C" w:rsidRPr="00850DE4" w:rsidRDefault="002D772C" w:rsidP="0049322C">
            <w:pPr>
              <w:pStyle w:val="ListParagraph1"/>
              <w:rPr>
                <w:lang w:eastAsia="en-GB"/>
              </w:rPr>
            </w:pPr>
          </w:p>
        </w:tc>
        <w:tc>
          <w:tcPr>
            <w:tcW w:w="1418" w:type="dxa"/>
          </w:tcPr>
          <w:p w:rsidR="002D772C" w:rsidRPr="00850DE4" w:rsidRDefault="002D772C" w:rsidP="0049322C">
            <w:pPr>
              <w:pStyle w:val="ListParagraph1"/>
              <w:rPr>
                <w:lang w:eastAsia="en-GB"/>
              </w:rPr>
            </w:pPr>
          </w:p>
        </w:tc>
        <w:tc>
          <w:tcPr>
            <w:tcW w:w="1402"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2" w:type="dxa"/>
          </w:tcPr>
          <w:p w:rsidR="002D772C" w:rsidRPr="00850DE4" w:rsidRDefault="002D772C" w:rsidP="0049322C">
            <w:pPr>
              <w:pStyle w:val="ListParagraph1"/>
              <w:rPr>
                <w:lang w:eastAsia="en-GB"/>
              </w:rPr>
            </w:pPr>
            <w:r w:rsidRPr="00850DE4">
              <w:rPr>
                <w:lang w:eastAsia="en-GB"/>
              </w:rPr>
              <w:t>1.94 (1.01-3.73)</w:t>
            </w: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Pr>
          <w:p w:rsidR="002D772C" w:rsidRPr="00850DE4" w:rsidRDefault="002D772C" w:rsidP="0049322C">
            <w:pPr>
              <w:pStyle w:val="ListParagraph1"/>
              <w:rPr>
                <w:lang w:eastAsia="en-GB"/>
              </w:rPr>
            </w:pPr>
            <w:r w:rsidRPr="00850DE4">
              <w:rPr>
                <w:lang w:eastAsia="en-GB"/>
              </w:rPr>
              <w:t xml:space="preserve">Stoll </w:t>
            </w:r>
            <w:r w:rsidR="00E729BA">
              <w:rPr>
                <w:lang w:eastAsia="en-GB"/>
              </w:rPr>
              <w:fldChar w:fldCharType="begin"/>
            </w:r>
            <w:r w:rsidR="00FC61FD">
              <w:rPr>
                <w:lang w:eastAsia="en-GB"/>
              </w:rPr>
              <w:instrText xml:space="preserve"> ADDIN REFMGR.CITE &lt;Refman&gt;&lt;Cite&gt;&lt;Author&gt;Stoll&lt;/Author&gt;&lt;Year&gt;2000&lt;/Year&gt;&lt;RecNum&gt;1024&lt;/RecNum&gt;&lt;IDText&gt;Do present damage and health perception in patients with systemic lupus erythematosus predict extent of future damage?: a prospective study&lt;/IDText&gt;&lt;MDL Ref_Type="Journal"&gt;&lt;Ref_Type&gt;Journal&lt;/Ref_Type&gt;&lt;Ref_ID&gt;1024&lt;/Ref_ID&gt;&lt;Title_Primary&gt;Do present damage and health perception in patients with systemic lupus erythematosus predict extent of future damage?: a prospective study&lt;/Title_Primary&gt;&lt;Authors_Primary&gt;Stoll,T.&lt;/Authors_Primary&gt;&lt;Authors_Primary&gt;Sutcliffe,N.&lt;/Authors_Primary&gt;&lt;Authors_Primary&gt;Klaghofer,R.&lt;/Authors_Primary&gt;&lt;Authors_Primary&gt;Isenberg,D.A.&lt;/Authors_Primary&gt;&lt;Date_Primary&gt;2000/10&lt;/Date_Primary&gt;&lt;Keywords&gt;Adult&lt;/Keywords&gt;&lt;Keywords&gt;age&lt;/Keywords&gt;&lt;Keywords&gt;analysis&lt;/Keywords&gt;&lt;Keywords&gt;Disease&lt;/Keywords&gt;&lt;Keywords&gt;Disease Progression&lt;/Keywords&gt;&lt;Keywords&gt;erythematosus&lt;/Keywords&gt;&lt;Keywords&gt;Fatigue&lt;/Keywords&gt;&lt;Keywords&gt;Female&lt;/Keywords&gt;&lt;Keywords&gt;Health&lt;/Keywords&gt;&lt;Keywords&gt;Health Status&lt;/Keywords&gt;&lt;Keywords&gt;Humans&lt;/Keywords&gt;&lt;Keywords&gt;Longitudinal Studies&lt;/Keywords&gt;&lt;Keywords&gt;lupus erythematosus&lt;/Keywords&gt;&lt;Keywords&gt;Lupus Erythematosus,Systemic&lt;/Keywords&gt;&lt;Keywords&gt;Male&lt;/Keywords&gt;&lt;Keywords&gt;Mental Health&lt;/Keywords&gt;&lt;Keywords&gt;methods&lt;/Keywords&gt;&lt;Keywords&gt;Odds Ratio&lt;/Keywords&gt;&lt;Keywords&gt;Pain&lt;/Keywords&gt;&lt;Keywords&gt;pathology&lt;/Keywords&gt;&lt;Keywords&gt;patient&lt;/Keywords&gt;&lt;Keywords&gt;Patients&lt;/Keywords&gt;&lt;Keywords&gt;Perception&lt;/Keywords&gt;&lt;Keywords&gt;Predictive Value of Tests&lt;/Keywords&gt;&lt;Keywords&gt;Prospective Studies&lt;/Keywords&gt;&lt;Keywords&gt;psychology&lt;/Keywords&gt;&lt;Keywords&gt;Regression Analysis&lt;/Keywords&gt;&lt;Keywords&gt;systemic lupus erythematosus&lt;/Keywords&gt;&lt;Reprint&gt;Not in File&lt;/Reprint&gt;&lt;Start_Page&gt;832&lt;/Start_Page&gt;&lt;End_Page&gt;835&lt;/End_Page&gt;&lt;Periodical&gt;Ann.Rheum.Dis.&lt;/Periodical&gt;&lt;Volume&gt;59&lt;/Volume&gt;&lt;Issue&gt;10&lt;/Issue&gt;&lt;User_Def_1&gt;y&lt;/User_Def_1&gt;&lt;ZZ_JournalStdAbbrev&gt;&lt;f name="System"&gt;Ann.Rheum.Dis.&lt;/f&gt;&lt;/ZZ_JournalStdAbbrev&gt;&lt;ZZ_WorkformID&gt;1&lt;/ZZ_WorkformID&gt;&lt;/MDL&gt;&lt;/Cite&gt;&lt;/Refman&gt;</w:instrText>
            </w:r>
            <w:r w:rsidR="00E729BA">
              <w:rPr>
                <w:lang w:eastAsia="en-GB"/>
              </w:rPr>
              <w:fldChar w:fldCharType="separate"/>
            </w:r>
            <w:r w:rsidR="004D7951">
              <w:rPr>
                <w:lang w:eastAsia="en-GB"/>
              </w:rPr>
              <w:t>(179)</w:t>
            </w:r>
            <w:r w:rsidR="00E729BA">
              <w:rPr>
                <w:lang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2000</w:t>
            </w:r>
          </w:p>
        </w:tc>
        <w:tc>
          <w:tcPr>
            <w:tcW w:w="851" w:type="dxa"/>
          </w:tcPr>
          <w:p w:rsidR="002D772C" w:rsidRPr="00850DE4" w:rsidRDefault="002D772C" w:rsidP="0049322C">
            <w:pPr>
              <w:pStyle w:val="ListParagraph1"/>
              <w:rPr>
                <w:lang w:eastAsia="en-GB"/>
              </w:rPr>
            </w:pPr>
            <w:r w:rsidRPr="00850DE4">
              <w:rPr>
                <w:lang w:eastAsia="en-GB"/>
              </w:rPr>
              <w:t>141</w:t>
            </w:r>
          </w:p>
        </w:tc>
        <w:tc>
          <w:tcPr>
            <w:tcW w:w="1289" w:type="dxa"/>
          </w:tcPr>
          <w:p w:rsidR="002D772C" w:rsidRPr="00850DE4" w:rsidRDefault="002D772C" w:rsidP="0049322C">
            <w:pPr>
              <w:pStyle w:val="ListParagraph1"/>
              <w:rPr>
                <w:lang w:eastAsia="en-GB"/>
              </w:rPr>
            </w:pPr>
            <w:r w:rsidRPr="00850DE4">
              <w:rPr>
                <w:lang w:eastAsia="en-GB"/>
              </w:rPr>
              <w:t>Not significant</w:t>
            </w:r>
          </w:p>
        </w:tc>
        <w:tc>
          <w:tcPr>
            <w:tcW w:w="1418" w:type="dxa"/>
          </w:tcPr>
          <w:p w:rsidR="002D772C" w:rsidRPr="00850DE4" w:rsidRDefault="002D772C" w:rsidP="0049322C">
            <w:pPr>
              <w:pStyle w:val="ListParagraph1"/>
              <w:rPr>
                <w:lang w:eastAsia="en-GB"/>
              </w:rPr>
            </w:pPr>
            <w:r w:rsidRPr="00850DE4">
              <w:rPr>
                <w:lang w:eastAsia="en-GB"/>
              </w:rPr>
              <w:t>Not significant</w:t>
            </w:r>
          </w:p>
        </w:tc>
        <w:tc>
          <w:tcPr>
            <w:tcW w:w="1402"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r w:rsidRPr="00850DE4">
              <w:rPr>
                <w:lang w:eastAsia="en-GB"/>
              </w:rPr>
              <w:t>1.46 (1.04-2.05)</w:t>
            </w:r>
          </w:p>
        </w:tc>
        <w:tc>
          <w:tcPr>
            <w:tcW w:w="1410" w:type="dxa"/>
          </w:tcPr>
          <w:p w:rsidR="002D772C" w:rsidRPr="00850DE4" w:rsidRDefault="002D772C" w:rsidP="0049322C">
            <w:pPr>
              <w:pStyle w:val="ListParagraph1"/>
              <w:rPr>
                <w:lang w:eastAsia="en-GB"/>
              </w:rPr>
            </w:pPr>
          </w:p>
        </w:tc>
        <w:tc>
          <w:tcPr>
            <w:tcW w:w="1412" w:type="dxa"/>
          </w:tcPr>
          <w:p w:rsidR="002D772C" w:rsidRPr="00850DE4" w:rsidRDefault="002D772C" w:rsidP="0049322C">
            <w:pPr>
              <w:pStyle w:val="ListParagraph1"/>
              <w:rPr>
                <w:lang w:eastAsia="en-GB"/>
              </w:rPr>
            </w:pP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Pr>
          <w:p w:rsidR="002D772C" w:rsidRPr="00850DE4" w:rsidRDefault="002D772C" w:rsidP="0049322C">
            <w:pPr>
              <w:pStyle w:val="ListParagraph1"/>
              <w:rPr>
                <w:lang w:val="de-DE" w:eastAsia="en-GB"/>
              </w:rPr>
            </w:pPr>
            <w:r w:rsidRPr="00850DE4">
              <w:rPr>
                <w:lang w:val="de-DE" w:eastAsia="en-GB"/>
              </w:rPr>
              <w:t xml:space="preserve">Stoll </w:t>
            </w:r>
            <w:r w:rsidR="00E729BA">
              <w:rPr>
                <w:lang w:val="de-DE" w:eastAsia="en-GB"/>
              </w:rPr>
              <w:fldChar w:fldCharType="begin"/>
            </w:r>
            <w:r w:rsidR="00FC61FD">
              <w:rPr>
                <w:lang w:val="de-DE" w:eastAsia="en-GB"/>
              </w:rPr>
              <w:instrText xml:space="preserve"> ADDIN REFMGR.CITE &lt;Refman&gt;&lt;Cite&gt;&lt;Author&gt;Stoll&lt;/Author&gt;&lt;Year&gt;2004&lt;/Year&gt;&lt;RecNum&gt;667&lt;/RecNum&gt;&lt;IDText&gt;Analysis of the relationship between disease activity and damage in patients with systemic lupus erythematosus--a 5-yr prospective study&lt;/IDText&gt;&lt;MDL Ref_Type="Journal"&gt;&lt;Ref_Type&gt;Journal&lt;/Ref_Type&gt;&lt;Ref_ID&gt;667&lt;/Ref_ID&gt;&lt;Title_Primary&gt;Analysis of the relationship between disease activity and damage in patients with systemic lupus erythematosus--a 5-yr prospective study&lt;/Title_Primary&gt;&lt;Authors_Primary&gt;Stoll,T.&lt;/Authors_Primary&gt;&lt;Authors_Primary&gt;Sutcliffe,N.&lt;/Authors_Primary&gt;&lt;Authors_Primary&gt;Mach,J.&lt;/Authors_Primary&gt;&lt;Authors_Primary&gt;Klaghofer,R.&lt;/Authors_Primary&gt;&lt;Authors_Primary&gt;Isenberg,D.A.&lt;/Authors_Primary&gt;&lt;Date_Primary&gt;2004/8&lt;/Date_Primary&gt;&lt;Keywords&gt;Adult&lt;/Keywords&gt;&lt;Keywords&gt;age&lt;/Keywords&gt;&lt;Keywords&gt;analysis&lt;/Keywords&gt;&lt;Keywords&gt;Anti-Inflammatory Agents&lt;/Keywords&gt;&lt;Keywords&gt;complications&lt;/Keywords&gt;&lt;Keywords&gt;death&lt;/Keywords&gt;&lt;Keywords&gt;Disease&lt;/Keywords&gt;&lt;Keywords&gt;drug therapy&lt;/Keywords&gt;&lt;Keywords&gt;erythematosus&lt;/Keywords&gt;&lt;Keywords&gt;etiology&lt;/Keywords&gt;&lt;Keywords&gt;Fatigue&lt;/Keywords&gt;&lt;Keywords&gt;Female&lt;/Keywords&gt;&lt;Keywords&gt;Health&lt;/Keywords&gt;&lt;Keywords&gt;Health Status&lt;/Keywords&gt;&lt;Keywords&gt;Humans&lt;/Keywords&gt;&lt;Keywords&gt;Immunosuppressive Agents&lt;/Keywords&gt;&lt;Keywords&gt;London&lt;/Keywords&gt;&lt;Keywords&gt;Longitudinal Studies&lt;/Keywords&gt;&lt;Keywords&gt;lupus erythematosus&lt;/Keywords&gt;&lt;Keywords&gt;Lupus Erythematosus,Systemic&lt;/Keywords&gt;&lt;Keywords&gt;Male&lt;/Keywords&gt;&lt;Keywords&gt;methods&lt;/Keywords&gt;&lt;Keywords&gt;Musculoskeletal Diseases&lt;/Keywords&gt;&lt;Keywords&gt;patient&lt;/Keywords&gt;&lt;Keywords&gt;Patients&lt;/Keywords&gt;&lt;Keywords&gt;Prednisone&lt;/Keywords&gt;&lt;Keywords&gt;Prospective Studies&lt;/Keywords&gt;&lt;Keywords&gt;Regression Analysis&lt;/Keywords&gt;&lt;Keywords&gt;Severity of Illness Index&lt;/Keywords&gt;&lt;Keywords&gt;systemic lupus erythematosus&lt;/Keywords&gt;&lt;Keywords&gt;therapeutic use&lt;/Keywords&gt;&lt;Keywords&gt;Time Factors&lt;/Keywords&gt;&lt;Reprint&gt;Not in File&lt;/Reprint&gt;&lt;Start_Page&gt;1039&lt;/Start_Page&gt;&lt;End_Page&gt;1044&lt;/End_Page&gt;&lt;Periodical&gt;Rheumatology.(Oxford).&lt;/Periodical&gt;&lt;Volume&gt;43&lt;/Volume&gt;&lt;Issue&gt;8&lt;/Issue&gt;&lt;User_Def_1&gt;y&lt;/User_Def_1&gt;&lt;ZZ_JournalStdAbbrev&gt;&lt;f name="System"&gt;Rheumatology.(Oxford).&lt;/f&gt;&lt;/ZZ_JournalStdAbbrev&gt;&lt;ZZ_WorkformID&gt;1&lt;/ZZ_WorkformID&gt;&lt;/MDL&gt;&lt;/Cite&gt;&lt;/Refman&gt;</w:instrText>
            </w:r>
            <w:r w:rsidR="00E729BA">
              <w:rPr>
                <w:lang w:val="de-DE" w:eastAsia="en-GB"/>
              </w:rPr>
              <w:fldChar w:fldCharType="separate"/>
            </w:r>
            <w:r w:rsidR="004D7951">
              <w:rPr>
                <w:lang w:val="de-DE" w:eastAsia="en-GB"/>
              </w:rPr>
              <w:t>(172)</w:t>
            </w:r>
            <w:r w:rsidR="00E729BA">
              <w:rPr>
                <w:lang w:val="de-DE"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2004</w:t>
            </w:r>
          </w:p>
        </w:tc>
        <w:tc>
          <w:tcPr>
            <w:tcW w:w="851" w:type="dxa"/>
          </w:tcPr>
          <w:p w:rsidR="002D772C" w:rsidRPr="00850DE4" w:rsidRDefault="002D772C" w:rsidP="0049322C">
            <w:pPr>
              <w:pStyle w:val="ListParagraph1"/>
              <w:rPr>
                <w:lang w:eastAsia="en-GB"/>
              </w:rPr>
            </w:pPr>
            <w:r w:rsidRPr="00850DE4">
              <w:rPr>
                <w:lang w:eastAsia="en-GB"/>
              </w:rPr>
              <w:t>141</w:t>
            </w:r>
          </w:p>
        </w:tc>
        <w:tc>
          <w:tcPr>
            <w:tcW w:w="1289" w:type="dxa"/>
          </w:tcPr>
          <w:p w:rsidR="002D772C" w:rsidRPr="00850DE4" w:rsidRDefault="002D772C" w:rsidP="0049322C">
            <w:pPr>
              <w:pStyle w:val="ListParagraph1"/>
              <w:rPr>
                <w:lang w:eastAsia="en-GB"/>
              </w:rPr>
            </w:pPr>
          </w:p>
        </w:tc>
        <w:tc>
          <w:tcPr>
            <w:tcW w:w="1418" w:type="dxa"/>
          </w:tcPr>
          <w:p w:rsidR="002D772C" w:rsidRPr="00850DE4" w:rsidRDefault="002D772C" w:rsidP="0049322C">
            <w:pPr>
              <w:pStyle w:val="ListParagraph1"/>
              <w:rPr>
                <w:lang w:eastAsia="en-GB"/>
              </w:rPr>
            </w:pPr>
          </w:p>
        </w:tc>
        <w:tc>
          <w:tcPr>
            <w:tcW w:w="1402" w:type="dxa"/>
          </w:tcPr>
          <w:p w:rsidR="002D772C" w:rsidRPr="00850DE4" w:rsidRDefault="002D772C" w:rsidP="0049322C">
            <w:pPr>
              <w:pStyle w:val="ListParagraph1"/>
              <w:rPr>
                <w:lang w:eastAsia="en-GB"/>
              </w:rPr>
            </w:pPr>
            <w:r w:rsidRPr="00850DE4">
              <w:rPr>
                <w:lang w:eastAsia="en-GB"/>
              </w:rPr>
              <w:t>1.62 (1.22-2.16)</w:t>
            </w:r>
          </w:p>
        </w:tc>
        <w:tc>
          <w:tcPr>
            <w:tcW w:w="1410"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2" w:type="dxa"/>
          </w:tcPr>
          <w:p w:rsidR="002D772C" w:rsidRPr="00850DE4" w:rsidRDefault="002D772C" w:rsidP="0049322C">
            <w:pPr>
              <w:pStyle w:val="ListParagraph1"/>
              <w:rPr>
                <w:lang w:eastAsia="en-GB"/>
              </w:rPr>
            </w:pP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Borders>
              <w:bottom w:val="single" w:sz="4" w:space="0" w:color="auto"/>
            </w:tcBorders>
          </w:tcPr>
          <w:p w:rsidR="002D772C" w:rsidRPr="00850DE4" w:rsidRDefault="002D772C" w:rsidP="0049322C">
            <w:pPr>
              <w:pStyle w:val="ListParagraph1"/>
              <w:rPr>
                <w:lang w:eastAsia="en-GB"/>
              </w:rPr>
            </w:pPr>
            <w:r w:rsidRPr="00850DE4">
              <w:rPr>
                <w:lang w:eastAsia="en-GB"/>
              </w:rPr>
              <w:t xml:space="preserve">Mok </w:t>
            </w:r>
            <w:r w:rsidR="00E729BA">
              <w:rPr>
                <w:lang w:eastAsia="en-GB"/>
              </w:rPr>
              <w:fldChar w:fldCharType="begin"/>
            </w:r>
            <w:r w:rsidR="00FC61FD">
              <w:rPr>
                <w:lang w:eastAsia="en-GB"/>
              </w:rPr>
              <w:instrText xml:space="preserve"> ADDIN REFMGR.CITE &lt;Refman&gt;&lt;Cite&gt;&lt;Author&gt;Mok&lt;/Author&gt;&lt;Year&gt;2003&lt;/Year&gt;&lt;RecNum&gt;778&lt;/RecNum&gt;&lt;IDText&gt;Damage accrual in southern Chinese patients with systemic lupus erythematosus&lt;/IDText&gt;&lt;MDL Ref_Type="Journal"&gt;&lt;Ref_Type&gt;Journal&lt;/Ref_Type&gt;&lt;Ref_ID&gt;778&lt;/Ref_ID&gt;&lt;Title_Primary&gt;Damage accrual in southern Chinese patients with systemic lupus erythematosus&lt;/Title_Primary&gt;&lt;Authors_Primary&gt;Mok,C.C.&lt;/Authors_Primary&gt;&lt;Authors_Primary&gt;Ho,C.T.&lt;/Authors_Primary&gt;&lt;Authors_Primary&gt;Wong,R.W.&lt;/Authors_Primary&gt;&lt;Authors_Primary&gt;Lau,C.S.&lt;/Authors_Primary&gt;&lt;Date_Primary&gt;2003/7&lt;/Date_Primary&gt;&lt;Keywords&gt;Adult&lt;/Keywords&gt;&lt;Keywords&gt;age&lt;/Keywords&gt;&lt;Keywords&gt;Age of Onset&lt;/Keywords&gt;&lt;Keywords&gt;analysis&lt;/Keywords&gt;&lt;Keywords&gt;Asian Continental Ancestry Group&lt;/Keywords&gt;&lt;Keywords&gt;Central Nervous System&lt;/Keywords&gt;&lt;Keywords&gt;China&lt;/Keywords&gt;&lt;Keywords&gt;classification&lt;/Keywords&gt;&lt;Keywords&gt;Cohort Studies&lt;/Keywords&gt;&lt;Keywords&gt;Cyclophosphamide&lt;/Keywords&gt;&lt;Keywords&gt;Disease&lt;/Keywords&gt;&lt;Keywords&gt;Disease Progression&lt;/Keywords&gt;&lt;Keywords&gt;drug therapy&lt;/Keywords&gt;&lt;Keywords&gt;epidemiology&lt;/Keywords&gt;&lt;Keywords&gt;erythematosus&lt;/Keywords&gt;&lt;Keywords&gt;ethnology&lt;/Keywords&gt;&lt;Keywords&gt;Female&lt;/Keywords&gt;&lt;Keywords&gt;Follow-Up Studies&lt;/Keywords&gt;&lt;Keywords&gt;Hong Kong&lt;/Keywords&gt;&lt;Keywords&gt;hospital&lt;/Keywords&gt;&lt;Keywords&gt;Humans&lt;/Keywords&gt;&lt;Keywords&gt;Immunosuppressive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ortality&lt;/Keywords&gt;&lt;Keywords&gt;patient&lt;/Keywords&gt;&lt;Keywords&gt;Patients&lt;/Keywords&gt;&lt;Keywords&gt;physiopathology&lt;/Keywords&gt;&lt;Keywords&gt;Rheumatology&lt;/Keywords&gt;&lt;Keywords&gt;Risk&lt;/Keywords&gt;&lt;Keywords&gt;Severity of Illness Index&lt;/Keywords&gt;&lt;Keywords&gt;Survival Rate&lt;/Keywords&gt;&lt;Keywords&gt;systemic lupus erythematosus&lt;/Keywords&gt;&lt;Keywords&gt;therapeutic use&lt;/Keywords&gt;&lt;Keywords&gt;Women&lt;/Keywords&gt;&lt;Reprint&gt;Not in File&lt;/Reprint&gt;&lt;Start_Page&gt;1513&lt;/Start_Page&gt;&lt;End_Page&gt;1519&lt;/End_Page&gt;&lt;Periodical&gt;J.Rheumatol.&lt;/Periodical&gt;&lt;Volume&gt;30&lt;/Volume&gt;&lt;Issue&gt;7&lt;/Issue&gt;&lt;User_Def_1&gt;y&lt;/User_Def_1&gt;&lt;ZZ_JournalStdAbbrev&gt;&lt;f name="System"&gt;J.Rheumatol.&lt;/f&gt;&lt;/ZZ_JournalStdAbbrev&gt;&lt;ZZ_WorkformID&gt;1&lt;/ZZ_WorkformID&gt;&lt;/MDL&gt;&lt;/Cite&gt;&lt;/Refman&gt;</w:instrText>
            </w:r>
            <w:r w:rsidR="00E729BA">
              <w:rPr>
                <w:lang w:eastAsia="en-GB"/>
              </w:rPr>
              <w:fldChar w:fldCharType="separate"/>
            </w:r>
            <w:r w:rsidR="004D7951">
              <w:rPr>
                <w:lang w:eastAsia="en-GB"/>
              </w:rPr>
              <w:t>(178)</w:t>
            </w:r>
            <w:r w:rsidR="00E729BA">
              <w:rPr>
                <w:lang w:eastAsia="en-GB"/>
              </w:rPr>
              <w:fldChar w:fldCharType="end"/>
            </w:r>
          </w:p>
        </w:tc>
        <w:tc>
          <w:tcPr>
            <w:tcW w:w="567" w:type="dxa"/>
            <w:tcBorders>
              <w:bottom w:val="single" w:sz="4" w:space="0" w:color="auto"/>
            </w:tcBorders>
          </w:tcPr>
          <w:p w:rsidR="002D772C" w:rsidRPr="00850DE4" w:rsidRDefault="002D772C" w:rsidP="0049322C">
            <w:pPr>
              <w:pStyle w:val="ListParagraph1"/>
              <w:rPr>
                <w:lang w:eastAsia="en-GB"/>
              </w:rPr>
            </w:pPr>
            <w:r w:rsidRPr="00850DE4">
              <w:rPr>
                <w:lang w:eastAsia="en-GB"/>
              </w:rPr>
              <w:t>2003</w:t>
            </w:r>
          </w:p>
        </w:tc>
        <w:tc>
          <w:tcPr>
            <w:tcW w:w="851" w:type="dxa"/>
            <w:tcBorders>
              <w:bottom w:val="single" w:sz="4" w:space="0" w:color="auto"/>
            </w:tcBorders>
          </w:tcPr>
          <w:p w:rsidR="002D772C" w:rsidRPr="00850DE4" w:rsidRDefault="002D772C" w:rsidP="0049322C">
            <w:pPr>
              <w:pStyle w:val="ListParagraph1"/>
              <w:rPr>
                <w:lang w:eastAsia="en-GB"/>
              </w:rPr>
            </w:pPr>
            <w:r w:rsidRPr="00850DE4">
              <w:rPr>
                <w:lang w:eastAsia="en-GB"/>
              </w:rPr>
              <w:t>242</w:t>
            </w:r>
          </w:p>
        </w:tc>
        <w:tc>
          <w:tcPr>
            <w:tcW w:w="1289" w:type="dxa"/>
            <w:tcBorders>
              <w:bottom w:val="single" w:sz="4" w:space="0" w:color="auto"/>
            </w:tcBorders>
          </w:tcPr>
          <w:p w:rsidR="002D772C" w:rsidRPr="00850DE4" w:rsidRDefault="002D772C" w:rsidP="0049322C">
            <w:pPr>
              <w:pStyle w:val="ListParagraph1"/>
              <w:rPr>
                <w:lang w:eastAsia="en-GB"/>
              </w:rPr>
            </w:pPr>
          </w:p>
        </w:tc>
        <w:tc>
          <w:tcPr>
            <w:tcW w:w="1418" w:type="dxa"/>
            <w:tcBorders>
              <w:bottom w:val="single" w:sz="4" w:space="0" w:color="auto"/>
            </w:tcBorders>
          </w:tcPr>
          <w:p w:rsidR="002D772C" w:rsidRPr="00850DE4" w:rsidRDefault="002D772C" w:rsidP="0049322C">
            <w:pPr>
              <w:pStyle w:val="ListParagraph1"/>
              <w:rPr>
                <w:lang w:eastAsia="en-GB"/>
              </w:rPr>
            </w:pPr>
          </w:p>
        </w:tc>
        <w:tc>
          <w:tcPr>
            <w:tcW w:w="1402" w:type="dxa"/>
            <w:tcBorders>
              <w:bottom w:val="single" w:sz="4" w:space="0" w:color="auto"/>
            </w:tcBorders>
          </w:tcPr>
          <w:p w:rsidR="002D772C" w:rsidRPr="00850DE4" w:rsidRDefault="002D772C" w:rsidP="0049322C">
            <w:pPr>
              <w:pStyle w:val="ListParagraph1"/>
              <w:rPr>
                <w:lang w:eastAsia="en-GB"/>
              </w:rPr>
            </w:pPr>
            <w:r w:rsidRPr="00850DE4">
              <w:rPr>
                <w:lang w:eastAsia="en-GB"/>
              </w:rPr>
              <w:t>1.63 (1.15-2.32)</w:t>
            </w:r>
          </w:p>
        </w:tc>
        <w:tc>
          <w:tcPr>
            <w:tcW w:w="1410" w:type="dxa"/>
            <w:tcBorders>
              <w:bottom w:val="single" w:sz="4" w:space="0" w:color="auto"/>
            </w:tcBorders>
          </w:tcPr>
          <w:p w:rsidR="002D772C" w:rsidRPr="00850DE4" w:rsidRDefault="002D772C" w:rsidP="0049322C">
            <w:pPr>
              <w:pStyle w:val="ListParagraph1"/>
              <w:rPr>
                <w:lang w:eastAsia="en-GB"/>
              </w:rPr>
            </w:pPr>
          </w:p>
        </w:tc>
        <w:tc>
          <w:tcPr>
            <w:tcW w:w="1410" w:type="dxa"/>
            <w:tcBorders>
              <w:bottom w:val="single" w:sz="4" w:space="0" w:color="auto"/>
            </w:tcBorders>
          </w:tcPr>
          <w:p w:rsidR="002D772C" w:rsidRPr="00850DE4" w:rsidRDefault="002D772C" w:rsidP="0049322C">
            <w:pPr>
              <w:pStyle w:val="ListParagraph1"/>
              <w:rPr>
                <w:lang w:eastAsia="en-GB"/>
              </w:rPr>
            </w:pPr>
          </w:p>
        </w:tc>
        <w:tc>
          <w:tcPr>
            <w:tcW w:w="1412" w:type="dxa"/>
            <w:tcBorders>
              <w:bottom w:val="single" w:sz="4" w:space="0" w:color="auto"/>
            </w:tcBorders>
          </w:tcPr>
          <w:p w:rsidR="002D772C" w:rsidRPr="00850DE4" w:rsidRDefault="002D772C" w:rsidP="0049322C">
            <w:pPr>
              <w:pStyle w:val="ListParagraph1"/>
              <w:rPr>
                <w:lang w:eastAsia="en-GB"/>
              </w:rPr>
            </w:pPr>
          </w:p>
        </w:tc>
        <w:tc>
          <w:tcPr>
            <w:tcW w:w="1698" w:type="dxa"/>
            <w:tcBorders>
              <w:bottom w:val="single" w:sz="4" w:space="0" w:color="auto"/>
            </w:tcBorders>
          </w:tcPr>
          <w:p w:rsidR="002D772C" w:rsidRPr="00850DE4" w:rsidRDefault="002D772C" w:rsidP="0049322C">
            <w:pPr>
              <w:pStyle w:val="ListParagraph1"/>
              <w:rPr>
                <w:lang w:eastAsia="en-GB"/>
              </w:rPr>
            </w:pPr>
            <w:r w:rsidRPr="00850DE4">
              <w:rPr>
                <w:lang w:eastAsia="en-GB"/>
              </w:rPr>
              <w:t>1.54 (1.10-2.15)</w:t>
            </w:r>
          </w:p>
        </w:tc>
        <w:tc>
          <w:tcPr>
            <w:tcW w:w="1253" w:type="dxa"/>
            <w:tcBorders>
              <w:bottom w:val="single" w:sz="4" w:space="0" w:color="auto"/>
            </w:tcBorders>
          </w:tcPr>
          <w:p w:rsidR="002D772C" w:rsidRPr="00850DE4" w:rsidRDefault="002D772C" w:rsidP="0049322C">
            <w:pPr>
              <w:pStyle w:val="ListParagraph1"/>
              <w:rPr>
                <w:lang w:eastAsia="en-GB"/>
              </w:rPr>
            </w:pPr>
          </w:p>
        </w:tc>
      </w:tr>
      <w:tr w:rsidR="002D772C" w:rsidRPr="00850DE4" w:rsidTr="00433502">
        <w:tc>
          <w:tcPr>
            <w:tcW w:w="12761" w:type="dxa"/>
            <w:gridSpan w:val="10"/>
            <w:tcBorders>
              <w:top w:val="single" w:sz="4" w:space="0" w:color="auto"/>
              <w:bottom w:val="nil"/>
            </w:tcBorders>
          </w:tcPr>
          <w:p w:rsidR="002D772C" w:rsidRPr="00850DE4" w:rsidRDefault="002D772C" w:rsidP="0049322C">
            <w:pPr>
              <w:pStyle w:val="ListParagraph1"/>
              <w:rPr>
                <w:lang w:eastAsia="en-GB"/>
              </w:rPr>
            </w:pPr>
            <w:r w:rsidRPr="00850DE4">
              <w:rPr>
                <w:lang w:eastAsia="en-GB"/>
              </w:rPr>
              <w:t>Predictors of organ damage from Cox regression (Hazard ratios)</w:t>
            </w:r>
          </w:p>
        </w:tc>
        <w:tc>
          <w:tcPr>
            <w:tcW w:w="1253" w:type="dxa"/>
            <w:tcBorders>
              <w:top w:val="single" w:sz="4" w:space="0" w:color="auto"/>
              <w:bottom w:val="nil"/>
            </w:tcBorders>
          </w:tcPr>
          <w:p w:rsidR="002D772C" w:rsidRPr="00850DE4" w:rsidRDefault="002D772C" w:rsidP="0049322C">
            <w:pPr>
              <w:pStyle w:val="ListParagraph1"/>
              <w:rPr>
                <w:lang w:eastAsia="en-GB"/>
              </w:rPr>
            </w:pPr>
          </w:p>
        </w:tc>
      </w:tr>
      <w:tr w:rsidR="002D772C" w:rsidRPr="00850DE4" w:rsidTr="00FD18C9">
        <w:trPr>
          <w:trHeight w:val="443"/>
        </w:trPr>
        <w:tc>
          <w:tcPr>
            <w:tcW w:w="1304"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Author name</w:t>
            </w:r>
          </w:p>
        </w:tc>
        <w:tc>
          <w:tcPr>
            <w:tcW w:w="567"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Date</w:t>
            </w:r>
          </w:p>
        </w:tc>
        <w:tc>
          <w:tcPr>
            <w:tcW w:w="851"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Sample size</w:t>
            </w:r>
          </w:p>
        </w:tc>
        <w:tc>
          <w:tcPr>
            <w:tcW w:w="1289"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Age</w:t>
            </w:r>
          </w:p>
        </w:tc>
        <w:tc>
          <w:tcPr>
            <w:tcW w:w="1418"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Initial disease activity</w:t>
            </w:r>
          </w:p>
        </w:tc>
        <w:tc>
          <w:tcPr>
            <w:tcW w:w="1402"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Average disease activity</w:t>
            </w:r>
          </w:p>
        </w:tc>
        <w:tc>
          <w:tcPr>
            <w:tcW w:w="1410"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Prior damage score</w:t>
            </w:r>
          </w:p>
        </w:tc>
        <w:tc>
          <w:tcPr>
            <w:tcW w:w="1410"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Steroids</w:t>
            </w:r>
          </w:p>
        </w:tc>
        <w:tc>
          <w:tcPr>
            <w:tcW w:w="1412"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APL antibodies</w:t>
            </w:r>
          </w:p>
        </w:tc>
        <w:tc>
          <w:tcPr>
            <w:tcW w:w="1698"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Cyclophosphamide</w:t>
            </w:r>
          </w:p>
        </w:tc>
        <w:tc>
          <w:tcPr>
            <w:tcW w:w="1253" w:type="dxa"/>
            <w:tcBorders>
              <w:top w:val="nil"/>
              <w:bottom w:val="single" w:sz="4" w:space="0" w:color="auto"/>
            </w:tcBorders>
          </w:tcPr>
          <w:p w:rsidR="002D772C" w:rsidRPr="00850DE4" w:rsidRDefault="002D772C" w:rsidP="0049322C">
            <w:pPr>
              <w:pStyle w:val="ListParagraph1"/>
              <w:rPr>
                <w:lang w:eastAsia="en-GB"/>
              </w:rPr>
            </w:pPr>
            <w:r w:rsidRPr="00850DE4">
              <w:rPr>
                <w:lang w:eastAsia="en-GB"/>
              </w:rPr>
              <w:t>Myocarditis</w:t>
            </w:r>
          </w:p>
        </w:tc>
      </w:tr>
      <w:tr w:rsidR="002D772C" w:rsidRPr="00850DE4" w:rsidTr="00FD18C9">
        <w:tc>
          <w:tcPr>
            <w:tcW w:w="1304" w:type="dxa"/>
            <w:tcBorders>
              <w:top w:val="single" w:sz="4" w:space="0" w:color="auto"/>
            </w:tcBorders>
          </w:tcPr>
          <w:p w:rsidR="002D772C" w:rsidRPr="00850DE4" w:rsidRDefault="0094366B" w:rsidP="0049322C">
            <w:pPr>
              <w:pStyle w:val="ListParagraph1"/>
              <w:rPr>
                <w:lang w:val="sv-SE" w:eastAsia="en-GB"/>
              </w:rPr>
            </w:pPr>
            <w:r w:rsidRPr="0094366B">
              <w:rPr>
                <w:lang w:eastAsia="en-GB"/>
              </w:rPr>
              <w:t xml:space="preserve">Becker-Merok </w:t>
            </w:r>
            <w:r w:rsidR="00E729BA">
              <w:rPr>
                <w:lang w:val="sv-SE" w:eastAsia="en-GB"/>
              </w:rPr>
              <w:fldChar w:fldCharType="begin"/>
            </w:r>
            <w:r w:rsidR="00FC61FD">
              <w:rPr>
                <w:lang w:eastAsia="en-GB"/>
              </w:rPr>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rPr>
                <w:lang w:val="sv-SE" w:eastAsia="en-GB"/>
              </w:rPr>
              <w:fldChar w:fldCharType="separate"/>
            </w:r>
            <w:r w:rsidR="004D7951">
              <w:rPr>
                <w:lang w:val="sv-SE" w:eastAsia="en-GB"/>
              </w:rPr>
              <w:t>(162)</w:t>
            </w:r>
            <w:r w:rsidR="00E729BA">
              <w:rPr>
                <w:lang w:val="sv-SE" w:eastAsia="en-GB"/>
              </w:rPr>
              <w:fldChar w:fldCharType="end"/>
            </w:r>
          </w:p>
        </w:tc>
        <w:tc>
          <w:tcPr>
            <w:tcW w:w="567" w:type="dxa"/>
            <w:tcBorders>
              <w:top w:val="single" w:sz="4" w:space="0" w:color="auto"/>
            </w:tcBorders>
          </w:tcPr>
          <w:p w:rsidR="002D772C" w:rsidRPr="00850DE4" w:rsidRDefault="002D772C" w:rsidP="0049322C">
            <w:pPr>
              <w:pStyle w:val="ListParagraph1"/>
              <w:rPr>
                <w:lang w:eastAsia="en-GB"/>
              </w:rPr>
            </w:pPr>
            <w:r w:rsidRPr="00850DE4">
              <w:rPr>
                <w:lang w:eastAsia="en-GB"/>
              </w:rPr>
              <w:t>2006</w:t>
            </w:r>
          </w:p>
        </w:tc>
        <w:tc>
          <w:tcPr>
            <w:tcW w:w="851" w:type="dxa"/>
            <w:tcBorders>
              <w:top w:val="single" w:sz="4" w:space="0" w:color="auto"/>
            </w:tcBorders>
          </w:tcPr>
          <w:p w:rsidR="002D772C" w:rsidRPr="00850DE4" w:rsidRDefault="002D772C" w:rsidP="0049322C">
            <w:pPr>
              <w:pStyle w:val="ListParagraph1"/>
              <w:rPr>
                <w:lang w:eastAsia="en-GB"/>
              </w:rPr>
            </w:pPr>
            <w:r w:rsidRPr="00850DE4">
              <w:rPr>
                <w:lang w:eastAsia="en-GB"/>
              </w:rPr>
              <w:t>158</w:t>
            </w:r>
          </w:p>
        </w:tc>
        <w:tc>
          <w:tcPr>
            <w:tcW w:w="1289" w:type="dxa"/>
            <w:tcBorders>
              <w:top w:val="single" w:sz="4" w:space="0" w:color="auto"/>
            </w:tcBorders>
          </w:tcPr>
          <w:p w:rsidR="002D772C" w:rsidRPr="00850DE4" w:rsidRDefault="00FD18C9" w:rsidP="0049322C">
            <w:pPr>
              <w:pStyle w:val="ListParagraph1"/>
              <w:rPr>
                <w:lang w:eastAsia="en-GB"/>
              </w:rPr>
            </w:pPr>
            <w:r>
              <w:rPr>
                <w:lang w:eastAsia="en-GB"/>
              </w:rPr>
              <w:t>3.45 (1.63-</w:t>
            </w:r>
            <w:r w:rsidR="002D772C" w:rsidRPr="00850DE4">
              <w:rPr>
                <w:lang w:eastAsia="en-GB"/>
              </w:rPr>
              <w:t>7.33)</w:t>
            </w:r>
          </w:p>
        </w:tc>
        <w:tc>
          <w:tcPr>
            <w:tcW w:w="1418" w:type="dxa"/>
            <w:tcBorders>
              <w:top w:val="single" w:sz="4" w:space="0" w:color="auto"/>
            </w:tcBorders>
          </w:tcPr>
          <w:p w:rsidR="002D772C" w:rsidRPr="00850DE4" w:rsidRDefault="002D772C" w:rsidP="0049322C">
            <w:pPr>
              <w:pStyle w:val="ListParagraph1"/>
              <w:rPr>
                <w:lang w:eastAsia="en-GB"/>
              </w:rPr>
            </w:pPr>
            <w:r w:rsidRPr="00850DE4">
              <w:rPr>
                <w:lang w:eastAsia="en-GB"/>
              </w:rPr>
              <w:t>Not significant</w:t>
            </w:r>
          </w:p>
        </w:tc>
        <w:tc>
          <w:tcPr>
            <w:tcW w:w="1402" w:type="dxa"/>
            <w:tcBorders>
              <w:top w:val="single" w:sz="4" w:space="0" w:color="auto"/>
            </w:tcBorders>
          </w:tcPr>
          <w:p w:rsidR="002D772C" w:rsidRPr="00850DE4" w:rsidRDefault="00FD18C9" w:rsidP="0049322C">
            <w:pPr>
              <w:pStyle w:val="ListParagraph1"/>
              <w:rPr>
                <w:lang w:eastAsia="en-GB"/>
              </w:rPr>
            </w:pPr>
            <w:r>
              <w:rPr>
                <w:lang w:eastAsia="en-GB"/>
              </w:rPr>
              <w:t>2.34 (1.13-</w:t>
            </w:r>
            <w:r w:rsidR="002D772C" w:rsidRPr="00850DE4">
              <w:rPr>
                <w:lang w:eastAsia="en-GB"/>
              </w:rPr>
              <w:t>4.81)</w:t>
            </w:r>
          </w:p>
        </w:tc>
        <w:tc>
          <w:tcPr>
            <w:tcW w:w="1410" w:type="dxa"/>
            <w:tcBorders>
              <w:top w:val="single" w:sz="4" w:space="0" w:color="auto"/>
            </w:tcBorders>
          </w:tcPr>
          <w:p w:rsidR="002D772C" w:rsidRPr="00850DE4" w:rsidRDefault="002D772C" w:rsidP="0049322C">
            <w:pPr>
              <w:pStyle w:val="ListParagraph1"/>
              <w:rPr>
                <w:lang w:eastAsia="en-GB"/>
              </w:rPr>
            </w:pPr>
          </w:p>
        </w:tc>
        <w:tc>
          <w:tcPr>
            <w:tcW w:w="1410" w:type="dxa"/>
            <w:tcBorders>
              <w:top w:val="single" w:sz="4" w:space="0" w:color="auto"/>
            </w:tcBorders>
          </w:tcPr>
          <w:p w:rsidR="002D772C" w:rsidRPr="00850DE4" w:rsidRDefault="002D772C" w:rsidP="0049322C">
            <w:pPr>
              <w:pStyle w:val="ListParagraph1"/>
              <w:rPr>
                <w:lang w:eastAsia="en-GB"/>
              </w:rPr>
            </w:pPr>
          </w:p>
        </w:tc>
        <w:tc>
          <w:tcPr>
            <w:tcW w:w="1412" w:type="dxa"/>
            <w:tcBorders>
              <w:top w:val="single" w:sz="4" w:space="0" w:color="auto"/>
            </w:tcBorders>
          </w:tcPr>
          <w:p w:rsidR="002D772C" w:rsidRPr="00850DE4" w:rsidRDefault="002D772C" w:rsidP="0049322C">
            <w:pPr>
              <w:pStyle w:val="ListParagraph1"/>
              <w:rPr>
                <w:lang w:eastAsia="en-GB"/>
              </w:rPr>
            </w:pPr>
          </w:p>
        </w:tc>
        <w:tc>
          <w:tcPr>
            <w:tcW w:w="1698" w:type="dxa"/>
            <w:tcBorders>
              <w:top w:val="single" w:sz="4" w:space="0" w:color="auto"/>
            </w:tcBorders>
          </w:tcPr>
          <w:p w:rsidR="002D772C" w:rsidRPr="00850DE4" w:rsidRDefault="002D772C" w:rsidP="0049322C">
            <w:pPr>
              <w:pStyle w:val="ListParagraph1"/>
              <w:rPr>
                <w:lang w:eastAsia="en-GB"/>
              </w:rPr>
            </w:pPr>
          </w:p>
        </w:tc>
        <w:tc>
          <w:tcPr>
            <w:tcW w:w="1253" w:type="dxa"/>
            <w:tcBorders>
              <w:top w:val="single" w:sz="4" w:space="0" w:color="auto"/>
            </w:tcBorders>
          </w:tcPr>
          <w:p w:rsidR="002D772C" w:rsidRPr="00850DE4" w:rsidRDefault="002D772C" w:rsidP="0049322C">
            <w:pPr>
              <w:pStyle w:val="ListParagraph1"/>
              <w:rPr>
                <w:lang w:eastAsia="en-GB"/>
              </w:rPr>
            </w:pPr>
          </w:p>
        </w:tc>
      </w:tr>
      <w:tr w:rsidR="002D772C" w:rsidRPr="00850DE4" w:rsidTr="00FD18C9">
        <w:trPr>
          <w:trHeight w:val="105"/>
        </w:trPr>
        <w:tc>
          <w:tcPr>
            <w:tcW w:w="1304" w:type="dxa"/>
          </w:tcPr>
          <w:p w:rsidR="002D772C" w:rsidRPr="00850DE4" w:rsidRDefault="002D772C" w:rsidP="0049322C">
            <w:pPr>
              <w:pStyle w:val="ListParagraph1"/>
              <w:rPr>
                <w:lang w:eastAsia="en-GB"/>
              </w:rPr>
            </w:pPr>
            <w:r w:rsidRPr="00850DE4">
              <w:rPr>
                <w:lang w:eastAsia="en-GB"/>
              </w:rPr>
              <w:t xml:space="preserve">Toloza </w:t>
            </w:r>
            <w:r w:rsidR="00E729BA">
              <w:rPr>
                <w:lang w:eastAsia="en-GB"/>
              </w:rPr>
              <w:fldChar w:fldCharType="begin"/>
            </w:r>
            <w:r w:rsidR="00FC61FD">
              <w:rPr>
                <w:lang w:eastAsia="en-GB"/>
              </w:rPr>
              <w:instrText xml:space="preserve"> ADDIN REFMGR.CITE &lt;Refman&gt;&lt;Cite&gt;&lt;Author&gt;Toloza&lt;/Author&gt;&lt;Year&gt;2004&lt;/Year&gt;&lt;RecNum&gt;640&lt;/RecNum&gt;&lt;IDText&gt;Systemic lupus erythematosus in a multiethnic US cohort (LUMINA): XXII. Predictors of time to the occurrence of initial damage&lt;/IDText&gt;&lt;MDL Ref_Type="Journal"&gt;&lt;Ref_Type&gt;Journal&lt;/Ref_Type&gt;&lt;Ref_ID&gt;640&lt;/Ref_ID&gt;&lt;Title_Primary&gt;Systemic lupus erythematosus in a multiethnic US cohort (LUMINA): XXII. Predictors of time to the occurrence of initial damage&lt;/Title_Primary&gt;&lt;Authors_Primary&gt;Toloza,S.M.&lt;/Authors_Primary&gt;&lt;Authors_Primary&gt;Roseman,J.M.&lt;/Authors_Primary&gt;&lt;Authors_Primary&gt;Alarcon,G.S.&lt;/Authors_Primary&gt;&lt;Authors_Primary&gt;McGwin,G.,Jr.&lt;/Authors_Primary&gt;&lt;Authors_Primary&gt;Uribe,A.G.&lt;/Authors_Primary&gt;&lt;Authors_Primary&gt;Fessler,B.J.&lt;/Authors_Primary&gt;&lt;Authors_Primary&gt;Bastian,H.M.&lt;/Authors_Primary&gt;&lt;Authors_Primary&gt;Vila,L.M.&lt;/Authors_Primary&gt;&lt;Authors_Primary&gt;Reveille,J.D.&lt;/Authors_Primary&gt;&lt;Date_Primary&gt;2004/10&lt;/Date_Primary&gt;&lt;Keywords&gt;Adolescent&lt;/Keywords&gt;&lt;Keywords&gt;Adult&lt;/Keywords&gt;&lt;Keywords&gt;African Americans&lt;/Keywords&gt;&lt;Keywords&gt;Aged&lt;/Keywords&gt;&lt;Keywords&gt;Alabama&lt;/Keywords&gt;&lt;Keywords&gt;Alopecia&lt;/Keywords&gt;&lt;Keywords&gt;Arteries&lt;/Keywords&gt;&lt;Keywords&gt;Cataract&lt;/Keywords&gt;&lt;Keywords&gt;Cohort Studies&lt;/Keywords&gt;&lt;Keywords&gt;confidence interval&lt;/Keywords&gt;&lt;Keywords&gt;Disease&lt;/Keywords&gt;&lt;Keywords&gt;epidemiology&lt;/Keywords&gt;&lt;Keywords&gt;erythematosus&lt;/Keywords&gt;&lt;Keywords&gt;European Continental Ancestry Group&lt;/Keywords&gt;&lt;Keywords&gt;Female&lt;/Keywords&gt;&lt;Keywords&gt;Health&lt;/Keywords&gt;&lt;Keywords&gt;Hispanic Americans&lt;/Keywords&gt;&lt;Keywords&gt;Humans&lt;/Keywords&gt;&lt;Keywords&gt;lupus erythematosus&lt;/Keywords&gt;&lt;Keywords&gt;Lupus Erythematosus,Systemic&lt;/Keywords&gt;&lt;Keywords&gt;Male&lt;/Keywords&gt;&lt;Keywords&gt;methods&lt;/Keywords&gt;&lt;Keywords&gt;Middle Aged&lt;/Keywords&gt;&lt;Keywords&gt;Multivariate Analysis&lt;/Keywords&gt;&lt;Keywords&gt;patient&lt;/Keywords&gt;&lt;Keywords&gt;Patients&lt;/Keywords&gt;&lt;Keywords&gt;Prednisone&lt;/Keywords&gt;&lt;Keywords&gt;Proportional Hazards Models&lt;/Keywords&gt;&lt;Keywords&gt;Proteinuria&lt;/Keywords&gt;&lt;Keywords&gt;Puerto Rico&lt;/Keywords&gt;&lt;Keywords&gt;systemic lupus erythematosus&lt;/Keywords&gt;&lt;Keywords&gt;Texas&lt;/Keywords&gt;&lt;Keywords&gt;therapy&lt;/Keywords&gt;&lt;Keywords&gt;Time&lt;/Keywords&gt;&lt;Keywords&gt;Time Factors&lt;/Keywords&gt;&lt;Keywords&gt;United States&lt;/Keywords&gt;&lt;Keywords&gt;Veins&lt;/Keywords&gt;&lt;Reprint&gt;Not in File&lt;/Reprint&gt;&lt;Start_Page&gt;3177&lt;/Start_Page&gt;&lt;End_Page&gt;3186&lt;/End_Page&gt;&lt;Periodical&gt;Arthritis Rheum.&lt;/Periodical&gt;&lt;Volume&gt;50&lt;/Volume&gt;&lt;Issue&gt;10&lt;/Issue&gt;&lt;User_Def_1&gt;y&lt;/User_Def_1&gt;&lt;ZZ_JournalStdAbbrev&gt;&lt;f name="System"&gt;Arthritis Rheum.&lt;/f&gt;&lt;/ZZ_JournalStdAbbrev&gt;&lt;ZZ_WorkformID&gt;1&lt;/ZZ_WorkformID&gt;&lt;/MDL&gt;&lt;/Cite&gt;&lt;/Refman&gt;</w:instrText>
            </w:r>
            <w:r w:rsidR="00E729BA">
              <w:rPr>
                <w:lang w:eastAsia="en-GB"/>
              </w:rPr>
              <w:fldChar w:fldCharType="separate"/>
            </w:r>
            <w:r w:rsidR="004D7951">
              <w:rPr>
                <w:lang w:eastAsia="en-GB"/>
              </w:rPr>
              <w:t>(173)</w:t>
            </w:r>
            <w:r w:rsidR="00E729BA">
              <w:rPr>
                <w:lang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2004</w:t>
            </w:r>
          </w:p>
        </w:tc>
        <w:tc>
          <w:tcPr>
            <w:tcW w:w="851" w:type="dxa"/>
          </w:tcPr>
          <w:p w:rsidR="002D772C" w:rsidRPr="00850DE4" w:rsidRDefault="002D772C" w:rsidP="0049322C">
            <w:pPr>
              <w:pStyle w:val="ListParagraph1"/>
              <w:rPr>
                <w:lang w:eastAsia="en-GB"/>
              </w:rPr>
            </w:pPr>
            <w:r w:rsidRPr="00850DE4">
              <w:rPr>
                <w:lang w:eastAsia="en-GB"/>
              </w:rPr>
              <w:t>158</w:t>
            </w:r>
          </w:p>
        </w:tc>
        <w:tc>
          <w:tcPr>
            <w:tcW w:w="1289" w:type="dxa"/>
          </w:tcPr>
          <w:p w:rsidR="002D772C" w:rsidRPr="00850DE4" w:rsidRDefault="002D772C" w:rsidP="0049322C">
            <w:pPr>
              <w:pStyle w:val="ListParagraph1"/>
              <w:rPr>
                <w:lang w:eastAsia="en-GB"/>
              </w:rPr>
            </w:pPr>
          </w:p>
        </w:tc>
        <w:tc>
          <w:tcPr>
            <w:tcW w:w="1418" w:type="dxa"/>
          </w:tcPr>
          <w:p w:rsidR="002D772C" w:rsidRPr="00850DE4" w:rsidRDefault="002D772C" w:rsidP="0049322C">
            <w:pPr>
              <w:pStyle w:val="ListParagraph1"/>
              <w:rPr>
                <w:lang w:eastAsia="en-GB"/>
              </w:rPr>
            </w:pPr>
            <w:r w:rsidRPr="00850DE4">
              <w:rPr>
                <w:lang w:eastAsia="en-GB"/>
              </w:rPr>
              <w:t>1.09 (1.04-1.15)</w:t>
            </w:r>
          </w:p>
        </w:tc>
        <w:tc>
          <w:tcPr>
            <w:tcW w:w="1402"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0" w:type="dxa"/>
          </w:tcPr>
          <w:p w:rsidR="002D772C" w:rsidRPr="00850DE4" w:rsidRDefault="002D772C" w:rsidP="0049322C">
            <w:pPr>
              <w:pStyle w:val="ListParagraph1"/>
              <w:rPr>
                <w:lang w:eastAsia="en-GB"/>
              </w:rPr>
            </w:pPr>
          </w:p>
        </w:tc>
        <w:tc>
          <w:tcPr>
            <w:tcW w:w="1412" w:type="dxa"/>
          </w:tcPr>
          <w:p w:rsidR="002D772C" w:rsidRPr="00850DE4" w:rsidRDefault="002D772C" w:rsidP="0049322C">
            <w:pPr>
              <w:pStyle w:val="ListParagraph1"/>
              <w:rPr>
                <w:lang w:eastAsia="en-GB"/>
              </w:rPr>
            </w:pPr>
            <w:r w:rsidRPr="00850DE4">
              <w:rPr>
                <w:lang w:eastAsia="en-GB"/>
              </w:rPr>
              <w:t>2.53 (1.15-5.55)</w:t>
            </w: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Pr>
          <w:p w:rsidR="002D772C" w:rsidRPr="00850DE4" w:rsidRDefault="002D772C" w:rsidP="0049322C">
            <w:pPr>
              <w:pStyle w:val="ListParagraph1"/>
              <w:rPr>
                <w:lang w:eastAsia="en-GB"/>
              </w:rPr>
            </w:pPr>
            <w:r w:rsidRPr="00850DE4">
              <w:rPr>
                <w:lang w:eastAsia="en-GB"/>
              </w:rPr>
              <w:t xml:space="preserve">Ibanez </w:t>
            </w:r>
            <w:r w:rsidR="00E729BA">
              <w:rPr>
                <w:lang w:eastAsia="en-GB"/>
              </w:rPr>
              <w:fldChar w:fldCharType="begin"/>
            </w:r>
            <w:r w:rsidR="00FC61FD">
              <w:rPr>
                <w:lang w:eastAsia="en-GB"/>
              </w:rPr>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rPr>
                <w:lang w:eastAsia="en-GB"/>
              </w:rPr>
              <w:fldChar w:fldCharType="separate"/>
            </w:r>
            <w:r w:rsidR="004D7951">
              <w:rPr>
                <w:lang w:eastAsia="en-GB"/>
              </w:rPr>
              <w:t>(176)</w:t>
            </w:r>
            <w:r w:rsidR="00E729BA">
              <w:rPr>
                <w:lang w:eastAsia="en-GB"/>
              </w:rPr>
              <w:fldChar w:fldCharType="end"/>
            </w:r>
          </w:p>
        </w:tc>
        <w:tc>
          <w:tcPr>
            <w:tcW w:w="567" w:type="dxa"/>
          </w:tcPr>
          <w:p w:rsidR="002D772C" w:rsidRPr="00850DE4" w:rsidRDefault="002D772C" w:rsidP="0049322C">
            <w:pPr>
              <w:pStyle w:val="ListParagraph1"/>
              <w:rPr>
                <w:lang w:eastAsia="en-GB"/>
              </w:rPr>
            </w:pPr>
            <w:r w:rsidRPr="00850DE4">
              <w:rPr>
                <w:lang w:eastAsia="en-GB"/>
              </w:rPr>
              <w:t>2005</w:t>
            </w:r>
          </w:p>
        </w:tc>
        <w:tc>
          <w:tcPr>
            <w:tcW w:w="851" w:type="dxa"/>
          </w:tcPr>
          <w:p w:rsidR="002D772C" w:rsidRPr="00850DE4" w:rsidRDefault="002D772C" w:rsidP="0049322C">
            <w:pPr>
              <w:pStyle w:val="ListParagraph1"/>
              <w:rPr>
                <w:lang w:eastAsia="en-GB"/>
              </w:rPr>
            </w:pPr>
            <w:r w:rsidRPr="00850DE4">
              <w:rPr>
                <w:lang w:eastAsia="en-GB"/>
              </w:rPr>
              <w:t>575</w:t>
            </w:r>
          </w:p>
        </w:tc>
        <w:tc>
          <w:tcPr>
            <w:tcW w:w="1289" w:type="dxa"/>
            <w:vAlign w:val="bottom"/>
          </w:tcPr>
          <w:p w:rsidR="002D772C" w:rsidRPr="00850DE4" w:rsidRDefault="002D772C" w:rsidP="0049322C">
            <w:pPr>
              <w:pStyle w:val="ListParagraph1"/>
              <w:rPr>
                <w:lang w:eastAsia="en-GB"/>
              </w:rPr>
            </w:pPr>
            <w:r w:rsidRPr="00850DE4">
              <w:rPr>
                <w:lang w:eastAsia="en-GB"/>
              </w:rPr>
              <w:t>1.02 (1.01-1.03)</w:t>
            </w:r>
          </w:p>
        </w:tc>
        <w:tc>
          <w:tcPr>
            <w:tcW w:w="1418" w:type="dxa"/>
            <w:vAlign w:val="bottom"/>
          </w:tcPr>
          <w:p w:rsidR="002D772C" w:rsidRPr="00850DE4" w:rsidRDefault="002D772C" w:rsidP="0049322C">
            <w:pPr>
              <w:pStyle w:val="ListParagraph1"/>
              <w:rPr>
                <w:lang w:eastAsia="en-GB"/>
              </w:rPr>
            </w:pPr>
            <w:r w:rsidRPr="00850DE4">
              <w:rPr>
                <w:lang w:eastAsia="en-GB"/>
              </w:rPr>
              <w:t>Not significant</w:t>
            </w:r>
          </w:p>
        </w:tc>
        <w:tc>
          <w:tcPr>
            <w:tcW w:w="1402" w:type="dxa"/>
            <w:vAlign w:val="bottom"/>
          </w:tcPr>
          <w:p w:rsidR="002D772C" w:rsidRPr="00850DE4" w:rsidRDefault="002D772C" w:rsidP="0049322C">
            <w:pPr>
              <w:pStyle w:val="ListParagraph1"/>
              <w:rPr>
                <w:lang w:eastAsia="en-GB"/>
              </w:rPr>
            </w:pPr>
            <w:r w:rsidRPr="00850DE4">
              <w:rPr>
                <w:lang w:eastAsia="en-GB"/>
              </w:rPr>
              <w:t>1.04 (1.01-1.06)</w:t>
            </w:r>
          </w:p>
        </w:tc>
        <w:tc>
          <w:tcPr>
            <w:tcW w:w="1410" w:type="dxa"/>
            <w:vAlign w:val="bottom"/>
          </w:tcPr>
          <w:p w:rsidR="002D772C" w:rsidRPr="00850DE4" w:rsidRDefault="002D772C" w:rsidP="0049322C">
            <w:pPr>
              <w:pStyle w:val="ListParagraph1"/>
              <w:rPr>
                <w:lang w:eastAsia="en-GB"/>
              </w:rPr>
            </w:pPr>
          </w:p>
        </w:tc>
        <w:tc>
          <w:tcPr>
            <w:tcW w:w="1410" w:type="dxa"/>
            <w:vAlign w:val="bottom"/>
          </w:tcPr>
          <w:p w:rsidR="002D772C" w:rsidRPr="00850DE4" w:rsidRDefault="002D772C" w:rsidP="0049322C">
            <w:pPr>
              <w:pStyle w:val="ListParagraph1"/>
              <w:rPr>
                <w:lang w:eastAsia="en-GB"/>
              </w:rPr>
            </w:pPr>
            <w:r w:rsidRPr="00850DE4">
              <w:rPr>
                <w:lang w:eastAsia="en-GB"/>
              </w:rPr>
              <w:t>1.80 (1.27-2.55)</w:t>
            </w:r>
          </w:p>
        </w:tc>
        <w:tc>
          <w:tcPr>
            <w:tcW w:w="1412" w:type="dxa"/>
          </w:tcPr>
          <w:p w:rsidR="002D772C" w:rsidRPr="00850DE4" w:rsidRDefault="002D772C" w:rsidP="0049322C">
            <w:pPr>
              <w:pStyle w:val="ListParagraph1"/>
              <w:rPr>
                <w:lang w:eastAsia="en-GB"/>
              </w:rPr>
            </w:pPr>
          </w:p>
        </w:tc>
        <w:tc>
          <w:tcPr>
            <w:tcW w:w="1698" w:type="dxa"/>
          </w:tcPr>
          <w:p w:rsidR="002D772C" w:rsidRPr="00850DE4" w:rsidRDefault="002D772C" w:rsidP="0049322C">
            <w:pPr>
              <w:pStyle w:val="ListParagraph1"/>
              <w:rPr>
                <w:lang w:eastAsia="en-GB"/>
              </w:rPr>
            </w:pPr>
          </w:p>
        </w:tc>
        <w:tc>
          <w:tcPr>
            <w:tcW w:w="1253" w:type="dxa"/>
          </w:tcPr>
          <w:p w:rsidR="002D772C" w:rsidRPr="00850DE4" w:rsidRDefault="002D772C" w:rsidP="0049322C">
            <w:pPr>
              <w:pStyle w:val="ListParagraph1"/>
              <w:rPr>
                <w:lang w:eastAsia="en-GB"/>
              </w:rPr>
            </w:pPr>
          </w:p>
        </w:tc>
      </w:tr>
      <w:tr w:rsidR="002D772C" w:rsidRPr="00850DE4" w:rsidTr="00FD18C9">
        <w:tc>
          <w:tcPr>
            <w:tcW w:w="1304" w:type="dxa"/>
            <w:tcBorders>
              <w:bottom w:val="single" w:sz="4" w:space="0" w:color="auto"/>
            </w:tcBorders>
          </w:tcPr>
          <w:p w:rsidR="002D772C" w:rsidRPr="00850DE4" w:rsidRDefault="002D772C" w:rsidP="0049322C">
            <w:pPr>
              <w:pStyle w:val="ListParagraph1"/>
              <w:rPr>
                <w:lang w:eastAsia="en-GB"/>
              </w:rPr>
            </w:pPr>
            <w:r w:rsidRPr="00850DE4">
              <w:rPr>
                <w:lang w:eastAsia="en-GB"/>
              </w:rPr>
              <w:t xml:space="preserve">Thamer </w:t>
            </w:r>
            <w:r w:rsidR="00E729BA">
              <w:rPr>
                <w:lang w:eastAsia="en-GB"/>
              </w:rPr>
              <w:fldChar w:fldCharType="begin"/>
            </w:r>
            <w:r w:rsidR="00FC61FD">
              <w:rPr>
                <w:lang w:eastAsia="en-GB"/>
              </w:rPr>
              <w:instrText xml:space="preserve"> ADDIN REFMGR.CITE &lt;Refman&gt;&lt;Cite&gt;&lt;Author&gt;Thamer&lt;/Author&gt;&lt;Year&gt;2009&lt;/Year&gt;&lt;RecNum&gt;102&lt;/RecNum&gt;&lt;IDText&gt;Prednisone, lupus activity, and permanent organ damage&lt;/IDText&gt;&lt;MDL Ref_Type="Journal"&gt;&lt;Ref_Type&gt;Journal&lt;/Ref_Type&gt;&lt;Ref_ID&gt;102&lt;/Ref_ID&gt;&lt;Title_Primary&gt;Prednisone, lupus activity, and permanent organ damage&lt;/Title_Primary&gt;&lt;Authors_Primary&gt;Thamer,M.&lt;/Authors_Primary&gt;&lt;Authors_Primary&gt;Hernan,M.A.&lt;/Authors_Primary&gt;&lt;Authors_Primary&gt;Zhang,Y.&lt;/Authors_Primary&gt;&lt;Authors_Primary&gt;Cotter,D.&lt;/Authors_Primary&gt;&lt;Authors_Primary&gt;Petri,M.&lt;/Authors_Primary&gt;&lt;Date_Primary&gt;2009/3&lt;/Date_Primary&gt;&lt;Keywords&gt;Adolescent&lt;/Keywords&gt;&lt;Keywords&gt;Adrenal Cortex Hormones&lt;/Keywords&gt;&lt;Keywords&gt;Adult&lt;/Keywords&gt;&lt;Keywords&gt;adverse effects&lt;/Keywords&gt;&lt;Keywords&gt;Aged&lt;/Keywords&gt;&lt;Keywords&gt;Child&lt;/Keywords&gt;&lt;Keywords&gt;death&lt;/Keywords&gt;&lt;Keywords&gt;Disease&lt;/Keywords&gt;&lt;Keywords&gt;drug therapy&lt;/Keywords&gt;&lt;Keywords&gt;erythematosus&lt;/Keywords&gt;&lt;Keywords&gt;Female&lt;/Keywords&gt;&lt;Keywords&gt;Humans&lt;/Keywords&gt;&lt;Keywords&gt;lupus erythematosus&lt;/Keywords&gt;&lt;Keywords&gt;Lupus Erythematosus,Systemic&lt;/Keywords&gt;&lt;Keywords&gt;Male&lt;/Keywords&gt;&lt;Keywords&gt;methods&lt;/Keywords&gt;&lt;Keywords&gt;Methylprednisolone&lt;/Keywords&gt;&lt;Keywords&gt;Middle Aged&lt;/Keywords&gt;&lt;Keywords&gt;Odds Ratio&lt;/Keywords&gt;&lt;Keywords&gt;patient&lt;/Keywords&gt;&lt;Keywords&gt;Patients&lt;/Keywords&gt;&lt;Keywords&gt;population&lt;/Keywords&gt;&lt;Keywords&gt;Prednisone&lt;/Keywords&gt;&lt;Keywords&gt;Proportional Hazards Models&lt;/Keywords&gt;&lt;Keywords&gt;Prospective Studies&lt;/Keywords&gt;&lt;Keywords&gt;Risk&lt;/Keywords&gt;&lt;Keywords&gt;Severity of Illness Index&lt;/Keywords&gt;&lt;Keywords&gt;systemic lupus erythematosus&lt;/Keywords&gt;&lt;Keywords&gt;therapy&lt;/Keywords&gt;&lt;Keywords&gt;Time Factors&lt;/Keywords&gt;&lt;Keywords&gt;Young Adult&lt;/Keywords&gt;&lt;Reprint&gt;Not in File&lt;/Reprint&gt;&lt;Start_Page&gt;560&lt;/Start_Page&gt;&lt;End_Page&gt;564&lt;/End_Page&gt;&lt;Periodical&gt;J.Rheumatol.&lt;/Periodical&gt;&lt;Volume&gt;36&lt;/Volume&gt;&lt;Issue&gt;3&lt;/Issue&gt;&lt;User_Def_1&gt;y&lt;/User_Def_1&gt;&lt;ZZ_JournalStdAbbrev&gt;&lt;f name="System"&gt;J.Rheumatol.&lt;/f&gt;&lt;/ZZ_JournalStdAbbrev&gt;&lt;ZZ_WorkformID&gt;1&lt;/ZZ_WorkformID&gt;&lt;/MDL&gt;&lt;/Cite&gt;&lt;/Refman&gt;</w:instrText>
            </w:r>
            <w:r w:rsidR="00E729BA">
              <w:rPr>
                <w:lang w:eastAsia="en-GB"/>
              </w:rPr>
              <w:fldChar w:fldCharType="separate"/>
            </w:r>
            <w:r w:rsidR="004D7951">
              <w:rPr>
                <w:lang w:eastAsia="en-GB"/>
              </w:rPr>
              <w:t>(175)</w:t>
            </w:r>
            <w:r w:rsidR="00E729BA">
              <w:rPr>
                <w:lang w:eastAsia="en-GB"/>
              </w:rPr>
              <w:fldChar w:fldCharType="end"/>
            </w:r>
          </w:p>
        </w:tc>
        <w:tc>
          <w:tcPr>
            <w:tcW w:w="567" w:type="dxa"/>
            <w:tcBorders>
              <w:bottom w:val="single" w:sz="4" w:space="0" w:color="auto"/>
            </w:tcBorders>
          </w:tcPr>
          <w:p w:rsidR="002D772C" w:rsidRPr="00850DE4" w:rsidRDefault="002D772C" w:rsidP="0049322C">
            <w:pPr>
              <w:pStyle w:val="ListParagraph1"/>
              <w:rPr>
                <w:lang w:eastAsia="en-GB"/>
              </w:rPr>
            </w:pPr>
            <w:r w:rsidRPr="00850DE4">
              <w:rPr>
                <w:lang w:eastAsia="en-GB"/>
              </w:rPr>
              <w:t>2008</w:t>
            </w:r>
          </w:p>
        </w:tc>
        <w:tc>
          <w:tcPr>
            <w:tcW w:w="851" w:type="dxa"/>
            <w:tcBorders>
              <w:bottom w:val="single" w:sz="4" w:space="0" w:color="auto"/>
            </w:tcBorders>
          </w:tcPr>
          <w:p w:rsidR="002D772C" w:rsidRPr="00850DE4" w:rsidRDefault="002D772C" w:rsidP="0049322C">
            <w:pPr>
              <w:pStyle w:val="ListParagraph1"/>
              <w:rPr>
                <w:lang w:eastAsia="en-GB"/>
              </w:rPr>
            </w:pPr>
            <w:r w:rsidRPr="00850DE4">
              <w:rPr>
                <w:lang w:eastAsia="en-GB"/>
              </w:rPr>
              <w:t>525</w:t>
            </w:r>
          </w:p>
        </w:tc>
        <w:tc>
          <w:tcPr>
            <w:tcW w:w="1289" w:type="dxa"/>
            <w:tcBorders>
              <w:bottom w:val="single" w:sz="4" w:space="0" w:color="auto"/>
            </w:tcBorders>
          </w:tcPr>
          <w:p w:rsidR="002D772C" w:rsidRPr="00850DE4" w:rsidRDefault="002D772C" w:rsidP="0049322C">
            <w:pPr>
              <w:pStyle w:val="ListParagraph1"/>
              <w:rPr>
                <w:lang w:eastAsia="en-GB"/>
              </w:rPr>
            </w:pPr>
          </w:p>
        </w:tc>
        <w:tc>
          <w:tcPr>
            <w:tcW w:w="1418" w:type="dxa"/>
            <w:tcBorders>
              <w:bottom w:val="single" w:sz="4" w:space="0" w:color="auto"/>
            </w:tcBorders>
          </w:tcPr>
          <w:p w:rsidR="002D772C" w:rsidRPr="00850DE4" w:rsidRDefault="002D772C" w:rsidP="0049322C">
            <w:pPr>
              <w:pStyle w:val="ListParagraph1"/>
              <w:rPr>
                <w:lang w:eastAsia="en-GB"/>
              </w:rPr>
            </w:pPr>
          </w:p>
        </w:tc>
        <w:tc>
          <w:tcPr>
            <w:tcW w:w="1402" w:type="dxa"/>
            <w:tcBorders>
              <w:bottom w:val="single" w:sz="4" w:space="0" w:color="auto"/>
            </w:tcBorders>
          </w:tcPr>
          <w:p w:rsidR="002D772C" w:rsidRPr="00850DE4" w:rsidRDefault="002D772C" w:rsidP="0049322C">
            <w:pPr>
              <w:pStyle w:val="ListParagraph1"/>
              <w:rPr>
                <w:lang w:eastAsia="en-GB"/>
              </w:rPr>
            </w:pPr>
          </w:p>
        </w:tc>
        <w:tc>
          <w:tcPr>
            <w:tcW w:w="1410" w:type="dxa"/>
            <w:tcBorders>
              <w:bottom w:val="single" w:sz="4" w:space="0" w:color="auto"/>
            </w:tcBorders>
          </w:tcPr>
          <w:p w:rsidR="002D772C" w:rsidRPr="00850DE4" w:rsidRDefault="002D772C" w:rsidP="0049322C">
            <w:pPr>
              <w:pStyle w:val="ListParagraph1"/>
              <w:rPr>
                <w:lang w:eastAsia="en-GB"/>
              </w:rPr>
            </w:pPr>
          </w:p>
        </w:tc>
        <w:tc>
          <w:tcPr>
            <w:tcW w:w="1410" w:type="dxa"/>
            <w:tcBorders>
              <w:bottom w:val="single" w:sz="4" w:space="0" w:color="auto"/>
            </w:tcBorders>
          </w:tcPr>
          <w:p w:rsidR="002D772C" w:rsidRPr="00850DE4" w:rsidRDefault="002D772C" w:rsidP="0049322C">
            <w:pPr>
              <w:pStyle w:val="ListParagraph1"/>
              <w:rPr>
                <w:lang w:eastAsia="en-GB"/>
              </w:rPr>
            </w:pPr>
            <w:r w:rsidRPr="00850DE4">
              <w:rPr>
                <w:lang w:eastAsia="en-GB"/>
              </w:rPr>
              <w:t>Not significant</w:t>
            </w:r>
          </w:p>
        </w:tc>
        <w:tc>
          <w:tcPr>
            <w:tcW w:w="1412" w:type="dxa"/>
            <w:tcBorders>
              <w:bottom w:val="single" w:sz="4" w:space="0" w:color="auto"/>
            </w:tcBorders>
          </w:tcPr>
          <w:p w:rsidR="002D772C" w:rsidRPr="00850DE4" w:rsidRDefault="002D772C" w:rsidP="0049322C">
            <w:pPr>
              <w:pStyle w:val="ListParagraph1"/>
              <w:rPr>
                <w:lang w:eastAsia="en-GB"/>
              </w:rPr>
            </w:pPr>
          </w:p>
        </w:tc>
        <w:tc>
          <w:tcPr>
            <w:tcW w:w="1698" w:type="dxa"/>
            <w:tcBorders>
              <w:bottom w:val="single" w:sz="4" w:space="0" w:color="auto"/>
            </w:tcBorders>
          </w:tcPr>
          <w:p w:rsidR="002D772C" w:rsidRPr="00850DE4" w:rsidRDefault="002D772C" w:rsidP="0049322C">
            <w:pPr>
              <w:pStyle w:val="ListParagraph1"/>
              <w:rPr>
                <w:lang w:eastAsia="en-GB"/>
              </w:rPr>
            </w:pPr>
          </w:p>
        </w:tc>
        <w:tc>
          <w:tcPr>
            <w:tcW w:w="1253" w:type="dxa"/>
            <w:tcBorders>
              <w:bottom w:val="single" w:sz="4" w:space="0" w:color="auto"/>
            </w:tcBorders>
          </w:tcPr>
          <w:p w:rsidR="002D772C" w:rsidRPr="00850DE4" w:rsidRDefault="002D772C" w:rsidP="0049322C">
            <w:pPr>
              <w:pStyle w:val="ListParagraph1"/>
              <w:rPr>
                <w:lang w:eastAsia="en-GB"/>
              </w:rPr>
            </w:pPr>
          </w:p>
        </w:tc>
      </w:tr>
      <w:tr w:rsidR="002D772C" w:rsidRPr="00850DE4" w:rsidTr="005E3AF0">
        <w:tc>
          <w:tcPr>
            <w:tcW w:w="12761" w:type="dxa"/>
            <w:gridSpan w:val="10"/>
            <w:tcBorders>
              <w:top w:val="single" w:sz="4" w:space="0" w:color="auto"/>
              <w:bottom w:val="single" w:sz="4" w:space="0" w:color="auto"/>
            </w:tcBorders>
          </w:tcPr>
          <w:p w:rsidR="002D772C" w:rsidRPr="00850DE4" w:rsidRDefault="002D772C" w:rsidP="0049322C">
            <w:pPr>
              <w:pStyle w:val="ListParagraph1"/>
              <w:rPr>
                <w:lang w:eastAsia="en-GB"/>
              </w:rPr>
            </w:pPr>
            <w:r w:rsidRPr="00850DE4">
              <w:rPr>
                <w:lang w:eastAsia="en-GB"/>
              </w:rPr>
              <w:t>Predictors of organ damage from Poisson regression (regression coefficient)</w:t>
            </w:r>
          </w:p>
        </w:tc>
        <w:tc>
          <w:tcPr>
            <w:tcW w:w="1253" w:type="dxa"/>
            <w:tcBorders>
              <w:top w:val="single" w:sz="4" w:space="0" w:color="auto"/>
              <w:bottom w:val="single" w:sz="4" w:space="0" w:color="auto"/>
            </w:tcBorders>
          </w:tcPr>
          <w:p w:rsidR="002D772C" w:rsidRPr="00850DE4" w:rsidRDefault="002D772C" w:rsidP="0049322C">
            <w:pPr>
              <w:pStyle w:val="ListParagraph1"/>
              <w:rPr>
                <w:lang w:eastAsia="en-GB"/>
              </w:rPr>
            </w:pPr>
          </w:p>
        </w:tc>
      </w:tr>
      <w:tr w:rsidR="002D772C" w:rsidRPr="00850DE4" w:rsidTr="00FD18C9">
        <w:tc>
          <w:tcPr>
            <w:tcW w:w="1304" w:type="dxa"/>
            <w:tcBorders>
              <w:top w:val="single" w:sz="4" w:space="0" w:color="auto"/>
            </w:tcBorders>
          </w:tcPr>
          <w:p w:rsidR="002D772C" w:rsidRPr="00850DE4" w:rsidRDefault="002D772C" w:rsidP="0049322C">
            <w:pPr>
              <w:pStyle w:val="ListParagraph1"/>
              <w:rPr>
                <w:lang w:eastAsia="en-GB"/>
              </w:rPr>
            </w:pPr>
            <w:r w:rsidRPr="00850DE4">
              <w:rPr>
                <w:lang w:eastAsia="en-GB"/>
              </w:rPr>
              <w:t xml:space="preserve">Apte </w:t>
            </w:r>
            <w:r w:rsidR="00E729BA">
              <w:rPr>
                <w:lang w:eastAsia="en-GB"/>
              </w:rPr>
              <w:fldChar w:fldCharType="begin"/>
            </w:r>
            <w:r w:rsidR="00FC61FD">
              <w:rPr>
                <w:lang w:eastAsia="en-GB"/>
              </w:rPr>
              <w:instrText xml:space="preserve"> ADDIN REFMGR.CITE &lt;Refman&gt;&lt;Cite&gt;&lt;Author&gt;Apte&lt;/Author&gt;&lt;Year&gt;2008&lt;/Year&gt;&lt;RecNum&gt;216&lt;/RecNum&gt;&lt;IDText&gt;Associated factors and impact of myocarditis in patients with SLE from LUMINA, a multiethnic US cohort (LV). [corrected]&lt;/IDText&gt;&lt;MDL Ref_Type="Journal"&gt;&lt;Ref_Type&gt;Journal&lt;/Ref_Type&gt;&lt;Ref_ID&gt;216&lt;/Ref_ID&gt;&lt;Title_Primary&gt;Associated factors and impact of myocarditis in patients with SLE from LUMINA, a multiethnic US cohort (LV). [corrected]&lt;/Title_Primary&gt;&lt;Authors_Primary&gt;Apte,M.&lt;/Authors_Primary&gt;&lt;Authors_Primary&gt;McGwin,G.,Jr.&lt;/Authors_Primary&gt;&lt;Authors_Primary&gt;Vila,L.M.&lt;/Authors_Primary&gt;&lt;Authors_Primary&gt;Kaslow,R.A.&lt;/Authors_Primary&gt;&lt;Authors_Primary&gt;Alarcon,G.S.&lt;/Authors_Primary&gt;&lt;Authors_Primary&gt;Reveille,J.D.&lt;/Authors_Primary&gt;&lt;Date_Primary&gt;2008/3&lt;/Date_Primary&gt;&lt;Keywords&gt;Adolescent&lt;/Keywords&gt;&lt;Keywords&gt;Adult&lt;/Keywords&gt;&lt;Keywords&gt;African American&lt;/Keywords&gt;&lt;Keywords&gt;African Americans&lt;/Keywords&gt;&lt;Keywords&gt;Age Distribution&lt;/Keywords&gt;&lt;Keywords&gt;Aged&lt;/Keywords&gt;&lt;Keywords&gt;Alabama&lt;/Keywords&gt;&lt;Keywords&gt;Analysis of Variance&lt;/Keywords&gt;&lt;Keywords&gt;Cohort Studies&lt;/Keywords&gt;&lt;Keywords&gt;Comorbidity&lt;/Keywords&gt;&lt;Keywords&gt;diagnosis&lt;/Keywords&gt;&lt;Keywords&gt;Disease&lt;/Keywords&gt;&lt;Keywords&gt;disease activity&lt;/Keywords&gt;&lt;Keywords&gt;disease duration&lt;/Keywords&gt;&lt;Keywords&gt;epidemiology&lt;/Keywords&gt;&lt;Keywords&gt;Ethnic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Americans&lt;/Keywords&gt;&lt;Keywords&gt;Humans&lt;/Keywords&gt;&lt;Keywords&gt;immunology&lt;/Keywords&gt;&lt;Keywords&gt;Incidence&lt;/Keywords&gt;&lt;Keywords&gt;Linear Models&lt;/Keywords&gt;&lt;Keywords&gt;Longitudinal Studies&lt;/Keywords&gt;&lt;Keywords&gt;Lupus Erythematosus,Systemic&lt;/Keywords&gt;&lt;Keywords&gt;Male&lt;/Keywords&gt;&lt;Keywords&gt;methods&lt;/Keywords&gt;&lt;Keywords&gt;Middle Aged&lt;/Keywords&gt;&lt;Keywords&gt;mortality&lt;/Keywords&gt;&lt;Keywords&gt;Myocarditis&lt;/Keywords&gt;&lt;Keywords&gt;patient&lt;/Keywords&gt;&lt;Keywords&gt;Patients&lt;/Keywords&gt;&lt;Keywords&gt;Poisson Distribution&lt;/Keywords&gt;&lt;Keywords&gt;Prognosis&lt;/Keywords&gt;&lt;Keywords&gt;Proportional Hazards Models&lt;/Keywords&gt;&lt;Keywords&gt;Rheumatology&lt;/Keywords&gt;&lt;Keywords&gt;Risk Assessment&lt;/Keywords&gt;&lt;Keywords&gt;Severity of Illness Index&lt;/Keywords&gt;&lt;Keywords&gt;Sex Distribution&lt;/Keywords&gt;&lt;Keywords&gt;statistics &amp;amp; numerical data&lt;/Keywords&gt;&lt;Keywords&gt;Survival Analysis&lt;/Keywords&gt;&lt;Keywords&gt;Time&lt;/Keywords&gt;&lt;Reprint&gt;Not in File&lt;/Reprint&gt;&lt;Start_Page&gt;362&lt;/Start_Page&gt;&lt;End_Page&gt;367&lt;/End_Page&gt;&lt;Periodical&gt;Rheumatology.(Oxford).&lt;/Periodical&gt;&lt;Volume&gt;47&lt;/Volume&gt;&lt;Issue&gt;3&lt;/Issue&gt;&lt;User_Def_1&gt;y&lt;/User_Def_1&gt;&lt;ZZ_JournalStdAbbrev&gt;&lt;f name="System"&gt;Rheumatology.(Oxford).&lt;/f&gt;&lt;/ZZ_JournalStdAbbrev&gt;&lt;ZZ_WorkformID&gt;1&lt;/ZZ_WorkformID&gt;&lt;/MDL&gt;&lt;/Cite&gt;&lt;/Refman&gt;</w:instrText>
            </w:r>
            <w:r w:rsidR="00E729BA">
              <w:rPr>
                <w:lang w:eastAsia="en-GB"/>
              </w:rPr>
              <w:fldChar w:fldCharType="separate"/>
            </w:r>
            <w:r w:rsidR="004D7951">
              <w:rPr>
                <w:lang w:eastAsia="en-GB"/>
              </w:rPr>
              <w:t>(180)</w:t>
            </w:r>
            <w:r w:rsidR="00E729BA">
              <w:rPr>
                <w:lang w:eastAsia="en-GB"/>
              </w:rPr>
              <w:fldChar w:fldCharType="end"/>
            </w:r>
          </w:p>
        </w:tc>
        <w:tc>
          <w:tcPr>
            <w:tcW w:w="567" w:type="dxa"/>
            <w:tcBorders>
              <w:top w:val="single" w:sz="4" w:space="0" w:color="auto"/>
            </w:tcBorders>
          </w:tcPr>
          <w:p w:rsidR="002D772C" w:rsidRPr="00850DE4" w:rsidRDefault="002D772C" w:rsidP="0049322C">
            <w:pPr>
              <w:pStyle w:val="ListParagraph1"/>
              <w:rPr>
                <w:lang w:eastAsia="en-GB"/>
              </w:rPr>
            </w:pPr>
            <w:r w:rsidRPr="00850DE4">
              <w:rPr>
                <w:lang w:eastAsia="en-GB"/>
              </w:rPr>
              <w:t>2008</w:t>
            </w:r>
          </w:p>
        </w:tc>
        <w:tc>
          <w:tcPr>
            <w:tcW w:w="851" w:type="dxa"/>
            <w:tcBorders>
              <w:top w:val="single" w:sz="4" w:space="0" w:color="auto"/>
            </w:tcBorders>
          </w:tcPr>
          <w:p w:rsidR="002D772C" w:rsidRPr="00850DE4" w:rsidRDefault="002D772C" w:rsidP="0049322C">
            <w:pPr>
              <w:pStyle w:val="ListParagraph1"/>
              <w:rPr>
                <w:lang w:eastAsia="en-GB"/>
              </w:rPr>
            </w:pPr>
            <w:r w:rsidRPr="00850DE4">
              <w:rPr>
                <w:lang w:eastAsia="en-GB"/>
              </w:rPr>
              <w:t>636</w:t>
            </w:r>
          </w:p>
        </w:tc>
        <w:tc>
          <w:tcPr>
            <w:tcW w:w="1289" w:type="dxa"/>
            <w:tcBorders>
              <w:top w:val="single" w:sz="4" w:space="0" w:color="auto"/>
            </w:tcBorders>
          </w:tcPr>
          <w:p w:rsidR="002D772C" w:rsidRPr="00850DE4" w:rsidRDefault="002D772C" w:rsidP="0049322C">
            <w:pPr>
              <w:pStyle w:val="ListParagraph1"/>
              <w:rPr>
                <w:lang w:eastAsia="en-GB"/>
              </w:rPr>
            </w:pPr>
            <w:r w:rsidRPr="00850DE4">
              <w:rPr>
                <w:lang w:eastAsia="en-GB"/>
              </w:rPr>
              <w:t>0.01 (0.00-0.03)</w:t>
            </w:r>
          </w:p>
        </w:tc>
        <w:tc>
          <w:tcPr>
            <w:tcW w:w="1418" w:type="dxa"/>
            <w:tcBorders>
              <w:top w:val="single" w:sz="4" w:space="0" w:color="auto"/>
            </w:tcBorders>
          </w:tcPr>
          <w:p w:rsidR="002D772C" w:rsidRPr="00850DE4" w:rsidRDefault="002D772C" w:rsidP="0049322C">
            <w:pPr>
              <w:pStyle w:val="ListParagraph1"/>
              <w:rPr>
                <w:lang w:eastAsia="en-GB"/>
              </w:rPr>
            </w:pPr>
          </w:p>
        </w:tc>
        <w:tc>
          <w:tcPr>
            <w:tcW w:w="1402" w:type="dxa"/>
            <w:tcBorders>
              <w:top w:val="single" w:sz="4" w:space="0" w:color="auto"/>
            </w:tcBorders>
          </w:tcPr>
          <w:p w:rsidR="002D772C" w:rsidRPr="00850DE4" w:rsidRDefault="002D772C" w:rsidP="0049322C">
            <w:pPr>
              <w:pStyle w:val="ListParagraph1"/>
              <w:rPr>
                <w:lang w:eastAsia="en-GB"/>
              </w:rPr>
            </w:pPr>
            <w:r w:rsidRPr="00850DE4">
              <w:rPr>
                <w:lang w:eastAsia="en-GB"/>
              </w:rPr>
              <w:t>0.09 (0.05-0.13)</w:t>
            </w:r>
          </w:p>
        </w:tc>
        <w:tc>
          <w:tcPr>
            <w:tcW w:w="1410" w:type="dxa"/>
            <w:tcBorders>
              <w:top w:val="single" w:sz="4" w:space="0" w:color="auto"/>
            </w:tcBorders>
          </w:tcPr>
          <w:p w:rsidR="002D772C" w:rsidRPr="00850DE4" w:rsidRDefault="002D772C" w:rsidP="0049322C">
            <w:pPr>
              <w:pStyle w:val="ListParagraph1"/>
              <w:rPr>
                <w:lang w:eastAsia="en-GB"/>
              </w:rPr>
            </w:pPr>
            <w:r w:rsidRPr="00850DE4">
              <w:rPr>
                <w:lang w:eastAsia="en-GB"/>
              </w:rPr>
              <w:t>0.97 (0.83-1.12)</w:t>
            </w:r>
          </w:p>
        </w:tc>
        <w:tc>
          <w:tcPr>
            <w:tcW w:w="1410" w:type="dxa"/>
            <w:tcBorders>
              <w:top w:val="single" w:sz="4" w:space="0" w:color="auto"/>
            </w:tcBorders>
          </w:tcPr>
          <w:p w:rsidR="002D772C" w:rsidRPr="00850DE4" w:rsidRDefault="002D772C" w:rsidP="0049322C">
            <w:pPr>
              <w:pStyle w:val="ListParagraph1"/>
              <w:rPr>
                <w:lang w:eastAsia="en-GB"/>
              </w:rPr>
            </w:pPr>
          </w:p>
        </w:tc>
        <w:tc>
          <w:tcPr>
            <w:tcW w:w="1412" w:type="dxa"/>
            <w:tcBorders>
              <w:top w:val="single" w:sz="4" w:space="0" w:color="auto"/>
            </w:tcBorders>
          </w:tcPr>
          <w:p w:rsidR="002D772C" w:rsidRPr="00850DE4" w:rsidRDefault="002D772C" w:rsidP="0049322C">
            <w:pPr>
              <w:pStyle w:val="ListParagraph1"/>
              <w:rPr>
                <w:lang w:eastAsia="en-GB"/>
              </w:rPr>
            </w:pPr>
          </w:p>
        </w:tc>
        <w:tc>
          <w:tcPr>
            <w:tcW w:w="1698" w:type="dxa"/>
            <w:tcBorders>
              <w:top w:val="single" w:sz="4" w:space="0" w:color="auto"/>
            </w:tcBorders>
          </w:tcPr>
          <w:p w:rsidR="002D772C" w:rsidRPr="00850DE4" w:rsidRDefault="002D772C" w:rsidP="0049322C">
            <w:pPr>
              <w:pStyle w:val="ListParagraph1"/>
              <w:rPr>
                <w:lang w:eastAsia="en-GB"/>
              </w:rPr>
            </w:pPr>
          </w:p>
        </w:tc>
        <w:tc>
          <w:tcPr>
            <w:tcW w:w="1253" w:type="dxa"/>
            <w:tcBorders>
              <w:top w:val="single" w:sz="4" w:space="0" w:color="auto"/>
            </w:tcBorders>
          </w:tcPr>
          <w:p w:rsidR="002D772C" w:rsidRPr="00850DE4" w:rsidRDefault="002D772C" w:rsidP="0049322C">
            <w:pPr>
              <w:pStyle w:val="ListParagraph1"/>
              <w:rPr>
                <w:lang w:eastAsia="en-GB"/>
              </w:rPr>
            </w:pPr>
            <w:r w:rsidRPr="00850DE4">
              <w:rPr>
                <w:lang w:eastAsia="en-GB"/>
              </w:rPr>
              <w:t>0.48 (0.00-0.95)</w:t>
            </w:r>
          </w:p>
        </w:tc>
      </w:tr>
    </w:tbl>
    <w:p w:rsidR="002D772C" w:rsidRDefault="002D772C" w:rsidP="002D772C">
      <w:pPr>
        <w:sectPr w:rsidR="002D772C" w:rsidSect="006A3B1E">
          <w:pgSz w:w="16838" w:h="11906" w:orient="landscape"/>
          <w:pgMar w:top="1440" w:right="1440" w:bottom="1440" w:left="2268" w:header="709" w:footer="709" w:gutter="0"/>
          <w:cols w:space="708"/>
          <w:docGrid w:linePitch="360"/>
        </w:sectPr>
      </w:pPr>
    </w:p>
    <w:p w:rsidR="002D772C" w:rsidRPr="004E70E9" w:rsidRDefault="006074C8" w:rsidP="004E70E9">
      <w:pPr>
        <w:pStyle w:val="Heading3"/>
        <w:rPr>
          <w:rStyle w:val="Emphasis"/>
          <w:spacing w:val="15"/>
          <w:sz w:val="22"/>
        </w:rPr>
      </w:pPr>
      <w:bookmarkStart w:id="209" w:name="_Ref350962081"/>
      <w:bookmarkStart w:id="210" w:name="_Toc379467601"/>
      <w:r w:rsidRPr="004E70E9">
        <w:rPr>
          <w:rStyle w:val="Emphasis"/>
          <w:spacing w:val="15"/>
          <w:sz w:val="22"/>
        </w:rPr>
        <w:t xml:space="preserve">Organ Damage </w:t>
      </w:r>
      <w:r w:rsidR="004E70E9" w:rsidRPr="004E70E9">
        <w:rPr>
          <w:rStyle w:val="Emphasis"/>
          <w:spacing w:val="15"/>
          <w:sz w:val="22"/>
        </w:rPr>
        <w:t>b</w:t>
      </w:r>
      <w:r w:rsidRPr="004E70E9">
        <w:rPr>
          <w:rStyle w:val="Emphasis"/>
          <w:spacing w:val="15"/>
          <w:sz w:val="22"/>
        </w:rPr>
        <w:t>y Organ System</w:t>
      </w:r>
      <w:bookmarkEnd w:id="209"/>
      <w:bookmarkEnd w:id="210"/>
    </w:p>
    <w:p w:rsidR="008B1572" w:rsidRDefault="005E3AF0" w:rsidP="0016510D">
      <w:pPr>
        <w:spacing w:after="120" w:afterAutospacing="0"/>
        <w:rPr>
          <w:lang w:eastAsia="zh-CN"/>
        </w:rPr>
      </w:pPr>
      <w:r>
        <w:t xml:space="preserve">Twenty studies studied organ damage in individual organ systems. </w:t>
      </w:r>
      <w:fldSimple w:instr=" REF _Ref254596032 \h  \* MERGEFORMAT ">
        <w:r w:rsidR="004911B7">
          <w:t xml:space="preserve">Table </w:t>
        </w:r>
        <w:r w:rsidR="004911B7">
          <w:rPr>
            <w:noProof/>
          </w:rPr>
          <w:t>14</w:t>
        </w:r>
      </w:fldSimple>
      <w:r w:rsidR="002D772C">
        <w:rPr>
          <w:lang w:eastAsia="zh-CN"/>
        </w:rPr>
        <w:t xml:space="preserve"> details the prevalence of organ damage by organ system </w:t>
      </w:r>
      <w:r w:rsidR="008B1572">
        <w:rPr>
          <w:lang w:eastAsia="zh-CN"/>
        </w:rPr>
        <w:t>reported in eight of these studies</w:t>
      </w:r>
      <w:r w:rsidR="002D772C">
        <w:rPr>
          <w:lang w:eastAsia="zh-CN"/>
        </w:rPr>
        <w:t xml:space="preserve">. The proportion of patients with system organ damage is variable between cohorts. There is evidence that some organ systems are more susceptible to organ damage at different points of the disease. Two studies report the prevalence of damage by organ system over time. </w:t>
      </w:r>
      <w:fldSimple w:instr=" REF _Ref252459137 \h  \* MERGEFORMAT ">
        <w:r w:rsidR="004911B7">
          <w:t xml:space="preserve">Figure </w:t>
        </w:r>
        <w:r w:rsidR="004911B7">
          <w:rPr>
            <w:noProof/>
          </w:rPr>
          <w:t>8</w:t>
        </w:r>
      </w:fldSimple>
      <w:r w:rsidR="002D772C">
        <w:rPr>
          <w:lang w:eastAsia="zh-CN"/>
        </w:rPr>
        <w:t xml:space="preserve"> illustrates that musculoskeletal, cardiovascular and ocular damage are the most prevalent damage events. Cardiovascular and neuropsychiatric damage occur early in disease onset. </w:t>
      </w:r>
      <w:r w:rsidR="00E729BA">
        <w:rPr>
          <w:lang w:eastAsia="zh-CN"/>
        </w:rPr>
        <w:fldChar w:fldCharType="begin"/>
      </w:r>
      <w:r w:rsidR="002D772C">
        <w:rPr>
          <w:lang w:eastAsia="zh-CN"/>
        </w:rPr>
        <w:instrText xml:space="preserve"> REF _Ref279046656 \h </w:instrText>
      </w:r>
      <w:r w:rsidR="00E729BA">
        <w:rPr>
          <w:lang w:eastAsia="zh-CN"/>
        </w:rPr>
      </w:r>
      <w:r w:rsidR="00E729BA">
        <w:rPr>
          <w:lang w:eastAsia="zh-CN"/>
        </w:rPr>
        <w:fldChar w:fldCharType="separate"/>
      </w:r>
      <w:r w:rsidR="004911B7" w:rsidRPr="002D772C">
        <w:t xml:space="preserve">Figure </w:t>
      </w:r>
      <w:r w:rsidR="004911B7">
        <w:rPr>
          <w:noProof/>
        </w:rPr>
        <w:t>9</w:t>
      </w:r>
      <w:r w:rsidR="00E729BA">
        <w:rPr>
          <w:lang w:eastAsia="zh-CN"/>
        </w:rPr>
        <w:fldChar w:fldCharType="end"/>
      </w:r>
      <w:r w:rsidR="002D772C">
        <w:rPr>
          <w:lang w:eastAsia="zh-CN"/>
        </w:rPr>
        <w:t xml:space="preserve"> illustrates a lower rate of damage accumulation. Neuropsychiatric, renal and musculoskeletal damage have the highest incidence. </w:t>
      </w:r>
    </w:p>
    <w:p w:rsidR="007C1767" w:rsidRDefault="007C1767" w:rsidP="008B1572">
      <w:pPr>
        <w:spacing w:after="120" w:afterAutospacing="0"/>
        <w:rPr>
          <w:lang w:eastAsia="zh-CN"/>
        </w:rPr>
      </w:pPr>
    </w:p>
    <w:p w:rsidR="002D772C" w:rsidRDefault="002D772C" w:rsidP="00234693">
      <w:pPr>
        <w:pStyle w:val="Caption"/>
      </w:pPr>
      <w:bookmarkStart w:id="211" w:name="_Ref252459137"/>
      <w:bookmarkStart w:id="212" w:name="_Toc279009307"/>
      <w:r>
        <w:t xml:space="preserve">Figure </w:t>
      </w:r>
      <w:r w:rsidR="00E729BA">
        <w:fldChar w:fldCharType="begin"/>
      </w:r>
      <w:r w:rsidR="000B0EDB">
        <w:instrText xml:space="preserve"> SEQ Figure \* ARABIC </w:instrText>
      </w:r>
      <w:r w:rsidR="00E729BA">
        <w:fldChar w:fldCharType="separate"/>
      </w:r>
      <w:r w:rsidR="004911B7">
        <w:rPr>
          <w:noProof/>
        </w:rPr>
        <w:t>8</w:t>
      </w:r>
      <w:r w:rsidR="00E729BA">
        <w:fldChar w:fldCharType="end"/>
      </w:r>
      <w:bookmarkEnd w:id="211"/>
      <w:r>
        <w:t xml:space="preserve">: Organ damage by system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bookmarkEnd w:id="212"/>
      <w:r w:rsidR="004D7951">
        <w:t>(169)</w:t>
      </w:r>
      <w:r w:rsidR="00E729BA">
        <w:fldChar w:fldCharType="end"/>
      </w:r>
    </w:p>
    <w:p w:rsidR="002D772C" w:rsidRDefault="004F2504" w:rsidP="0016789D">
      <w:pPr>
        <w:spacing w:after="0" w:afterAutospacing="0"/>
        <w:rPr>
          <w:b/>
          <w:bCs/>
          <w:sz w:val="18"/>
          <w:szCs w:val="16"/>
          <w:lang w:val="de-DE"/>
        </w:rPr>
      </w:pPr>
      <w:bookmarkStart w:id="213" w:name="_Ref252459139"/>
      <w:bookmarkStart w:id="214" w:name="_Toc279009308"/>
      <w:r w:rsidRPr="004F2504">
        <w:rPr>
          <w:noProof/>
          <w:szCs w:val="16"/>
          <w:lang w:eastAsia="zh-CN" w:bidi="ar-SA"/>
        </w:rPr>
        <w:drawing>
          <wp:inline distT="0" distB="0" distL="0" distR="0">
            <wp:extent cx="4299673" cy="2808000"/>
            <wp:effectExtent l="19050" t="0" r="5627"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299673" cy="2808000"/>
                    </a:xfrm>
                    <a:prstGeom prst="rect">
                      <a:avLst/>
                    </a:prstGeom>
                    <a:noFill/>
                    <a:ln w="9525">
                      <a:noFill/>
                      <a:miter lim="800000"/>
                      <a:headEnd/>
                      <a:tailEnd/>
                    </a:ln>
                  </pic:spPr>
                </pic:pic>
              </a:graphicData>
            </a:graphic>
          </wp:inline>
        </w:drawing>
      </w:r>
    </w:p>
    <w:p w:rsidR="002D772C" w:rsidRPr="002D772C" w:rsidRDefault="002D772C" w:rsidP="00234693">
      <w:pPr>
        <w:pStyle w:val="Caption"/>
      </w:pPr>
      <w:bookmarkStart w:id="215" w:name="_Ref279046656"/>
      <w:r w:rsidRPr="002D772C">
        <w:t xml:space="preserve">Figure </w:t>
      </w:r>
      <w:r w:rsidR="00E729BA">
        <w:fldChar w:fldCharType="begin"/>
      </w:r>
      <w:r w:rsidR="000B0EDB">
        <w:instrText xml:space="preserve"> SEQ Figure \* ARABIC </w:instrText>
      </w:r>
      <w:r w:rsidR="00E729BA">
        <w:fldChar w:fldCharType="separate"/>
      </w:r>
      <w:r w:rsidR="004911B7">
        <w:rPr>
          <w:noProof/>
        </w:rPr>
        <w:t>9</w:t>
      </w:r>
      <w:r w:rsidR="00E729BA">
        <w:fldChar w:fldCharType="end"/>
      </w:r>
      <w:bookmarkEnd w:id="213"/>
      <w:bookmarkEnd w:id="215"/>
      <w:r w:rsidRPr="002D772C">
        <w:t xml:space="preserve">: Organ damage by system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bookmarkEnd w:id="214"/>
      <w:r w:rsidR="004D7951">
        <w:t>(167)</w:t>
      </w:r>
      <w:r w:rsidR="00E729BA">
        <w:fldChar w:fldCharType="end"/>
      </w:r>
    </w:p>
    <w:p w:rsidR="002D772C" w:rsidRDefault="004F2504" w:rsidP="002D772C">
      <w:pPr>
        <w:rPr>
          <w:lang w:eastAsia="zh-CN"/>
        </w:rPr>
      </w:pPr>
      <w:r w:rsidRPr="004F2504">
        <w:rPr>
          <w:noProof/>
          <w:lang w:eastAsia="zh-CN" w:bidi="ar-SA"/>
        </w:rPr>
        <w:drawing>
          <wp:inline distT="0" distB="0" distL="0" distR="0">
            <wp:extent cx="4298394" cy="2808000"/>
            <wp:effectExtent l="19050" t="0" r="6906"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4298394" cy="2808000"/>
                    </a:xfrm>
                    <a:prstGeom prst="rect">
                      <a:avLst/>
                    </a:prstGeom>
                    <a:noFill/>
                    <a:ln w="9525">
                      <a:noFill/>
                      <a:miter lim="800000"/>
                      <a:headEnd/>
                      <a:tailEnd/>
                    </a:ln>
                  </pic:spPr>
                </pic:pic>
              </a:graphicData>
            </a:graphic>
          </wp:inline>
        </w:drawing>
      </w:r>
    </w:p>
    <w:p w:rsidR="0016789D" w:rsidRPr="00733298" w:rsidRDefault="0016789D" w:rsidP="002D772C">
      <w:pPr>
        <w:sectPr w:rsidR="0016789D" w:rsidRPr="00733298" w:rsidSect="006A3B1E">
          <w:pgSz w:w="11906" w:h="16838"/>
          <w:pgMar w:top="1440" w:right="1440" w:bottom="1440" w:left="2268" w:header="709" w:footer="709" w:gutter="0"/>
          <w:cols w:space="708"/>
          <w:docGrid w:linePitch="360"/>
        </w:sectPr>
      </w:pPr>
      <w:bookmarkStart w:id="216" w:name="_Ref249756285"/>
    </w:p>
    <w:p w:rsidR="002D772C" w:rsidRDefault="002D772C" w:rsidP="00234693">
      <w:pPr>
        <w:pStyle w:val="Caption"/>
      </w:pPr>
      <w:bookmarkStart w:id="217" w:name="_Ref254596032"/>
      <w:bookmarkStart w:id="218" w:name="_Toc279009290"/>
      <w:r>
        <w:t xml:space="preserve">Table </w:t>
      </w:r>
      <w:fldSimple w:instr=" SEQ Table \* ARABIC ">
        <w:r w:rsidR="004911B7">
          <w:rPr>
            <w:noProof/>
          </w:rPr>
          <w:t>14</w:t>
        </w:r>
      </w:fldSimple>
      <w:bookmarkEnd w:id="216"/>
      <w:bookmarkEnd w:id="217"/>
      <w:r>
        <w:t>: Prevalence of damage by organ system</w:t>
      </w:r>
      <w:bookmarkEnd w:id="218"/>
      <w:r w:rsidR="009602B1">
        <w:t xml:space="preserve"> in cross-sectional studies at various stages of disease duration</w:t>
      </w:r>
    </w:p>
    <w:tbl>
      <w:tblPr>
        <w:tblW w:w="13211" w:type="dxa"/>
        <w:tblBorders>
          <w:top w:val="single" w:sz="12" w:space="0" w:color="auto"/>
          <w:bottom w:val="single" w:sz="12" w:space="0" w:color="auto"/>
        </w:tblBorders>
        <w:tblLayout w:type="fixed"/>
        <w:tblCellMar>
          <w:left w:w="28" w:type="dxa"/>
          <w:right w:w="28" w:type="dxa"/>
        </w:tblCellMar>
        <w:tblLook w:val="0000"/>
      </w:tblPr>
      <w:tblGrid>
        <w:gridCol w:w="1446"/>
        <w:gridCol w:w="567"/>
        <w:gridCol w:w="709"/>
        <w:gridCol w:w="850"/>
        <w:gridCol w:w="851"/>
        <w:gridCol w:w="850"/>
        <w:gridCol w:w="1134"/>
        <w:gridCol w:w="709"/>
        <w:gridCol w:w="850"/>
        <w:gridCol w:w="993"/>
        <w:gridCol w:w="708"/>
        <w:gridCol w:w="709"/>
        <w:gridCol w:w="992"/>
        <w:gridCol w:w="851"/>
        <w:gridCol w:w="992"/>
      </w:tblGrid>
      <w:tr w:rsidR="002D772C" w:rsidRPr="004E70E9" w:rsidTr="004E70E9">
        <w:trPr>
          <w:trHeight w:val="296"/>
        </w:trPr>
        <w:tc>
          <w:tcPr>
            <w:tcW w:w="1446"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Author name</w:t>
            </w:r>
          </w:p>
        </w:tc>
        <w:tc>
          <w:tcPr>
            <w:tcW w:w="567"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Date</w:t>
            </w:r>
          </w:p>
        </w:tc>
        <w:tc>
          <w:tcPr>
            <w:tcW w:w="709" w:type="dxa"/>
            <w:tcBorders>
              <w:top w:val="single" w:sz="12" w:space="0" w:color="auto"/>
              <w:bottom w:val="single" w:sz="4" w:space="0" w:color="auto"/>
            </w:tcBorders>
          </w:tcPr>
          <w:p w:rsidR="002D772C" w:rsidRPr="004E70E9" w:rsidRDefault="002D772C" w:rsidP="0049322C">
            <w:pPr>
              <w:pStyle w:val="ListParagraph1"/>
              <w:rPr>
                <w:sz w:val="17"/>
                <w:szCs w:val="17"/>
              </w:rPr>
            </w:pPr>
            <w:r w:rsidRPr="004E70E9">
              <w:rPr>
                <w:sz w:val="17"/>
                <w:szCs w:val="17"/>
              </w:rPr>
              <w:t>Sample size</w:t>
            </w:r>
          </w:p>
        </w:tc>
        <w:tc>
          <w:tcPr>
            <w:tcW w:w="850"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Musculo-skeletal</w:t>
            </w:r>
          </w:p>
        </w:tc>
        <w:tc>
          <w:tcPr>
            <w:tcW w:w="851"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Cardio-vascular</w:t>
            </w:r>
          </w:p>
        </w:tc>
        <w:tc>
          <w:tcPr>
            <w:tcW w:w="850"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Neuro-psychiatric</w:t>
            </w:r>
          </w:p>
        </w:tc>
        <w:tc>
          <w:tcPr>
            <w:tcW w:w="1134"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Peripheral vascular</w:t>
            </w:r>
          </w:p>
        </w:tc>
        <w:tc>
          <w:tcPr>
            <w:tcW w:w="709"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Ocular</w:t>
            </w:r>
          </w:p>
        </w:tc>
        <w:tc>
          <w:tcPr>
            <w:tcW w:w="850"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Renal</w:t>
            </w:r>
          </w:p>
        </w:tc>
        <w:tc>
          <w:tcPr>
            <w:tcW w:w="993"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Pulmonary</w:t>
            </w:r>
          </w:p>
        </w:tc>
        <w:tc>
          <w:tcPr>
            <w:tcW w:w="708"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GI</w:t>
            </w:r>
          </w:p>
        </w:tc>
        <w:tc>
          <w:tcPr>
            <w:tcW w:w="709"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Skin</w:t>
            </w:r>
          </w:p>
        </w:tc>
        <w:tc>
          <w:tcPr>
            <w:tcW w:w="992"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Gonad failure</w:t>
            </w:r>
          </w:p>
        </w:tc>
        <w:tc>
          <w:tcPr>
            <w:tcW w:w="851"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Diabetes</w:t>
            </w:r>
          </w:p>
        </w:tc>
        <w:tc>
          <w:tcPr>
            <w:tcW w:w="992" w:type="dxa"/>
            <w:tcBorders>
              <w:top w:val="single" w:sz="12" w:space="0" w:color="auto"/>
              <w:bottom w:val="single" w:sz="4" w:space="0" w:color="auto"/>
            </w:tcBorders>
            <w:noWrap/>
          </w:tcPr>
          <w:p w:rsidR="002D772C" w:rsidRPr="004E70E9" w:rsidRDefault="002D772C" w:rsidP="0049322C">
            <w:pPr>
              <w:pStyle w:val="ListParagraph1"/>
              <w:rPr>
                <w:sz w:val="17"/>
                <w:szCs w:val="17"/>
              </w:rPr>
            </w:pPr>
            <w:r w:rsidRPr="004E70E9">
              <w:rPr>
                <w:sz w:val="17"/>
                <w:szCs w:val="17"/>
              </w:rPr>
              <w:t>Malignancy</w:t>
            </w:r>
          </w:p>
        </w:tc>
      </w:tr>
      <w:tr w:rsidR="002D772C" w:rsidRPr="004E70E9" w:rsidTr="004E70E9">
        <w:trPr>
          <w:trHeight w:val="296"/>
        </w:trPr>
        <w:tc>
          <w:tcPr>
            <w:tcW w:w="1446" w:type="dxa"/>
            <w:tcBorders>
              <w:top w:val="single" w:sz="4" w:space="0" w:color="auto"/>
            </w:tcBorders>
            <w:noWrap/>
          </w:tcPr>
          <w:p w:rsidR="002D772C" w:rsidRPr="004E70E9" w:rsidRDefault="0094366B" w:rsidP="0049322C">
            <w:pPr>
              <w:pStyle w:val="ListParagraph1"/>
              <w:rPr>
                <w:sz w:val="17"/>
                <w:szCs w:val="17"/>
                <w:lang w:val="sv-SE"/>
              </w:rPr>
            </w:pPr>
            <w:r w:rsidRPr="0094366B">
              <w:rPr>
                <w:sz w:val="17"/>
                <w:szCs w:val="17"/>
              </w:rPr>
              <w:t xml:space="preserve">Becker-Merok </w:t>
            </w:r>
            <w:r w:rsidR="00E729BA" w:rsidRPr="004E70E9">
              <w:rPr>
                <w:sz w:val="17"/>
                <w:szCs w:val="17"/>
              </w:rPr>
              <w:fldChar w:fldCharType="begin"/>
            </w:r>
            <w:r w:rsidR="00FC61FD">
              <w:rPr>
                <w:sz w:val="17"/>
                <w:szCs w:val="17"/>
              </w:rPr>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rsidRPr="004E70E9">
              <w:rPr>
                <w:sz w:val="17"/>
                <w:szCs w:val="17"/>
              </w:rPr>
              <w:fldChar w:fldCharType="separate"/>
            </w:r>
            <w:r w:rsidR="004D7951">
              <w:rPr>
                <w:sz w:val="17"/>
                <w:szCs w:val="17"/>
                <w:lang w:val="sv-SE"/>
              </w:rPr>
              <w:t>(162)</w:t>
            </w:r>
            <w:r w:rsidR="00E729BA" w:rsidRPr="004E70E9">
              <w:rPr>
                <w:sz w:val="17"/>
                <w:szCs w:val="17"/>
              </w:rPr>
              <w:fldChar w:fldCharType="end"/>
            </w:r>
          </w:p>
        </w:tc>
        <w:tc>
          <w:tcPr>
            <w:tcW w:w="567"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2006</w:t>
            </w:r>
          </w:p>
        </w:tc>
        <w:tc>
          <w:tcPr>
            <w:tcW w:w="709" w:type="dxa"/>
            <w:tcBorders>
              <w:top w:val="single" w:sz="4" w:space="0" w:color="auto"/>
            </w:tcBorders>
          </w:tcPr>
          <w:p w:rsidR="002D772C" w:rsidRPr="004E70E9" w:rsidRDefault="002D772C" w:rsidP="0049322C">
            <w:pPr>
              <w:pStyle w:val="ListParagraph1"/>
              <w:rPr>
                <w:sz w:val="17"/>
                <w:szCs w:val="17"/>
              </w:rPr>
            </w:pPr>
            <w:r w:rsidRPr="004E70E9">
              <w:rPr>
                <w:sz w:val="17"/>
                <w:szCs w:val="17"/>
              </w:rPr>
              <w:t>158</w:t>
            </w:r>
          </w:p>
        </w:tc>
        <w:tc>
          <w:tcPr>
            <w:tcW w:w="850"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22.2%</w:t>
            </w:r>
          </w:p>
        </w:tc>
        <w:tc>
          <w:tcPr>
            <w:tcW w:w="851"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17.8%</w:t>
            </w:r>
          </w:p>
        </w:tc>
        <w:tc>
          <w:tcPr>
            <w:tcW w:w="850"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15.2%</w:t>
            </w:r>
          </w:p>
        </w:tc>
        <w:tc>
          <w:tcPr>
            <w:tcW w:w="1134"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11.4%</w:t>
            </w:r>
          </w:p>
        </w:tc>
        <w:tc>
          <w:tcPr>
            <w:tcW w:w="709"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 -</w:t>
            </w:r>
          </w:p>
        </w:tc>
        <w:tc>
          <w:tcPr>
            <w:tcW w:w="850"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 </w:t>
            </w:r>
          </w:p>
        </w:tc>
        <w:tc>
          <w:tcPr>
            <w:tcW w:w="993"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 </w:t>
            </w:r>
          </w:p>
        </w:tc>
        <w:tc>
          <w:tcPr>
            <w:tcW w:w="708"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 xml:space="preserve"> -</w:t>
            </w:r>
          </w:p>
        </w:tc>
        <w:tc>
          <w:tcPr>
            <w:tcW w:w="709"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w:t>
            </w:r>
          </w:p>
        </w:tc>
        <w:tc>
          <w:tcPr>
            <w:tcW w:w="992"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w:t>
            </w:r>
          </w:p>
        </w:tc>
        <w:tc>
          <w:tcPr>
            <w:tcW w:w="851"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w:t>
            </w:r>
          </w:p>
        </w:tc>
        <w:tc>
          <w:tcPr>
            <w:tcW w:w="992" w:type="dxa"/>
            <w:tcBorders>
              <w:top w:val="single" w:sz="4" w:space="0" w:color="auto"/>
            </w:tcBorders>
            <w:noWrap/>
          </w:tcPr>
          <w:p w:rsidR="002D772C" w:rsidRPr="004E70E9" w:rsidRDefault="002D772C" w:rsidP="0049322C">
            <w:pPr>
              <w:pStyle w:val="ListParagraph1"/>
              <w:rPr>
                <w:sz w:val="17"/>
                <w:szCs w:val="17"/>
              </w:rPr>
            </w:pPr>
            <w:r w:rsidRPr="004E70E9">
              <w:rPr>
                <w:sz w:val="17"/>
                <w:szCs w:val="17"/>
              </w:rPr>
              <w:t>-</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Santos</w:t>
            </w:r>
            <w:r w:rsidR="00FD18C9"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&lt;Refman&gt;&lt;Cite&gt;&lt;Author&gt;Santos&lt;/Author&gt;&lt;Year&gt;2009&lt;/Year&gt;&lt;RecNum&gt;1422&lt;/RecNum&gt;&lt;IDText&gt;Predictors of damage progression in Portuguese patients with systemic lupus erythematosus&lt;/IDText&gt;&lt;MDL Ref_Type="Journal"&gt;&lt;Ref_Type&gt;Journal&lt;/Ref_Type&gt;&lt;Ref_ID&gt;1422&lt;/Ref_ID&gt;&lt;Title_Primary&gt;Predictors of damage progression in Portuguese patients with systemic lupus erythematosus&lt;/Title_Primary&gt;&lt;Authors_Primary&gt;Santos,M.J.&lt;/Authors_Primary&gt;&lt;Authors_Primary&gt;Vinagre,F.&lt;/Authors_Primary&gt;&lt;Authors_Primary&gt;Nero,P.&lt;/Authors_Primary&gt;&lt;Authors_Primary&gt;Barcelos,F.&lt;/Authors_Primary&gt;&lt;Authors_Primary&gt;Barcelos,A.&lt;/Authors_Primary&gt;&lt;Authors_Primary&gt;Rodrigues,A.M.&lt;/Authors_Primary&gt;&lt;Authors_Primary&gt;de Matos,A.A.&lt;/Authors_Primary&gt;&lt;Authors_Primary&gt;Silva,C.&lt;/Authors_Primary&gt;&lt;Authors_Primary&gt;Miranda,L.&lt;/Authors_Primary&gt;&lt;Authors_Primary&gt;Capela,S.&lt;/Authors_Primary&gt;&lt;Authors_Primary&gt;Marques,A.&lt;/Authors_Primary&gt;&lt;Authors_Primary&gt;Branco,J.&lt;/Authors_Primary&gt;&lt;Authors_Primary&gt;da Silva,J.C.&lt;/Authors_Primary&gt;&lt;Date_Primary&gt;2009/9&lt;/Date_Primary&gt;&lt;Keywords&gt;Adult&lt;/Keywords&gt;&lt;Keywords&gt;age&lt;/Keywords&gt;&lt;Keywords&gt;Aged&lt;/Keywords&gt;&lt;Keywords&gt;analysis&lt;/Keywords&gt;&lt;Keywords&gt;Antibodies&lt;/Keywords&gt;&lt;Keywords&gt;Antibodies,Antiphospholipid&lt;/Keywords&gt;&lt;Keywords&gt;Azathioprine&lt;/Keywords&gt;&lt;Keywords&gt;Comorbidity&lt;/Keywords&gt;&lt;Keywords&gt;confidence interval&lt;/Keywords&gt;&lt;Keywords&gt;Disease Progression&lt;/Keywords&gt;&lt;Keywords&gt;epidemiology&lt;/Keywords&gt;&lt;Keywords&gt;erythematosus&lt;/Keywords&gt;&lt;Keywords&gt;Female&lt;/Keywords&gt;&lt;Keywords&gt;Follow-Up Studies&lt;/Keywords&gt;&lt;Keywords&gt;hospital&lt;/Keywords&gt;&lt;Keywords&gt;Humans&lt;/Keywords&gt;&lt;Keywords&gt;Hypertension&lt;/Keywords&gt;&lt;Keywords&gt;immunology&lt;/Keywords&gt;&lt;Keywords&gt;Life&lt;/Keywords&gt;&lt;Keywords&gt;Life Expectancy&lt;/Keywords&gt;&lt;Keywords&gt;lupus erythematosus&lt;/Keywords&gt;&lt;Keywords&gt;Lupus Erythematosus,Systemic&lt;/Keywords&gt;&lt;Keywords&gt;Male&lt;/Keywords&gt;&lt;Keywords&gt;Middle Aged&lt;/Keywords&gt;&lt;Keywords&gt;Multivariate Analysis&lt;/Keywords&gt;&lt;Keywords&gt;Musculoskeletal System&lt;/Keywords&gt;&lt;Keywords&gt;Osteoporosis&lt;/Keywords&gt;&lt;Keywords&gt;pathology&lt;/Keywords&gt;&lt;Keywords&gt;patient&lt;/Keywords&gt;&lt;Keywords&gt;Patients&lt;/Keywords&gt;&lt;Keywords&gt;Portugal&lt;/Keywords&gt;&lt;Keywords&gt;Predictive Value of Tests&lt;/Keywords&gt;&lt;Keywords&gt;Prognosis&lt;/Keywords&gt;&lt;Keywords&gt;Prospective Studies&lt;/Keywords&gt;&lt;Keywords&gt;Rheumatology&lt;/Keywords&gt;&lt;Keywords&gt;systemic lupus erythematosus&lt;/Keywords&gt;&lt;Keywords&gt;Time&lt;/Keywords&gt;&lt;Keywords&gt;Young Adult&lt;/Keywords&gt;&lt;Reprint&gt;Not in File&lt;/Reprint&gt;&lt;Start_Page&gt;822&lt;/Start_Page&gt;&lt;End_Page&gt;828&lt;/End_Page&gt;&lt;Periodical&gt;Ann.N.Y.Acad.Sci.&lt;/Periodical&gt;&lt;Volume&gt;1173:822-8.&lt;/Volume&gt;&lt;User_Def_1&gt;y&lt;/User_Def_1&gt;&lt;ZZ_JournalStdAbbrev&gt;&lt;f name="System"&gt;Ann.N.Y.Acad.Sci.&lt;/f&gt;&lt;/ZZ_JournalStdAbbrev&gt;&lt;ZZ_WorkformID&gt;1&lt;/ZZ_WorkformID&gt;&lt;/MDL&gt;&lt;/Cite&gt;&lt;/Refman&gt;</w:instrText>
            </w:r>
            <w:r w:rsidR="00E729BA" w:rsidRPr="004E70E9">
              <w:rPr>
                <w:sz w:val="17"/>
                <w:szCs w:val="17"/>
              </w:rPr>
              <w:fldChar w:fldCharType="separate"/>
            </w:r>
            <w:r w:rsidR="004D7951">
              <w:rPr>
                <w:sz w:val="17"/>
                <w:szCs w:val="17"/>
              </w:rPr>
              <w:t>(174)</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2009</w:t>
            </w:r>
          </w:p>
        </w:tc>
        <w:tc>
          <w:tcPr>
            <w:tcW w:w="709" w:type="dxa"/>
          </w:tcPr>
          <w:p w:rsidR="002D772C" w:rsidRPr="004E70E9" w:rsidRDefault="002D772C" w:rsidP="0049322C">
            <w:pPr>
              <w:pStyle w:val="ListParagraph1"/>
              <w:rPr>
                <w:sz w:val="17"/>
                <w:szCs w:val="17"/>
              </w:rPr>
            </w:pPr>
            <w:r w:rsidRPr="004E70E9">
              <w:rPr>
                <w:sz w:val="17"/>
                <w:szCs w:val="17"/>
              </w:rPr>
              <w:t>221</w:t>
            </w:r>
          </w:p>
        </w:tc>
        <w:tc>
          <w:tcPr>
            <w:tcW w:w="850" w:type="dxa"/>
            <w:noWrap/>
          </w:tcPr>
          <w:p w:rsidR="002D772C" w:rsidRPr="004E70E9" w:rsidRDefault="002D772C" w:rsidP="0049322C">
            <w:pPr>
              <w:pStyle w:val="ListParagraph1"/>
              <w:rPr>
                <w:sz w:val="17"/>
                <w:szCs w:val="17"/>
              </w:rPr>
            </w:pPr>
            <w:r w:rsidRPr="004E70E9">
              <w:rPr>
                <w:sz w:val="17"/>
                <w:szCs w:val="17"/>
              </w:rPr>
              <w:t>14%</w:t>
            </w:r>
          </w:p>
        </w:tc>
        <w:tc>
          <w:tcPr>
            <w:tcW w:w="851" w:type="dxa"/>
            <w:noWrap/>
          </w:tcPr>
          <w:p w:rsidR="002D772C" w:rsidRPr="004E70E9" w:rsidRDefault="002D772C" w:rsidP="0049322C">
            <w:pPr>
              <w:pStyle w:val="ListParagraph1"/>
              <w:rPr>
                <w:sz w:val="17"/>
                <w:szCs w:val="17"/>
              </w:rPr>
            </w:pPr>
            <w:r w:rsidRPr="004E70E9">
              <w:rPr>
                <w:sz w:val="17"/>
                <w:szCs w:val="17"/>
              </w:rPr>
              <w:t>10%</w:t>
            </w:r>
          </w:p>
        </w:tc>
        <w:tc>
          <w:tcPr>
            <w:tcW w:w="850" w:type="dxa"/>
            <w:noWrap/>
          </w:tcPr>
          <w:p w:rsidR="002D772C" w:rsidRPr="004E70E9" w:rsidRDefault="002D772C" w:rsidP="0049322C">
            <w:pPr>
              <w:pStyle w:val="ListParagraph1"/>
              <w:rPr>
                <w:sz w:val="17"/>
                <w:szCs w:val="17"/>
              </w:rPr>
            </w:pPr>
            <w:r w:rsidRPr="004E70E9">
              <w:rPr>
                <w:sz w:val="17"/>
                <w:szCs w:val="17"/>
              </w:rPr>
              <w:t>14%</w:t>
            </w:r>
          </w:p>
        </w:tc>
        <w:tc>
          <w:tcPr>
            <w:tcW w:w="1134" w:type="dxa"/>
            <w:noWrap/>
          </w:tcPr>
          <w:p w:rsidR="002D772C" w:rsidRPr="004E70E9" w:rsidRDefault="002D772C" w:rsidP="0049322C">
            <w:pPr>
              <w:pStyle w:val="ListParagraph1"/>
              <w:rPr>
                <w:sz w:val="17"/>
                <w:szCs w:val="17"/>
              </w:rPr>
            </w:pPr>
            <w:r w:rsidRPr="004E70E9">
              <w:rPr>
                <w:sz w:val="17"/>
                <w:szCs w:val="17"/>
              </w:rPr>
              <w:t>4%</w:t>
            </w:r>
          </w:p>
        </w:tc>
        <w:tc>
          <w:tcPr>
            <w:tcW w:w="709" w:type="dxa"/>
            <w:noWrap/>
          </w:tcPr>
          <w:p w:rsidR="002D772C" w:rsidRPr="004E70E9" w:rsidRDefault="002D772C" w:rsidP="0049322C">
            <w:pPr>
              <w:pStyle w:val="ListParagraph1"/>
              <w:rPr>
                <w:sz w:val="17"/>
                <w:szCs w:val="17"/>
              </w:rPr>
            </w:pPr>
            <w:r w:rsidRPr="004E70E9">
              <w:rPr>
                <w:sz w:val="17"/>
                <w:szCs w:val="17"/>
              </w:rPr>
              <w:t>13%</w:t>
            </w:r>
          </w:p>
        </w:tc>
        <w:tc>
          <w:tcPr>
            <w:tcW w:w="850" w:type="dxa"/>
            <w:noWrap/>
          </w:tcPr>
          <w:p w:rsidR="002D772C" w:rsidRPr="004E70E9" w:rsidRDefault="002D772C" w:rsidP="0049322C">
            <w:pPr>
              <w:pStyle w:val="ListParagraph1"/>
              <w:rPr>
                <w:sz w:val="17"/>
                <w:szCs w:val="17"/>
              </w:rPr>
            </w:pPr>
            <w:r w:rsidRPr="004E70E9">
              <w:rPr>
                <w:sz w:val="17"/>
                <w:szCs w:val="17"/>
              </w:rPr>
              <w:t>7%</w:t>
            </w:r>
          </w:p>
        </w:tc>
        <w:tc>
          <w:tcPr>
            <w:tcW w:w="993" w:type="dxa"/>
            <w:noWrap/>
          </w:tcPr>
          <w:p w:rsidR="002D772C" w:rsidRPr="004E70E9" w:rsidRDefault="002D772C" w:rsidP="0049322C">
            <w:pPr>
              <w:pStyle w:val="ListParagraph1"/>
              <w:rPr>
                <w:sz w:val="17"/>
                <w:szCs w:val="17"/>
              </w:rPr>
            </w:pPr>
            <w:r w:rsidRPr="004E70E9">
              <w:rPr>
                <w:sz w:val="17"/>
                <w:szCs w:val="17"/>
              </w:rPr>
              <w:t>6%</w:t>
            </w:r>
          </w:p>
        </w:tc>
        <w:tc>
          <w:tcPr>
            <w:tcW w:w="708" w:type="dxa"/>
            <w:noWrap/>
          </w:tcPr>
          <w:p w:rsidR="002D772C" w:rsidRPr="004E70E9" w:rsidRDefault="002D772C" w:rsidP="0049322C">
            <w:pPr>
              <w:pStyle w:val="ListParagraph1"/>
              <w:rPr>
                <w:sz w:val="17"/>
                <w:szCs w:val="17"/>
              </w:rPr>
            </w:pPr>
            <w:r w:rsidRPr="004E70E9">
              <w:rPr>
                <w:sz w:val="17"/>
                <w:szCs w:val="17"/>
              </w:rPr>
              <w:t>5%</w:t>
            </w:r>
          </w:p>
        </w:tc>
        <w:tc>
          <w:tcPr>
            <w:tcW w:w="709" w:type="dxa"/>
            <w:noWrap/>
          </w:tcPr>
          <w:p w:rsidR="002D772C" w:rsidRPr="004E70E9" w:rsidRDefault="002D772C" w:rsidP="0049322C">
            <w:pPr>
              <w:pStyle w:val="ListParagraph1"/>
              <w:rPr>
                <w:sz w:val="17"/>
                <w:szCs w:val="17"/>
              </w:rPr>
            </w:pPr>
            <w:r w:rsidRPr="004E70E9">
              <w:rPr>
                <w:sz w:val="17"/>
                <w:szCs w:val="17"/>
              </w:rPr>
              <w:t>5%</w:t>
            </w:r>
          </w:p>
        </w:tc>
        <w:tc>
          <w:tcPr>
            <w:tcW w:w="992" w:type="dxa"/>
            <w:noWrap/>
          </w:tcPr>
          <w:p w:rsidR="002D772C" w:rsidRPr="004E70E9" w:rsidRDefault="002D772C" w:rsidP="0049322C">
            <w:pPr>
              <w:pStyle w:val="ListParagraph1"/>
              <w:rPr>
                <w:sz w:val="17"/>
                <w:szCs w:val="17"/>
              </w:rPr>
            </w:pPr>
            <w:r w:rsidRPr="004E70E9">
              <w:rPr>
                <w:sz w:val="17"/>
                <w:szCs w:val="17"/>
              </w:rPr>
              <w:t>3%</w:t>
            </w:r>
          </w:p>
        </w:tc>
        <w:tc>
          <w:tcPr>
            <w:tcW w:w="851" w:type="dxa"/>
            <w:noWrap/>
          </w:tcPr>
          <w:p w:rsidR="002D772C" w:rsidRPr="004E70E9" w:rsidRDefault="002D772C" w:rsidP="0049322C">
            <w:pPr>
              <w:pStyle w:val="ListParagraph1"/>
              <w:rPr>
                <w:sz w:val="17"/>
                <w:szCs w:val="17"/>
              </w:rPr>
            </w:pPr>
            <w:r w:rsidRPr="004E70E9">
              <w:rPr>
                <w:sz w:val="17"/>
                <w:szCs w:val="17"/>
              </w:rPr>
              <w:t>4%</w:t>
            </w:r>
          </w:p>
        </w:tc>
        <w:tc>
          <w:tcPr>
            <w:tcW w:w="992" w:type="dxa"/>
            <w:noWrap/>
          </w:tcPr>
          <w:p w:rsidR="002D772C" w:rsidRPr="004E70E9" w:rsidRDefault="002D772C" w:rsidP="0049322C">
            <w:pPr>
              <w:pStyle w:val="ListParagraph1"/>
              <w:rPr>
                <w:sz w:val="17"/>
                <w:szCs w:val="17"/>
              </w:rPr>
            </w:pPr>
            <w:r w:rsidRPr="004E70E9">
              <w:rPr>
                <w:sz w:val="17"/>
                <w:szCs w:val="17"/>
              </w:rPr>
              <w:t>4%</w:t>
            </w:r>
          </w:p>
        </w:tc>
      </w:tr>
      <w:tr w:rsidR="002D772C" w:rsidRPr="004E70E9" w:rsidTr="004E70E9">
        <w:trPr>
          <w:trHeight w:val="296"/>
        </w:trPr>
        <w:tc>
          <w:tcPr>
            <w:tcW w:w="1446" w:type="dxa"/>
            <w:noWrap/>
          </w:tcPr>
          <w:p w:rsidR="002D772C" w:rsidRPr="004E70E9" w:rsidRDefault="002D772C" w:rsidP="0049322C">
            <w:pPr>
              <w:pStyle w:val="ListParagraph1"/>
              <w:rPr>
                <w:sz w:val="17"/>
                <w:szCs w:val="17"/>
                <w:lang w:val="pl-PL"/>
              </w:rPr>
            </w:pPr>
            <w:r w:rsidRPr="004E70E9">
              <w:rPr>
                <w:sz w:val="17"/>
                <w:szCs w:val="17"/>
                <w:lang w:val="pl-PL"/>
              </w:rPr>
              <w:t>Zonana-Nacach</w:t>
            </w:r>
            <w:r w:rsidR="00FD18C9" w:rsidRPr="004E70E9">
              <w:rPr>
                <w:sz w:val="17"/>
                <w:szCs w:val="17"/>
                <w:lang w:val="pl-PL"/>
              </w:rPr>
              <w:t xml:space="preserve"> </w:t>
            </w:r>
            <w:r w:rsidR="00E729BA" w:rsidRPr="004E70E9">
              <w:rPr>
                <w:sz w:val="17"/>
                <w:szCs w:val="17"/>
              </w:rPr>
              <w:fldChar w:fldCharType="begin"/>
            </w:r>
            <w:r w:rsidR="00FC61FD">
              <w:rPr>
                <w:sz w:val="17"/>
                <w:szCs w:val="17"/>
                <w:lang w:val="pl-PL"/>
              </w:rPr>
              <w:instrText xml:space="preserve"> ADDIN REFMGR.CITE &lt;Refman&gt;&lt;Cite&gt;&lt;Author&gt;Zonana-Nacach&lt;/Author&gt;&lt;Year&gt;2000&lt;/Year&gt;&lt;RecNum&gt;1034&lt;/RecNum&gt;&lt;IDText&gt;Damage in systemic lupus erythematosus and its association with corticosteroids&lt;/IDText&gt;&lt;MDL Ref_Type="Journal"&gt;&lt;Ref_Type&gt;Journal&lt;/Ref_Type&gt;&lt;Ref_ID&gt;1034&lt;/Ref_ID&gt;&lt;Title_Primary&gt;Damage in systemic lupus erythematosus and its association with corticosteroids&lt;/Title_Primary&gt;&lt;Authors_Primary&gt;Zonana-Nacach,A.&lt;/Authors_Primary&gt;&lt;Authors_Primary&gt;Barr,S.G.&lt;/Authors_Primary&gt;&lt;Authors_Primary&gt;Magder,L.S.&lt;/Authors_Primary&gt;&lt;Authors_Primary&gt;Petri,M.&lt;/Authors_Primary&gt;&lt;Date_Primary&gt;2000/8&lt;/Date_Primary&gt;&lt;Keywords&gt;administration &amp;amp; dosage&lt;/Keywords&gt;&lt;Keywords&gt;Administration,Oral&lt;/Keywords&gt;&lt;Keywords&gt;Adrenal Cortex Hormones&lt;/Keywords&gt;&lt;Keywords&gt;Adult&lt;/Keywords&gt;&lt;Keywords&gt;adverse effects&lt;/Keywords&gt;&lt;Keywords&gt;age&lt;/Keywords&gt;&lt;Keywords&gt;Arteries&lt;/Keywords&gt;&lt;Keywords&gt;Baltimore&lt;/Keywords&gt;&lt;Keywords&gt;Cardiovascular Diseases&lt;/Keywords&gt;&lt;Keywords&gt;Cataract&lt;/Keywords&gt;&lt;Keywords&gt;chemically induced&lt;/Keywords&gt;&lt;Keywords&gt;Cohort Studies&lt;/Keywords&gt;&lt;Keywords&gt;complications&lt;/Keywords&gt;&lt;Keywords&gt;confidence interval&lt;/Keywords&gt;&lt;Keywords&gt;Coronary Artery Disease&lt;/Keywords&gt;&lt;Keywords&gt;Disease&lt;/Keywords&gt;&lt;Keywords&gt;disease activity&lt;/Keywords&gt;&lt;Keywords&gt;drug effects&lt;/Keywords&gt;&lt;Keywords&gt;drug therapy&lt;/Keywords&gt;&lt;Keywords&gt;erythematosus&lt;/Keywords&gt;&lt;Keywords&gt;Female&lt;/Keywords&gt;&lt;Keywords&gt;Humans&lt;/Keywords&gt;&lt;Keywords&gt;Injections,Intravenous&lt;/Keywords&gt;&lt;Keywords&gt;Kidney&lt;/Keywords&gt;&lt;Keywords&gt;lupus erythematosus&lt;/Keywords&gt;&lt;Keywords&gt;Lupus Erythematosus,Systemic&lt;/Keywords&gt;&lt;Keywords&gt;Male&lt;/Keywords&gt;&lt;Keywords&gt;Maryland&lt;/Keywords&gt;&lt;Keywords&gt;methods&lt;/Keywords&gt;&lt;Keywords&gt;Methylprednisolone&lt;/Keywords&gt;&lt;Keywords&gt;Morbidity&lt;/Keywords&gt;&lt;Keywords&gt;Musculoskeletal System&lt;/Keywords&gt;&lt;Keywords&gt;Necrosis&lt;/Keywords&gt;&lt;Keywords&gt;Osteonecrosis&lt;/Keywords&gt;&lt;Keywords&gt;Osteoporosis&lt;/Keywords&gt;&lt;Keywords&gt;patient&lt;/Keywords&gt;&lt;Keywords&gt;Patients&lt;/Keywords&gt;&lt;Keywords&gt;Prednisone&lt;/Keywords&gt;&lt;Keywords&gt;race&lt;/Keywords&gt;&lt;Keywords&gt;Research&lt;/Keywords&gt;&lt;Keywords&gt;Rheumatology&lt;/Keywords&gt;&lt;Keywords&gt;Risk&lt;/Keywords&gt;&lt;Keywords&gt;sex&lt;/Keywords&gt;&lt;Keywords&gt;Stroke&lt;/Keywords&gt;&lt;Keywords&gt;systemic lupus erythematosus&lt;/Keywords&gt;&lt;Keywords&gt;therapeutic use&lt;/Keywords&gt;&lt;Keywords&gt;therapy&lt;/Keywords&gt;&lt;Reprint&gt;Not in File&lt;/Reprint&gt;&lt;Start_Page&gt;1801&lt;/Start_Page&gt;&lt;End_Page&gt;1808&lt;/End_Page&gt;&lt;Periodical&gt;Arthritis Rheum.&lt;/Periodical&gt;&lt;Volume&gt;43&lt;/Volume&gt;&lt;Issue&gt;8&lt;/Issue&gt;&lt;User_Def_1&gt;y&lt;/User_Def_1&gt;&lt;ZZ_JournalStdAbbrev&gt;&lt;f name="System"&gt;Arthritis Rheum.&lt;/f&gt;&lt;/ZZ_JournalStdAbbrev&gt;&lt;ZZ_WorkformID&gt;1&lt;/ZZ_WorkformID&gt;&lt;/MDL&gt;&lt;/Cite&gt;&lt;/Refman&gt;</w:instrText>
            </w:r>
            <w:r w:rsidR="00E729BA" w:rsidRPr="004E70E9">
              <w:rPr>
                <w:sz w:val="17"/>
                <w:szCs w:val="17"/>
              </w:rPr>
              <w:fldChar w:fldCharType="separate"/>
            </w:r>
            <w:r w:rsidR="004D7951">
              <w:rPr>
                <w:sz w:val="17"/>
                <w:szCs w:val="17"/>
                <w:lang w:val="pl-PL"/>
              </w:rPr>
              <w:t>(181)</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2000</w:t>
            </w:r>
          </w:p>
        </w:tc>
        <w:tc>
          <w:tcPr>
            <w:tcW w:w="709" w:type="dxa"/>
          </w:tcPr>
          <w:p w:rsidR="002D772C" w:rsidRPr="004E70E9" w:rsidRDefault="002D772C" w:rsidP="0049322C">
            <w:pPr>
              <w:pStyle w:val="ListParagraph1"/>
              <w:rPr>
                <w:sz w:val="17"/>
                <w:szCs w:val="17"/>
              </w:rPr>
            </w:pPr>
            <w:r w:rsidRPr="004E70E9">
              <w:rPr>
                <w:sz w:val="17"/>
                <w:szCs w:val="17"/>
              </w:rPr>
              <w:t>539</w:t>
            </w:r>
          </w:p>
        </w:tc>
        <w:tc>
          <w:tcPr>
            <w:tcW w:w="850" w:type="dxa"/>
            <w:noWrap/>
          </w:tcPr>
          <w:p w:rsidR="002D772C" w:rsidRPr="004E70E9" w:rsidRDefault="002D772C" w:rsidP="0049322C">
            <w:pPr>
              <w:pStyle w:val="ListParagraph1"/>
              <w:rPr>
                <w:sz w:val="17"/>
                <w:szCs w:val="17"/>
              </w:rPr>
            </w:pPr>
            <w:r w:rsidRPr="004E70E9">
              <w:rPr>
                <w:sz w:val="17"/>
                <w:szCs w:val="17"/>
              </w:rPr>
              <w:t>22%</w:t>
            </w:r>
          </w:p>
        </w:tc>
        <w:tc>
          <w:tcPr>
            <w:tcW w:w="851" w:type="dxa"/>
            <w:noWrap/>
          </w:tcPr>
          <w:p w:rsidR="002D772C" w:rsidRPr="004E70E9" w:rsidRDefault="002D772C" w:rsidP="0049322C">
            <w:pPr>
              <w:pStyle w:val="ListParagraph1"/>
              <w:rPr>
                <w:sz w:val="17"/>
                <w:szCs w:val="17"/>
              </w:rPr>
            </w:pPr>
            <w:r w:rsidRPr="004E70E9">
              <w:rPr>
                <w:sz w:val="17"/>
                <w:szCs w:val="17"/>
              </w:rPr>
              <w:t>9%</w:t>
            </w:r>
          </w:p>
        </w:tc>
        <w:tc>
          <w:tcPr>
            <w:tcW w:w="850" w:type="dxa"/>
            <w:noWrap/>
          </w:tcPr>
          <w:p w:rsidR="002D772C" w:rsidRPr="004E70E9" w:rsidRDefault="002D772C" w:rsidP="0049322C">
            <w:pPr>
              <w:pStyle w:val="ListParagraph1"/>
              <w:rPr>
                <w:sz w:val="17"/>
                <w:szCs w:val="17"/>
              </w:rPr>
            </w:pPr>
            <w:r w:rsidRPr="004E70E9">
              <w:rPr>
                <w:sz w:val="17"/>
                <w:szCs w:val="17"/>
              </w:rPr>
              <w:t>20%</w:t>
            </w:r>
          </w:p>
        </w:tc>
        <w:tc>
          <w:tcPr>
            <w:tcW w:w="1134" w:type="dxa"/>
            <w:noWrap/>
          </w:tcPr>
          <w:p w:rsidR="002D772C" w:rsidRPr="004E70E9" w:rsidRDefault="002D772C" w:rsidP="0049322C">
            <w:pPr>
              <w:pStyle w:val="ListParagraph1"/>
              <w:rPr>
                <w:sz w:val="17"/>
                <w:szCs w:val="17"/>
              </w:rPr>
            </w:pPr>
            <w:r w:rsidRPr="004E70E9">
              <w:rPr>
                <w:sz w:val="17"/>
                <w:szCs w:val="17"/>
              </w:rPr>
              <w:t>6%</w:t>
            </w:r>
          </w:p>
        </w:tc>
        <w:tc>
          <w:tcPr>
            <w:tcW w:w="709" w:type="dxa"/>
            <w:noWrap/>
          </w:tcPr>
          <w:p w:rsidR="002D772C" w:rsidRPr="004E70E9" w:rsidRDefault="002D772C" w:rsidP="0049322C">
            <w:pPr>
              <w:pStyle w:val="ListParagraph1"/>
              <w:rPr>
                <w:sz w:val="17"/>
                <w:szCs w:val="17"/>
              </w:rPr>
            </w:pPr>
            <w:r w:rsidRPr="004E70E9">
              <w:rPr>
                <w:sz w:val="17"/>
                <w:szCs w:val="17"/>
              </w:rPr>
              <w:t>13%</w:t>
            </w:r>
          </w:p>
        </w:tc>
        <w:tc>
          <w:tcPr>
            <w:tcW w:w="850" w:type="dxa"/>
            <w:noWrap/>
          </w:tcPr>
          <w:p w:rsidR="002D772C" w:rsidRPr="004E70E9" w:rsidRDefault="002D772C" w:rsidP="0049322C">
            <w:pPr>
              <w:pStyle w:val="ListParagraph1"/>
              <w:rPr>
                <w:sz w:val="17"/>
                <w:szCs w:val="17"/>
              </w:rPr>
            </w:pPr>
            <w:r w:rsidRPr="004E70E9">
              <w:rPr>
                <w:sz w:val="17"/>
                <w:szCs w:val="17"/>
              </w:rPr>
              <w:t>15%</w:t>
            </w:r>
          </w:p>
        </w:tc>
        <w:tc>
          <w:tcPr>
            <w:tcW w:w="993" w:type="dxa"/>
            <w:noWrap/>
          </w:tcPr>
          <w:p w:rsidR="002D772C" w:rsidRPr="004E70E9" w:rsidRDefault="002D772C" w:rsidP="0049322C">
            <w:pPr>
              <w:pStyle w:val="ListParagraph1"/>
              <w:rPr>
                <w:sz w:val="17"/>
                <w:szCs w:val="17"/>
              </w:rPr>
            </w:pPr>
            <w:r w:rsidRPr="004E70E9">
              <w:rPr>
                <w:sz w:val="17"/>
                <w:szCs w:val="17"/>
              </w:rPr>
              <w:t>7%</w:t>
            </w:r>
          </w:p>
        </w:tc>
        <w:tc>
          <w:tcPr>
            <w:tcW w:w="708" w:type="dxa"/>
            <w:noWrap/>
          </w:tcPr>
          <w:p w:rsidR="002D772C" w:rsidRPr="004E70E9" w:rsidRDefault="002D772C" w:rsidP="0049322C">
            <w:pPr>
              <w:pStyle w:val="ListParagraph1"/>
              <w:rPr>
                <w:sz w:val="17"/>
                <w:szCs w:val="17"/>
              </w:rPr>
            </w:pPr>
            <w:r w:rsidRPr="004E70E9">
              <w:rPr>
                <w:sz w:val="17"/>
                <w:szCs w:val="17"/>
              </w:rPr>
              <w:t>4%</w:t>
            </w:r>
          </w:p>
        </w:tc>
        <w:tc>
          <w:tcPr>
            <w:tcW w:w="709" w:type="dxa"/>
            <w:noWrap/>
          </w:tcPr>
          <w:p w:rsidR="002D772C" w:rsidRPr="004E70E9" w:rsidRDefault="002D772C" w:rsidP="0049322C">
            <w:pPr>
              <w:pStyle w:val="ListParagraph1"/>
              <w:rPr>
                <w:sz w:val="17"/>
                <w:szCs w:val="17"/>
              </w:rPr>
            </w:pPr>
            <w:r w:rsidRPr="004E70E9">
              <w:rPr>
                <w:sz w:val="17"/>
                <w:szCs w:val="17"/>
              </w:rPr>
              <w:t>8%</w:t>
            </w:r>
          </w:p>
        </w:tc>
        <w:tc>
          <w:tcPr>
            <w:tcW w:w="992" w:type="dxa"/>
            <w:noWrap/>
          </w:tcPr>
          <w:p w:rsidR="002D772C" w:rsidRPr="004E70E9" w:rsidRDefault="002D772C" w:rsidP="0049322C">
            <w:pPr>
              <w:pStyle w:val="ListParagraph1"/>
              <w:rPr>
                <w:sz w:val="17"/>
                <w:szCs w:val="17"/>
              </w:rPr>
            </w:pPr>
            <w:r w:rsidRPr="004E70E9">
              <w:rPr>
                <w:sz w:val="17"/>
                <w:szCs w:val="17"/>
              </w:rPr>
              <w:t>2%</w:t>
            </w:r>
          </w:p>
        </w:tc>
        <w:tc>
          <w:tcPr>
            <w:tcW w:w="851" w:type="dxa"/>
            <w:noWrap/>
          </w:tcPr>
          <w:p w:rsidR="002D772C" w:rsidRPr="004E70E9" w:rsidRDefault="002D772C" w:rsidP="0049322C">
            <w:pPr>
              <w:pStyle w:val="ListParagraph1"/>
              <w:rPr>
                <w:sz w:val="17"/>
                <w:szCs w:val="17"/>
              </w:rPr>
            </w:pPr>
            <w:r w:rsidRPr="004E70E9">
              <w:rPr>
                <w:sz w:val="17"/>
                <w:szCs w:val="17"/>
              </w:rPr>
              <w:t>6%</w:t>
            </w:r>
          </w:p>
        </w:tc>
        <w:tc>
          <w:tcPr>
            <w:tcW w:w="992" w:type="dxa"/>
            <w:noWrap/>
          </w:tcPr>
          <w:p w:rsidR="002D772C" w:rsidRPr="004E70E9" w:rsidRDefault="002D772C" w:rsidP="0049322C">
            <w:pPr>
              <w:pStyle w:val="ListParagraph1"/>
              <w:rPr>
                <w:sz w:val="17"/>
                <w:szCs w:val="17"/>
              </w:rPr>
            </w:pPr>
            <w:r w:rsidRPr="004E70E9">
              <w:rPr>
                <w:sz w:val="17"/>
                <w:szCs w:val="17"/>
              </w:rPr>
              <w:t>3%</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 xml:space="preserve">Appenzeller </w:t>
            </w:r>
            <w:r w:rsidR="00E729BA" w:rsidRPr="004E70E9">
              <w:rPr>
                <w:sz w:val="17"/>
                <w:szCs w:val="17"/>
              </w:rPr>
              <w:fldChar w:fldCharType="begin"/>
            </w:r>
            <w:r w:rsidR="00FC61FD">
              <w:rPr>
                <w:sz w:val="17"/>
                <w:szCs w:val="17"/>
              </w:rPr>
              <w:instrText xml:space="preserve"> ADDIN REFMGR.CITE &lt;Refman&gt;&lt;Cite&gt;&lt;Author&gt;Appenzeller&lt;/Author&gt;&lt;Year&gt;2008&lt;/Year&gt;&lt;RecNum&gt;148&lt;/RecNum&gt;&lt;IDText&gt;Greater accrual damage in late-onset systemic lupus erythematosus: a long-term follow-up study&lt;/IDText&gt;&lt;MDL Ref_Type="Journal"&gt;&lt;Ref_Type&gt;Journal&lt;/Ref_Type&gt;&lt;Ref_ID&gt;148&lt;/Ref_ID&gt;&lt;Title_Primary&gt;Greater accrual damage in late-onset systemic lupus erythematosus: a long-term follow-up study&lt;/Title_Primary&gt;&lt;Authors_Primary&gt;Appenzeller,S.&lt;/Authors_Primary&gt;&lt;Authors_Primary&gt;Pereira,D.A.&lt;/Authors_Primary&gt;&lt;Authors_Primary&gt;Costallat,L.T.&lt;/Authors_Primary&gt;&lt;Date_Primary&gt;2008/11&lt;/Date_Primary&gt;&lt;Keywords&gt;age&lt;/Keywords&gt;&lt;Keywords&gt;Age of Onset&lt;/Keywords&gt;&lt;Keywords&gt;Aged&lt;/Keywords&gt;&lt;Keywords&gt;Arthritis&lt;/Keywords&gt;&lt;Keywords&gt;Brazil&lt;/Keywords&gt;&lt;Keywords&gt;Case-Control Studies&lt;/Keywords&gt;&lt;Keywords&gt;complications&lt;/Keywords&gt;&lt;Keywords&gt;Cyclophosphamide&lt;/Keywords&gt;&lt;Keywords&gt;diagnosis&lt;/Keywords&gt;&lt;Keywords&gt;Disease&lt;/Keywords&gt;&lt;Keywords&gt;disease activity&lt;/Keywords&gt;&lt;Keywords&gt;disease activity index&lt;/Keywords&gt;&lt;Keywords&gt;disease duration&lt;/Keywords&gt;&lt;Keywords&gt;erythematosus&lt;/Keywords&gt;&lt;Keywords&gt;Female&lt;/Keywords&gt;&lt;Keywords&gt;follow up&lt;/Keywords&gt;&lt;Keywords&gt;Follow-Up Studies&lt;/Keywords&gt;&lt;Keywords&gt;Humans&lt;/Keywords&gt;&lt;Keywords&gt;Hypertension&lt;/Keywords&gt;&lt;Keywords&gt;lupus erythematosus&lt;/Keywords&gt;&lt;Keywords&gt;Lupus Erythematosus,Systemic&lt;/Keywords&gt;&lt;Keywords&gt;Male&lt;/Keywords&gt;&lt;Keywords&gt;Middle Aged&lt;/Keywords&gt;&lt;Keywords&gt;mortality&lt;/Keywords&gt;&lt;Keywords&gt;patient&lt;/Keywords&gt;&lt;Keywords&gt;Patients&lt;/Keywords&gt;&lt;Keywords&gt;Rheumatology&lt;/Keywords&gt;&lt;Keywords&gt;Severity of Illness Index&lt;/Keywords&gt;&lt;Keywords&gt;sex&lt;/Keywords&gt;&lt;Keywords&gt;systemic lupus erythematosus&lt;/Keywords&gt;&lt;Keywords&gt;Time Factors&lt;/Keywords&gt;&lt;Reprint&gt;Not in File&lt;/Reprint&gt;&lt;Start_Page&gt;1023&lt;/Start_Page&gt;&lt;End_Page&gt;1028&lt;/End_Page&gt;&lt;Periodical&gt;Lupus.&lt;/Periodical&gt;&lt;Volume&gt;17&lt;/Volume&gt;&lt;Issue&gt;11&lt;/Issue&gt;&lt;User_Def_1&gt;y&lt;/User_Def_1&gt;&lt;ZZ_JournalStdAbbrev&gt;&lt;f name="System"&gt;Lupus.&lt;/f&gt;&lt;/ZZ_JournalStdAbbrev&gt;&lt;ZZ_WorkformID&gt;1&lt;/ZZ_WorkformID&gt;&lt;/MDL&gt;&lt;/Cite&gt;&lt;/Refman&gt;</w:instrText>
            </w:r>
            <w:r w:rsidR="00E729BA" w:rsidRPr="004E70E9">
              <w:rPr>
                <w:sz w:val="17"/>
                <w:szCs w:val="17"/>
              </w:rPr>
              <w:fldChar w:fldCharType="separate"/>
            </w:r>
            <w:r w:rsidR="004D7951">
              <w:rPr>
                <w:sz w:val="17"/>
                <w:szCs w:val="17"/>
              </w:rPr>
              <w:t>(182)</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2008</w:t>
            </w:r>
          </w:p>
        </w:tc>
        <w:tc>
          <w:tcPr>
            <w:tcW w:w="709" w:type="dxa"/>
          </w:tcPr>
          <w:p w:rsidR="002D772C" w:rsidRPr="004E70E9" w:rsidRDefault="002D772C" w:rsidP="0049322C">
            <w:pPr>
              <w:pStyle w:val="ListParagraph1"/>
              <w:rPr>
                <w:sz w:val="17"/>
                <w:szCs w:val="17"/>
              </w:rPr>
            </w:pPr>
            <w:r w:rsidRPr="004E70E9">
              <w:rPr>
                <w:sz w:val="17"/>
                <w:szCs w:val="17"/>
              </w:rPr>
              <w:t>560</w:t>
            </w:r>
          </w:p>
        </w:tc>
        <w:tc>
          <w:tcPr>
            <w:tcW w:w="850" w:type="dxa"/>
            <w:noWrap/>
          </w:tcPr>
          <w:p w:rsidR="002D772C" w:rsidRPr="004E70E9" w:rsidRDefault="002D772C" w:rsidP="0049322C">
            <w:pPr>
              <w:pStyle w:val="ListParagraph1"/>
              <w:rPr>
                <w:sz w:val="17"/>
                <w:szCs w:val="17"/>
              </w:rPr>
            </w:pPr>
            <w:r w:rsidRPr="004E70E9">
              <w:rPr>
                <w:sz w:val="17"/>
                <w:szCs w:val="17"/>
              </w:rPr>
              <w:t>16%</w:t>
            </w:r>
          </w:p>
        </w:tc>
        <w:tc>
          <w:tcPr>
            <w:tcW w:w="851" w:type="dxa"/>
            <w:noWrap/>
          </w:tcPr>
          <w:p w:rsidR="002D772C" w:rsidRPr="004E70E9" w:rsidRDefault="002D772C" w:rsidP="0049322C">
            <w:pPr>
              <w:pStyle w:val="ListParagraph1"/>
              <w:rPr>
                <w:sz w:val="17"/>
                <w:szCs w:val="17"/>
              </w:rPr>
            </w:pPr>
            <w:r w:rsidRPr="004E70E9">
              <w:rPr>
                <w:sz w:val="17"/>
                <w:szCs w:val="17"/>
              </w:rPr>
              <w:t>11%</w:t>
            </w:r>
          </w:p>
        </w:tc>
        <w:tc>
          <w:tcPr>
            <w:tcW w:w="850" w:type="dxa"/>
            <w:noWrap/>
          </w:tcPr>
          <w:p w:rsidR="002D772C" w:rsidRPr="004E70E9" w:rsidRDefault="002D772C" w:rsidP="0049322C">
            <w:pPr>
              <w:pStyle w:val="ListParagraph1"/>
              <w:rPr>
                <w:sz w:val="17"/>
                <w:szCs w:val="17"/>
              </w:rPr>
            </w:pPr>
            <w:r w:rsidRPr="004E70E9">
              <w:rPr>
                <w:sz w:val="17"/>
                <w:szCs w:val="17"/>
              </w:rPr>
              <w:t>20%</w:t>
            </w:r>
          </w:p>
        </w:tc>
        <w:tc>
          <w:tcPr>
            <w:tcW w:w="1134" w:type="dxa"/>
            <w:noWrap/>
          </w:tcPr>
          <w:p w:rsidR="002D772C" w:rsidRPr="004E70E9" w:rsidRDefault="002D772C" w:rsidP="0049322C">
            <w:pPr>
              <w:pStyle w:val="ListParagraph1"/>
              <w:rPr>
                <w:sz w:val="17"/>
                <w:szCs w:val="17"/>
              </w:rPr>
            </w:pPr>
            <w:r w:rsidRPr="004E70E9">
              <w:rPr>
                <w:sz w:val="17"/>
                <w:szCs w:val="17"/>
              </w:rPr>
              <w:t>5%</w:t>
            </w:r>
          </w:p>
        </w:tc>
        <w:tc>
          <w:tcPr>
            <w:tcW w:w="709" w:type="dxa"/>
            <w:noWrap/>
          </w:tcPr>
          <w:p w:rsidR="002D772C" w:rsidRPr="004E70E9" w:rsidRDefault="002D772C" w:rsidP="0049322C">
            <w:pPr>
              <w:pStyle w:val="ListParagraph1"/>
              <w:rPr>
                <w:sz w:val="17"/>
                <w:szCs w:val="17"/>
              </w:rPr>
            </w:pPr>
            <w:r w:rsidRPr="004E70E9">
              <w:rPr>
                <w:sz w:val="17"/>
                <w:szCs w:val="17"/>
              </w:rPr>
              <w:t>16%</w:t>
            </w:r>
          </w:p>
        </w:tc>
        <w:tc>
          <w:tcPr>
            <w:tcW w:w="850" w:type="dxa"/>
            <w:noWrap/>
          </w:tcPr>
          <w:p w:rsidR="002D772C" w:rsidRPr="004E70E9" w:rsidRDefault="002D772C" w:rsidP="0049322C">
            <w:pPr>
              <w:pStyle w:val="ListParagraph1"/>
              <w:rPr>
                <w:sz w:val="17"/>
                <w:szCs w:val="17"/>
              </w:rPr>
            </w:pPr>
            <w:r w:rsidRPr="004E70E9">
              <w:rPr>
                <w:sz w:val="17"/>
                <w:szCs w:val="17"/>
              </w:rPr>
              <w:t>8%</w:t>
            </w:r>
          </w:p>
        </w:tc>
        <w:tc>
          <w:tcPr>
            <w:tcW w:w="993" w:type="dxa"/>
            <w:noWrap/>
          </w:tcPr>
          <w:p w:rsidR="002D772C" w:rsidRPr="004E70E9" w:rsidRDefault="002D772C" w:rsidP="0049322C">
            <w:pPr>
              <w:pStyle w:val="ListParagraph1"/>
              <w:rPr>
                <w:sz w:val="17"/>
                <w:szCs w:val="17"/>
              </w:rPr>
            </w:pPr>
            <w:r w:rsidRPr="004E70E9">
              <w:rPr>
                <w:sz w:val="17"/>
                <w:szCs w:val="17"/>
              </w:rPr>
              <w:t>8%</w:t>
            </w:r>
          </w:p>
        </w:tc>
        <w:tc>
          <w:tcPr>
            <w:tcW w:w="708" w:type="dxa"/>
            <w:noWrap/>
          </w:tcPr>
          <w:p w:rsidR="002D772C" w:rsidRPr="004E70E9" w:rsidRDefault="002D772C" w:rsidP="0049322C">
            <w:pPr>
              <w:pStyle w:val="ListParagraph1"/>
              <w:rPr>
                <w:sz w:val="17"/>
                <w:szCs w:val="17"/>
              </w:rPr>
            </w:pPr>
            <w:r w:rsidRPr="004E70E9">
              <w:rPr>
                <w:sz w:val="17"/>
                <w:szCs w:val="17"/>
              </w:rPr>
              <w:t>5%</w:t>
            </w:r>
          </w:p>
        </w:tc>
        <w:tc>
          <w:tcPr>
            <w:tcW w:w="709" w:type="dxa"/>
            <w:noWrap/>
          </w:tcPr>
          <w:p w:rsidR="002D772C" w:rsidRPr="004E70E9" w:rsidRDefault="002D772C" w:rsidP="0049322C">
            <w:pPr>
              <w:pStyle w:val="ListParagraph1"/>
              <w:rPr>
                <w:sz w:val="17"/>
                <w:szCs w:val="17"/>
              </w:rPr>
            </w:pPr>
            <w:r w:rsidRPr="004E70E9">
              <w:rPr>
                <w:sz w:val="17"/>
                <w:szCs w:val="17"/>
              </w:rPr>
              <w:t>16%</w:t>
            </w:r>
          </w:p>
        </w:tc>
        <w:tc>
          <w:tcPr>
            <w:tcW w:w="992" w:type="dxa"/>
            <w:noWrap/>
          </w:tcPr>
          <w:p w:rsidR="002D772C" w:rsidRPr="004E70E9" w:rsidRDefault="002D772C" w:rsidP="0049322C">
            <w:pPr>
              <w:pStyle w:val="ListParagraph1"/>
              <w:rPr>
                <w:sz w:val="17"/>
                <w:szCs w:val="17"/>
              </w:rPr>
            </w:pPr>
            <w:r w:rsidRPr="004E70E9">
              <w:rPr>
                <w:sz w:val="17"/>
                <w:szCs w:val="17"/>
              </w:rPr>
              <w:t>4%</w:t>
            </w:r>
          </w:p>
        </w:tc>
        <w:tc>
          <w:tcPr>
            <w:tcW w:w="851" w:type="dxa"/>
            <w:noWrap/>
          </w:tcPr>
          <w:p w:rsidR="002D772C" w:rsidRPr="004E70E9" w:rsidRDefault="002D772C" w:rsidP="0049322C">
            <w:pPr>
              <w:pStyle w:val="ListParagraph1"/>
              <w:rPr>
                <w:sz w:val="17"/>
                <w:szCs w:val="17"/>
              </w:rPr>
            </w:pPr>
            <w:r w:rsidRPr="004E70E9">
              <w:rPr>
                <w:sz w:val="17"/>
                <w:szCs w:val="17"/>
              </w:rPr>
              <w:t>4%</w:t>
            </w:r>
          </w:p>
        </w:tc>
        <w:tc>
          <w:tcPr>
            <w:tcW w:w="992" w:type="dxa"/>
            <w:noWrap/>
          </w:tcPr>
          <w:p w:rsidR="002D772C" w:rsidRPr="004E70E9" w:rsidRDefault="002D772C" w:rsidP="0049322C">
            <w:pPr>
              <w:pStyle w:val="ListParagraph1"/>
              <w:rPr>
                <w:sz w:val="17"/>
                <w:szCs w:val="17"/>
              </w:rPr>
            </w:pPr>
            <w:r w:rsidRPr="004E70E9">
              <w:rPr>
                <w:sz w:val="17"/>
                <w:szCs w:val="17"/>
              </w:rPr>
              <w:t>4%</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Chambers</w:t>
            </w:r>
            <w:r w:rsidR="00FD18C9"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rsidRPr="004E70E9">
              <w:rPr>
                <w:sz w:val="17"/>
                <w:szCs w:val="17"/>
              </w:rPr>
              <w:fldChar w:fldCharType="separate"/>
            </w:r>
            <w:r w:rsidR="004D7951">
              <w:rPr>
                <w:sz w:val="17"/>
                <w:szCs w:val="17"/>
              </w:rPr>
              <w:t>(167)</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2009</w:t>
            </w:r>
          </w:p>
        </w:tc>
        <w:tc>
          <w:tcPr>
            <w:tcW w:w="709" w:type="dxa"/>
          </w:tcPr>
          <w:p w:rsidR="002D772C" w:rsidRPr="004E70E9" w:rsidRDefault="002D772C" w:rsidP="0049322C">
            <w:pPr>
              <w:pStyle w:val="ListParagraph1"/>
              <w:rPr>
                <w:sz w:val="17"/>
                <w:szCs w:val="17"/>
              </w:rPr>
            </w:pPr>
            <w:r w:rsidRPr="004E70E9">
              <w:rPr>
                <w:sz w:val="17"/>
                <w:szCs w:val="17"/>
              </w:rPr>
              <w:t>232</w:t>
            </w:r>
          </w:p>
        </w:tc>
        <w:tc>
          <w:tcPr>
            <w:tcW w:w="850" w:type="dxa"/>
            <w:noWrap/>
          </w:tcPr>
          <w:p w:rsidR="002D772C" w:rsidRPr="004E70E9" w:rsidRDefault="002D772C" w:rsidP="0049322C">
            <w:pPr>
              <w:pStyle w:val="ListParagraph1"/>
              <w:rPr>
                <w:sz w:val="17"/>
                <w:szCs w:val="17"/>
              </w:rPr>
            </w:pPr>
            <w:r w:rsidRPr="004E70E9">
              <w:rPr>
                <w:sz w:val="17"/>
                <w:szCs w:val="17"/>
              </w:rPr>
              <w:t>12.1%</w:t>
            </w:r>
          </w:p>
        </w:tc>
        <w:tc>
          <w:tcPr>
            <w:tcW w:w="851" w:type="dxa"/>
            <w:noWrap/>
          </w:tcPr>
          <w:p w:rsidR="002D772C" w:rsidRPr="004E70E9" w:rsidRDefault="002D772C" w:rsidP="0049322C">
            <w:pPr>
              <w:pStyle w:val="ListParagraph1"/>
              <w:rPr>
                <w:sz w:val="17"/>
                <w:szCs w:val="17"/>
              </w:rPr>
            </w:pPr>
            <w:r w:rsidRPr="004E70E9">
              <w:rPr>
                <w:sz w:val="17"/>
                <w:szCs w:val="17"/>
              </w:rPr>
              <w:t>4.7%</w:t>
            </w:r>
          </w:p>
        </w:tc>
        <w:tc>
          <w:tcPr>
            <w:tcW w:w="850" w:type="dxa"/>
            <w:noWrap/>
          </w:tcPr>
          <w:p w:rsidR="002D772C" w:rsidRPr="004E70E9" w:rsidRDefault="002D772C" w:rsidP="0049322C">
            <w:pPr>
              <w:pStyle w:val="ListParagraph1"/>
              <w:rPr>
                <w:sz w:val="17"/>
                <w:szCs w:val="17"/>
              </w:rPr>
            </w:pPr>
            <w:r w:rsidRPr="004E70E9">
              <w:rPr>
                <w:sz w:val="17"/>
                <w:szCs w:val="17"/>
              </w:rPr>
              <w:t>14.7%</w:t>
            </w:r>
          </w:p>
        </w:tc>
        <w:tc>
          <w:tcPr>
            <w:tcW w:w="1134" w:type="dxa"/>
            <w:noWrap/>
          </w:tcPr>
          <w:p w:rsidR="002D772C" w:rsidRPr="004E70E9" w:rsidRDefault="002D772C" w:rsidP="0049322C">
            <w:pPr>
              <w:pStyle w:val="ListParagraph1"/>
              <w:rPr>
                <w:sz w:val="17"/>
                <w:szCs w:val="17"/>
              </w:rPr>
            </w:pPr>
            <w:r w:rsidRPr="004E70E9">
              <w:rPr>
                <w:sz w:val="17"/>
                <w:szCs w:val="17"/>
              </w:rPr>
              <w:t>4.7%</w:t>
            </w:r>
          </w:p>
        </w:tc>
        <w:tc>
          <w:tcPr>
            <w:tcW w:w="709" w:type="dxa"/>
            <w:noWrap/>
          </w:tcPr>
          <w:p w:rsidR="002D772C" w:rsidRPr="004E70E9" w:rsidRDefault="002D772C" w:rsidP="0049322C">
            <w:pPr>
              <w:pStyle w:val="ListParagraph1"/>
              <w:rPr>
                <w:sz w:val="17"/>
                <w:szCs w:val="17"/>
              </w:rPr>
            </w:pPr>
            <w:r w:rsidRPr="004E70E9">
              <w:rPr>
                <w:sz w:val="17"/>
                <w:szCs w:val="17"/>
              </w:rPr>
              <w:t>1.3%</w:t>
            </w:r>
          </w:p>
        </w:tc>
        <w:tc>
          <w:tcPr>
            <w:tcW w:w="850" w:type="dxa"/>
            <w:noWrap/>
          </w:tcPr>
          <w:p w:rsidR="002D772C" w:rsidRPr="004E70E9" w:rsidRDefault="002D772C" w:rsidP="0049322C">
            <w:pPr>
              <w:pStyle w:val="ListParagraph1"/>
              <w:rPr>
                <w:sz w:val="17"/>
                <w:szCs w:val="17"/>
              </w:rPr>
            </w:pPr>
            <w:r w:rsidRPr="004E70E9">
              <w:rPr>
                <w:sz w:val="17"/>
                <w:szCs w:val="17"/>
              </w:rPr>
              <w:t>12.9%</w:t>
            </w:r>
          </w:p>
        </w:tc>
        <w:tc>
          <w:tcPr>
            <w:tcW w:w="993" w:type="dxa"/>
            <w:noWrap/>
          </w:tcPr>
          <w:p w:rsidR="002D772C" w:rsidRPr="004E70E9" w:rsidRDefault="002D772C" w:rsidP="0049322C">
            <w:pPr>
              <w:pStyle w:val="ListParagraph1"/>
              <w:rPr>
                <w:sz w:val="17"/>
                <w:szCs w:val="17"/>
              </w:rPr>
            </w:pPr>
            <w:r w:rsidRPr="004E70E9">
              <w:rPr>
                <w:sz w:val="17"/>
                <w:szCs w:val="17"/>
              </w:rPr>
              <w:t>3.4%</w:t>
            </w:r>
          </w:p>
        </w:tc>
        <w:tc>
          <w:tcPr>
            <w:tcW w:w="708" w:type="dxa"/>
            <w:noWrap/>
          </w:tcPr>
          <w:p w:rsidR="002D772C" w:rsidRPr="004E70E9" w:rsidRDefault="002D772C" w:rsidP="0049322C">
            <w:pPr>
              <w:pStyle w:val="ListParagraph1"/>
              <w:rPr>
                <w:sz w:val="17"/>
                <w:szCs w:val="17"/>
              </w:rPr>
            </w:pPr>
            <w:r w:rsidRPr="004E70E9">
              <w:rPr>
                <w:sz w:val="17"/>
                <w:szCs w:val="17"/>
              </w:rPr>
              <w:t>3.4%</w:t>
            </w:r>
          </w:p>
        </w:tc>
        <w:tc>
          <w:tcPr>
            <w:tcW w:w="709" w:type="dxa"/>
            <w:noWrap/>
          </w:tcPr>
          <w:p w:rsidR="002D772C" w:rsidRPr="004E70E9" w:rsidRDefault="002D772C" w:rsidP="0049322C">
            <w:pPr>
              <w:pStyle w:val="ListParagraph1"/>
              <w:rPr>
                <w:sz w:val="17"/>
                <w:szCs w:val="17"/>
              </w:rPr>
            </w:pPr>
            <w:r w:rsidRPr="004E70E9">
              <w:rPr>
                <w:sz w:val="17"/>
                <w:szCs w:val="17"/>
              </w:rPr>
              <w:t>5.2%</w:t>
            </w:r>
          </w:p>
        </w:tc>
        <w:tc>
          <w:tcPr>
            <w:tcW w:w="992" w:type="dxa"/>
            <w:noWrap/>
          </w:tcPr>
          <w:p w:rsidR="002D772C" w:rsidRPr="004E70E9" w:rsidRDefault="002D772C" w:rsidP="0049322C">
            <w:pPr>
              <w:pStyle w:val="ListParagraph1"/>
              <w:rPr>
                <w:sz w:val="17"/>
                <w:szCs w:val="17"/>
              </w:rPr>
            </w:pPr>
            <w:r w:rsidRPr="004E70E9">
              <w:rPr>
                <w:sz w:val="17"/>
                <w:szCs w:val="17"/>
              </w:rPr>
              <w:t>0.4%</w:t>
            </w:r>
          </w:p>
        </w:tc>
        <w:tc>
          <w:tcPr>
            <w:tcW w:w="851" w:type="dxa"/>
            <w:noWrap/>
          </w:tcPr>
          <w:p w:rsidR="002D772C" w:rsidRPr="004E70E9" w:rsidRDefault="002D772C" w:rsidP="0049322C">
            <w:pPr>
              <w:pStyle w:val="ListParagraph1"/>
              <w:rPr>
                <w:sz w:val="17"/>
                <w:szCs w:val="17"/>
              </w:rPr>
            </w:pPr>
            <w:r w:rsidRPr="004E70E9">
              <w:rPr>
                <w:sz w:val="17"/>
                <w:szCs w:val="17"/>
              </w:rPr>
              <w:t>0.4%</w:t>
            </w:r>
          </w:p>
        </w:tc>
        <w:tc>
          <w:tcPr>
            <w:tcW w:w="992" w:type="dxa"/>
            <w:noWrap/>
          </w:tcPr>
          <w:p w:rsidR="002D772C" w:rsidRPr="004E70E9" w:rsidRDefault="002D772C" w:rsidP="0049322C">
            <w:pPr>
              <w:pStyle w:val="ListParagraph1"/>
              <w:rPr>
                <w:sz w:val="17"/>
                <w:szCs w:val="17"/>
              </w:rPr>
            </w:pPr>
            <w:r w:rsidRPr="004E70E9">
              <w:rPr>
                <w:sz w:val="17"/>
                <w:szCs w:val="17"/>
              </w:rPr>
              <w:t>2.2%</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Gilboe</w:t>
            </w:r>
            <w:r w:rsidR="00FD18C9"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&lt;Refman&gt;&lt;Cite&gt;&lt;Author&gt;Gilboe&lt;/Author&gt;&lt;Year&gt;2001&lt;/Year&gt;&lt;RecNum&gt;989&lt;/RecNum&gt;&lt;IDText&gt;Disease course in systemic lupus erythematosus: changes in health status, disease activity, and organ damage after 2 years&lt;/IDText&gt;&lt;MDL Ref_Type="Journal"&gt;&lt;Ref_Type&gt;Journal&lt;/Ref_Type&gt;&lt;Ref_ID&gt;989&lt;/Ref_ID&gt;&lt;Title_Primary&gt;Disease course in systemic lupus erythematosus: changes in health status, disease activity, and organ damage after 2 years&lt;/Title_Primary&gt;&lt;Authors_Primary&gt;Gilboe,I.M.&lt;/Authors_Primary&gt;&lt;Authors_Primary&gt;Kvien,T.K.&lt;/Authors_Primary&gt;&lt;Authors_Primary&gt;Husby,G.&lt;/Authors_Primary&gt;&lt;Date_Primary&gt;2001/2&lt;/Date_Primary&gt;&lt;Keywords&gt;Adolescent&lt;/Keywords&gt;&lt;Keywords&gt;Adult&lt;/Keywords&gt;&lt;Keywords&gt;Age Factors&lt;/Keywords&gt;&lt;Keywords&gt;Aged&lt;/Keywords&gt;&lt;Keywords&gt;Aged,80 and over&lt;/Keywords&gt;&lt;Keywords&gt;Arthritis&lt;/Keywords&gt;&lt;Keywords&gt;Arthritis,Rheumatoid&lt;/Keywords&gt;&lt;Keywords&gt;Disease&lt;/Keywords&gt;&lt;Keywords&gt;Disease Progression&lt;/Keywords&gt;&lt;Keywords&gt;erythematosus&lt;/Keywords&gt;&lt;Keywords&gt;Fatigue&lt;/Keywords&gt;&lt;Keywords&gt;Female&lt;/Keywords&gt;&lt;Keywords&gt;Follow-Up Studies&lt;/Keywords&gt;&lt;Keywords&gt;Health&lt;/Keywords&gt;&lt;Keywords&gt;Health Status&lt;/Keywords&gt;&lt;Keywords&gt;hospital&lt;/Keywords&gt;&lt;Keywords&gt;Humans&lt;/Keywords&gt;&lt;Keywords&gt;lupus erythematosus&lt;/Keywords&gt;&lt;Keywords&gt;Lupus Erythematosus,Systemic&lt;/Keywords&gt;&lt;Keywords&gt;Male&lt;/Keywords&gt;&lt;Keywords&gt;methods&lt;/Keywords&gt;&lt;Keywords&gt;Middle Aged&lt;/Keywords&gt;&lt;Keywords&gt;Pain&lt;/Keywords&gt;&lt;Keywords&gt;Pain Measurement&lt;/Keywords&gt;&lt;Keywords&gt;pathology&lt;/Keywords&gt;&lt;Keywords&gt;patient&lt;/Keywords&gt;&lt;Keywords&gt;Patients&lt;/Keywords&gt;&lt;Keywords&gt;physiopathology&lt;/Keywords&gt;&lt;Keywords&gt;population&lt;/Keywords&gt;&lt;Keywords&gt;Predictive Value of Tests&lt;/Keywords&gt;&lt;Keywords&gt;Rheumatic Diseases&lt;/Keywords&gt;&lt;Keywords&gt;Rheumatology&lt;/Keywords&gt;&lt;Keywords&gt;Sex Factors&lt;/Keywords&gt;&lt;Keywords&gt;systemic lupus erythematosus&lt;/Keywords&gt;&lt;Keywords&gt;Time&lt;/Keywords&gt;&lt;Keywords&gt;Time Factors&lt;/Keywords&gt;&lt;Reprint&gt;Not in File&lt;/Reprint&gt;&lt;Start_Page&gt;266&lt;/Start_Page&gt;&lt;End_Page&gt;274&lt;/End_Page&gt;&lt;Periodical&gt;J.Rheumatol.&lt;/Periodical&gt;&lt;Volume&gt;28&lt;/Volume&gt;&lt;Issue&gt;2&lt;/Issue&gt;&lt;User_Def_1&gt;y&lt;/User_Def_1&gt;&lt;ZZ_JournalStdAbbrev&gt;&lt;f name="System"&gt;J.Rheumatol.&lt;/f&gt;&lt;/ZZ_JournalStdAbbrev&gt;&lt;ZZ_WorkformID&gt;1&lt;/ZZ_WorkformID&gt;&lt;/MDL&gt;&lt;/Cite&gt;&lt;/Refman&gt;</w:instrText>
            </w:r>
            <w:r w:rsidR="00E729BA" w:rsidRPr="004E70E9">
              <w:rPr>
                <w:sz w:val="17"/>
                <w:szCs w:val="17"/>
              </w:rPr>
              <w:fldChar w:fldCharType="separate"/>
            </w:r>
            <w:r w:rsidR="004D7951">
              <w:rPr>
                <w:sz w:val="17"/>
                <w:szCs w:val="17"/>
              </w:rPr>
              <w:t>(177)</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2001</w:t>
            </w:r>
          </w:p>
        </w:tc>
        <w:tc>
          <w:tcPr>
            <w:tcW w:w="709" w:type="dxa"/>
          </w:tcPr>
          <w:p w:rsidR="002D772C" w:rsidRPr="004E70E9" w:rsidRDefault="002D772C" w:rsidP="0049322C">
            <w:pPr>
              <w:pStyle w:val="ListParagraph1"/>
              <w:rPr>
                <w:sz w:val="17"/>
                <w:szCs w:val="17"/>
              </w:rPr>
            </w:pPr>
            <w:r w:rsidRPr="004E70E9">
              <w:rPr>
                <w:sz w:val="17"/>
                <w:szCs w:val="17"/>
              </w:rPr>
              <w:t>93</w:t>
            </w:r>
          </w:p>
        </w:tc>
        <w:tc>
          <w:tcPr>
            <w:tcW w:w="850" w:type="dxa"/>
            <w:noWrap/>
          </w:tcPr>
          <w:p w:rsidR="002D772C" w:rsidRPr="004E70E9" w:rsidRDefault="002D772C" w:rsidP="0049322C">
            <w:pPr>
              <w:pStyle w:val="ListParagraph1"/>
              <w:rPr>
                <w:sz w:val="17"/>
                <w:szCs w:val="17"/>
              </w:rPr>
            </w:pPr>
            <w:r w:rsidRPr="004E70E9">
              <w:rPr>
                <w:sz w:val="17"/>
                <w:szCs w:val="17"/>
              </w:rPr>
              <w:t>37%</w:t>
            </w:r>
          </w:p>
        </w:tc>
        <w:tc>
          <w:tcPr>
            <w:tcW w:w="851" w:type="dxa"/>
            <w:noWrap/>
          </w:tcPr>
          <w:p w:rsidR="002D772C" w:rsidRPr="004E70E9" w:rsidRDefault="002D772C" w:rsidP="0049322C">
            <w:pPr>
              <w:pStyle w:val="ListParagraph1"/>
              <w:rPr>
                <w:sz w:val="17"/>
                <w:szCs w:val="17"/>
              </w:rPr>
            </w:pPr>
            <w:r w:rsidRPr="004E70E9">
              <w:rPr>
                <w:sz w:val="17"/>
                <w:szCs w:val="17"/>
              </w:rPr>
              <w:t>23%</w:t>
            </w:r>
          </w:p>
        </w:tc>
        <w:tc>
          <w:tcPr>
            <w:tcW w:w="850" w:type="dxa"/>
            <w:noWrap/>
          </w:tcPr>
          <w:p w:rsidR="002D772C" w:rsidRPr="004E70E9" w:rsidRDefault="002D772C" w:rsidP="0049322C">
            <w:pPr>
              <w:pStyle w:val="ListParagraph1"/>
              <w:rPr>
                <w:sz w:val="17"/>
                <w:szCs w:val="17"/>
              </w:rPr>
            </w:pPr>
            <w:r w:rsidRPr="004E70E9">
              <w:rPr>
                <w:sz w:val="17"/>
                <w:szCs w:val="17"/>
              </w:rPr>
              <w:t>28%</w:t>
            </w:r>
          </w:p>
        </w:tc>
        <w:tc>
          <w:tcPr>
            <w:tcW w:w="1134" w:type="dxa"/>
            <w:noWrap/>
          </w:tcPr>
          <w:p w:rsidR="002D772C" w:rsidRPr="004E70E9" w:rsidRDefault="002D772C" w:rsidP="0049322C">
            <w:pPr>
              <w:pStyle w:val="ListParagraph1"/>
              <w:rPr>
                <w:sz w:val="17"/>
                <w:szCs w:val="17"/>
              </w:rPr>
            </w:pPr>
            <w:r w:rsidRPr="004E70E9">
              <w:rPr>
                <w:sz w:val="17"/>
                <w:szCs w:val="17"/>
              </w:rPr>
              <w:t>8%</w:t>
            </w:r>
          </w:p>
        </w:tc>
        <w:tc>
          <w:tcPr>
            <w:tcW w:w="709" w:type="dxa"/>
            <w:noWrap/>
          </w:tcPr>
          <w:p w:rsidR="002D772C" w:rsidRPr="004E70E9" w:rsidRDefault="002D772C" w:rsidP="0049322C">
            <w:pPr>
              <w:pStyle w:val="ListParagraph1"/>
              <w:rPr>
                <w:sz w:val="17"/>
                <w:szCs w:val="17"/>
              </w:rPr>
            </w:pPr>
            <w:r w:rsidRPr="004E70E9">
              <w:rPr>
                <w:sz w:val="17"/>
                <w:szCs w:val="17"/>
              </w:rPr>
              <w:t>11%</w:t>
            </w:r>
          </w:p>
        </w:tc>
        <w:tc>
          <w:tcPr>
            <w:tcW w:w="850" w:type="dxa"/>
            <w:noWrap/>
          </w:tcPr>
          <w:p w:rsidR="002D772C" w:rsidRPr="004E70E9" w:rsidRDefault="002D772C" w:rsidP="0049322C">
            <w:pPr>
              <w:pStyle w:val="ListParagraph1"/>
              <w:rPr>
                <w:sz w:val="17"/>
                <w:szCs w:val="17"/>
              </w:rPr>
            </w:pPr>
            <w:r w:rsidRPr="004E70E9">
              <w:rPr>
                <w:sz w:val="17"/>
                <w:szCs w:val="17"/>
              </w:rPr>
              <w:t>8%</w:t>
            </w:r>
          </w:p>
        </w:tc>
        <w:tc>
          <w:tcPr>
            <w:tcW w:w="993" w:type="dxa"/>
            <w:noWrap/>
          </w:tcPr>
          <w:p w:rsidR="002D772C" w:rsidRPr="004E70E9" w:rsidRDefault="002D772C" w:rsidP="0049322C">
            <w:pPr>
              <w:pStyle w:val="ListParagraph1"/>
              <w:rPr>
                <w:sz w:val="17"/>
                <w:szCs w:val="17"/>
              </w:rPr>
            </w:pPr>
            <w:r w:rsidRPr="004E70E9">
              <w:rPr>
                <w:sz w:val="17"/>
                <w:szCs w:val="17"/>
              </w:rPr>
              <w:t>20%</w:t>
            </w:r>
          </w:p>
        </w:tc>
        <w:tc>
          <w:tcPr>
            <w:tcW w:w="708" w:type="dxa"/>
            <w:noWrap/>
          </w:tcPr>
          <w:p w:rsidR="002D772C" w:rsidRPr="004E70E9" w:rsidRDefault="002D772C" w:rsidP="0049322C">
            <w:pPr>
              <w:pStyle w:val="ListParagraph1"/>
              <w:rPr>
                <w:sz w:val="17"/>
                <w:szCs w:val="17"/>
              </w:rPr>
            </w:pPr>
            <w:r w:rsidRPr="004E70E9">
              <w:rPr>
                <w:sz w:val="17"/>
                <w:szCs w:val="17"/>
              </w:rPr>
              <w:t>5%</w:t>
            </w:r>
          </w:p>
        </w:tc>
        <w:tc>
          <w:tcPr>
            <w:tcW w:w="709" w:type="dxa"/>
            <w:noWrap/>
          </w:tcPr>
          <w:p w:rsidR="002D772C" w:rsidRPr="004E70E9" w:rsidRDefault="002D772C" w:rsidP="0049322C">
            <w:pPr>
              <w:pStyle w:val="ListParagraph1"/>
              <w:rPr>
                <w:sz w:val="17"/>
                <w:szCs w:val="17"/>
              </w:rPr>
            </w:pPr>
            <w:r w:rsidRPr="004E70E9">
              <w:rPr>
                <w:sz w:val="17"/>
                <w:szCs w:val="17"/>
              </w:rPr>
              <w:t>11%</w:t>
            </w:r>
          </w:p>
        </w:tc>
        <w:tc>
          <w:tcPr>
            <w:tcW w:w="992" w:type="dxa"/>
            <w:noWrap/>
          </w:tcPr>
          <w:p w:rsidR="002D772C" w:rsidRPr="004E70E9" w:rsidRDefault="002D772C" w:rsidP="0049322C">
            <w:pPr>
              <w:pStyle w:val="ListParagraph1"/>
              <w:rPr>
                <w:sz w:val="17"/>
                <w:szCs w:val="17"/>
              </w:rPr>
            </w:pPr>
            <w:r w:rsidRPr="004E70E9">
              <w:rPr>
                <w:sz w:val="17"/>
                <w:szCs w:val="17"/>
              </w:rPr>
              <w:t>4%</w:t>
            </w:r>
          </w:p>
        </w:tc>
        <w:tc>
          <w:tcPr>
            <w:tcW w:w="851" w:type="dxa"/>
            <w:noWrap/>
          </w:tcPr>
          <w:p w:rsidR="002D772C" w:rsidRPr="004E70E9" w:rsidRDefault="002D772C" w:rsidP="0049322C">
            <w:pPr>
              <w:pStyle w:val="ListParagraph1"/>
              <w:rPr>
                <w:sz w:val="17"/>
                <w:szCs w:val="17"/>
              </w:rPr>
            </w:pPr>
            <w:r w:rsidRPr="004E70E9">
              <w:rPr>
                <w:sz w:val="17"/>
                <w:szCs w:val="17"/>
              </w:rPr>
              <w:t>2%</w:t>
            </w:r>
          </w:p>
        </w:tc>
        <w:tc>
          <w:tcPr>
            <w:tcW w:w="992" w:type="dxa"/>
            <w:noWrap/>
          </w:tcPr>
          <w:p w:rsidR="002D772C" w:rsidRPr="004E70E9" w:rsidRDefault="002D772C" w:rsidP="0049322C">
            <w:pPr>
              <w:pStyle w:val="ListParagraph1"/>
              <w:rPr>
                <w:sz w:val="17"/>
                <w:szCs w:val="17"/>
              </w:rPr>
            </w:pPr>
            <w:r w:rsidRPr="004E70E9">
              <w:rPr>
                <w:sz w:val="17"/>
                <w:szCs w:val="17"/>
              </w:rPr>
              <w:t>5%</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Gladman</w:t>
            </w:r>
            <w:r w:rsidR="00FD18C9"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rsidRPr="004E70E9">
              <w:rPr>
                <w:sz w:val="17"/>
                <w:szCs w:val="17"/>
              </w:rPr>
              <w:fldChar w:fldCharType="separate"/>
            </w:r>
            <w:r w:rsidR="004D7951">
              <w:rPr>
                <w:sz w:val="17"/>
                <w:szCs w:val="17"/>
              </w:rPr>
              <w:t>(169)</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2003</w:t>
            </w:r>
          </w:p>
        </w:tc>
        <w:tc>
          <w:tcPr>
            <w:tcW w:w="709" w:type="dxa"/>
          </w:tcPr>
          <w:p w:rsidR="002D772C" w:rsidRPr="004E70E9" w:rsidRDefault="002D772C" w:rsidP="0049322C">
            <w:pPr>
              <w:pStyle w:val="ListParagraph1"/>
              <w:rPr>
                <w:sz w:val="17"/>
                <w:szCs w:val="17"/>
              </w:rPr>
            </w:pPr>
            <w:r w:rsidRPr="004E70E9">
              <w:rPr>
                <w:sz w:val="17"/>
                <w:szCs w:val="17"/>
              </w:rPr>
              <w:t>73</w:t>
            </w:r>
          </w:p>
        </w:tc>
        <w:tc>
          <w:tcPr>
            <w:tcW w:w="850" w:type="dxa"/>
            <w:noWrap/>
          </w:tcPr>
          <w:p w:rsidR="002D772C" w:rsidRPr="004E70E9" w:rsidRDefault="002D772C" w:rsidP="0049322C">
            <w:pPr>
              <w:pStyle w:val="ListParagraph1"/>
              <w:rPr>
                <w:sz w:val="17"/>
                <w:szCs w:val="17"/>
              </w:rPr>
            </w:pPr>
            <w:r w:rsidRPr="004E70E9">
              <w:rPr>
                <w:sz w:val="17"/>
                <w:szCs w:val="17"/>
              </w:rPr>
              <w:t>54.7%</w:t>
            </w:r>
          </w:p>
        </w:tc>
        <w:tc>
          <w:tcPr>
            <w:tcW w:w="851" w:type="dxa"/>
            <w:noWrap/>
          </w:tcPr>
          <w:p w:rsidR="002D772C" w:rsidRPr="004E70E9" w:rsidRDefault="002D772C" w:rsidP="0049322C">
            <w:pPr>
              <w:pStyle w:val="ListParagraph1"/>
              <w:rPr>
                <w:sz w:val="17"/>
                <w:szCs w:val="17"/>
              </w:rPr>
            </w:pPr>
            <w:r w:rsidRPr="004E70E9">
              <w:rPr>
                <w:sz w:val="17"/>
                <w:szCs w:val="17"/>
              </w:rPr>
              <w:t>28.7%</w:t>
            </w:r>
          </w:p>
        </w:tc>
        <w:tc>
          <w:tcPr>
            <w:tcW w:w="850" w:type="dxa"/>
            <w:noWrap/>
          </w:tcPr>
          <w:p w:rsidR="002D772C" w:rsidRPr="004E70E9" w:rsidRDefault="002D772C" w:rsidP="0049322C">
            <w:pPr>
              <w:pStyle w:val="ListParagraph1"/>
              <w:rPr>
                <w:sz w:val="17"/>
                <w:szCs w:val="17"/>
              </w:rPr>
            </w:pPr>
            <w:r w:rsidRPr="004E70E9">
              <w:rPr>
                <w:sz w:val="17"/>
                <w:szCs w:val="17"/>
              </w:rPr>
              <w:t>20.5%</w:t>
            </w:r>
          </w:p>
        </w:tc>
        <w:tc>
          <w:tcPr>
            <w:tcW w:w="1134" w:type="dxa"/>
            <w:noWrap/>
          </w:tcPr>
          <w:p w:rsidR="002D772C" w:rsidRPr="004E70E9" w:rsidRDefault="002D772C" w:rsidP="0049322C">
            <w:pPr>
              <w:pStyle w:val="ListParagraph1"/>
              <w:rPr>
                <w:sz w:val="17"/>
                <w:szCs w:val="17"/>
              </w:rPr>
            </w:pPr>
            <w:r w:rsidRPr="004E70E9">
              <w:rPr>
                <w:sz w:val="17"/>
                <w:szCs w:val="17"/>
              </w:rPr>
              <w:t>4.1%</w:t>
            </w:r>
          </w:p>
        </w:tc>
        <w:tc>
          <w:tcPr>
            <w:tcW w:w="709" w:type="dxa"/>
            <w:noWrap/>
          </w:tcPr>
          <w:p w:rsidR="002D772C" w:rsidRPr="004E70E9" w:rsidRDefault="002D772C" w:rsidP="0049322C">
            <w:pPr>
              <w:pStyle w:val="ListParagraph1"/>
              <w:rPr>
                <w:sz w:val="17"/>
                <w:szCs w:val="17"/>
              </w:rPr>
            </w:pPr>
            <w:r w:rsidRPr="004E70E9">
              <w:rPr>
                <w:sz w:val="17"/>
                <w:szCs w:val="17"/>
              </w:rPr>
              <w:t>31.5%</w:t>
            </w:r>
          </w:p>
        </w:tc>
        <w:tc>
          <w:tcPr>
            <w:tcW w:w="850" w:type="dxa"/>
            <w:noWrap/>
          </w:tcPr>
          <w:p w:rsidR="002D772C" w:rsidRPr="004E70E9" w:rsidRDefault="002D772C" w:rsidP="0049322C">
            <w:pPr>
              <w:pStyle w:val="ListParagraph1"/>
              <w:rPr>
                <w:sz w:val="17"/>
                <w:szCs w:val="17"/>
              </w:rPr>
            </w:pPr>
            <w:r w:rsidRPr="004E70E9">
              <w:rPr>
                <w:sz w:val="17"/>
                <w:szCs w:val="17"/>
              </w:rPr>
              <w:t>5.4%</w:t>
            </w:r>
          </w:p>
        </w:tc>
        <w:tc>
          <w:tcPr>
            <w:tcW w:w="993" w:type="dxa"/>
            <w:noWrap/>
          </w:tcPr>
          <w:p w:rsidR="002D772C" w:rsidRPr="004E70E9" w:rsidRDefault="002D772C" w:rsidP="0049322C">
            <w:pPr>
              <w:pStyle w:val="ListParagraph1"/>
              <w:rPr>
                <w:sz w:val="17"/>
                <w:szCs w:val="17"/>
              </w:rPr>
            </w:pPr>
            <w:r w:rsidRPr="004E70E9">
              <w:rPr>
                <w:sz w:val="17"/>
                <w:szCs w:val="17"/>
              </w:rPr>
              <w:t>2.8%</w:t>
            </w:r>
          </w:p>
        </w:tc>
        <w:tc>
          <w:tcPr>
            <w:tcW w:w="708" w:type="dxa"/>
            <w:noWrap/>
          </w:tcPr>
          <w:p w:rsidR="002D772C" w:rsidRPr="004E70E9" w:rsidRDefault="002D772C" w:rsidP="0049322C">
            <w:pPr>
              <w:pStyle w:val="ListParagraph1"/>
              <w:rPr>
                <w:sz w:val="17"/>
                <w:szCs w:val="17"/>
              </w:rPr>
            </w:pPr>
            <w:r w:rsidRPr="004E70E9">
              <w:rPr>
                <w:sz w:val="17"/>
                <w:szCs w:val="17"/>
              </w:rPr>
              <w:t>12.4%</w:t>
            </w:r>
          </w:p>
        </w:tc>
        <w:tc>
          <w:tcPr>
            <w:tcW w:w="709" w:type="dxa"/>
            <w:noWrap/>
          </w:tcPr>
          <w:p w:rsidR="002D772C" w:rsidRPr="004E70E9" w:rsidRDefault="002D772C" w:rsidP="0049322C">
            <w:pPr>
              <w:pStyle w:val="ListParagraph1"/>
              <w:rPr>
                <w:sz w:val="17"/>
                <w:szCs w:val="17"/>
              </w:rPr>
            </w:pPr>
            <w:r w:rsidRPr="004E70E9">
              <w:rPr>
                <w:sz w:val="17"/>
                <w:szCs w:val="17"/>
              </w:rPr>
              <w:t>13.7%</w:t>
            </w:r>
          </w:p>
        </w:tc>
        <w:tc>
          <w:tcPr>
            <w:tcW w:w="992" w:type="dxa"/>
            <w:noWrap/>
          </w:tcPr>
          <w:p w:rsidR="002D772C" w:rsidRPr="004E70E9" w:rsidRDefault="002D772C" w:rsidP="0049322C">
            <w:pPr>
              <w:pStyle w:val="ListParagraph1"/>
              <w:rPr>
                <w:sz w:val="17"/>
                <w:szCs w:val="17"/>
              </w:rPr>
            </w:pPr>
            <w:r w:rsidRPr="004E70E9">
              <w:rPr>
                <w:sz w:val="17"/>
                <w:szCs w:val="17"/>
              </w:rPr>
              <w:t>1.4%</w:t>
            </w:r>
          </w:p>
        </w:tc>
        <w:tc>
          <w:tcPr>
            <w:tcW w:w="851" w:type="dxa"/>
            <w:noWrap/>
          </w:tcPr>
          <w:p w:rsidR="002D772C" w:rsidRPr="004E70E9" w:rsidRDefault="002D772C" w:rsidP="0049322C">
            <w:pPr>
              <w:pStyle w:val="ListParagraph1"/>
              <w:rPr>
                <w:sz w:val="17"/>
                <w:szCs w:val="17"/>
              </w:rPr>
            </w:pPr>
            <w:r w:rsidRPr="004E70E9">
              <w:rPr>
                <w:sz w:val="17"/>
                <w:szCs w:val="17"/>
              </w:rPr>
              <w:t>2.7%</w:t>
            </w:r>
          </w:p>
        </w:tc>
        <w:tc>
          <w:tcPr>
            <w:tcW w:w="992" w:type="dxa"/>
            <w:noWrap/>
          </w:tcPr>
          <w:p w:rsidR="002D772C" w:rsidRPr="004E70E9" w:rsidRDefault="002D772C" w:rsidP="0049322C">
            <w:pPr>
              <w:pStyle w:val="ListParagraph1"/>
              <w:rPr>
                <w:sz w:val="17"/>
                <w:szCs w:val="17"/>
              </w:rPr>
            </w:pPr>
            <w:r w:rsidRPr="004E70E9">
              <w:rPr>
                <w:sz w:val="17"/>
                <w:szCs w:val="17"/>
              </w:rPr>
              <w:t>1.4%</w:t>
            </w:r>
          </w:p>
        </w:tc>
      </w:tr>
      <w:tr w:rsidR="002D772C" w:rsidRPr="004E70E9" w:rsidTr="004E70E9">
        <w:trPr>
          <w:trHeight w:val="296"/>
        </w:trPr>
        <w:tc>
          <w:tcPr>
            <w:tcW w:w="1446" w:type="dxa"/>
            <w:noWrap/>
          </w:tcPr>
          <w:p w:rsidR="002D772C" w:rsidRPr="004E70E9" w:rsidRDefault="002D772C" w:rsidP="0049322C">
            <w:pPr>
              <w:pStyle w:val="ListParagraph1"/>
              <w:rPr>
                <w:sz w:val="17"/>
                <w:szCs w:val="17"/>
              </w:rPr>
            </w:pPr>
            <w:r w:rsidRPr="004E70E9">
              <w:rPr>
                <w:sz w:val="17"/>
                <w:szCs w:val="17"/>
              </w:rPr>
              <w:t>Mok</w:t>
            </w:r>
            <w:r w:rsidR="00FD18C9"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&lt;Refman&gt;&lt;Cite&gt;&lt;Author&gt;Mok&lt;/Author&gt;&lt;Year&gt;2003&lt;/Year&gt;&lt;RecNum&gt;778&lt;/RecNum&gt;&lt;IDText&gt;Damage accrual in southern Chinese patients with systemic lupus erythematosus&lt;/IDText&gt;&lt;MDL Ref_Type="Journal"&gt;&lt;Ref_Type&gt;Journal&lt;/Ref_Type&gt;&lt;Ref_ID&gt;778&lt;/Ref_ID&gt;&lt;Title_Primary&gt;Damage accrual in southern Chinese patients with systemic lupus erythematosus&lt;/Title_Primary&gt;&lt;Authors_Primary&gt;Mok,C.C.&lt;/Authors_Primary&gt;&lt;Authors_Primary&gt;Ho,C.T.&lt;/Authors_Primary&gt;&lt;Authors_Primary&gt;Wong,R.W.&lt;/Authors_Primary&gt;&lt;Authors_Primary&gt;Lau,C.S.&lt;/Authors_Primary&gt;&lt;Date_Primary&gt;2003/7&lt;/Date_Primary&gt;&lt;Keywords&gt;Adult&lt;/Keywords&gt;&lt;Keywords&gt;age&lt;/Keywords&gt;&lt;Keywords&gt;Age of Onset&lt;/Keywords&gt;&lt;Keywords&gt;analysis&lt;/Keywords&gt;&lt;Keywords&gt;Asian Continental Ancestry Group&lt;/Keywords&gt;&lt;Keywords&gt;Central Nervous System&lt;/Keywords&gt;&lt;Keywords&gt;China&lt;/Keywords&gt;&lt;Keywords&gt;classification&lt;/Keywords&gt;&lt;Keywords&gt;Cohort Studies&lt;/Keywords&gt;&lt;Keywords&gt;Cyclophosphamide&lt;/Keywords&gt;&lt;Keywords&gt;Disease&lt;/Keywords&gt;&lt;Keywords&gt;Disease Progression&lt;/Keywords&gt;&lt;Keywords&gt;drug therapy&lt;/Keywords&gt;&lt;Keywords&gt;epidemiology&lt;/Keywords&gt;&lt;Keywords&gt;erythematosus&lt;/Keywords&gt;&lt;Keywords&gt;ethnology&lt;/Keywords&gt;&lt;Keywords&gt;Female&lt;/Keywords&gt;&lt;Keywords&gt;Follow-Up Studies&lt;/Keywords&gt;&lt;Keywords&gt;Hong Kong&lt;/Keywords&gt;&lt;Keywords&gt;hospital&lt;/Keywords&gt;&lt;Keywords&gt;Humans&lt;/Keywords&gt;&lt;Keywords&gt;Immunosuppressive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ortality&lt;/Keywords&gt;&lt;Keywords&gt;patient&lt;/Keywords&gt;&lt;Keywords&gt;Patients&lt;/Keywords&gt;&lt;Keywords&gt;physiopathology&lt;/Keywords&gt;&lt;Keywords&gt;Rheumatology&lt;/Keywords&gt;&lt;Keywords&gt;Risk&lt;/Keywords&gt;&lt;Keywords&gt;Severity of Illness Index&lt;/Keywords&gt;&lt;Keywords&gt;Survival Rate&lt;/Keywords&gt;&lt;Keywords&gt;systemic lupus erythematosus&lt;/Keywords&gt;&lt;Keywords&gt;therapeutic use&lt;/Keywords&gt;&lt;Keywords&gt;Women&lt;/Keywords&gt;&lt;Reprint&gt;Not in File&lt;/Reprint&gt;&lt;Start_Page&gt;1513&lt;/Start_Page&gt;&lt;End_Page&gt;1519&lt;/End_Page&gt;&lt;Periodical&gt;J.Rheumatol.&lt;/Periodical&gt;&lt;Volume&gt;30&lt;/Volume&gt;&lt;Issue&gt;7&lt;/Issue&gt;&lt;User_Def_1&gt;y&lt;/User_Def_1&gt;&lt;ZZ_JournalStdAbbrev&gt;&lt;f name="System"&gt;J.Rheumatol.&lt;/f&gt;&lt;/ZZ_JournalStdAbbrev&gt;&lt;ZZ_WorkformID&gt;1&lt;/ZZ_WorkformID&gt;&lt;/MDL&gt;&lt;/Cite&gt;&lt;/Refman&gt;</w:instrText>
            </w:r>
            <w:r w:rsidR="00E729BA" w:rsidRPr="004E70E9">
              <w:rPr>
                <w:sz w:val="17"/>
                <w:szCs w:val="17"/>
              </w:rPr>
              <w:fldChar w:fldCharType="separate"/>
            </w:r>
            <w:r w:rsidR="004D7951">
              <w:rPr>
                <w:sz w:val="17"/>
                <w:szCs w:val="17"/>
              </w:rPr>
              <w:t>(178)</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2003</w:t>
            </w:r>
          </w:p>
        </w:tc>
        <w:tc>
          <w:tcPr>
            <w:tcW w:w="709" w:type="dxa"/>
          </w:tcPr>
          <w:p w:rsidR="002D772C" w:rsidRPr="004E70E9" w:rsidRDefault="002D772C" w:rsidP="0049322C">
            <w:pPr>
              <w:pStyle w:val="ListParagraph1"/>
              <w:rPr>
                <w:sz w:val="17"/>
                <w:szCs w:val="17"/>
              </w:rPr>
            </w:pPr>
            <w:r w:rsidRPr="004E70E9">
              <w:rPr>
                <w:sz w:val="17"/>
                <w:szCs w:val="17"/>
              </w:rPr>
              <w:t>242</w:t>
            </w:r>
          </w:p>
        </w:tc>
        <w:tc>
          <w:tcPr>
            <w:tcW w:w="850" w:type="dxa"/>
            <w:noWrap/>
          </w:tcPr>
          <w:p w:rsidR="002D772C" w:rsidRPr="004E70E9" w:rsidRDefault="002D772C" w:rsidP="0049322C">
            <w:pPr>
              <w:pStyle w:val="ListParagraph1"/>
              <w:rPr>
                <w:sz w:val="17"/>
                <w:szCs w:val="17"/>
              </w:rPr>
            </w:pPr>
            <w:r w:rsidRPr="004E70E9">
              <w:rPr>
                <w:sz w:val="17"/>
                <w:szCs w:val="17"/>
              </w:rPr>
              <w:t>26.5%</w:t>
            </w:r>
          </w:p>
        </w:tc>
        <w:tc>
          <w:tcPr>
            <w:tcW w:w="851" w:type="dxa"/>
            <w:noWrap/>
          </w:tcPr>
          <w:p w:rsidR="002D772C" w:rsidRPr="004E70E9" w:rsidRDefault="002D772C" w:rsidP="0049322C">
            <w:pPr>
              <w:pStyle w:val="ListParagraph1"/>
              <w:rPr>
                <w:sz w:val="17"/>
                <w:szCs w:val="17"/>
              </w:rPr>
            </w:pPr>
            <w:r w:rsidRPr="004E70E9">
              <w:rPr>
                <w:sz w:val="17"/>
                <w:szCs w:val="17"/>
              </w:rPr>
              <w:t>12.4%</w:t>
            </w:r>
          </w:p>
        </w:tc>
        <w:tc>
          <w:tcPr>
            <w:tcW w:w="850" w:type="dxa"/>
            <w:noWrap/>
          </w:tcPr>
          <w:p w:rsidR="002D772C" w:rsidRPr="004E70E9" w:rsidRDefault="002D772C" w:rsidP="0049322C">
            <w:pPr>
              <w:pStyle w:val="ListParagraph1"/>
              <w:rPr>
                <w:sz w:val="17"/>
                <w:szCs w:val="17"/>
              </w:rPr>
            </w:pPr>
            <w:r w:rsidRPr="004E70E9">
              <w:rPr>
                <w:sz w:val="17"/>
                <w:szCs w:val="17"/>
              </w:rPr>
              <w:t>18.4%</w:t>
            </w:r>
          </w:p>
        </w:tc>
        <w:tc>
          <w:tcPr>
            <w:tcW w:w="1134" w:type="dxa"/>
            <w:noWrap/>
          </w:tcPr>
          <w:p w:rsidR="002D772C" w:rsidRPr="004E70E9" w:rsidRDefault="002D772C" w:rsidP="0049322C">
            <w:pPr>
              <w:pStyle w:val="ListParagraph1"/>
              <w:rPr>
                <w:sz w:val="17"/>
                <w:szCs w:val="17"/>
              </w:rPr>
            </w:pPr>
            <w:r w:rsidRPr="004E70E9">
              <w:rPr>
                <w:sz w:val="17"/>
                <w:szCs w:val="17"/>
              </w:rPr>
              <w:t>-</w:t>
            </w:r>
          </w:p>
        </w:tc>
        <w:tc>
          <w:tcPr>
            <w:tcW w:w="709" w:type="dxa"/>
            <w:noWrap/>
          </w:tcPr>
          <w:p w:rsidR="002D772C" w:rsidRPr="004E70E9" w:rsidRDefault="002D772C" w:rsidP="0049322C">
            <w:pPr>
              <w:pStyle w:val="ListParagraph1"/>
              <w:rPr>
                <w:sz w:val="17"/>
                <w:szCs w:val="17"/>
              </w:rPr>
            </w:pPr>
            <w:r w:rsidRPr="004E70E9">
              <w:rPr>
                <w:sz w:val="17"/>
                <w:szCs w:val="17"/>
              </w:rPr>
              <w:t>-</w:t>
            </w:r>
          </w:p>
        </w:tc>
        <w:tc>
          <w:tcPr>
            <w:tcW w:w="850" w:type="dxa"/>
            <w:noWrap/>
          </w:tcPr>
          <w:p w:rsidR="002D772C" w:rsidRPr="004E70E9" w:rsidRDefault="002D772C" w:rsidP="0049322C">
            <w:pPr>
              <w:pStyle w:val="ListParagraph1"/>
              <w:rPr>
                <w:sz w:val="17"/>
                <w:szCs w:val="17"/>
              </w:rPr>
            </w:pPr>
            <w:r w:rsidRPr="004E70E9">
              <w:rPr>
                <w:sz w:val="17"/>
                <w:szCs w:val="17"/>
              </w:rPr>
              <w:t>15.1%</w:t>
            </w:r>
          </w:p>
        </w:tc>
        <w:tc>
          <w:tcPr>
            <w:tcW w:w="993" w:type="dxa"/>
            <w:noWrap/>
          </w:tcPr>
          <w:p w:rsidR="002D772C" w:rsidRPr="004E70E9" w:rsidRDefault="002D772C" w:rsidP="0049322C">
            <w:pPr>
              <w:pStyle w:val="ListParagraph1"/>
              <w:rPr>
                <w:sz w:val="17"/>
                <w:szCs w:val="17"/>
              </w:rPr>
            </w:pPr>
            <w:r w:rsidRPr="004E70E9">
              <w:rPr>
                <w:sz w:val="17"/>
                <w:szCs w:val="17"/>
              </w:rPr>
              <w:t>-</w:t>
            </w:r>
          </w:p>
        </w:tc>
        <w:tc>
          <w:tcPr>
            <w:tcW w:w="708" w:type="dxa"/>
            <w:noWrap/>
          </w:tcPr>
          <w:p w:rsidR="002D772C" w:rsidRPr="004E70E9" w:rsidRDefault="002D772C" w:rsidP="0049322C">
            <w:pPr>
              <w:pStyle w:val="ListParagraph1"/>
              <w:rPr>
                <w:sz w:val="17"/>
                <w:szCs w:val="17"/>
              </w:rPr>
            </w:pPr>
            <w:r w:rsidRPr="004E70E9">
              <w:rPr>
                <w:sz w:val="17"/>
                <w:szCs w:val="17"/>
              </w:rPr>
              <w:t>-</w:t>
            </w:r>
          </w:p>
        </w:tc>
        <w:tc>
          <w:tcPr>
            <w:tcW w:w="709" w:type="dxa"/>
            <w:noWrap/>
          </w:tcPr>
          <w:p w:rsidR="002D772C" w:rsidRPr="004E70E9" w:rsidRDefault="002D772C" w:rsidP="0049322C">
            <w:pPr>
              <w:pStyle w:val="ListParagraph1"/>
              <w:rPr>
                <w:sz w:val="17"/>
                <w:szCs w:val="17"/>
              </w:rPr>
            </w:pPr>
            <w:r w:rsidRPr="004E70E9">
              <w:rPr>
                <w:sz w:val="17"/>
                <w:szCs w:val="17"/>
              </w:rPr>
              <w:t>-</w:t>
            </w:r>
          </w:p>
        </w:tc>
        <w:tc>
          <w:tcPr>
            <w:tcW w:w="992" w:type="dxa"/>
            <w:noWrap/>
          </w:tcPr>
          <w:p w:rsidR="002D772C" w:rsidRPr="004E70E9" w:rsidRDefault="002D772C" w:rsidP="0049322C">
            <w:pPr>
              <w:pStyle w:val="ListParagraph1"/>
              <w:rPr>
                <w:sz w:val="17"/>
                <w:szCs w:val="17"/>
              </w:rPr>
            </w:pPr>
            <w:r w:rsidRPr="004E70E9">
              <w:rPr>
                <w:sz w:val="17"/>
                <w:szCs w:val="17"/>
              </w:rPr>
              <w:t>-</w:t>
            </w:r>
          </w:p>
        </w:tc>
        <w:tc>
          <w:tcPr>
            <w:tcW w:w="851" w:type="dxa"/>
            <w:noWrap/>
          </w:tcPr>
          <w:p w:rsidR="002D772C" w:rsidRPr="004E70E9" w:rsidRDefault="002D772C" w:rsidP="0049322C">
            <w:pPr>
              <w:pStyle w:val="ListParagraph1"/>
              <w:rPr>
                <w:sz w:val="17"/>
                <w:szCs w:val="17"/>
              </w:rPr>
            </w:pPr>
            <w:r w:rsidRPr="004E70E9">
              <w:rPr>
                <w:sz w:val="17"/>
                <w:szCs w:val="17"/>
              </w:rPr>
              <w:t>-</w:t>
            </w:r>
          </w:p>
        </w:tc>
        <w:tc>
          <w:tcPr>
            <w:tcW w:w="992" w:type="dxa"/>
            <w:noWrap/>
          </w:tcPr>
          <w:p w:rsidR="002D772C" w:rsidRPr="004E70E9" w:rsidRDefault="002D772C" w:rsidP="0049322C">
            <w:pPr>
              <w:pStyle w:val="ListParagraph1"/>
              <w:rPr>
                <w:sz w:val="17"/>
                <w:szCs w:val="17"/>
              </w:rPr>
            </w:pPr>
            <w:r w:rsidRPr="004E70E9">
              <w:rPr>
                <w:sz w:val="17"/>
                <w:szCs w:val="17"/>
              </w:rPr>
              <w:t>-</w:t>
            </w:r>
          </w:p>
        </w:tc>
      </w:tr>
      <w:tr w:rsidR="002D772C" w:rsidRPr="004E70E9" w:rsidTr="004E70E9">
        <w:trPr>
          <w:trHeight w:val="296"/>
        </w:trPr>
        <w:tc>
          <w:tcPr>
            <w:tcW w:w="1446" w:type="dxa"/>
            <w:noWrap/>
          </w:tcPr>
          <w:p w:rsidR="002D772C" w:rsidRPr="004E70E9" w:rsidRDefault="00FD18C9" w:rsidP="0049322C">
            <w:pPr>
              <w:pStyle w:val="ListParagraph1"/>
              <w:rPr>
                <w:sz w:val="17"/>
                <w:szCs w:val="17"/>
              </w:rPr>
            </w:pPr>
            <w:r w:rsidRPr="004E70E9">
              <w:rPr>
                <w:sz w:val="17"/>
                <w:szCs w:val="17"/>
              </w:rPr>
              <w:t>Guariz</w:t>
            </w:r>
            <w:r w:rsidR="002D772C" w:rsidRPr="004E70E9">
              <w:rPr>
                <w:sz w:val="17"/>
                <w:szCs w:val="17"/>
              </w:rPr>
              <w:t>e</w:t>
            </w:r>
            <w:r w:rsidRPr="004E70E9">
              <w:rPr>
                <w:sz w:val="17"/>
                <w:szCs w:val="17"/>
              </w:rPr>
              <w:t xml:space="preserve"> </w:t>
            </w:r>
            <w:r w:rsidR="00E729BA" w:rsidRPr="004E70E9">
              <w:rPr>
                <w:sz w:val="17"/>
                <w:szCs w:val="17"/>
              </w:rPr>
              <w:fldChar w:fldCharType="begin"/>
            </w:r>
            <w:r w:rsidR="00FC61FD">
              <w:rPr>
                <w:sz w:val="17"/>
                <w:szCs w:val="17"/>
              </w:rPr>
              <w:instrText xml:space="preserve"> ADDIN REFMGR.CITE &lt;Refman&gt;&lt;Cite&gt;&lt;Author&gt;Guarize&lt;/Author&gt;&lt;Year&gt;2007&lt;/Year&gt;&lt;RecNum&gt;338&lt;/RecNum&gt;&lt;IDText&gt;Skin damage occurs early in systemic lupus erythematosus and independently of disease duration in Brazilian patients&lt;/IDText&gt;&lt;MDL Ref_Type="Journal"&gt;&lt;Ref_Type&gt;Journal&lt;/Ref_Type&gt;&lt;Ref_ID&gt;338&lt;/Ref_ID&gt;&lt;Title_Primary&gt;Skin damage occurs early in systemic lupus erythematosus and independently of disease duration in Brazilian patients&lt;/Title_Primary&gt;&lt;Authors_Primary&gt;Guarize,J.&lt;/Authors_Primary&gt;&lt;Authors_Primary&gt;Appenzeller,S.&lt;/Authors_Primary&gt;&lt;Authors_Primary&gt;Costallat,L.T.&lt;/Authors_Primary&gt;&lt;Date_Primary&gt;2007/3&lt;/Date_Primary&gt;&lt;Keywords&gt;Adolescent&lt;/Keywords&gt;&lt;Keywords&gt;Adult&lt;/Keywords&gt;&lt;Keywords&gt;Brazil&lt;/Keywords&gt;&lt;Keywords&gt;Cohort Studies&lt;/Keywords&gt;&lt;Keywords&gt;complications&lt;/Keywords&gt;&lt;Keywords&gt;Disease&lt;/Keywords&gt;&lt;Keywords&gt;erythematosus&lt;/Keywords&gt;&lt;Keywords&gt;ethnology&lt;/Keywords&gt;&lt;Keywords&gt;European Continental Ancestry Group&lt;/Keywords&gt;&lt;Keywords&gt;Female&lt;/Keywords&gt;&lt;Keywords&gt;hospital&lt;/Keywords&gt;&lt;Keywords&gt;Humans&lt;/Keywords&gt;&lt;Keywords&gt;immunology&lt;/Keywords&gt;&lt;Keywords&gt;lupus erythematosus&lt;/Keywords&gt;&lt;Keywords&gt;Lupus Erythematosus,Systemic&lt;/Keywords&gt;&lt;Keywords&gt;Middle Aged&lt;/Keywords&gt;&lt;Keywords&gt;patient&lt;/Keywords&gt;&lt;Keywords&gt;Patients&lt;/Keywords&gt;&lt;Keywords&gt;population&lt;/Keywords&gt;&lt;Keywords&gt;Rheumatology&lt;/Keywords&gt;&lt;Keywords&gt;Skin&lt;/Keywords&gt;&lt;Keywords&gt;Skin Diseases&lt;/Keywords&gt;&lt;Keywords&gt;statistics&lt;/Keywords&gt;&lt;Keywords&gt;systemic lupus erythematosus&lt;/Keywords&gt;&lt;Keywords&gt;Time Factors&lt;/Keywords&gt;&lt;Reprint&gt;Not in File&lt;/Reprint&gt;&lt;Start_Page&gt;483&lt;/Start_Page&gt;&lt;End_Page&gt;487&lt;/End_Page&gt;&lt;Periodical&gt;Rheumatol.Int.&lt;/Periodical&gt;&lt;Volume&gt;27&lt;/Volume&gt;&lt;Issue&gt;5&lt;/Issue&gt;&lt;User_Def_1&gt;y&lt;/User_Def_1&gt;&lt;ZZ_JournalStdAbbrev&gt;&lt;f name="System"&gt;Rheumatol.Int.&lt;/f&gt;&lt;/ZZ_JournalStdAbbrev&gt;&lt;ZZ_WorkformID&gt;1&lt;/ZZ_WorkformID&gt;&lt;/MDL&gt;&lt;/Cite&gt;&lt;/Refman&gt;</w:instrText>
            </w:r>
            <w:r w:rsidR="00E729BA" w:rsidRPr="004E70E9">
              <w:rPr>
                <w:sz w:val="17"/>
                <w:szCs w:val="17"/>
              </w:rPr>
              <w:fldChar w:fldCharType="separate"/>
            </w:r>
            <w:r w:rsidR="004D7951">
              <w:rPr>
                <w:sz w:val="17"/>
                <w:szCs w:val="17"/>
              </w:rPr>
              <w:t>(183)</w:t>
            </w:r>
            <w:r w:rsidR="00E729BA" w:rsidRPr="004E70E9">
              <w:rPr>
                <w:sz w:val="17"/>
                <w:szCs w:val="17"/>
              </w:rPr>
              <w:fldChar w:fldCharType="end"/>
            </w:r>
          </w:p>
        </w:tc>
        <w:tc>
          <w:tcPr>
            <w:tcW w:w="567" w:type="dxa"/>
            <w:noWrap/>
          </w:tcPr>
          <w:p w:rsidR="002D772C" w:rsidRPr="004E70E9" w:rsidRDefault="002D772C" w:rsidP="0049322C">
            <w:pPr>
              <w:pStyle w:val="ListParagraph1"/>
              <w:rPr>
                <w:sz w:val="17"/>
                <w:szCs w:val="17"/>
              </w:rPr>
            </w:pPr>
            <w:r w:rsidRPr="004E70E9">
              <w:rPr>
                <w:sz w:val="17"/>
                <w:szCs w:val="17"/>
              </w:rPr>
              <w:t>2007</w:t>
            </w:r>
          </w:p>
        </w:tc>
        <w:tc>
          <w:tcPr>
            <w:tcW w:w="709" w:type="dxa"/>
          </w:tcPr>
          <w:p w:rsidR="002D772C" w:rsidRPr="004E70E9" w:rsidRDefault="002D772C" w:rsidP="0049322C">
            <w:pPr>
              <w:pStyle w:val="ListParagraph1"/>
              <w:rPr>
                <w:sz w:val="17"/>
                <w:szCs w:val="17"/>
              </w:rPr>
            </w:pPr>
            <w:r w:rsidRPr="004E70E9">
              <w:rPr>
                <w:sz w:val="17"/>
                <w:szCs w:val="17"/>
              </w:rPr>
              <w:t>60</w:t>
            </w:r>
          </w:p>
        </w:tc>
        <w:tc>
          <w:tcPr>
            <w:tcW w:w="850" w:type="dxa"/>
            <w:noWrap/>
          </w:tcPr>
          <w:p w:rsidR="002D772C" w:rsidRPr="004E70E9" w:rsidRDefault="002D772C" w:rsidP="0049322C">
            <w:pPr>
              <w:pStyle w:val="ListParagraph1"/>
              <w:rPr>
                <w:sz w:val="17"/>
                <w:szCs w:val="17"/>
              </w:rPr>
            </w:pPr>
            <w:r w:rsidRPr="004E70E9">
              <w:rPr>
                <w:sz w:val="17"/>
                <w:szCs w:val="17"/>
              </w:rPr>
              <w:t>8.3%</w:t>
            </w:r>
          </w:p>
        </w:tc>
        <w:tc>
          <w:tcPr>
            <w:tcW w:w="851" w:type="dxa"/>
            <w:noWrap/>
          </w:tcPr>
          <w:p w:rsidR="002D772C" w:rsidRPr="004E70E9" w:rsidRDefault="002D772C" w:rsidP="0049322C">
            <w:pPr>
              <w:pStyle w:val="ListParagraph1"/>
              <w:rPr>
                <w:sz w:val="17"/>
                <w:szCs w:val="17"/>
              </w:rPr>
            </w:pPr>
            <w:r w:rsidRPr="004E70E9">
              <w:rPr>
                <w:sz w:val="17"/>
                <w:szCs w:val="17"/>
              </w:rPr>
              <w:t>10%</w:t>
            </w:r>
          </w:p>
        </w:tc>
        <w:tc>
          <w:tcPr>
            <w:tcW w:w="850" w:type="dxa"/>
            <w:noWrap/>
          </w:tcPr>
          <w:p w:rsidR="002D772C" w:rsidRPr="004E70E9" w:rsidRDefault="002D772C" w:rsidP="0049322C">
            <w:pPr>
              <w:pStyle w:val="ListParagraph1"/>
              <w:rPr>
                <w:sz w:val="17"/>
                <w:szCs w:val="17"/>
              </w:rPr>
            </w:pPr>
            <w:r w:rsidRPr="004E70E9">
              <w:rPr>
                <w:sz w:val="17"/>
                <w:szCs w:val="17"/>
              </w:rPr>
              <w:t>18.3%</w:t>
            </w:r>
          </w:p>
        </w:tc>
        <w:tc>
          <w:tcPr>
            <w:tcW w:w="1134" w:type="dxa"/>
            <w:noWrap/>
          </w:tcPr>
          <w:p w:rsidR="002D772C" w:rsidRPr="004E70E9" w:rsidRDefault="002D772C" w:rsidP="0049322C">
            <w:pPr>
              <w:pStyle w:val="ListParagraph1"/>
              <w:rPr>
                <w:sz w:val="17"/>
                <w:szCs w:val="17"/>
              </w:rPr>
            </w:pPr>
            <w:r w:rsidRPr="004E70E9">
              <w:rPr>
                <w:sz w:val="17"/>
                <w:szCs w:val="17"/>
              </w:rPr>
              <w:t>16.6%</w:t>
            </w:r>
          </w:p>
        </w:tc>
        <w:tc>
          <w:tcPr>
            <w:tcW w:w="709" w:type="dxa"/>
            <w:noWrap/>
          </w:tcPr>
          <w:p w:rsidR="002D772C" w:rsidRPr="004E70E9" w:rsidRDefault="002D772C" w:rsidP="0049322C">
            <w:pPr>
              <w:pStyle w:val="ListParagraph1"/>
              <w:rPr>
                <w:sz w:val="17"/>
                <w:szCs w:val="17"/>
              </w:rPr>
            </w:pPr>
            <w:r w:rsidRPr="004E70E9">
              <w:rPr>
                <w:sz w:val="17"/>
                <w:szCs w:val="17"/>
              </w:rPr>
              <w:t>15%</w:t>
            </w:r>
          </w:p>
        </w:tc>
        <w:tc>
          <w:tcPr>
            <w:tcW w:w="850" w:type="dxa"/>
            <w:noWrap/>
          </w:tcPr>
          <w:p w:rsidR="002D772C" w:rsidRPr="004E70E9" w:rsidRDefault="002D772C" w:rsidP="0049322C">
            <w:pPr>
              <w:pStyle w:val="ListParagraph1"/>
              <w:rPr>
                <w:sz w:val="17"/>
                <w:szCs w:val="17"/>
              </w:rPr>
            </w:pPr>
            <w:r w:rsidRPr="004E70E9">
              <w:rPr>
                <w:sz w:val="17"/>
                <w:szCs w:val="17"/>
              </w:rPr>
              <w:t>23.3%</w:t>
            </w:r>
          </w:p>
        </w:tc>
        <w:tc>
          <w:tcPr>
            <w:tcW w:w="993" w:type="dxa"/>
            <w:noWrap/>
          </w:tcPr>
          <w:p w:rsidR="002D772C" w:rsidRPr="004E70E9" w:rsidRDefault="002D772C" w:rsidP="0049322C">
            <w:pPr>
              <w:pStyle w:val="ListParagraph1"/>
              <w:rPr>
                <w:sz w:val="17"/>
                <w:szCs w:val="17"/>
              </w:rPr>
            </w:pPr>
            <w:r w:rsidRPr="004E70E9">
              <w:rPr>
                <w:sz w:val="17"/>
                <w:szCs w:val="17"/>
              </w:rPr>
              <w:t>8.3%</w:t>
            </w:r>
          </w:p>
        </w:tc>
        <w:tc>
          <w:tcPr>
            <w:tcW w:w="708" w:type="dxa"/>
            <w:noWrap/>
          </w:tcPr>
          <w:p w:rsidR="002D772C" w:rsidRPr="004E70E9" w:rsidRDefault="002D772C" w:rsidP="0049322C">
            <w:pPr>
              <w:pStyle w:val="ListParagraph1"/>
              <w:rPr>
                <w:sz w:val="17"/>
                <w:szCs w:val="17"/>
              </w:rPr>
            </w:pPr>
            <w:r w:rsidRPr="004E70E9">
              <w:rPr>
                <w:sz w:val="17"/>
                <w:szCs w:val="17"/>
              </w:rPr>
              <w:t>3%</w:t>
            </w:r>
          </w:p>
        </w:tc>
        <w:tc>
          <w:tcPr>
            <w:tcW w:w="709" w:type="dxa"/>
            <w:noWrap/>
          </w:tcPr>
          <w:p w:rsidR="002D772C" w:rsidRPr="004E70E9" w:rsidRDefault="002D772C" w:rsidP="0049322C">
            <w:pPr>
              <w:pStyle w:val="ListParagraph1"/>
              <w:rPr>
                <w:sz w:val="17"/>
                <w:szCs w:val="17"/>
              </w:rPr>
            </w:pPr>
            <w:r w:rsidRPr="004E70E9">
              <w:rPr>
                <w:sz w:val="17"/>
                <w:szCs w:val="17"/>
              </w:rPr>
              <w:t>35%</w:t>
            </w:r>
          </w:p>
        </w:tc>
        <w:tc>
          <w:tcPr>
            <w:tcW w:w="992" w:type="dxa"/>
            <w:noWrap/>
          </w:tcPr>
          <w:p w:rsidR="002D772C" w:rsidRPr="004E70E9" w:rsidRDefault="002D772C" w:rsidP="0049322C">
            <w:pPr>
              <w:pStyle w:val="ListParagraph1"/>
              <w:rPr>
                <w:sz w:val="17"/>
                <w:szCs w:val="17"/>
              </w:rPr>
            </w:pPr>
            <w:r w:rsidRPr="004E70E9">
              <w:rPr>
                <w:sz w:val="17"/>
                <w:szCs w:val="17"/>
              </w:rPr>
              <w:t>1.7%</w:t>
            </w:r>
          </w:p>
        </w:tc>
        <w:tc>
          <w:tcPr>
            <w:tcW w:w="851" w:type="dxa"/>
            <w:noWrap/>
          </w:tcPr>
          <w:p w:rsidR="002D772C" w:rsidRPr="004E70E9" w:rsidRDefault="002D772C" w:rsidP="0049322C">
            <w:pPr>
              <w:pStyle w:val="ListParagraph1"/>
              <w:rPr>
                <w:sz w:val="17"/>
                <w:szCs w:val="17"/>
              </w:rPr>
            </w:pPr>
            <w:r w:rsidRPr="004E70E9">
              <w:rPr>
                <w:sz w:val="17"/>
                <w:szCs w:val="17"/>
              </w:rPr>
              <w:t>-</w:t>
            </w:r>
          </w:p>
        </w:tc>
        <w:tc>
          <w:tcPr>
            <w:tcW w:w="992" w:type="dxa"/>
            <w:noWrap/>
          </w:tcPr>
          <w:p w:rsidR="002D772C" w:rsidRPr="004E70E9" w:rsidRDefault="002D772C" w:rsidP="0049322C">
            <w:pPr>
              <w:pStyle w:val="ListParagraph1"/>
              <w:rPr>
                <w:sz w:val="17"/>
                <w:szCs w:val="17"/>
              </w:rPr>
            </w:pPr>
            <w:r w:rsidRPr="004E70E9">
              <w:rPr>
                <w:sz w:val="17"/>
                <w:szCs w:val="17"/>
              </w:rPr>
              <w:t>-</w:t>
            </w:r>
          </w:p>
        </w:tc>
      </w:tr>
    </w:tbl>
    <w:p w:rsidR="002D772C" w:rsidRDefault="002D772C" w:rsidP="002D772C">
      <w:pPr>
        <w:sectPr w:rsidR="002D772C" w:rsidSect="006A3B1E">
          <w:pgSz w:w="16838" w:h="11906" w:orient="landscape"/>
          <w:pgMar w:top="1440" w:right="1440" w:bottom="1440" w:left="2268" w:header="709" w:footer="709" w:gutter="0"/>
          <w:cols w:space="708"/>
          <w:docGrid w:linePitch="360"/>
        </w:sectPr>
      </w:pPr>
    </w:p>
    <w:p w:rsidR="005D65BA" w:rsidRDefault="005D65BA" w:rsidP="005D65BA">
      <w:r>
        <w:t>In the next sections I summarise the prevalence and risk factors for each of the organ systems included in the SLICC/ACR Damage Index. Quantitative estimates of risk factors for organ damage by organ systems were needed to refine the causal links of the conceptual model.</w:t>
      </w:r>
    </w:p>
    <w:p w:rsidR="002D772C" w:rsidRDefault="002D772C" w:rsidP="002D772C">
      <w:pPr>
        <w:pStyle w:val="Heading4"/>
      </w:pPr>
      <w:r>
        <w:t>Ocular Organ system</w:t>
      </w:r>
    </w:p>
    <w:p w:rsidR="002D772C" w:rsidRPr="007478A6" w:rsidRDefault="00E729BA" w:rsidP="002D772C">
      <w:pPr>
        <w:rPr>
          <w:lang w:eastAsia="zh-CN"/>
        </w:rPr>
      </w:pPr>
      <w:r>
        <w:rPr>
          <w:lang w:eastAsia="zh-CN"/>
        </w:rPr>
      </w:r>
      <w:r>
        <w:rPr>
          <w:lang w:eastAsia="zh-CN"/>
        </w:rPr>
        <w:pict>
          <v:rect id="_x0000_s1035" style="width:414.35pt;height:51.85pt;mso-left-percent:-10001;mso-top-percent:-10001;mso-position-horizontal:absolute;mso-position-horizontal-relative:char;mso-position-vertical:absolute;mso-position-vertical-relative:line;mso-left-percent:-10001;mso-top-percent:-10001">
            <v:textbox style="mso-next-textbox:#_x0000_s1035">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Ocular Organ System</w:t>
                  </w:r>
                </w:p>
                <w:p w:rsidR="00BD2483" w:rsidRPr="000D29D8" w:rsidRDefault="00BD2483" w:rsidP="002D772C">
                  <w:pPr>
                    <w:spacing w:after="0" w:afterAutospacing="0"/>
                    <w:ind w:left="720"/>
                    <w:rPr>
                      <w:i/>
                      <w:iCs/>
                      <w:sz w:val="18"/>
                      <w:szCs w:val="18"/>
                    </w:rPr>
                  </w:pPr>
                  <w:r w:rsidRPr="000D29D8">
                    <w:rPr>
                      <w:i/>
                      <w:iCs/>
                      <w:sz w:val="18"/>
                      <w:szCs w:val="18"/>
                    </w:rPr>
                    <w:t>Any cataract ever</w:t>
                  </w:r>
                </w:p>
                <w:p w:rsidR="00BD2483" w:rsidRPr="000D29D8" w:rsidRDefault="00BD2483" w:rsidP="002D772C">
                  <w:pPr>
                    <w:ind w:left="720"/>
                    <w:rPr>
                      <w:i/>
                      <w:iCs/>
                      <w:sz w:val="18"/>
                      <w:szCs w:val="18"/>
                    </w:rPr>
                  </w:pPr>
                  <w:r w:rsidRPr="000D29D8">
                    <w:rPr>
                      <w:i/>
                      <w:iCs/>
                      <w:sz w:val="18"/>
                      <w:szCs w:val="18"/>
                    </w:rPr>
                    <w:t>Retinal change or optic atrophy</w:t>
                  </w:r>
                </w:p>
                <w:p w:rsidR="00BD2483" w:rsidRPr="00E437F4" w:rsidRDefault="00BD2483" w:rsidP="002D772C"/>
              </w:txbxContent>
            </v:textbox>
            <w10:wrap type="none"/>
            <w10:anchorlock/>
          </v:rect>
        </w:pict>
      </w:r>
    </w:p>
    <w:p w:rsidR="002D772C" w:rsidRDefault="002D772C" w:rsidP="002D772C">
      <w:r>
        <w:t>Studies have found a relatively high prevalence of ocular damage in SLE cohorts. Patients are at lower risk of ocular damage in the early stages of the disease and at higher risk as disease duration extends beyond 15 years. This may be due to cumulative doses of steroids over time.</w:t>
      </w:r>
      <w:r w:rsidR="002134A8">
        <w:t xml:space="preserve"> However, I identified no studies to quantify this effect.</w:t>
      </w:r>
    </w:p>
    <w:p w:rsidR="002D772C" w:rsidRPr="00D86AC2" w:rsidRDefault="002D772C" w:rsidP="002D772C">
      <w:pPr>
        <w:pStyle w:val="Heading4"/>
      </w:pPr>
      <w:r>
        <w:t>Neuropsychiatric</w:t>
      </w:r>
      <w:r w:rsidRPr="00733298">
        <w:t xml:space="preserve"> </w:t>
      </w:r>
      <w:r>
        <w:t>Organ system</w:t>
      </w:r>
    </w:p>
    <w:p w:rsidR="002D772C" w:rsidRDefault="00E729BA" w:rsidP="002D772C">
      <w:pPr>
        <w:rPr>
          <w:lang w:eastAsia="zh-CN"/>
        </w:rPr>
      </w:pPr>
      <w:r>
        <w:rPr>
          <w:lang w:eastAsia="zh-CN"/>
        </w:rPr>
      </w:r>
      <w:r>
        <w:rPr>
          <w:lang w:eastAsia="zh-CN"/>
        </w:rPr>
        <w:pict>
          <v:rect id="_x0000_s1034" style="width:414.35pt;height:96.65pt;mso-left-percent:-10001;mso-top-percent:-10001;mso-position-horizontal:absolute;mso-position-horizontal-relative:char;mso-position-vertical:absolute;mso-position-vertical-relative:line;mso-left-percent:-10001;mso-top-percent:-10001">
            <v:textbox style="mso-next-textbox:#_x0000_s1034">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Neuropsychiatric Organ System</w:t>
                  </w:r>
                </w:p>
                <w:p w:rsidR="00BD2483" w:rsidRPr="000D29D8" w:rsidRDefault="00BD2483" w:rsidP="002D772C">
                  <w:pPr>
                    <w:spacing w:after="0" w:afterAutospacing="0"/>
                    <w:ind w:left="720"/>
                    <w:rPr>
                      <w:i/>
                      <w:iCs/>
                      <w:sz w:val="18"/>
                      <w:szCs w:val="18"/>
                    </w:rPr>
                  </w:pPr>
                  <w:r w:rsidRPr="000D29D8">
                    <w:rPr>
                      <w:i/>
                      <w:iCs/>
                      <w:sz w:val="18"/>
                      <w:szCs w:val="18"/>
                    </w:rPr>
                    <w:t>Cognitive Impairment</w:t>
                  </w:r>
                </w:p>
                <w:p w:rsidR="00BD2483" w:rsidRPr="000D29D8" w:rsidRDefault="00BD2483" w:rsidP="002D772C">
                  <w:pPr>
                    <w:spacing w:after="0" w:afterAutospacing="0"/>
                    <w:ind w:left="720"/>
                    <w:rPr>
                      <w:i/>
                      <w:iCs/>
                      <w:sz w:val="18"/>
                      <w:szCs w:val="18"/>
                    </w:rPr>
                  </w:pPr>
                  <w:r w:rsidRPr="000D29D8">
                    <w:rPr>
                      <w:i/>
                      <w:iCs/>
                      <w:sz w:val="18"/>
                      <w:szCs w:val="18"/>
                    </w:rPr>
                    <w:t>Seizures requiring therapy for 6 months</w:t>
                  </w:r>
                </w:p>
                <w:p w:rsidR="00BD2483" w:rsidRPr="000D29D8" w:rsidRDefault="00BD2483" w:rsidP="002D772C">
                  <w:pPr>
                    <w:spacing w:after="0" w:afterAutospacing="0"/>
                    <w:ind w:left="720"/>
                    <w:rPr>
                      <w:i/>
                      <w:iCs/>
                      <w:sz w:val="18"/>
                      <w:szCs w:val="18"/>
                    </w:rPr>
                  </w:pPr>
                  <w:r w:rsidRPr="000D29D8">
                    <w:rPr>
                      <w:i/>
                      <w:iCs/>
                      <w:sz w:val="18"/>
                      <w:szCs w:val="18"/>
                    </w:rPr>
                    <w:t>Cerebrovascular accident</w:t>
                  </w:r>
                </w:p>
                <w:p w:rsidR="00BD2483" w:rsidRPr="000D29D8" w:rsidRDefault="00BD2483" w:rsidP="00C27A9B">
                  <w:pPr>
                    <w:spacing w:after="0" w:afterAutospacing="0"/>
                    <w:ind w:left="720"/>
                    <w:rPr>
                      <w:i/>
                      <w:iCs/>
                      <w:sz w:val="18"/>
                      <w:szCs w:val="18"/>
                    </w:rPr>
                  </w:pPr>
                  <w:r w:rsidRPr="000D29D8">
                    <w:rPr>
                      <w:i/>
                      <w:iCs/>
                      <w:sz w:val="18"/>
                      <w:szCs w:val="18"/>
                    </w:rPr>
                    <w:t>Cranial or peripheral ne</w:t>
                  </w:r>
                  <w:r>
                    <w:rPr>
                      <w:i/>
                      <w:iCs/>
                      <w:sz w:val="18"/>
                      <w:szCs w:val="18"/>
                    </w:rPr>
                    <w:t>u</w:t>
                  </w:r>
                  <w:r w:rsidRPr="000D29D8">
                    <w:rPr>
                      <w:i/>
                      <w:iCs/>
                      <w:sz w:val="18"/>
                      <w:szCs w:val="18"/>
                    </w:rPr>
                    <w:t>ropathy</w:t>
                  </w:r>
                </w:p>
                <w:p w:rsidR="00BD2483" w:rsidRPr="000D29D8" w:rsidRDefault="00BD2483" w:rsidP="002D772C">
                  <w:pPr>
                    <w:ind w:left="720"/>
                    <w:rPr>
                      <w:i/>
                      <w:iCs/>
                      <w:sz w:val="18"/>
                      <w:szCs w:val="18"/>
                    </w:rPr>
                  </w:pPr>
                  <w:r w:rsidRPr="000D29D8">
                    <w:rPr>
                      <w:i/>
                      <w:iCs/>
                      <w:sz w:val="18"/>
                      <w:szCs w:val="18"/>
                    </w:rPr>
                    <w:t>Transverse myelitis</w:t>
                  </w:r>
                </w:p>
                <w:p w:rsidR="00BD2483" w:rsidRPr="00E437F4" w:rsidRDefault="00BD2483" w:rsidP="002D772C"/>
              </w:txbxContent>
            </v:textbox>
            <w10:wrap type="none"/>
            <w10:anchorlock/>
          </v:rect>
        </w:pict>
      </w:r>
    </w:p>
    <w:p w:rsidR="002D772C" w:rsidRDefault="002D772C" w:rsidP="002D772C">
      <w:pPr>
        <w:sectPr w:rsidR="002D772C" w:rsidSect="006A3B1E">
          <w:footerReference w:type="default" r:id="rId21"/>
          <w:pgSz w:w="11906" w:h="16838"/>
          <w:pgMar w:top="1440" w:right="1440" w:bottom="1440" w:left="2268" w:header="708" w:footer="708" w:gutter="0"/>
          <w:cols w:space="708"/>
          <w:docGrid w:linePitch="360"/>
        </w:sectPr>
      </w:pPr>
      <w:r>
        <w:t xml:space="preserve">Mikdashi et al. report that cerebrovascular damage is a common cause of damage and was observed in 27.3% of patients with neuropsychiatric damage. Polyneuropathy was observed in 25.7% of patients and psychosis in 18.2%. Other damage included seizures and transverse myelitis with 7.6% and 6.1% respectively </w:t>
      </w:r>
      <w:r w:rsidR="00E729BA">
        <w:fldChar w:fldCharType="begin"/>
      </w:r>
      <w:r w:rsidR="00FC61FD">
        <w:instrText xml:space="preserve"> ADDIN REFMGR.CITE &lt;Refman&gt;&lt;Cite&gt;&lt;Author&gt;Mikdashi&lt;/Author&gt;&lt;Year&gt;2004&lt;/Year&gt;&lt;RecNum&gt;631&lt;/RecNum&gt;&lt;IDText&gt;Predictors of neuropsychiatric damage in systemic lupus erythematosus: data from the Maryland lupus cohort&lt;/IDText&gt;&lt;MDL Ref_Type="Journal"&gt;&lt;Ref_Type&gt;Journal&lt;/Ref_Type&gt;&lt;Ref_ID&gt;631&lt;/Ref_ID&gt;&lt;Title_Primary&gt;Predictors of neuropsychiatric damage in systemic lupus erythematosus: data from the Maryland lupus cohort&lt;/Title_Primary&gt;&lt;Authors_Primary&gt;Mikdashi,J.&lt;/Authors_Primary&gt;&lt;Authors_Primary&gt;Handwerger,B.&lt;/Authors_Primary&gt;&lt;Date_Primary&gt;2004/12&lt;/Date_Primary&gt;&lt;Keywords&gt;Adult&lt;/Keywords&gt;&lt;Keywords&gt;Antibodies&lt;/Keywords&gt;&lt;Keywords&gt;Antibodies,Antinuclear&lt;/Keywords&gt;&lt;Keywords&gt;Antibodies,Antiphospholipid&lt;/Keywords&gt;&lt;Keywords&gt;Baltimore&lt;/Keywords&gt;&lt;Keywords&gt;Biological Markers&lt;/Keywords&gt;&lt;Keywords&gt;blood&lt;/Keywords&gt;&lt;Keywords&gt;Cause of Death&lt;/Keywords&gt;&lt;Keywords&gt;Cognition Disorders&lt;/Keywords&gt;&lt;Keywords&gt;death&lt;/Keywords&gt;&lt;Keywords&gt;Disease&lt;/Keywords&gt;&lt;Keywords&gt;erythematosus&lt;/Keywords&gt;&lt;Keywords&gt;etiology&lt;/Keywords&gt;&lt;Keywords&gt;Female&lt;/Keywords&gt;&lt;Keywords&gt;Follow-Up Studies&lt;/Keywords&gt;&lt;Keywords&gt;Humans&lt;/Keywords&gt;&lt;Keywords&gt;immunology&lt;/Keywords&gt;&lt;Keywords&gt;lupus erythematosus&lt;/Keywords&gt;&lt;Keywords&gt;Lupus Erythematosus,Systemic&lt;/Keywords&gt;&lt;Keywords&gt;Lupus Vasculitis,Central Nervous System&lt;/Keywords&gt;&lt;Keywords&gt;Male&lt;/Keywords&gt;&lt;Keywords&gt;Maryland&lt;/Keywords&gt;&lt;Keywords&gt;Mental Disorders&lt;/Keywords&gt;&lt;Keywords&gt;methods&lt;/Keywords&gt;&lt;Keywords&gt;Middle Aged&lt;/Keywords&gt;&lt;Keywords&gt;mortality&lt;/Keywords&gt;&lt;Keywords&gt;patient&lt;/Keywords&gt;&lt;Keywords&gt;Patients&lt;/Keywords&gt;&lt;Keywords&gt;psychology&lt;/Keywords&gt;&lt;Keywords&gt;Rheumatology&lt;/Keywords&gt;&lt;Keywords&gt;Risk Factors&lt;/Keywords&gt;&lt;Keywords&gt;Seizures&lt;/Keywords&gt;&lt;Keywords&gt;Stroke&lt;/Keywords&gt;&lt;Keywords&gt;Syndrome&lt;/Keywords&gt;&lt;Keywords&gt;systemic lupus erythematosus&lt;/Keywords&gt;&lt;Keywords&gt;therapy&lt;/Keywords&gt;&lt;Reprint&gt;Not in File&lt;/Reprint&gt;&lt;Start_Page&gt;1555&lt;/Start_Page&gt;&lt;End_Page&gt;1560&lt;/End_Page&gt;&lt;Periodical&gt;Rheumatology.(Oxford).&lt;/Periodical&gt;&lt;Volume&gt;43&lt;/Volume&gt;&lt;Issue&gt;12&lt;/Issue&gt;&lt;User_Def_1&gt;y&lt;/User_Def_1&gt;&lt;ZZ_JournalStdAbbrev&gt;&lt;f name="System"&gt;Rheumatology.(Oxford).&lt;/f&gt;&lt;/ZZ_JournalStdAbbrev&gt;&lt;ZZ_WorkformID&gt;1&lt;/ZZ_WorkformID&gt;&lt;/MDL&gt;&lt;/Cite&gt;&lt;/Refman&gt;</w:instrText>
      </w:r>
      <w:r w:rsidR="00E729BA">
        <w:fldChar w:fldCharType="separate"/>
      </w:r>
      <w:r w:rsidR="004D7951">
        <w:t>(184)</w:t>
      </w:r>
      <w:r w:rsidR="00E729BA">
        <w:fldChar w:fldCharType="end"/>
      </w:r>
      <w:r>
        <w:t>.</w:t>
      </w:r>
      <w:r w:rsidRPr="00497E8F">
        <w:t xml:space="preserve"> </w:t>
      </w:r>
      <w:r>
        <w:t xml:space="preserve">Mok et al. found a higher proportion of damage was due to seizures (20%) </w:t>
      </w:r>
      <w:r w:rsidR="00E729BA">
        <w:fldChar w:fldCharType="begin"/>
      </w:r>
      <w:r w:rsidR="00FC61FD">
        <w:instrText xml:space="preserve"> ADDIN REFMGR.CITE &lt;Refman&gt;&lt;Cite&gt;&lt;Author&gt;Mok&lt;/Author&gt;&lt;Year&gt;2006&lt;/Year&gt;&lt;RecNum&gt;436&lt;/RecNum&gt;&lt;IDText&gt;Neuropsychiatric damage in Southern Chinese patients with systemic lupus erythematosus&lt;/IDText&gt;&lt;MDL Ref_Type="Journal"&gt;&lt;Ref_Type&gt;Journal&lt;/Ref_Type&gt;&lt;Ref_ID&gt;436&lt;/Ref_ID&gt;&lt;Title_Primary&gt;Neuropsychiatric damage in Southern Chinese patients with systemic lupus erythematosus&lt;/Title_Primary&gt;&lt;Authors_Primary&gt;Mok,C.C.&lt;/Authors_Primary&gt;&lt;Authors_Primary&gt;To,C.H.&lt;/Authors_Primary&gt;&lt;Authors_Primary&gt;Mak,A.&lt;/Authors_Primary&gt;&lt;Date_Primary&gt;2006/7&lt;/Date_Primary&gt;&lt;Keywords&gt;Adult&lt;/Keywords&gt;&lt;Keywords&gt;age&lt;/Keywords&gt;&lt;Keywords&gt;Antibodies&lt;/Keywords&gt;&lt;Keywords&gt;Central Nervous System Diseases&lt;/Keywords&gt;&lt;Keywords&gt;Chi-Square Distribution&lt;/Keywords&gt;&lt;Keywords&gt;China&lt;/Keywords&gt;&lt;Keywords&gt;complications&lt;/Keywords&gt;&lt;Keywords&gt;diagnosis&lt;/Keywords&gt;&lt;Keywords&gt;Disease&lt;/Keywords&gt;&lt;Keywords&gt;epidemiology&lt;/Keywords&gt;&lt;Keywords&gt;erythematosus&lt;/Keywords&gt;&lt;Keywords&gt;etiology&lt;/Keywords&gt;&lt;Keywords&gt;Female&lt;/Keywords&gt;&lt;Keywords&gt;Hong Kong&lt;/Keywords&gt;&lt;Keywords&gt;hospital&lt;/Keywords&gt;&lt;Keywords&gt;Humans&lt;/Keywords&gt;&lt;Keywords&gt;Longitudinal Studies&lt;/Keywords&gt;&lt;Keywords&gt;lupus erythematosus&lt;/Keywords&gt;&lt;Keywords&gt;Lupus Erythematosus,Systemic&lt;/Keywords&gt;&lt;Keywords&gt;Male&lt;/Keywords&gt;&lt;Keywords&gt;Methylprednisolone&lt;/Keywords&gt;&lt;Keywords&gt;mortality&lt;/Keywords&gt;&lt;Keywords&gt;patient&lt;/Keywords&gt;&lt;Keywords&gt;Patients&lt;/Keywords&gt;&lt;Keywords&gt;Peripheral Nervous System Diseases&lt;/Keywords&gt;&lt;Keywords&gt;Prevalence&lt;/Keywords&gt;&lt;Keywords&gt;psychology&lt;/Keywords&gt;&lt;Keywords&gt;Rheumatology&lt;/Keywords&gt;&lt;Keywords&gt;systemic lupus erythematosus&lt;/Keywords&gt;&lt;Keywords&gt;therapy&lt;/Keywords&gt;&lt;Reprint&gt;Not in File&lt;/Reprint&gt;&lt;Start_Page&gt;221&lt;/Start_Page&gt;&lt;End_Page&gt;228&lt;/End_Page&gt;&lt;Periodical&gt;Medicine (Baltimore).&lt;/Periodical&gt;&lt;Volume&gt;85&lt;/Volume&gt;&lt;Issue&gt;4&lt;/Issue&gt;&lt;User_Def_1&gt;y&lt;/User_Def_1&gt;&lt;ZZ_JournalStdAbbrev&gt;&lt;f name="System"&gt;Medicine (Baltimore).&lt;/f&gt;&lt;/ZZ_JournalStdAbbrev&gt;&lt;ZZ_WorkformID&gt;1&lt;/ZZ_WorkformID&gt;&lt;/MDL&gt;&lt;/Cite&gt;&lt;/Refman&gt;</w:instrText>
      </w:r>
      <w:r w:rsidR="00E729BA">
        <w:fldChar w:fldCharType="separate"/>
      </w:r>
      <w:r w:rsidR="004D7951">
        <w:t>(185)</w:t>
      </w:r>
      <w:r w:rsidR="00E729BA">
        <w:fldChar w:fldCharType="end"/>
      </w:r>
      <w:r>
        <w:t xml:space="preserve">. </w:t>
      </w:r>
      <w:r w:rsidR="00E729BA">
        <w:fldChar w:fldCharType="begin"/>
      </w:r>
      <w:r>
        <w:instrText xml:space="preserve"> REF _Ref332022892 \h </w:instrText>
      </w:r>
      <w:r w:rsidR="00E729BA">
        <w:fldChar w:fldCharType="separate"/>
      </w:r>
      <w:r w:rsidR="004911B7">
        <w:t xml:space="preserve">Table </w:t>
      </w:r>
      <w:r w:rsidR="004911B7">
        <w:rPr>
          <w:noProof/>
        </w:rPr>
        <w:t>15</w:t>
      </w:r>
      <w:r w:rsidR="00E729BA">
        <w:fldChar w:fldCharType="end"/>
      </w:r>
      <w:r>
        <w:t xml:space="preserve"> reports results from studies of neuropsychiatric damage</w:t>
      </w:r>
      <w:r w:rsidR="00B56487">
        <w:t xml:space="preserve"> to describe risk associations from Cox-regression and logistic analysis</w:t>
      </w:r>
      <w:r>
        <w:t xml:space="preserve">. </w:t>
      </w:r>
    </w:p>
    <w:p w:rsidR="002D772C" w:rsidRDefault="002D772C" w:rsidP="002D772C"/>
    <w:p w:rsidR="002D772C" w:rsidRDefault="002D772C" w:rsidP="00234693">
      <w:pPr>
        <w:pStyle w:val="Caption"/>
      </w:pPr>
      <w:bookmarkStart w:id="219" w:name="_Ref332022892"/>
      <w:r>
        <w:t xml:space="preserve">Table </w:t>
      </w:r>
      <w:fldSimple w:instr=" SEQ Table \* ARABIC ">
        <w:r w:rsidR="004911B7">
          <w:rPr>
            <w:noProof/>
          </w:rPr>
          <w:t>15</w:t>
        </w:r>
      </w:fldSimple>
      <w:bookmarkEnd w:id="219"/>
      <w:r>
        <w:t>: Odds ratios and hazard ratios with confidence intervals estimated for risk factors for neuropsychiatric damage</w:t>
      </w:r>
    </w:p>
    <w:tbl>
      <w:tblPr>
        <w:tblStyle w:val="TableGrid"/>
        <w:tblW w:w="1349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28" w:type="dxa"/>
          <w:right w:w="28" w:type="dxa"/>
        </w:tblCellMar>
        <w:tblLook w:val="04A0"/>
      </w:tblPr>
      <w:tblGrid>
        <w:gridCol w:w="1191"/>
        <w:gridCol w:w="397"/>
        <w:gridCol w:w="1275"/>
        <w:gridCol w:w="1276"/>
        <w:gridCol w:w="1134"/>
        <w:gridCol w:w="1276"/>
        <w:gridCol w:w="1134"/>
        <w:gridCol w:w="1134"/>
        <w:gridCol w:w="1276"/>
        <w:gridCol w:w="1134"/>
        <w:gridCol w:w="1134"/>
        <w:gridCol w:w="1134"/>
      </w:tblGrid>
      <w:tr w:rsidR="002D772C" w:rsidRPr="00723D95" w:rsidTr="004E70E9">
        <w:tc>
          <w:tcPr>
            <w:tcW w:w="1191" w:type="dxa"/>
            <w:tcBorders>
              <w:top w:val="single" w:sz="12" w:space="0" w:color="auto"/>
              <w:bottom w:val="single" w:sz="4" w:space="0" w:color="auto"/>
            </w:tcBorders>
          </w:tcPr>
          <w:p w:rsidR="002D772C" w:rsidRPr="00723D95" w:rsidRDefault="002D772C" w:rsidP="004E70E9">
            <w:pPr>
              <w:pStyle w:val="ListParagraph1"/>
              <w:rPr>
                <w:rFonts w:asciiTheme="majorBidi" w:hAnsiTheme="majorBidi" w:cstheme="majorBidi"/>
                <w:sz w:val="16"/>
                <w:szCs w:val="16"/>
              </w:rPr>
            </w:pPr>
            <w:r w:rsidRPr="00723D95">
              <w:rPr>
                <w:rFonts w:asciiTheme="majorBidi" w:hAnsiTheme="majorBidi" w:cstheme="majorBidi"/>
                <w:sz w:val="16"/>
                <w:szCs w:val="16"/>
              </w:rPr>
              <w:t>Author name</w:t>
            </w:r>
          </w:p>
        </w:tc>
        <w:tc>
          <w:tcPr>
            <w:tcW w:w="397" w:type="dxa"/>
            <w:tcBorders>
              <w:top w:val="single" w:sz="12" w:space="0" w:color="auto"/>
              <w:bottom w:val="single" w:sz="4" w:space="0" w:color="auto"/>
            </w:tcBorders>
          </w:tcPr>
          <w:p w:rsidR="002D772C" w:rsidRPr="00723D95" w:rsidRDefault="002D772C" w:rsidP="004E70E9">
            <w:pPr>
              <w:pStyle w:val="ListParagraph1"/>
              <w:rPr>
                <w:rFonts w:asciiTheme="majorBidi" w:hAnsiTheme="majorBidi" w:cstheme="majorBidi"/>
                <w:sz w:val="16"/>
                <w:szCs w:val="16"/>
              </w:rPr>
            </w:pPr>
            <w:r w:rsidRPr="00723D95">
              <w:rPr>
                <w:rFonts w:asciiTheme="majorBidi" w:hAnsiTheme="majorBidi" w:cstheme="majorBidi"/>
                <w:sz w:val="16"/>
                <w:szCs w:val="16"/>
              </w:rPr>
              <w:t>Date</w:t>
            </w:r>
          </w:p>
        </w:tc>
        <w:tc>
          <w:tcPr>
            <w:tcW w:w="1275" w:type="dxa"/>
            <w:tcBorders>
              <w:top w:val="single" w:sz="12" w:space="0" w:color="auto"/>
              <w:bottom w:val="single" w:sz="4" w:space="0" w:color="auto"/>
            </w:tcBorders>
          </w:tcPr>
          <w:p w:rsidR="002D772C" w:rsidRPr="00723D95" w:rsidRDefault="002D772C" w:rsidP="004E70E9">
            <w:pPr>
              <w:pStyle w:val="ListParagraph1"/>
              <w:rPr>
                <w:rFonts w:asciiTheme="majorBidi" w:hAnsiTheme="majorBidi" w:cstheme="majorBidi"/>
                <w:sz w:val="16"/>
                <w:szCs w:val="16"/>
              </w:rPr>
            </w:pPr>
            <w:r w:rsidRPr="00723D95">
              <w:rPr>
                <w:rFonts w:asciiTheme="majorBidi" w:hAnsiTheme="majorBidi" w:cstheme="majorBidi"/>
                <w:sz w:val="16"/>
                <w:szCs w:val="16"/>
              </w:rPr>
              <w:t>Damage outcome</w:t>
            </w:r>
          </w:p>
        </w:tc>
        <w:tc>
          <w:tcPr>
            <w:tcW w:w="1276"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Disease Activity</w:t>
            </w:r>
          </w:p>
        </w:tc>
        <w:tc>
          <w:tcPr>
            <w:tcW w:w="1134"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Ethnicity</w:t>
            </w:r>
          </w:p>
        </w:tc>
        <w:tc>
          <w:tcPr>
            <w:tcW w:w="1276" w:type="dxa"/>
            <w:tcBorders>
              <w:top w:val="single" w:sz="12" w:space="0" w:color="auto"/>
              <w:bottom w:val="single" w:sz="4" w:space="0" w:color="auto"/>
            </w:tcBorders>
          </w:tcPr>
          <w:p w:rsidR="002D772C" w:rsidRPr="00723D95" w:rsidRDefault="009602B1" w:rsidP="004E70E9">
            <w:pPr>
              <w:spacing w:after="0" w:afterAutospacing="0"/>
              <w:rPr>
                <w:rFonts w:asciiTheme="majorBidi" w:hAnsiTheme="majorBidi" w:cstheme="majorBidi"/>
                <w:sz w:val="16"/>
                <w:szCs w:val="16"/>
              </w:rPr>
            </w:pPr>
            <w:r>
              <w:rPr>
                <w:rFonts w:asciiTheme="majorBidi" w:hAnsiTheme="majorBidi" w:cstheme="majorBidi"/>
                <w:sz w:val="16"/>
                <w:szCs w:val="16"/>
              </w:rPr>
              <w:t>anticardiolipids</w:t>
            </w:r>
          </w:p>
        </w:tc>
        <w:tc>
          <w:tcPr>
            <w:tcW w:w="1134"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Organ damage</w:t>
            </w:r>
          </w:p>
        </w:tc>
        <w:tc>
          <w:tcPr>
            <w:tcW w:w="1134" w:type="dxa"/>
            <w:tcBorders>
              <w:top w:val="single" w:sz="12" w:space="0" w:color="auto"/>
              <w:bottom w:val="single" w:sz="4" w:space="0" w:color="auto"/>
            </w:tcBorders>
          </w:tcPr>
          <w:p w:rsidR="002D772C" w:rsidRPr="00723D95" w:rsidRDefault="00433502" w:rsidP="004E70E9">
            <w:pPr>
              <w:spacing w:after="0" w:afterAutospacing="0"/>
              <w:rPr>
                <w:rFonts w:asciiTheme="majorBidi" w:hAnsiTheme="majorBidi" w:cstheme="majorBidi"/>
                <w:sz w:val="16"/>
                <w:szCs w:val="16"/>
              </w:rPr>
            </w:pPr>
            <w:r>
              <w:rPr>
                <w:rFonts w:asciiTheme="majorBidi" w:hAnsiTheme="majorBidi" w:cstheme="majorBidi"/>
                <w:sz w:val="16"/>
                <w:szCs w:val="16"/>
              </w:rPr>
              <w:t>Steroid</w:t>
            </w:r>
          </w:p>
        </w:tc>
        <w:tc>
          <w:tcPr>
            <w:tcW w:w="1276"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Anti-malarials</w:t>
            </w:r>
          </w:p>
        </w:tc>
        <w:tc>
          <w:tcPr>
            <w:tcW w:w="1134"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Diabetes</w:t>
            </w:r>
          </w:p>
        </w:tc>
        <w:tc>
          <w:tcPr>
            <w:tcW w:w="1134"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Age</w:t>
            </w:r>
          </w:p>
        </w:tc>
        <w:tc>
          <w:tcPr>
            <w:tcW w:w="1134" w:type="dxa"/>
            <w:tcBorders>
              <w:top w:val="single" w:sz="12" w:space="0" w:color="auto"/>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Hypertension</w:t>
            </w:r>
          </w:p>
        </w:tc>
      </w:tr>
      <w:tr w:rsidR="002D772C" w:rsidRPr="00723D95" w:rsidTr="004E70E9">
        <w:tc>
          <w:tcPr>
            <w:tcW w:w="1191"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Mikdashi</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&lt;Refman&gt;&lt;Cite&gt;&lt;Author&gt;Mikdashi&lt;/Author&gt;&lt;Year&gt;2004&lt;/Year&gt;&lt;RecNum&gt;631&lt;/RecNum&gt;&lt;IDText&gt;Predictors of neuropsychiatric damage in systemic lupus erythematosus: data from the Maryland lupus cohort&lt;/IDText&gt;&lt;MDL Ref_Type="Journal"&gt;&lt;Ref_Type&gt;Journal&lt;/Ref_Type&gt;&lt;Ref_ID&gt;631&lt;/Ref_ID&gt;&lt;Title_Primary&gt;Predictors of neuropsychiatric damage in systemic lupus erythematosus: data from the Maryland lupus cohort&lt;/Title_Primary&gt;&lt;Authors_Primary&gt;Mikdashi,J.&lt;/Authors_Primary&gt;&lt;Authors_Primary&gt;Handwerger,B.&lt;/Authors_Primary&gt;&lt;Date_Primary&gt;2004/12&lt;/Date_Primary&gt;&lt;Keywords&gt;Adult&lt;/Keywords&gt;&lt;Keywords&gt;Antibodies&lt;/Keywords&gt;&lt;Keywords&gt;Antibodies,Antinuclear&lt;/Keywords&gt;&lt;Keywords&gt;Antibodies,Antiphospholipid&lt;/Keywords&gt;&lt;Keywords&gt;Baltimore&lt;/Keywords&gt;&lt;Keywords&gt;Biological Markers&lt;/Keywords&gt;&lt;Keywords&gt;blood&lt;/Keywords&gt;&lt;Keywords&gt;Cause of Death&lt;/Keywords&gt;&lt;Keywords&gt;Cognition Disorders&lt;/Keywords&gt;&lt;Keywords&gt;death&lt;/Keywords&gt;&lt;Keywords&gt;Disease&lt;/Keywords&gt;&lt;Keywords&gt;erythematosus&lt;/Keywords&gt;&lt;Keywords&gt;etiology&lt;/Keywords&gt;&lt;Keywords&gt;Female&lt;/Keywords&gt;&lt;Keywords&gt;Follow-Up Studies&lt;/Keywords&gt;&lt;Keywords&gt;Humans&lt;/Keywords&gt;&lt;Keywords&gt;immunology&lt;/Keywords&gt;&lt;Keywords&gt;lupus erythematosus&lt;/Keywords&gt;&lt;Keywords&gt;Lupus Erythematosus,Systemic&lt;/Keywords&gt;&lt;Keywords&gt;Lupus Vasculitis,Central Nervous System&lt;/Keywords&gt;&lt;Keywords&gt;Male&lt;/Keywords&gt;&lt;Keywords&gt;Maryland&lt;/Keywords&gt;&lt;Keywords&gt;Mental Disorders&lt;/Keywords&gt;&lt;Keywords&gt;methods&lt;/Keywords&gt;&lt;Keywords&gt;Middle Aged&lt;/Keywords&gt;&lt;Keywords&gt;mortality&lt;/Keywords&gt;&lt;Keywords&gt;patient&lt;/Keywords&gt;&lt;Keywords&gt;Patients&lt;/Keywords&gt;&lt;Keywords&gt;psychology&lt;/Keywords&gt;&lt;Keywords&gt;Rheumatology&lt;/Keywords&gt;&lt;Keywords&gt;Risk Factors&lt;/Keywords&gt;&lt;Keywords&gt;Seizures&lt;/Keywords&gt;&lt;Keywords&gt;Stroke&lt;/Keywords&gt;&lt;Keywords&gt;Syndrome&lt;/Keywords&gt;&lt;Keywords&gt;systemic lupus erythematosus&lt;/Keywords&gt;&lt;Keywords&gt;therapy&lt;/Keywords&gt;&lt;Reprint&gt;Not in File&lt;/Reprint&gt;&lt;Start_Page&gt;1555&lt;/Start_Page&gt;&lt;End_Page&gt;1560&lt;/End_Page&gt;&lt;Periodical&gt;Rheumatology.(Oxford).&lt;/Periodical&gt;&lt;Volume&gt;43&lt;/Volume&gt;&lt;Issue&gt;12&lt;/Issue&gt;&lt;User_Def_1&gt;y&lt;/User_Def_1&gt;&lt;ZZ_JournalStdAbbrev&gt;&lt;f name="System"&gt;Rheumatology.(Oxford).&lt;/f&gt;&lt;/ZZ_JournalStdAbbrev&gt;&lt;ZZ_WorkformID&gt;1&lt;/ZZ_WorkformID&gt;&lt;/MDL&gt;&lt;/Cite&gt;&lt;/Refman&gt;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(184)</w:t>
            </w:r>
            <w:r w:rsidR="00E729BA">
              <w:rPr>
                <w:rFonts w:asciiTheme="majorBidi" w:hAnsiTheme="majorBidi" w:cstheme="majorBidi"/>
                <w:sz w:val="16"/>
                <w:szCs w:val="16"/>
              </w:rPr>
              <w:fldChar w:fldCharType="end"/>
            </w:r>
          </w:p>
        </w:tc>
        <w:tc>
          <w:tcPr>
            <w:tcW w:w="397"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2004</w:t>
            </w:r>
          </w:p>
        </w:tc>
        <w:tc>
          <w:tcPr>
            <w:tcW w:w="1275"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Neuropsychiatric damage</w:t>
            </w:r>
            <w:r>
              <w:rPr>
                <w:rFonts w:asciiTheme="majorBidi" w:hAnsiTheme="majorBidi" w:cstheme="majorBidi"/>
                <w:sz w:val="16"/>
                <w:szCs w:val="16"/>
              </w:rPr>
              <w:t xml:space="preserve"> (OR)</w:t>
            </w:r>
          </w:p>
        </w:tc>
        <w:tc>
          <w:tcPr>
            <w:tcW w:w="1276"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2.7 (1.0-6.7)</w:t>
            </w: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3.0 (1.0-19.5)</w:t>
            </w:r>
          </w:p>
        </w:tc>
        <w:tc>
          <w:tcPr>
            <w:tcW w:w="1276"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4.8 (1.0-23.0)</w:t>
            </w: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276"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134" w:type="dxa"/>
            <w:tcBorders>
              <w:top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r>
      <w:tr w:rsidR="002D772C" w:rsidRPr="00723D95" w:rsidTr="004E70E9">
        <w:tc>
          <w:tcPr>
            <w:tcW w:w="1191"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Mok</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&lt;Refman&gt;&lt;Cite&gt;&lt;Author&gt;Mok&lt;/Author&gt;&lt;Year&gt;2006&lt;/Year&gt;&lt;RecNum&gt;436&lt;/RecNum&gt;&lt;IDText&gt;Neuropsychiatric damage in Southern Chinese patients with systemic lupus erythematosus&lt;/IDText&gt;&lt;MDL Ref_Type="Journal"&gt;&lt;Ref_Type&gt;Journal&lt;/Ref_Type&gt;&lt;Ref_ID&gt;436&lt;/Ref_ID&gt;&lt;Title_Primary&gt;Neuropsychiatric damage in Southern Chinese patients with systemic lupus erythematosus&lt;/Title_Primary&gt;&lt;Authors_Primary&gt;Mok,C.C.&lt;/Authors_Primary&gt;&lt;Authors_Primary&gt;To,C.H.&lt;/Authors_Primary&gt;&lt;Authors_Primary&gt;Mak,A.&lt;/Authors_Primary&gt;&lt;Date_Primary&gt;2006/7&lt;/Date_Primary&gt;&lt;Keywords&gt;Adult&lt;/Keywords&gt;&lt;Keywords&gt;age&lt;/Keywords&gt;&lt;Keywords&gt;Antibodies&lt;/Keywords&gt;&lt;Keywords&gt;Central Nervous System Diseases&lt;/Keywords&gt;&lt;Keywords&gt;Chi-Square Distribution&lt;/Keywords&gt;&lt;Keywords&gt;China&lt;/Keywords&gt;&lt;Keywords&gt;complications&lt;/Keywords&gt;&lt;Keywords&gt;diagnosis&lt;/Keywords&gt;&lt;Keywords&gt;Disease&lt;/Keywords&gt;&lt;Keywords&gt;epidemiology&lt;/Keywords&gt;&lt;Keywords&gt;erythematosus&lt;/Keywords&gt;&lt;Keywords&gt;etiology&lt;/Keywords&gt;&lt;Keywords&gt;Female&lt;/Keywords&gt;&lt;Keywords&gt;Hong Kong&lt;/Keywords&gt;&lt;Keywords&gt;hospital&lt;/Keywords&gt;&lt;Keywords&gt;Humans&lt;/Keywords&gt;&lt;Keywords&gt;Longitudinal Studies&lt;/Keywords&gt;&lt;Keywords&gt;lupus erythematosus&lt;/Keywords&gt;&lt;Keywords&gt;Lupus Erythematosus,Systemic&lt;/Keywords&gt;&lt;Keywords&gt;Male&lt;/Keywords&gt;&lt;Keywords&gt;Methylprednisolone&lt;/Keywords&gt;&lt;Keywords&gt;mortality&lt;/Keywords&gt;&lt;Keywords&gt;patient&lt;/Keywords&gt;&lt;Keywords&gt;Patients&lt;/Keywords&gt;&lt;Keywords&gt;Peripheral Nervous System Diseases&lt;/Keywords&gt;&lt;Keywords&gt;Prevalence&lt;/Keywords&gt;&lt;Keywords&gt;psychology&lt;/Keywords&gt;&lt;Keywords&gt;Rheumatology&lt;/Keywords&gt;&lt;Keywords&gt;systemic lupus erythematosus&lt;/Keywords&gt;&lt;Keywords&gt;therapy&lt;/Keywords&gt;&lt;Reprint&gt;Not in File&lt;/Reprint&gt;&lt;Start_Page&gt;221&lt;/Start_Page&gt;&lt;End_Page&gt;228&lt;/End_Page&gt;&lt;Periodical&gt;Medicine (Baltimore).&lt;/Periodical&gt;&lt;Volume&gt;85&lt;/Volume&gt;&lt;Issue&gt;4&lt;/Issue&gt;&lt;User_Def_1&gt;y&lt;/User_Def_1&gt;&lt;ZZ_JournalStdAbbrev&gt;&lt;f name="System"&gt;Medicine (Baltimore).&lt;/f&gt;&lt;/ZZ_JournalStdAbbrev&gt;&lt;ZZ_WorkformID&gt;1&lt;/ZZ_WorkformID&gt;&lt;/MDL&gt;&lt;/Cite&gt;&lt;/Refman&gt;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(185)</w:t>
            </w:r>
            <w:r w:rsidR="00E729BA">
              <w:rPr>
                <w:rFonts w:asciiTheme="majorBidi" w:hAnsiTheme="majorBidi" w:cstheme="majorBidi"/>
                <w:sz w:val="16"/>
                <w:szCs w:val="16"/>
              </w:rPr>
              <w:fldChar w:fldCharType="end"/>
            </w:r>
          </w:p>
        </w:tc>
        <w:tc>
          <w:tcPr>
            <w:tcW w:w="397"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2006</w:t>
            </w:r>
          </w:p>
        </w:tc>
        <w:tc>
          <w:tcPr>
            <w:tcW w:w="1275"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Neuropsychiatric damage</w:t>
            </w:r>
            <w:r>
              <w:rPr>
                <w:rFonts w:asciiTheme="majorBidi" w:hAnsiTheme="majorBidi" w:cstheme="majorBidi"/>
                <w:sz w:val="16"/>
                <w:szCs w:val="16"/>
              </w:rPr>
              <w:t xml:space="preserve"> (HR)</w:t>
            </w:r>
          </w:p>
        </w:tc>
        <w:tc>
          <w:tcPr>
            <w:tcW w:w="1276"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1.28 (1.29-1.31)</w:t>
            </w: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276"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1.16 (1.10-1.23)</w:t>
            </w: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276"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r>
      <w:tr w:rsidR="002D772C" w:rsidRPr="00723D95" w:rsidTr="004E70E9">
        <w:tc>
          <w:tcPr>
            <w:tcW w:w="1191"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Gonzalez</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&lt;Refman&gt;&lt;Cite&gt;&lt;Author&gt;Gonzalez&lt;/Author&gt;&lt;Year&gt;2009&lt;/Year&gt;&lt;RecNum&gt;35&lt;/RecNum&gt;&lt;IDText&gt;Time to neuropsychiatric damage occurrence in LUMINA (LXVI): a multi-ethnic lupus cohort&lt;/IDText&gt;&lt;MDL Ref_Type="Journal"&gt;&lt;Ref_Type&gt;Journal&lt;/Ref_Type&gt;&lt;Ref_ID&gt;35&lt;/Ref_ID&gt;&lt;Title_Primary&gt;Time to neuropsychiatric damage occurrence in LUMINA (LXVI): a multi-ethnic lupus cohort&lt;/Title_Primary&gt;&lt;Authors_Primary&gt;Gonzalez,L.A.&lt;/Authors_Primary&gt;&lt;Authors_Primary&gt;Pons-Estel,G.J.&lt;/Authors_Primary&gt;&lt;Authors_Primary&gt;Zhang,J.&lt;/Authors_Primary&gt;&lt;Authors_Primary&gt;Vila,L.M.&lt;/Authors_Primary&gt;&lt;Authors_Primary&gt;Reveille,J.D.&lt;/Authors_Primary&gt;&lt;Authors_Primary&gt;Alarcon,G.S.&lt;/Authors_Primary&gt;&lt;Date_Primary&gt;2009/8&lt;/Date_Primary&gt;&lt;Keywords&gt;Adult&lt;/Keywords&gt;&lt;Keywords&gt;African Americans&lt;/Keywords&gt;&lt;Keywords&gt;age&lt;/Keywords&gt;&lt;Keywords&gt;Age Factors&lt;/Keywords&gt;&lt;Keywords&gt;Alabama&lt;/Keywords&gt;&lt;Keywords&gt;Cohort Studies&lt;/Keywords&gt;&lt;Keywords&gt;complications&lt;/Keywords&gt;&lt;Keywords&gt;confidence interval&lt;/Keywords&gt;&lt;Keywords&gt;Disease&lt;/Keywords&gt;&lt;Keywords&gt;Disease Progression&lt;/Keywords&gt;&lt;Keywords&gt;epidemiology&lt;/Keywords&gt;&lt;Keywords&gt;erythematosus&lt;/Keywords&gt;&lt;Keywords&gt;ethnology&lt;/Keywords&gt;&lt;Keywords&gt;etiology&lt;/Keywords&gt;&lt;Keywords&gt;European Continental Ancestry Group&lt;/Keywords&gt;&lt;Keywords&gt;Female&lt;/Keywords&gt;&lt;Keywords&gt;Hispanic Americans&lt;/Keywords&gt;&lt;Keywords&gt;Humans&lt;/Keywords&gt;&lt;Keywords&gt;Hydroxychloroquine&lt;/Keywords&gt;&lt;Keywords&gt;Illness Behavior&lt;/Keywords&gt;&lt;Keywords&gt;immunology&lt;/Keywords&gt;&lt;Keywords&gt;Incidence&lt;/Keywords&gt;&lt;Keywords&gt;Longitudinal Studies&lt;/Keywords&gt;&lt;Keywords&gt;lupus erythematosus&lt;/Keywords&gt;&lt;Keywords&gt;Lupus Erythematosus,Systemic&lt;/Keywords&gt;&lt;Keywords&gt;Lupus Vasculitis,Central Nervous System&lt;/Keywords&gt;&lt;Keywords&gt;Male&lt;/Keywords&gt;&lt;Keywords&gt;Middle Aged&lt;/Keywords&gt;&lt;Keywords&gt;mortality&lt;/Keywords&gt;&lt;Keywords&gt;Multivariate Analysis&lt;/Keywords&gt;&lt;Keywords&gt;patient&lt;/Keywords&gt;&lt;Keywords&gt;Patients&lt;/Keywords&gt;&lt;Keywords&gt;Prednisone&lt;/Keywords&gt;&lt;Keywords&gt;Proportional Hazards Models&lt;/Keywords&gt;&lt;Keywords&gt;psychology&lt;/Keywords&gt;&lt;Keywords&gt;Rheumatology&lt;/Keywords&gt;&lt;Keywords&gt;Severity of Illness Index&lt;/Keywords&gt;&lt;Keywords&gt;systemic lupus erythematosus&lt;/Keywords&gt;&lt;Keywords&gt;Time&lt;/Keywords&gt;&lt;Keywords&gt;Time Factors&lt;/Keywords&gt;&lt;Reprint&gt;Not in File&lt;/Reprint&gt;&lt;Start_Page&gt;822&lt;/Start_Page&gt;&lt;End_Page&gt;830&lt;/End_Page&gt;&lt;Periodical&gt;Lupus.&lt;/Periodical&gt;&lt;Volume&gt;18&lt;/Volume&gt;&lt;Issue&gt;9&lt;/Issue&gt;&lt;User_Def_1&gt;y&lt;/User_Def_1&gt;&lt;ZZ_JournalStdAbbrev&gt;&lt;f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(186)</w:t>
            </w:r>
            <w:r w:rsidR="00E729BA">
              <w:rPr>
                <w:rFonts w:asciiTheme="majorBidi" w:hAnsiTheme="majorBidi" w:cstheme="majorBidi"/>
                <w:sz w:val="16"/>
                <w:szCs w:val="16"/>
              </w:rPr>
              <w:fldChar w:fldCharType="end"/>
            </w:r>
          </w:p>
        </w:tc>
        <w:tc>
          <w:tcPr>
            <w:tcW w:w="397"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2009</w:t>
            </w:r>
          </w:p>
        </w:tc>
        <w:tc>
          <w:tcPr>
            <w:tcW w:w="1275"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Neuropsychiatric damage</w:t>
            </w:r>
            <w:r>
              <w:rPr>
                <w:rFonts w:asciiTheme="majorBidi" w:hAnsiTheme="majorBidi" w:cstheme="majorBidi"/>
                <w:sz w:val="16"/>
                <w:szCs w:val="16"/>
              </w:rPr>
              <w:t xml:space="preserve"> (HR)</w:t>
            </w:r>
          </w:p>
        </w:tc>
        <w:tc>
          <w:tcPr>
            <w:tcW w:w="1276"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lang w:eastAsia="zh-CN" w:bidi="ar-SA"/>
              </w:rPr>
              <w:t>1.16 (1.12–1.21)</w:t>
            </w:r>
          </w:p>
        </w:tc>
        <w:tc>
          <w:tcPr>
            <w:tcW w:w="1134"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1.87 (</w:t>
            </w:r>
            <w:r w:rsidRPr="00723D95">
              <w:rPr>
                <w:rFonts w:asciiTheme="majorBidi" w:hAnsiTheme="majorBidi" w:cstheme="majorBidi"/>
                <w:sz w:val="16"/>
                <w:szCs w:val="16"/>
                <w:lang w:eastAsia="zh-CN" w:bidi="ar-SA"/>
              </w:rPr>
              <w:t>1.22–2.87)</w:t>
            </w:r>
          </w:p>
        </w:tc>
        <w:tc>
          <w:tcPr>
            <w:tcW w:w="1276"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lang w:eastAsia="zh-CN" w:bidi="ar-SA"/>
              </w:rPr>
              <w:t>0.56 (0.35–0.92)</w:t>
            </w: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0.58 (0.36–0.93)</w:t>
            </w: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3.47 (1.44–8.38)</w:t>
            </w: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r>
      <w:tr w:rsidR="002D772C" w:rsidRPr="00723D95" w:rsidTr="004E70E9">
        <w:tc>
          <w:tcPr>
            <w:tcW w:w="1191"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Mikdashi</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&lt;Refman&gt;&lt;Cite&gt;&lt;Author&gt;Mikdashi&lt;/Author&gt;&lt;Year&gt;2005&lt;/Year&gt;&lt;RecNum&gt;562&lt;/RecNum&gt;&lt;IDText&gt;Factors at diagnosis predict subsequent occurrence of seizures in systemic lupus erythematosus&lt;/IDText&gt;&lt;MDL Ref_Type="Journal"&gt;&lt;Ref_Type&gt;Journal&lt;/Ref_Type&gt;&lt;Ref_ID&gt;562&lt;/Ref_ID&gt;&lt;Title_Primary&gt;Factors at diagnosis predict subsequent occurrence of seizures in systemic lupus erythematosus&lt;/Title_Primary&gt;&lt;Authors_Primary&gt;Mikdashi,J.&lt;/Authors_Primary&gt;&lt;Authors_Primary&gt;Krumholz,A.&lt;/Authors_Primary&gt;&lt;Authors_Primary&gt;Handwerger,B.&lt;/Authors_Primary&gt;&lt;Date_Primary&gt;2005/6/28&lt;/Date_Primary&gt;&lt;Keywords&gt;Adult&lt;/Keywords&gt;&lt;Keywords&gt;Antibodies&lt;/Keywords&gt;&lt;Keywords&gt;Autoantibodies&lt;/Keywords&gt;&lt;Keywords&gt;Autoantigens&lt;/Keywords&gt;&lt;Keywords&gt;Baltimore&lt;/Keywords&gt;&lt;Keywords&gt;blood&lt;/Keywords&gt;&lt;Keywords&gt;Brain&lt;/Keywords&gt;&lt;Keywords&gt;Cardiolipins&lt;/Keywords&gt;&lt;Keywords&gt;classification&lt;/Keywords&gt;&lt;Keywords&gt;Cohort Studies&lt;/Keywords&gt;&lt;Keywords&gt;complications&lt;/Keywords&gt;&lt;Keywords&gt;diagnosis&lt;/Keywords&gt;&lt;Keywords&gt;Disease&lt;/Keywords&gt;&lt;Keywords&gt;Disease Progression&lt;/Keywords&gt;&lt;Keywords&gt;Epilepsy&lt;/Keywords&gt;&lt;Keywords&gt;erythematosus&lt;/Keywords&gt;&lt;Keywords&gt;etiology&lt;/Keywords&gt;&lt;Keywords&gt;Female&lt;/Keywords&gt;&lt;Keywords&gt;Humans&lt;/Keywords&gt;&lt;Keywords&gt;immunology&lt;/Keywords&gt;&lt;Keywords&gt;lupus erythematosus&lt;/Keywords&gt;&lt;Keywords&gt;Lupus Vasculitis,Central Nervous System&lt;/Keywords&gt;&lt;Keywords&gt;Male&lt;/Keywords&gt;&lt;Keywords&gt;Maryland&lt;/Keywords&gt;&lt;Keywords&gt;methods&lt;/Keywords&gt;&lt;Keywords&gt;Middle Aged&lt;/Keywords&gt;&lt;Keywords&gt;Multivariate Analysis&lt;/Keywords&gt;&lt;Keywords&gt;patient&lt;/Keywords&gt;&lt;Keywords&gt;Patients&lt;/Keywords&gt;&lt;Keywords&gt;physiopathology&lt;/Keywords&gt;&lt;Keywords&gt;Predictive Value of Tests&lt;/Keywords&gt;&lt;Keywords&gt;Prognosis&lt;/Keywords&gt;&lt;Keywords&gt;psychology&lt;/Keywords&gt;&lt;Keywords&gt;Psychotic Disorders&lt;/Keywords&gt;&lt;Keywords&gt;Regression Analysis&lt;/Keywords&gt;&lt;Keywords&gt;Rheumatology&lt;/Keywords&gt;&lt;Keywords&gt;Ribonucleoproteins,Small Nuclear&lt;/Keywords&gt;&lt;Keywords&gt;Risk&lt;/Keywords&gt;&lt;Keywords&gt;Risk Factors&lt;/Keywords&gt;&lt;Keywords&gt;Seizures&lt;/Keywords&gt;&lt;Keywords&gt;Serum&lt;/Keywords&gt;&lt;Keywords&gt;Sex Factors&lt;/Keywords&gt;&lt;Keywords&gt;snRNP Core Proteins&lt;/Keywords&gt;&lt;Keywords&gt;Stroke&lt;/Keywords&gt;&lt;Keywords&gt;Syndrome&lt;/Keywords&gt;&lt;Keywords&gt;systemic lupus erythematosus&lt;/Keywords&gt;&lt;Reprint&gt;Not in File&lt;/Reprint&gt;&lt;Start_Page&gt;2102&lt;/Start_Page&gt;&lt;End_Page&gt;2107&lt;/End_Page&gt;&lt;Periodical&gt;Neurology.&lt;/Periodical&gt;&lt;Volume&gt;64&lt;/Volume&gt;&lt;Issue&gt;12&lt;/Issue&gt;&lt;User_Def_1&gt;y&lt;/User_Def_1&gt;&lt;ZZ_JournalStdAbbrev&gt;&lt;f name="System"&gt;Neurology.&lt;/f&gt;&lt;/ZZ_JournalStdAbbrev&gt;&lt;ZZ_WorkformID&gt;1&lt;/ZZ_WorkformID&gt;&lt;/MDL&gt;&lt;/Cite&gt;&lt;/Refman&gt;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(187)</w:t>
            </w:r>
            <w:r w:rsidR="00E729BA">
              <w:rPr>
                <w:rFonts w:asciiTheme="majorBidi" w:hAnsiTheme="majorBidi" w:cstheme="majorBidi"/>
                <w:sz w:val="16"/>
                <w:szCs w:val="16"/>
              </w:rPr>
              <w:fldChar w:fldCharType="end"/>
            </w:r>
          </w:p>
        </w:tc>
        <w:tc>
          <w:tcPr>
            <w:tcW w:w="397"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2005</w:t>
            </w:r>
          </w:p>
        </w:tc>
        <w:tc>
          <w:tcPr>
            <w:tcW w:w="1275"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Seizures</w:t>
            </w:r>
            <w:r>
              <w:rPr>
                <w:rFonts w:asciiTheme="majorBidi" w:hAnsiTheme="majorBidi" w:cstheme="majorBidi"/>
                <w:sz w:val="16"/>
                <w:szCs w:val="16"/>
              </w:rPr>
              <w:t>(OR)</w:t>
            </w: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2.29  (1.01-1.12)</w:t>
            </w: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276"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lang w:eastAsia="zh-CN" w:bidi="ar-SA"/>
              </w:rPr>
              <w:t>2.23 (1.01–4.67)</w:t>
            </w: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r>
      <w:tr w:rsidR="002D772C" w:rsidRPr="00723D95" w:rsidTr="004E70E9">
        <w:tc>
          <w:tcPr>
            <w:tcW w:w="1191"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Andrade</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&lt;Refman&gt;&lt;Cite&gt;&lt;Author&gt;Andrade&lt;/Author&gt;&lt;Year&gt;2008&lt;/Year&gt;&lt;RecNum&gt;186&lt;/RecNum&gt;&lt;IDText&gt;Seizures in patients with systemic lupus erythematosus: data from LUMINA, a multiethnic cohort (LUMINA LIV)&lt;/IDText&gt;&lt;MDL Ref_Type="Journal"&gt;&lt;Ref_Type&gt;Journal&lt;/Ref_Type&gt;&lt;Ref_ID&gt;186&lt;/Ref_ID&gt;&lt;Title_Primary&gt;Seizures in patients with systemic lupus erythematosus: data from LUMINA, a multiethnic cohort (LUMINA LIV)&lt;/Title_Primary&gt;&lt;Authors_Primary&gt;Andrade,R.M.&lt;/Authors_Primary&gt;&lt;Authors_Primary&gt;Alarcon,G.S.&lt;/Authors_Primary&gt;&lt;Authors_Primary&gt;Gonzalez,L.A.&lt;/Authors_Primary&gt;&lt;Authors_Primary&gt;Fernandez,M.&lt;/Authors_Primary&gt;&lt;Authors_Primary&gt;Apte,M.&lt;/Authors_Primary&gt;&lt;Authors_Primary&gt;Vila,L.M.&lt;/Authors_Primary&gt;&lt;Authors_Primary&gt;McGwin,G.,Jr.&lt;/Authors_Primary&gt;&lt;Authors_Primary&gt;Reveille,J.D.&lt;/Authors_Primary&gt;&lt;Date_Primary&gt;2008/6&lt;/Date_Primary&gt;&lt;Keywords&gt;Adult&lt;/Keywords&gt;&lt;Keywords&gt;African Americans&lt;/Keywords&gt;&lt;Keywords&gt;age&lt;/Keywords&gt;&lt;Keywords&gt;Age of Onset&lt;/Keywords&gt;&lt;Keywords&gt;Alabama&lt;/Keywords&gt;&lt;Keywords&gt;Antimalarials&lt;/Keywords&gt;&lt;Keywords&gt;complications&lt;/Keywords&gt;&lt;Keywords&gt;diagnosis&lt;/Keywords&gt;&lt;Keywords&gt;Disease&lt;/Keywords&gt;&lt;Keywords&gt;Disease Progression&lt;/Keywords&gt;&lt;Keywords&gt;erythematosus&lt;/Keywords&gt;&lt;Keywords&gt;ethnology&lt;/Keywords&gt;&lt;Keywords&gt;etiology&lt;/Keywords&gt;&lt;Keywords&gt;European Continental Ancestry Group&lt;/Keywords&gt;&lt;Keywords&gt;Female&lt;/Keywords&gt;&lt;Keywords&gt;Follow-Up Studies&lt;/Keywords&gt;&lt;Keywords&gt;Health&lt;/Keywords&gt;&lt;Keywords&gt;Health Status Indicators&lt;/Keywords&gt;&lt;Keywords&gt;Hispanic Americans&lt;/Keywords&gt;&lt;Keywords&gt;Humans&lt;/Keywords&gt;&lt;Keywords&gt;Hydroxychloroquine&lt;/Keywords&gt;&lt;Keywords&gt;lupus erythematosus&lt;/Keywords&gt;&lt;Keywords&gt;Lupus Erythematosus,Systemic&lt;/Keywords&gt;&lt;Keywords&gt;Male&lt;/Keywords&gt;&lt;Keywords&gt;methods&lt;/Keywords&gt;&lt;Keywords&gt;Middle Aged&lt;/Keywords&gt;&lt;Keywords&gt;mortality&lt;/Keywords&gt;&lt;Keywords&gt;Multivariate Analysis&lt;/Keywords&gt;&lt;Keywords&gt;patient&lt;/Keywords&gt;&lt;Keywords&gt;Patients&lt;/Keywords&gt;&lt;Keywords&gt;Rheumatology&lt;/Keywords&gt;&lt;Keywords&gt;Seizures&lt;/Keywords&gt;&lt;Keywords&gt;Socioeconomic Factors&lt;/Keywords&gt;&lt;Keywords&gt;Syndrome&lt;/Keywords&gt;&lt;Keywords&gt;systemic lupus erythematosus&lt;/Keywords&gt;&lt;Reprint&gt;Not in File&lt;/Reprint&gt;&lt;Start_Page&gt;829&lt;/Start_Page&gt;&lt;End_Page&gt;834&lt;/End_Page&gt;&lt;Periodical&gt;Ann.Rheum.Dis.&lt;/Periodical&gt;&lt;Volume&gt;67&lt;/Volume&gt;&lt;Issue&gt;6&lt;/Issue&gt;&lt;User_Def_1&gt;y&lt;/User_Def_1&gt;&lt;ZZ_JournalStdAbbrev&gt;&lt;f name="System"&gt;Ann.Rheum.Dis.&lt;/f&gt;&lt;/ZZ_JournalStdAbbrev&gt;&lt;ZZ_WorkformID&gt;1&lt;/ZZ_WorkformID&gt;&lt;/MDL&gt;&lt;/Cite&gt;&lt;/Refman&gt;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(188)</w:t>
            </w:r>
            <w:r w:rsidR="00E729BA">
              <w:rPr>
                <w:rFonts w:asciiTheme="majorBidi" w:hAnsiTheme="majorBidi" w:cstheme="majorBidi"/>
                <w:sz w:val="16"/>
                <w:szCs w:val="16"/>
              </w:rPr>
              <w:fldChar w:fldCharType="end"/>
            </w:r>
          </w:p>
        </w:tc>
        <w:tc>
          <w:tcPr>
            <w:tcW w:w="397"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2008</w:t>
            </w:r>
          </w:p>
        </w:tc>
        <w:tc>
          <w:tcPr>
            <w:tcW w:w="1275"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Seizures</w:t>
            </w:r>
            <w:r>
              <w:rPr>
                <w:rFonts w:asciiTheme="majorBidi" w:hAnsiTheme="majorBidi" w:cstheme="majorBidi"/>
                <w:sz w:val="16"/>
                <w:szCs w:val="16"/>
              </w:rPr>
              <w:t xml:space="preserve"> (HR)</w:t>
            </w: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1.10 (1.04- 1.15)</w:t>
            </w:r>
          </w:p>
        </w:tc>
        <w:tc>
          <w:tcPr>
            <w:tcW w:w="1134"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lang w:eastAsia="zh-CN" w:bidi="ar-SA"/>
              </w:rPr>
              <w:t>2.7 (1.3–5.7)</w:t>
            </w:r>
          </w:p>
        </w:tc>
        <w:tc>
          <w:tcPr>
            <w:tcW w:w="1276"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0.35 (0.15- 0.80)</w:t>
            </w: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1.04 (1.00-1.08)</w:t>
            </w: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r>
      <w:tr w:rsidR="002D772C" w:rsidRPr="00723D95" w:rsidTr="004E70E9">
        <w:tc>
          <w:tcPr>
            <w:tcW w:w="1191"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Ramsey-Goldman</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&lt;Refman&gt;&lt;Cite&gt;&lt;Author&gt;Ramsey-Goldman&lt;/Author&gt;&lt;Year&gt;2008&lt;/Year&gt;&lt;RecNum&gt;251&lt;/RecNum&gt;&lt;IDText&gt;Time to seizure occurrence and damage in PROFILE, a multi-ethnic systemic lupus erythematosus cohort&lt;/IDText&gt;&lt;MDL Ref_Type="Journal"&gt;&lt;Ref_Type&gt;Journal&lt;/Ref_Type&gt;&lt;Ref_ID&gt;251&lt;/Ref_ID&gt;&lt;Title_Primary&gt;Time to seizure occurrence and damage in PROFILE, a multi-ethnic systemic lupus erythematosus cohort&lt;/Title_Primary&gt;&lt;Authors_Primary&gt;Ramsey-Goldman,R.&lt;/Authors_Primary&gt;&lt;Authors_Primary&gt;Alarcon,G.S.&lt;/Authors_Primary&gt;&lt;Authors_Primary&gt;McGwin,G.&lt;/Authors_Primary&gt;&lt;Authors_Primary&gt;Petri,M.&lt;/Authors_Primary&gt;&lt;Authors_Primary&gt;Vila,L.M.&lt;/Authors_Primary&gt;&lt;Authors_Primary&gt;Edberg,J.C.&lt;/Authors_Primary&gt;&lt;Authors_Primary&gt;Reveille,J.D.&lt;/Authors_Primary&gt;&lt;Authors_Primary&gt;Kimberly,R.P.&lt;/Authors_Primary&gt;&lt;Date_Primary&gt;2008&lt;/Date_Primary&gt;&lt;Keywords&gt;Adult&lt;/Keywords&gt;&lt;Keywords&gt;age&lt;/Keywords&gt;&lt;Keywords&gt;Cohort Studies&lt;/Keywords&gt;&lt;Keywords&gt;complications&lt;/Keywords&gt;&lt;Keywords&gt;confidence interval&lt;/Keywords&gt;&lt;Keywords&gt;Confidence Intervals&lt;/Keywords&gt;&lt;Keywords&gt;diagnosis&lt;/Keywords&gt;&lt;Keywords&gt;erythematosus&lt;/Keywords&gt;&lt;Keywords&gt;ethnology&lt;/Keywords&gt;&lt;Keywords&gt;etiology&lt;/Keywords&gt;&lt;Keywords&gt;Female&lt;/Keywords&gt;&lt;Keywords&gt;Humans&lt;/Keywords&gt;&lt;Keywords&gt;lupus erythematosus&lt;/Keywords&gt;&lt;Keywords&gt;Lupus Erythematosus,Systemic&lt;/Keywords&gt;&lt;Keywords&gt;Male&lt;/Keywords&gt;&lt;Keywords&gt;Middle Aged&lt;/Keywords&gt;&lt;Keywords&gt;patient&lt;/Keywords&gt;&lt;Keywords&gt;Patients&lt;/Keywords&gt;&lt;Keywords&gt;Rheumatology&lt;/Keywords&gt;&lt;Keywords&gt;Risk&lt;/Keywords&gt;&lt;Keywords&gt;Risk Factors&lt;/Keywords&gt;&lt;Keywords&gt;Seizures&lt;/Keywords&gt;&lt;Keywords&gt;systemic lupus erythematosus&lt;/Keywords&gt;&lt;Keywords&gt;Time&lt;/Keywords&gt;&lt;Keywords&gt;Time Factors&lt;/Keywords&gt;&lt;Reprint&gt;Not in File&lt;/Reprint&gt;&lt;Start_Page&gt;177&lt;/Start_Page&gt;&lt;End_Page&gt;184&lt;/End_Page&gt;&lt;Periodical&gt;Lupus.&lt;/Periodical&gt;&lt;Volume&gt;17&lt;/Volume&gt;&lt;Issue&gt;3&lt;/Issue&gt;&lt;User_Def_1&gt;y&lt;/User_Def_1&gt;&lt;ZZ_JournalStdAbbrev&gt;&lt;f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(189)</w:t>
            </w:r>
            <w:r w:rsidR="00E729BA">
              <w:rPr>
                <w:rFonts w:asciiTheme="majorBidi" w:hAnsiTheme="majorBidi" w:cstheme="majorBidi"/>
                <w:sz w:val="16"/>
                <w:szCs w:val="16"/>
              </w:rPr>
              <w:fldChar w:fldCharType="end"/>
            </w:r>
          </w:p>
        </w:tc>
        <w:tc>
          <w:tcPr>
            <w:tcW w:w="397"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2008</w:t>
            </w:r>
          </w:p>
        </w:tc>
        <w:tc>
          <w:tcPr>
            <w:tcW w:w="1275" w:type="dxa"/>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Seizure</w:t>
            </w:r>
            <w:r>
              <w:rPr>
                <w:rFonts w:asciiTheme="majorBidi" w:hAnsiTheme="majorBidi" w:cstheme="majorBidi"/>
                <w:sz w:val="16"/>
                <w:szCs w:val="16"/>
              </w:rPr>
              <w:t xml:space="preserve"> (HR)</w:t>
            </w: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276"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276"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1.0 (0.9–1.0)</w:t>
            </w:r>
          </w:p>
        </w:tc>
        <w:tc>
          <w:tcPr>
            <w:tcW w:w="1134" w:type="dxa"/>
          </w:tcPr>
          <w:p w:rsidR="002D772C" w:rsidRPr="00723D95" w:rsidRDefault="002D772C" w:rsidP="004E70E9">
            <w:pPr>
              <w:spacing w:after="0" w:afterAutospacing="0"/>
              <w:rPr>
                <w:rFonts w:asciiTheme="majorBidi" w:hAnsiTheme="majorBidi" w:cstheme="majorBidi"/>
                <w:sz w:val="16"/>
                <w:szCs w:val="16"/>
                <w:lang w:eastAsia="zh-CN" w:bidi="ar-SA"/>
              </w:rPr>
            </w:pPr>
          </w:p>
        </w:tc>
      </w:tr>
      <w:tr w:rsidR="002D772C" w:rsidRPr="00723D95" w:rsidTr="004E70E9">
        <w:tc>
          <w:tcPr>
            <w:tcW w:w="1191"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Mikdashi</w:t>
            </w:r>
            <w:r w:rsidR="00FD18C9">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&lt;Refman&gt;&lt;Cite&gt;&lt;Author&gt;Mikdashi&lt;/Author&gt;&lt;Year&gt;2007&lt;/Year&gt;&lt;RecNum&gt;348&lt;/RecNum&gt;&lt;IDText&gt;Baseline disease activity, hyperlipidemia, and hypertension are predictive factors for ischemic stroke and stroke severity in systemic lupus erythematosus&lt;/IDText&gt;&lt;MDL Ref_Type="Journal"&gt;&lt;Ref_Type&gt;Journal&lt;/Ref_Type&gt;&lt;Ref_ID&gt;348&lt;/Ref_ID&gt;&lt;Title_Primary&gt;Baseline disease activity, hyperlipidemia, and hypertension are predictive factors for ischemic stroke and stroke severity in systemic lupus erythematosus&lt;/Title_Primary&gt;&lt;Authors_Primary&gt;Mikdashi,J.&lt;/Authors_Primary&gt;&lt;Authors_Primary&gt;Handwerger,B.&lt;/Authors_Primary&gt;&lt;Authors_Primary&gt;Langenberg,P.&lt;/Authors_Primary&gt;&lt;Authors_Primary&gt;Miller,M.&lt;/Authors_Primary&gt;&lt;Authors_Primary&gt;Kittner,S.&lt;/Authors_Primary&gt;&lt;Date_Primary&gt;2007/2&lt;/Date_Primary&gt;&lt;Keywords&gt;Adult&lt;/Keywords&gt;&lt;Keywords&gt;Baltimore&lt;/Keywords&gt;&lt;Keywords&gt;Brain Ischemia&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Studies&lt;/Keywords&gt;&lt;Keywords&gt;Health&lt;/Keywords&gt;&lt;Keywords&gt;Humans&lt;/Keywords&gt;&lt;Keywords&gt;Hyperlipidemias&lt;/Keywords&gt;&lt;Keywords&gt;Hypertension&lt;/Keywords&gt;&lt;Keywords&gt;immunology&lt;/Keywords&gt;&lt;Keywords&gt;Longitudinal Studies&lt;/Keywords&gt;&lt;Keywords&gt;lupus erythematosus&lt;/Keywords&gt;&lt;Keywords&gt;Lupus Erythematosus,Systemic&lt;/Keywords&gt;&lt;Keywords&gt;Male&lt;/Keywords&gt;&lt;Keywords&gt;Maryland&lt;/Keywords&gt;&lt;Keywords&gt;methods&lt;/Keywords&gt;&lt;Keywords&gt;Middle Aged&lt;/Keywords&gt;&lt;Keywords&gt;Morbidity&lt;/Keywords&gt;&lt;Keywords&gt;patient&lt;/Keywords&gt;&lt;Keywords&gt;Patients&lt;/Keywords&gt;&lt;Keywords&gt;physiopathology&lt;/Keywords&gt;&lt;Keywords&gt;Predictive Value of Tests&lt;/Keywords&gt;&lt;Keywords&gt;Rheumatology&lt;/Keywords&gt;&lt;Keywords&gt;Severity of Illness Index&lt;/Keywords&gt;&lt;Keywords&gt;Stroke&lt;/Keywords&gt;&lt;Keywords&gt;systemic lupus erythematosus&lt;/Keywords&gt;&lt;Reprint&gt;Not in File&lt;/Reprint&gt;&lt;Start_Page&gt;281&lt;/Start_Page&gt;&lt;End_Page&gt;285&lt;/End_Page&gt;&lt;Periodical&gt;Stroke.&lt;/Periodical&gt;&lt;Volume&gt;38&lt;/Volume&gt;&lt;Issue&gt;2&lt;/Issue&gt;&lt;User_Def_1&gt;y&lt;/User_Def_1&gt;&lt;ZZ_JournalStdAbbrev&gt;&lt;f name="System"&gt;Stroke.&lt;/f&gt;&lt;/ZZ_JournalStdAbbrev&gt;&lt;ZZ_WorkformID&gt;1&lt;/ZZ_WorkformID&gt;&lt;/MDL&gt;&lt;/Cite&gt;&lt;/Refman&gt;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(190)</w:t>
            </w:r>
            <w:r w:rsidR="00E729BA">
              <w:rPr>
                <w:rFonts w:asciiTheme="majorBidi" w:hAnsiTheme="majorBidi" w:cstheme="majorBidi"/>
                <w:sz w:val="16"/>
                <w:szCs w:val="16"/>
              </w:rPr>
              <w:fldChar w:fldCharType="end"/>
            </w:r>
          </w:p>
        </w:tc>
        <w:tc>
          <w:tcPr>
            <w:tcW w:w="397"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2007</w:t>
            </w:r>
          </w:p>
        </w:tc>
        <w:tc>
          <w:tcPr>
            <w:tcW w:w="1275"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rPr>
              <w:t>Stroke</w:t>
            </w:r>
            <w:r>
              <w:rPr>
                <w:rFonts w:asciiTheme="majorBidi" w:hAnsiTheme="majorBidi" w:cstheme="majorBidi"/>
                <w:sz w:val="16"/>
                <w:szCs w:val="16"/>
              </w:rPr>
              <w:t xml:space="preserve"> (HR)</w:t>
            </w:r>
          </w:p>
        </w:tc>
        <w:tc>
          <w:tcPr>
            <w:tcW w:w="1276"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1.31 (0.40-4.31)</w:t>
            </w: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276"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r w:rsidRPr="00723D95">
              <w:rPr>
                <w:rFonts w:asciiTheme="majorBidi" w:hAnsiTheme="majorBidi" w:cstheme="majorBidi"/>
                <w:sz w:val="16"/>
                <w:szCs w:val="16"/>
                <w:lang w:eastAsia="zh-CN" w:bidi="ar-SA"/>
              </w:rPr>
              <w:t>1.11 (0.43–2.84)</w:t>
            </w: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rPr>
            </w:pP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276"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1.00 (0.98–1.03)</w:t>
            </w:r>
          </w:p>
        </w:tc>
        <w:tc>
          <w:tcPr>
            <w:tcW w:w="1134" w:type="dxa"/>
            <w:tcBorders>
              <w:bottom w:val="single" w:sz="4"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r w:rsidRPr="00723D95">
              <w:rPr>
                <w:rFonts w:asciiTheme="majorBidi" w:hAnsiTheme="majorBidi" w:cstheme="majorBidi"/>
                <w:sz w:val="16"/>
                <w:szCs w:val="16"/>
                <w:lang w:eastAsia="zh-CN" w:bidi="ar-SA"/>
              </w:rPr>
              <w:t>2.31 (1.15–4.65)</w:t>
            </w:r>
          </w:p>
        </w:tc>
      </w:tr>
      <w:tr w:rsidR="002D772C" w:rsidRPr="00723D95" w:rsidTr="004E70E9">
        <w:tc>
          <w:tcPr>
            <w:tcW w:w="13495" w:type="dxa"/>
            <w:gridSpan w:val="12"/>
            <w:tcBorders>
              <w:top w:val="single" w:sz="4" w:space="0" w:color="auto"/>
              <w:bottom w:val="single" w:sz="12" w:space="0" w:color="auto"/>
            </w:tcBorders>
          </w:tcPr>
          <w:p w:rsidR="002D772C" w:rsidRPr="00723D95" w:rsidRDefault="002D772C" w:rsidP="004E70E9">
            <w:pPr>
              <w:spacing w:after="0" w:afterAutospacing="0"/>
              <w:rPr>
                <w:rFonts w:asciiTheme="majorBidi" w:hAnsiTheme="majorBidi" w:cstheme="majorBidi"/>
                <w:sz w:val="16"/>
                <w:szCs w:val="16"/>
                <w:lang w:eastAsia="zh-CN" w:bidi="ar-SA"/>
              </w:rPr>
            </w:pPr>
            <w:r w:rsidRPr="00873D08">
              <w:rPr>
                <w:rFonts w:asciiTheme="majorBidi" w:hAnsiTheme="majorBidi" w:cstheme="majorBidi"/>
                <w:sz w:val="16"/>
                <w:szCs w:val="16"/>
              </w:rPr>
              <w:t xml:space="preserve">HR Hazard ratios, </w:t>
            </w:r>
            <w:r>
              <w:rPr>
                <w:rFonts w:asciiTheme="majorBidi" w:hAnsiTheme="majorBidi" w:cstheme="majorBidi"/>
                <w:sz w:val="16"/>
                <w:szCs w:val="16"/>
              </w:rPr>
              <w:t>OR Odds ratios; aCL anticardiolipin antibodies</w:t>
            </w:r>
          </w:p>
        </w:tc>
      </w:tr>
    </w:tbl>
    <w:p w:rsidR="002D772C" w:rsidRDefault="002D772C" w:rsidP="002D772C"/>
    <w:p w:rsidR="002D772C" w:rsidRDefault="002D772C" w:rsidP="002D772C">
      <w:pPr>
        <w:pStyle w:val="DecimalAligned"/>
      </w:pPr>
    </w:p>
    <w:p w:rsidR="002D772C" w:rsidRDefault="002D772C" w:rsidP="002D772C">
      <w:pPr>
        <w:pStyle w:val="DecimalAligned"/>
        <w:sectPr w:rsidR="002D772C" w:rsidSect="006A3B1E">
          <w:pgSz w:w="16838" w:h="11906" w:orient="landscape"/>
          <w:pgMar w:top="1440" w:right="1440" w:bottom="1440" w:left="2268" w:header="708" w:footer="708" w:gutter="0"/>
          <w:cols w:space="708"/>
          <w:docGrid w:linePitch="360"/>
        </w:sectPr>
      </w:pPr>
    </w:p>
    <w:p w:rsidR="002D772C" w:rsidRDefault="002D772C" w:rsidP="002D772C">
      <w:pPr>
        <w:pStyle w:val="Heading4"/>
      </w:pPr>
      <w:r>
        <w:t>Pulmonary Organ System</w:t>
      </w:r>
    </w:p>
    <w:p w:rsidR="002D772C" w:rsidRDefault="00E729BA" w:rsidP="002D772C">
      <w:r>
        <w:rPr>
          <w:lang w:eastAsia="zh-CN"/>
        </w:rPr>
      </w:r>
      <w:r>
        <w:rPr>
          <w:lang w:eastAsia="zh-CN"/>
        </w:rPr>
        <w:pict>
          <v:rect id="_x0000_s1033" style="width:413.2pt;height:98.9pt;mso-left-percent:-10001;mso-top-percent:-10001;mso-position-horizontal:absolute;mso-position-horizontal-relative:char;mso-position-vertical:absolute;mso-position-vertical-relative:line;mso-left-percent:-10001;mso-top-percent:-10001">
            <v:textbox style="mso-next-textbox:#_x0000_s1033">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Pulmonary Organ System</w:t>
                  </w:r>
                </w:p>
                <w:p w:rsidR="00BD2483" w:rsidRPr="000D29D8" w:rsidRDefault="00BD2483" w:rsidP="002D772C">
                  <w:pPr>
                    <w:spacing w:after="0" w:afterAutospacing="0"/>
                    <w:ind w:left="720"/>
                    <w:rPr>
                      <w:i/>
                      <w:iCs/>
                      <w:sz w:val="18"/>
                      <w:szCs w:val="18"/>
                    </w:rPr>
                  </w:pPr>
                  <w:r w:rsidRPr="000D29D8">
                    <w:rPr>
                      <w:i/>
                      <w:iCs/>
                      <w:sz w:val="18"/>
                      <w:szCs w:val="18"/>
                    </w:rPr>
                    <w:t>Pulmonary hypertension</w:t>
                  </w:r>
                </w:p>
                <w:p w:rsidR="00BD2483" w:rsidRPr="000D29D8" w:rsidRDefault="00BD2483" w:rsidP="002D772C">
                  <w:pPr>
                    <w:spacing w:after="0" w:afterAutospacing="0"/>
                    <w:ind w:left="720"/>
                    <w:rPr>
                      <w:i/>
                      <w:iCs/>
                      <w:sz w:val="18"/>
                      <w:szCs w:val="18"/>
                    </w:rPr>
                  </w:pPr>
                  <w:r w:rsidRPr="000D29D8">
                    <w:rPr>
                      <w:i/>
                      <w:iCs/>
                      <w:sz w:val="18"/>
                      <w:szCs w:val="18"/>
                    </w:rPr>
                    <w:t>Pulmonary fibrosis</w:t>
                  </w:r>
                </w:p>
                <w:p w:rsidR="00BD2483" w:rsidRPr="000D29D8" w:rsidRDefault="00BD2483" w:rsidP="002D772C">
                  <w:pPr>
                    <w:spacing w:after="0" w:afterAutospacing="0"/>
                    <w:ind w:left="720"/>
                    <w:rPr>
                      <w:i/>
                      <w:iCs/>
                      <w:sz w:val="18"/>
                      <w:szCs w:val="18"/>
                    </w:rPr>
                  </w:pPr>
                  <w:r w:rsidRPr="000D29D8">
                    <w:rPr>
                      <w:i/>
                      <w:iCs/>
                      <w:sz w:val="18"/>
                      <w:szCs w:val="18"/>
                    </w:rPr>
                    <w:t>Shrinking lung</w:t>
                  </w:r>
                </w:p>
                <w:p w:rsidR="00BD2483" w:rsidRPr="000D29D8" w:rsidRDefault="00BD2483" w:rsidP="002D772C">
                  <w:pPr>
                    <w:spacing w:after="0" w:afterAutospacing="0"/>
                    <w:ind w:left="720"/>
                    <w:rPr>
                      <w:i/>
                      <w:iCs/>
                      <w:sz w:val="18"/>
                      <w:szCs w:val="18"/>
                    </w:rPr>
                  </w:pPr>
                  <w:r w:rsidRPr="000D29D8">
                    <w:rPr>
                      <w:i/>
                      <w:iCs/>
                      <w:sz w:val="18"/>
                      <w:szCs w:val="18"/>
                    </w:rPr>
                    <w:t>Pleural fibrosis</w:t>
                  </w:r>
                </w:p>
                <w:p w:rsidR="00BD2483" w:rsidRPr="000D29D8" w:rsidRDefault="00BD2483" w:rsidP="002D772C">
                  <w:pPr>
                    <w:ind w:left="720"/>
                    <w:rPr>
                      <w:i/>
                      <w:iCs/>
                      <w:sz w:val="18"/>
                      <w:szCs w:val="18"/>
                    </w:rPr>
                  </w:pPr>
                  <w:r w:rsidRPr="000D29D8">
                    <w:rPr>
                      <w:i/>
                      <w:iCs/>
                      <w:sz w:val="18"/>
                      <w:szCs w:val="18"/>
                    </w:rPr>
                    <w:t>Pulmonary Infarction</w:t>
                  </w:r>
                </w:p>
                <w:p w:rsidR="00BD2483" w:rsidRPr="00E437F4" w:rsidRDefault="00BD2483" w:rsidP="002D772C"/>
              </w:txbxContent>
            </v:textbox>
            <w10:wrap type="none"/>
            <w10:anchorlock/>
          </v:rect>
        </w:pict>
      </w:r>
    </w:p>
    <w:p w:rsidR="002D772C" w:rsidRPr="008168AE" w:rsidRDefault="002D772C" w:rsidP="005D65BA">
      <w:r w:rsidRPr="008168AE">
        <w:t>A smaller proportion of patients are affected by damage to the pulmonary system.</w:t>
      </w:r>
      <w:r>
        <w:t xml:space="preserve"> </w:t>
      </w:r>
      <w:r w:rsidRPr="008168AE">
        <w:t xml:space="preserve">Bertoli et al. report a slow rate of pulmonary damage accumulation. In this study 92.4% of patients had no damage in the pulmonary system after 5 years of follow-up; after 10 years it was 88.4%. However, this is a slightly faster rate of damage accumulation than is found in Gladman et al.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(169)</w:t>
      </w:r>
      <w:r w:rsidR="00E729BA">
        <w:fldChar w:fldCharType="end"/>
      </w:r>
      <w:r w:rsidRPr="008168AE">
        <w:t xml:space="preserve"> and Chambers et al.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r w:rsidR="004D7951">
        <w:t>(167)</w:t>
      </w:r>
      <w:r w:rsidR="00E729BA">
        <w:fldChar w:fldCharType="end"/>
      </w:r>
      <w:r w:rsidRPr="008168AE">
        <w:t>.</w:t>
      </w:r>
    </w:p>
    <w:p w:rsidR="002D772C" w:rsidRDefault="00F6410D" w:rsidP="00016F0E">
      <w:r w:rsidRPr="005E0734">
        <w:t xml:space="preserve">In univariate regression reported in Bertoli </w:t>
      </w:r>
      <w:r w:rsidRPr="005E0734">
        <w:rPr>
          <w:i/>
          <w:iCs/>
        </w:rPr>
        <w:t xml:space="preserve">et al. </w:t>
      </w:r>
      <w:r w:rsidR="002D772C">
        <w:t>(2007) average disease activity was predictive of organ damage (HR 1.1 95% CI 1.04-1.17). Age, overall damage and steroids were not statistically significant. In the multi</w:t>
      </w:r>
      <w:r w:rsidR="00016F0E">
        <w:t>variate</w:t>
      </w:r>
      <w:r w:rsidR="002D772C">
        <w:t xml:space="preserve"> analysis the results were quite different; disease activity was no longer statistically significant and age became significant (HR 1.03 95% CI 1.01-1.06) </w:t>
      </w:r>
      <w:r w:rsidR="00E729BA">
        <w:fldChar w:fldCharType="begin"/>
      </w:r>
      <w:r w:rsidR="00FC61FD">
        <w:instrText xml:space="preserve"> ADDIN REFMGR.CITE &lt;Refman&gt;&lt;Cite&gt;&lt;Author&gt;Bertoli&lt;/Author&gt;&lt;Year&gt;2007&lt;/Year&gt;&lt;RecNum&gt;371&lt;/RecNum&gt;&lt;IDText&gt;Systemic lupus erythematosus in a multiethnic US Cohort LUMINA XLVIII: factors predictive of pulmonary damage&lt;/IDText&gt;&lt;MDL Ref_Type="Journal"&gt;&lt;Ref_Type&gt;Journal&lt;/Ref_Type&gt;&lt;Ref_ID&gt;371&lt;/Ref_ID&gt;&lt;Title_Primary&gt;Systemic lupus erythematosus in a multiethnic US Cohort LUMINA XLVIII: factors predictive of pulmonary damage&lt;/Title_Primary&gt;&lt;Authors_Primary&gt;Bertoli,A.M.&lt;/Authors_Primary&gt;&lt;Authors_Primary&gt;Vila,L.M.&lt;/Authors_Primary&gt;&lt;Authors_Primary&gt;Apte,M.&lt;/Authors_Primary&gt;&lt;Authors_Primary&gt;Fessler,B.J.&lt;/Authors_Primary&gt;&lt;Authors_Primary&gt;Bastian,H.M.&lt;/Authors_Primary&gt;&lt;Authors_Primary&gt;Reveille,J.D.&lt;/Authors_Primary&gt;&lt;Authors_Primary&gt;Alarcon,G.S.&lt;/Authors_Primary&gt;&lt;Date_Primary&gt;2007&lt;/Date_Primary&gt;&lt;Keywords&gt;Adult&lt;/Keywords&gt;&lt;Keywords&gt;African Americans&lt;/Keywords&gt;&lt;Keywords&gt;age&lt;/Keywords&gt;&lt;Keywords&gt;Age Factors&lt;/Keywords&gt;&lt;Keywords&gt;Antibodies&lt;/Keywords&gt;&lt;Keywords&gt;Autoantibodies&lt;/Keywords&gt;&lt;Keywords&gt;Autoantigens&lt;/Keywords&gt;&lt;Keywords&gt;blood&lt;/Keywords&gt;&lt;Keywords&gt;Cohort Studies&lt;/Keywords&gt;&lt;Keywords&gt;complications&lt;/Keywords&gt;&lt;Keywords&gt;Disease&lt;/Keywords&gt;&lt;Keywords&gt;erythematosus&lt;/Keywords&gt;&lt;Keywords&gt;ethnology&lt;/Keywords&gt;&lt;Keywords&gt;etiology&lt;/Keywords&gt;&lt;Keywords&gt;European Continental Ancestry Group&lt;/Keywords&gt;&lt;Keywords&gt;Female&lt;/Keywords&gt;&lt;Keywords&gt;Hispanic Americans&lt;/Keywords&gt;&lt;Keywords&gt;Humans&lt;/Keywords&gt;&lt;Keywords&gt;Hypertension&lt;/Keywords&gt;&lt;Keywords&gt;immunology&lt;/Keywords&gt;&lt;Keywords&gt;Infarction&lt;/Keywords&gt;&lt;Keywords&gt;Longitudinal Studies&lt;/Keywords&gt;&lt;Keywords&gt;Lung&lt;/Keywords&gt;&lt;Keywords&gt;Lung Diseases&lt;/Keywords&gt;&lt;Keywords&gt;lupus erythematosus&lt;/Keywords&gt;&lt;Keywords&gt;Lupus Erythematosus,Systemic&lt;/Keywords&gt;&lt;Keywords&gt;Male&lt;/Keywords&gt;&lt;Keywords&gt;Middle Aged&lt;/Keywords&gt;&lt;Keywords&gt;Multivariate Analysis&lt;/Keywords&gt;&lt;Keywords&gt;Oral Ulcer&lt;/Keywords&gt;&lt;Keywords&gt;patient&lt;/Keywords&gt;&lt;Keywords&gt;Patients&lt;/Keywords&gt;&lt;Keywords&gt;physiopathology&lt;/Keywords&gt;&lt;Keywords&gt;Pneumonia&lt;/Keywords&gt;&lt;Keywords&gt;Predictive Value of Tests&lt;/Keywords&gt;&lt;Keywords&gt;Proportional Hazards Models&lt;/Keywords&gt;&lt;Keywords&gt;Puerto Rico&lt;/Keywords&gt;&lt;Keywords&gt;Rheumatology&lt;/Keywords&gt;&lt;Keywords&gt;snRNP Core Proteins&lt;/Keywords&gt;&lt;Keywords&gt;Survival Analysis&lt;/Keywords&gt;&lt;Keywords&gt;Syndrome&lt;/Keywords&gt;&lt;Keywords&gt;systemic lupus erythematosus&lt;/Keywords&gt;&lt;Keywords&gt;Time&lt;/Keywords&gt;&lt;Keywords&gt;Time Factors&lt;/Keywords&gt;&lt;Keywords&gt;Ulcer&lt;/Keywords&gt;&lt;Keywords&gt;United States&lt;/Keywords&gt;&lt;Reprint&gt;Not in File&lt;/Reprint&gt;&lt;Start_Page&gt;410&lt;/Start_Page&gt;&lt;End_Page&gt;417&lt;/End_Page&gt;&lt;Periodical&gt;Lupus.&lt;/Periodical&gt;&lt;Volume&gt;16&lt;/Volume&gt;&lt;Issue&gt;6&lt;/Issue&gt;&lt;User_Def_1&gt;y&lt;/User_Def_1&gt;&lt;ZZ_JournalStdAbbrev&gt;&lt;f name="System"&gt;Lupus.&lt;/f&gt;&lt;/ZZ_JournalStdAbbrev&gt;&lt;ZZ_WorkformID&gt;1&lt;/ZZ_WorkformID&gt;&lt;/MDL&gt;&lt;/Cite&gt;&lt;/Refman&gt;</w:instrText>
      </w:r>
      <w:r w:rsidR="00E729BA">
        <w:fldChar w:fldCharType="separate"/>
      </w:r>
      <w:r w:rsidR="004D7951">
        <w:t>(191)</w:t>
      </w:r>
      <w:r w:rsidR="00E729BA">
        <w:fldChar w:fldCharType="end"/>
      </w:r>
      <w:r w:rsidR="002D772C">
        <w:t>.</w:t>
      </w:r>
    </w:p>
    <w:p w:rsidR="002D772C" w:rsidRDefault="002D772C" w:rsidP="002D772C">
      <w:pPr>
        <w:pStyle w:val="Heading4"/>
      </w:pPr>
      <w:r>
        <w:t>Cardiovascular Organ System</w:t>
      </w:r>
    </w:p>
    <w:p w:rsidR="002D772C" w:rsidRDefault="00E729BA" w:rsidP="002D772C">
      <w:r>
        <w:rPr>
          <w:lang w:eastAsia="zh-CN"/>
        </w:rPr>
      </w:r>
      <w:r>
        <w:rPr>
          <w:lang w:eastAsia="zh-CN"/>
        </w:rPr>
        <w:pict>
          <v:rect id="_x0000_s1032" style="width:413.2pt;height:102.85pt;mso-left-percent:-10001;mso-top-percent:-10001;mso-position-horizontal:absolute;mso-position-horizontal-relative:char;mso-position-vertical:absolute;mso-position-vertical-relative:line;mso-left-percent:-10001;mso-top-percent:-10001">
            <v:textbox style="mso-next-textbox:#_x0000_s1032">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Cardiovascular Organ System</w:t>
                  </w:r>
                </w:p>
                <w:p w:rsidR="00BD2483" w:rsidRPr="000D29D8" w:rsidRDefault="00BD2483" w:rsidP="002D772C">
                  <w:pPr>
                    <w:spacing w:after="0" w:afterAutospacing="0"/>
                    <w:ind w:left="720"/>
                    <w:rPr>
                      <w:i/>
                      <w:iCs/>
                      <w:sz w:val="18"/>
                      <w:szCs w:val="18"/>
                    </w:rPr>
                  </w:pPr>
                  <w:r w:rsidRPr="000D29D8">
                    <w:rPr>
                      <w:i/>
                      <w:iCs/>
                      <w:sz w:val="18"/>
                      <w:szCs w:val="18"/>
                    </w:rPr>
                    <w:t>Angina or coronary artery bypass</w:t>
                  </w:r>
                </w:p>
                <w:p w:rsidR="00BD2483" w:rsidRPr="000D29D8" w:rsidRDefault="00BD2483" w:rsidP="002D772C">
                  <w:pPr>
                    <w:spacing w:after="0" w:afterAutospacing="0"/>
                    <w:ind w:left="720"/>
                    <w:rPr>
                      <w:i/>
                      <w:iCs/>
                      <w:sz w:val="18"/>
                      <w:szCs w:val="18"/>
                    </w:rPr>
                  </w:pPr>
                  <w:r w:rsidRPr="000D29D8">
                    <w:rPr>
                      <w:i/>
                      <w:iCs/>
                      <w:sz w:val="18"/>
                      <w:szCs w:val="18"/>
                    </w:rPr>
                    <w:t>Myocardial infarction</w:t>
                  </w:r>
                </w:p>
                <w:p w:rsidR="00BD2483" w:rsidRPr="000D29D8" w:rsidRDefault="00BD2483" w:rsidP="002D772C">
                  <w:pPr>
                    <w:spacing w:after="0" w:afterAutospacing="0"/>
                    <w:ind w:left="720"/>
                    <w:rPr>
                      <w:i/>
                      <w:iCs/>
                      <w:sz w:val="18"/>
                      <w:szCs w:val="18"/>
                    </w:rPr>
                  </w:pPr>
                  <w:r w:rsidRPr="000D29D8">
                    <w:rPr>
                      <w:i/>
                      <w:iCs/>
                      <w:sz w:val="18"/>
                      <w:szCs w:val="18"/>
                    </w:rPr>
                    <w:t>Cardiomyopathy</w:t>
                  </w:r>
                </w:p>
                <w:p w:rsidR="00BD2483" w:rsidRPr="000D29D8" w:rsidRDefault="00BD2483" w:rsidP="002D772C">
                  <w:pPr>
                    <w:spacing w:after="0" w:afterAutospacing="0"/>
                    <w:ind w:left="720"/>
                    <w:rPr>
                      <w:i/>
                      <w:iCs/>
                      <w:sz w:val="18"/>
                      <w:szCs w:val="18"/>
                    </w:rPr>
                  </w:pPr>
                  <w:r w:rsidRPr="000D29D8">
                    <w:rPr>
                      <w:i/>
                      <w:iCs/>
                      <w:sz w:val="18"/>
                      <w:szCs w:val="18"/>
                    </w:rPr>
                    <w:t>Valvular disease</w:t>
                  </w:r>
                </w:p>
                <w:p w:rsidR="00BD2483" w:rsidRPr="000D29D8" w:rsidRDefault="00BD2483" w:rsidP="002D772C">
                  <w:pPr>
                    <w:ind w:left="720"/>
                    <w:rPr>
                      <w:i/>
                      <w:iCs/>
                      <w:sz w:val="18"/>
                      <w:szCs w:val="18"/>
                    </w:rPr>
                  </w:pPr>
                  <w:r w:rsidRPr="000D29D8">
                    <w:rPr>
                      <w:i/>
                      <w:iCs/>
                      <w:sz w:val="18"/>
                      <w:szCs w:val="18"/>
                    </w:rPr>
                    <w:t>Pericarditis for 6 months or pericardiectomy</w:t>
                  </w:r>
                </w:p>
                <w:p w:rsidR="00BD2483" w:rsidRPr="00E437F4" w:rsidRDefault="00BD2483" w:rsidP="002D772C"/>
              </w:txbxContent>
            </v:textbox>
            <w10:wrap type="none"/>
            <w10:anchorlock/>
          </v:rect>
        </w:pict>
      </w:r>
    </w:p>
    <w:p w:rsidR="002D772C" w:rsidRPr="00797368" w:rsidRDefault="002D772C" w:rsidP="002D772C">
      <w:pPr>
        <w:sectPr w:rsidR="002D772C" w:rsidRPr="00797368" w:rsidSect="006A3B1E">
          <w:pgSz w:w="11906" w:h="16838"/>
          <w:pgMar w:top="1440" w:right="1440" w:bottom="1440" w:left="2268" w:header="708" w:footer="708" w:gutter="0"/>
          <w:cols w:space="708"/>
          <w:docGrid w:linePitch="360"/>
        </w:sectPr>
      </w:pPr>
      <w:r>
        <w:t xml:space="preserve">SLE patients are known to be at higher risk of atherosclerotic heart disease, particularly myocardial infarction </w:t>
      </w:r>
      <w:r w:rsidR="00E729BA">
        <w:fldChar w:fldCharType="begin"/>
      </w:r>
      <w:r w:rsidR="00FC61FD">
        <w:instrText xml:space="preserve"> ADDIN REFMGR.CITE &lt;Refman&gt;&lt;Cite&gt;&lt;Author&gt;Manzi&lt;/Author&gt;&lt;Year&gt;1997&lt;/Year&gt;&lt;RecNum&gt;1421&lt;/RecNum&gt;&lt;IDText&gt;Age-specific incidence rates of myocardial infarction and angina in women with systemic lupus erythematosus: comparison with the Framingham Study&lt;/IDText&gt;&lt;MDL Ref_Type="Journal"&gt;&lt;Ref_Type&gt;Journal&lt;/Ref_Type&gt;&lt;Ref_ID&gt;1421&lt;/Ref_ID&gt;&lt;Title_Primary&gt;Age-specific incidence rates of myocardial infarction and angina in women with systemic lupus erythematosus: comparison with the Framingham Study&lt;/Title_Primary&gt;&lt;Authors_Primary&gt;Manzi,S.&lt;/Authors_Primary&gt;&lt;Authors_Primary&gt;Meilahn,E.N.&lt;/Authors_Primary&gt;&lt;Authors_Primary&gt;Rairie,J.E.&lt;/Authors_Primary&gt;&lt;Authors_Primary&gt;Conte,C.G.&lt;/Authors_Primary&gt;&lt;Authors_Primary&gt;Medsger,T.A.,Jr.&lt;/Authors_Primary&gt;&lt;Authors_Primary&gt;Jansen-McWilliams,L.&lt;/Authors_Primary&gt;&lt;Authors_Primary&gt;D&amp;apos;Agostino,R.B.&lt;/Authors_Primary&gt;&lt;Authors_Primary&gt;Kuller,L.H.&lt;/Authors_Primary&gt;&lt;Date_Primary&gt;1997/3/1&lt;/Date_Primary&gt;&lt;Keywords&gt;Adolescent&lt;/Keywords&gt;&lt;Keywords&gt;Adult&lt;/Keywords&gt;&lt;Keywords&gt;age&lt;/Keywords&gt;&lt;Keywords&gt;Age Distribution&lt;/Keywords&gt;&lt;Keywords&gt;Aged&lt;/Keywords&gt;&lt;Keywords&gt;Angina Pectoris&lt;/Keywords&gt;&lt;Keywords&gt;Cardiovascular Diseases&lt;/Keywords&gt;&lt;Keywords&gt;Chi-Square Distribution&lt;/Keywords&gt;&lt;Keywords&gt;Child&lt;/Keywords&gt;&lt;Keywords&gt;Cohort Studies&lt;/Keywords&gt;&lt;Keywords&gt;complications&lt;/Keywords&gt;&lt;Keywords&gt;confidence interval&lt;/Keywords&gt;&lt;Keywords&gt;diagnosis&lt;/Keywords&gt;&lt;Keywords&gt;Disease&lt;/Keywords&gt;&lt;Keywords&gt;epidemiology&lt;/Keywords&gt;&lt;Keywords&gt;erythematosus&lt;/Keywords&gt;&lt;Keywords&gt;etiology&lt;/Keywords&gt;&lt;Keywords&gt;Female&lt;/Keywords&gt;&lt;Keywords&gt;Follow-Up Studies&lt;/Keywords&gt;&lt;Keywords&gt;Health&lt;/Keywords&gt;&lt;Keywords&gt;Humans&lt;/Keywords&gt;&lt;Keywords&gt;Incidence&lt;/Keywords&gt;&lt;Keywords&gt;Life&lt;/Keywords&gt;&lt;Keywords&gt;lupus erythematosus&lt;/Keywords&gt;&lt;Keywords&gt;Lupus Erythematosus,Systemic&lt;/Keywords&gt;&lt;Keywords&gt;Middle Aged&lt;/Keywords&gt;&lt;Keywords&gt;Myocardial Infarction&lt;/Keywords&gt;&lt;Keywords&gt;patient&lt;/Keywords&gt;&lt;Keywords&gt;Patients&lt;/Keywords&gt;&lt;Keywords&gt;Pennsylvania&lt;/Keywords&gt;&lt;Keywords&gt;population&lt;/Keywords&gt;&lt;Keywords&gt;Proportional Hazards Models&lt;/Keywords&gt;&lt;Keywords&gt;Retrospective Studies&lt;/Keywords&gt;&lt;Keywords&gt;Risk&lt;/Keywords&gt;&lt;Keywords&gt;Risk Factors&lt;/Keywords&gt;&lt;Keywords&gt;sample&lt;/Keywords&gt;&lt;Keywords&gt;systemic lupus erythematosus&lt;/Keywords&gt;&lt;Keywords&gt;therapy&lt;/Keywords&gt;&lt;Keywords&gt;Time&lt;/Keywords&gt;&lt;Keywords&gt;Women&lt;/Keywords&gt;&lt;Reprint&gt;Not in File&lt;/Reprint&gt;&lt;Start_Page&gt;408&lt;/Start_Page&gt;&lt;End_Page&gt;415&lt;/End_Page&gt;&lt;Periodical&gt;Am.J.Epidemiol.&lt;/Periodical&gt;&lt;Volume&gt;145&lt;/Volume&gt;&lt;Issue&gt;5&lt;/Issue&gt;&lt;ZZ_JournalStdAbbrev&gt;&lt;f name="System"&gt;Am.J.Epidemiol.&lt;/f&gt;&lt;/ZZ_JournalStdAbbrev&gt;&lt;ZZ_WorkformID&gt;1&lt;/ZZ_WorkformID&gt;&lt;/MDL&gt;&lt;/Cite&gt;&lt;/Refman&gt;</w:instrText>
      </w:r>
      <w:r w:rsidR="00E729BA">
        <w:fldChar w:fldCharType="separate"/>
      </w:r>
      <w:r w:rsidR="004D7951">
        <w:t>(192)</w:t>
      </w:r>
      <w:r w:rsidR="00E729BA">
        <w:fldChar w:fldCharType="end"/>
      </w:r>
      <w:r>
        <w:t xml:space="preserve">. Traditional risk factors for heart disease such as diabetes, hypertension, tobacco use and sedentary lifestyle are common in SLE patients </w:t>
      </w:r>
      <w:r w:rsidR="00E729BA">
        <w:fldChar w:fldCharType="begin"/>
      </w:r>
      <w:r w:rsidR="00FC61FD">
        <w:instrText xml:space="preserve"> ADDIN REFMGR.CITE &lt;Refman&gt;&lt;Cite&gt;&lt;Author&gt;Petri&lt;/Author&gt;&lt;Year&gt;1992&lt;/Year&gt;&lt;RecNum&gt;1425&lt;/RecNum&gt;&lt;IDText&gt;Coronary artery disease risk factors in the Johns Hopkins Lupus Cohort: prevalence, recognition by patients, and preventive practices&lt;/IDText&gt;&lt;MDL Ref_Type="Journal"&gt;&lt;Ref_Type&gt;Journal&lt;/Ref_Type&gt;&lt;Ref_ID&gt;1425&lt;/Ref_ID&gt;&lt;Title_Primary&gt;Coronary artery disease risk factors in the Johns Hopkins Lupus Cohort: prevalence, recognition by patients, and preventive practices&lt;/Title_Primary&gt;&lt;Authors_Primary&gt;Petri,M.&lt;/Authors_Primary&gt;&lt;Authors_Primary&gt;Spence,D.&lt;/Authors_Primary&gt;&lt;Authors_Primary&gt;Bone,L.R.&lt;/Authors_Primary&gt;&lt;Authors_Primary&gt;Hochberg,M.C.&lt;/Authors_Primary&gt;&lt;Date_Primary&gt;1992/9&lt;/Date_Primary&gt;&lt;Keywords&gt;Adolescent&lt;/Keywords&gt;&lt;Keywords&gt;Adult&lt;/Keywords&gt;&lt;Keywords&gt;adverse effects&lt;/Keywords&gt;&lt;Keywords&gt;age&lt;/Keywords&gt;&lt;Keywords&gt;Arteries&lt;/Keywords&gt;&lt;Keywords&gt;Baltimore&lt;/Keywords&gt;&lt;Keywords&gt;Cohort Studies&lt;/Keywords&gt;&lt;Keywords&gt;complications&lt;/Keywords&gt;&lt;Keywords&gt;Continental Population Groups&lt;/Keywords&gt;&lt;Keywords&gt;Coronary Artery Disease&lt;/Keywords&gt;&lt;Keywords&gt;Coronary Disease&lt;/Keywords&gt;&lt;Keywords&gt;Cross-Sectional Studies&lt;/Keywords&gt;&lt;Keywords&gt;Disease&lt;/Keywords&gt;&lt;Keywords&gt;drug therapy&lt;/Keywords&gt;&lt;Keywords&gt;epidemiology&lt;/Keywords&gt;&lt;Keywords&gt;etiology&lt;/Keywords&gt;&lt;Keywords&gt;Female&lt;/Keywords&gt;&lt;Keywords&gt;Hospitals,University&lt;/Keywords&gt;&lt;Keywords&gt;Humans&lt;/Keywords&gt;&lt;Keywords&gt;Hypercholesterolemia&lt;/Keywords&gt;&lt;Keywords&gt;Hypertension&lt;/Keywords&gt;&lt;Keywords&gt;Incidence&lt;/Keywords&gt;&lt;Keywords&gt;Lupus Erythematosus,Systemic&lt;/Keywords&gt;&lt;Keywords&gt;Male&lt;/Keywords&gt;&lt;Keywords&gt;Middle Aged&lt;/Keywords&gt;&lt;Keywords&gt;Obesity&lt;/Keywords&gt;&lt;Keywords&gt;patient&lt;/Keywords&gt;&lt;Keywords&gt;Patients&lt;/Keywords&gt;&lt;Keywords&gt;Prednisone&lt;/Keywords&gt;&lt;Keywords&gt;Prevalence&lt;/Keywords&gt;&lt;Keywords&gt;prevention &amp;amp; control&lt;/Keywords&gt;&lt;Keywords&gt;Questionnaires&lt;/Keywords&gt;&lt;Keywords&gt;Rheumatology&lt;/Keywords&gt;&lt;Keywords&gt;Risk&lt;/Keywords&gt;&lt;Keywords&gt;Risk Factors&lt;/Keywords&gt;&lt;Keywords&gt;Self Care&lt;/Keywords&gt;&lt;Keywords&gt;Smoking&lt;/Keywords&gt;&lt;Keywords&gt;Socioeconomic Factors&lt;/Keywords&gt;&lt;Keywords&gt;therapeutic use&lt;/Keywords&gt;&lt;Keywords&gt;therapy&lt;/Keywords&gt;&lt;Reprint&gt;Not in File&lt;/Reprint&gt;&lt;Start_Page&gt;291&lt;/Start_Page&gt;&lt;End_Page&gt;302&lt;/End_Page&gt;&lt;Periodical&gt;Medicine (Baltimore).&lt;/Periodical&gt;&lt;Volume&gt;71&lt;/Volume&gt;&lt;Issue&gt;5&lt;/Issue&gt;&lt;ZZ_JournalStdAbbrev&gt;&lt;f name="System"&gt;Medicine (Baltimore).&lt;/f&gt;&lt;/ZZ_JournalStdAbbrev&gt;&lt;ZZ_WorkformID&gt;1&lt;/ZZ_WorkformID&gt;&lt;/MDL&gt;&lt;/Cite&gt;&lt;/Refman&gt;</w:instrText>
      </w:r>
      <w:r w:rsidR="00E729BA">
        <w:fldChar w:fldCharType="separate"/>
      </w:r>
      <w:r w:rsidR="004D7951">
        <w:t>(193)</w:t>
      </w:r>
      <w:r w:rsidR="00E729BA">
        <w:fldChar w:fldCharType="end"/>
      </w:r>
      <w:r>
        <w:t xml:space="preserve">. However, it is believed that these factors do not completely explain the increased risk </w:t>
      </w:r>
      <w:r w:rsidR="00E729BA">
        <w:fldChar w:fldCharType="begin"/>
      </w:r>
      <w:r w:rsidR="00FC61FD">
        <w:instrText xml:space="preserve"> ADDIN REFMGR.CITE &lt;Refman&gt;&lt;Cite&gt;&lt;Author&gt;Bessant&lt;/Author&gt;&lt;Year&gt;2004&lt;/Year&gt;&lt;RecNum&gt;676&lt;/RecNum&gt;&lt;IDText&gt;Risk of coronary heart disease and stroke in a large British cohort of patients with systemic lupus erythematosus&lt;/IDText&gt;&lt;MDL Ref_Type="Journal"&gt;&lt;Ref_Type&gt;Journal&lt;/Ref_Type&gt;&lt;Ref_ID&gt;676&lt;/Ref_ID&gt;&lt;Title_Primary&gt;Risk of coronary heart disease and stroke in a large British cohort of patients with systemic lupus erythematosus&lt;/Title_Primary&gt;&lt;Authors_Primary&gt;Bessant,R.&lt;/Authors_Primary&gt;&lt;Authors_Primary&gt;Hingorani,A.&lt;/Authors_Primary&gt;&lt;Authors_Primary&gt;Patel,L.&lt;/Authors_Primary&gt;&lt;Authors_Primary&gt;MacGregor,A.&lt;/Authors_Primary&gt;&lt;Authors_Primary&gt;Isenberg,D.A.&lt;/Authors_Primary&gt;&lt;Authors_Primary&gt;Rahman,A.&lt;/Authors_Primary&gt;&lt;Date_Primary&gt;2004/7&lt;/Date_Primary&gt;&lt;Keywords&gt;Adult&lt;/Keywords&gt;&lt;Keywords&gt;adverse effects&lt;/Keywords&gt;&lt;Keywords&gt;age&lt;/Keywords&gt;&lt;Keywords&gt;Age Factors&lt;/Keywords&gt;&lt;Keywords&gt;Aged&lt;/Keywords&gt;&lt;Keywords&gt;complications&lt;/Keywords&gt;&lt;Keywords&gt;Coronary Disease&lt;/Keywords&gt;&lt;Keywords&gt;Cross-Sectional Studies&lt;/Keywords&gt;&lt;Keywords&gt;Disease&lt;/Keywords&gt;&lt;Keywords&gt;erythematosus&lt;/Keywords&gt;&lt;Keywords&gt;etiology&lt;/Keywords&gt;&lt;Keywords&gt;Female&lt;/Keywords&gt;&lt;Keywords&gt;Great Britain&lt;/Keywords&gt;&lt;Keywords&gt;Heart&lt;/Keywords&gt;&lt;Keywords&gt;hospital&lt;/Keywords&gt;&lt;Keywords&gt;Hospitals&lt;/Keywords&gt;&lt;Keywords&gt;Humans&lt;/Keywords&gt;&lt;Keywords&gt;Hypercholesterolemia&lt;/Keywords&gt;&lt;Keywords&gt;Hypertension&lt;/Keywords&gt;&lt;Keywords&gt;Incidence&lt;/Keywords&gt;&lt;Keywords&gt;Infarction&lt;/Keywords&gt;&lt;Keywords&gt;London&lt;/Keywords&gt;&lt;Keywords&gt;Longitudinal Studies&lt;/Keywords&gt;&lt;Keywords&gt;lupus erythematosus&lt;/Keywords&gt;&lt;Keywords&gt;Lupus Erythematosus,Systemic&lt;/Keywords&gt;&lt;Keywords&gt;Male&lt;/Keywords&gt;&lt;Keywords&gt;methods&lt;/Keywords&gt;&lt;Keywords&gt;Middle Aged&lt;/Keywords&gt;&lt;Keywords&gt;Myocardial Infarction&lt;/Keywords&gt;&lt;Keywords&gt;patient&lt;/Keywords&gt;&lt;Keywords&gt;Patients&lt;/Keywords&gt;&lt;Keywords&gt;Prospective Studies&lt;/Keywords&gt;&lt;Keywords&gt;Rheumatology&lt;/Keywords&gt;&lt;Keywords&gt;Risk&lt;/Keywords&gt;&lt;Keywords&gt;Risk Assessment&lt;/Keywords&gt;&lt;Keywords&gt;Risk Factors&lt;/Keywords&gt;&lt;Keywords&gt;Smoking&lt;/Keywords&gt;&lt;Keywords&gt;Stroke&lt;/Keywords&gt;&lt;Keywords&gt;systemic lupus erythematosus&lt;/Keywords&gt;&lt;Reprint&gt;Not in File&lt;/Reprint&gt;&lt;Start_Page&gt;924&lt;/Start_Page&gt;&lt;End_Page&gt;929&lt;/End_Page&gt;&lt;Periodical&gt;Rheumatology.(Oxford).&lt;/Periodical&gt;&lt;Volume&gt;43&lt;/Volume&gt;&lt;Issue&gt;7&lt;/Issue&gt;&lt;User_Def_1&gt;y&lt;/User_Def_1&gt;&lt;ZZ_JournalStdAbbrev&gt;&lt;f name="System"&gt;Rheumatology.(Oxford).&lt;/f&gt;&lt;/ZZ_JournalStdAbbrev&gt;&lt;ZZ_WorkformID&gt;1&lt;/ZZ_WorkformID&gt;&lt;/MDL&gt;&lt;/Cite&gt;&lt;/Refman&gt;</w:instrText>
      </w:r>
      <w:r w:rsidR="00E729BA">
        <w:fldChar w:fldCharType="separate"/>
      </w:r>
      <w:r w:rsidR="004D7951">
        <w:t>(194)</w:t>
      </w:r>
      <w:r w:rsidR="00E729BA">
        <w:fldChar w:fldCharType="end"/>
      </w:r>
      <w:r w:rsidRPr="00797368">
        <w:t>.</w:t>
      </w:r>
      <w:r>
        <w:t xml:space="preserve"> </w:t>
      </w:r>
      <w:r w:rsidR="00E729BA">
        <w:fldChar w:fldCharType="begin"/>
      </w:r>
      <w:r>
        <w:instrText xml:space="preserve"> REF _Ref332025821 \h </w:instrText>
      </w:r>
      <w:r w:rsidR="00E729BA">
        <w:fldChar w:fldCharType="separate"/>
      </w:r>
      <w:r w:rsidR="004911B7">
        <w:t xml:space="preserve">Table </w:t>
      </w:r>
      <w:r w:rsidR="004911B7">
        <w:rPr>
          <w:noProof/>
        </w:rPr>
        <w:t>16</w:t>
      </w:r>
      <w:r w:rsidR="00E729BA">
        <w:fldChar w:fldCharType="end"/>
      </w:r>
      <w:r>
        <w:t xml:space="preserve"> reports the odds ratios, or hazard ratios, </w:t>
      </w:r>
      <w:r w:rsidR="00B56487">
        <w:t xml:space="preserve">from logistic regression and Cox-regression </w:t>
      </w:r>
      <w:r>
        <w:t>for studies of cardiovascular damage and related events.</w:t>
      </w:r>
    </w:p>
    <w:p w:rsidR="002D772C" w:rsidRPr="00797368" w:rsidRDefault="002D772C" w:rsidP="002D772C"/>
    <w:p w:rsidR="002D772C" w:rsidRDefault="002D772C" w:rsidP="00234693">
      <w:pPr>
        <w:pStyle w:val="Caption"/>
      </w:pPr>
      <w:bookmarkStart w:id="220" w:name="_Ref332025821"/>
      <w:r>
        <w:t xml:space="preserve">Table </w:t>
      </w:r>
      <w:fldSimple w:instr=" SEQ Table \* ARABIC ">
        <w:r w:rsidR="004911B7">
          <w:rPr>
            <w:noProof/>
          </w:rPr>
          <w:t>16</w:t>
        </w:r>
      </w:fldSimple>
      <w:bookmarkEnd w:id="220"/>
      <w:r>
        <w:t>: Hazard ratios and odds ratios with confidence intervals estimated for risk factors for Cardiovascular damage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Look w:val="04A0"/>
      </w:tblPr>
      <w:tblGrid>
        <w:gridCol w:w="930"/>
        <w:gridCol w:w="515"/>
        <w:gridCol w:w="1388"/>
        <w:gridCol w:w="1072"/>
        <w:gridCol w:w="1027"/>
        <w:gridCol w:w="983"/>
        <w:gridCol w:w="1009"/>
        <w:gridCol w:w="1017"/>
        <w:gridCol w:w="1154"/>
        <w:gridCol w:w="1047"/>
        <w:gridCol w:w="1176"/>
        <w:gridCol w:w="1028"/>
        <w:gridCol w:w="898"/>
      </w:tblGrid>
      <w:tr w:rsidR="002D772C" w:rsidRPr="00AE03CB" w:rsidTr="00B50E2F">
        <w:tc>
          <w:tcPr>
            <w:tcW w:w="1000" w:type="dxa"/>
            <w:tcBorders>
              <w:top w:val="single" w:sz="12" w:space="0" w:color="auto"/>
              <w:bottom w:val="single" w:sz="4" w:space="0" w:color="auto"/>
            </w:tcBorders>
          </w:tcPr>
          <w:p w:rsidR="002D772C" w:rsidRPr="00AE03CB" w:rsidRDefault="002D772C" w:rsidP="0049322C">
            <w:pPr>
              <w:pStyle w:val="ListParagraph1"/>
              <w:rPr>
                <w:rFonts w:asciiTheme="majorBidi" w:hAnsiTheme="majorBidi" w:cstheme="majorBidi"/>
                <w:sz w:val="16"/>
                <w:szCs w:val="16"/>
              </w:rPr>
            </w:pPr>
            <w:r w:rsidRPr="00AE03CB">
              <w:rPr>
                <w:rFonts w:asciiTheme="majorBidi" w:hAnsiTheme="majorBidi" w:cstheme="majorBidi"/>
                <w:sz w:val="16"/>
                <w:szCs w:val="16"/>
              </w:rPr>
              <w:t>First Author name</w:t>
            </w:r>
          </w:p>
        </w:tc>
        <w:tc>
          <w:tcPr>
            <w:tcW w:w="535" w:type="dxa"/>
            <w:tcBorders>
              <w:top w:val="single" w:sz="12" w:space="0" w:color="auto"/>
              <w:bottom w:val="single" w:sz="4" w:space="0" w:color="auto"/>
            </w:tcBorders>
          </w:tcPr>
          <w:p w:rsidR="002D772C" w:rsidRPr="00AE03CB" w:rsidRDefault="002D772C" w:rsidP="0049322C">
            <w:pPr>
              <w:pStyle w:val="ListParagraph1"/>
              <w:rPr>
                <w:rFonts w:asciiTheme="majorBidi" w:hAnsiTheme="majorBidi" w:cstheme="majorBidi"/>
                <w:sz w:val="16"/>
                <w:szCs w:val="16"/>
              </w:rPr>
            </w:pPr>
            <w:r w:rsidRPr="00AE03CB">
              <w:rPr>
                <w:rFonts w:asciiTheme="majorBidi" w:hAnsiTheme="majorBidi" w:cstheme="majorBidi"/>
                <w:sz w:val="16"/>
                <w:szCs w:val="16"/>
              </w:rPr>
              <w:t>Date</w:t>
            </w:r>
          </w:p>
        </w:tc>
        <w:tc>
          <w:tcPr>
            <w:tcW w:w="1399" w:type="dxa"/>
            <w:tcBorders>
              <w:top w:val="single" w:sz="12" w:space="0" w:color="auto"/>
              <w:bottom w:val="single" w:sz="4" w:space="0" w:color="auto"/>
            </w:tcBorders>
          </w:tcPr>
          <w:p w:rsidR="002D772C" w:rsidRPr="00AE03CB" w:rsidRDefault="002D772C" w:rsidP="0049322C">
            <w:pPr>
              <w:pStyle w:val="ListParagraph1"/>
              <w:rPr>
                <w:rFonts w:asciiTheme="majorBidi" w:hAnsiTheme="majorBidi" w:cstheme="majorBidi"/>
                <w:sz w:val="16"/>
                <w:szCs w:val="16"/>
              </w:rPr>
            </w:pPr>
            <w:r w:rsidRPr="00AE03CB">
              <w:rPr>
                <w:rFonts w:asciiTheme="majorBidi" w:hAnsiTheme="majorBidi" w:cstheme="majorBidi"/>
                <w:sz w:val="16"/>
                <w:szCs w:val="16"/>
              </w:rPr>
              <w:t>Damage outcome</w:t>
            </w:r>
          </w:p>
        </w:tc>
        <w:tc>
          <w:tcPr>
            <w:tcW w:w="1179"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Disease Activity</w:t>
            </w:r>
          </w:p>
        </w:tc>
        <w:tc>
          <w:tcPr>
            <w:tcW w:w="1122"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Steroids</w:t>
            </w:r>
          </w:p>
        </w:tc>
        <w:tc>
          <w:tcPr>
            <w:tcW w:w="1102"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Age</w:t>
            </w:r>
          </w:p>
        </w:tc>
        <w:tc>
          <w:tcPr>
            <w:tcW w:w="1113"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Gender</w:t>
            </w:r>
          </w:p>
        </w:tc>
        <w:tc>
          <w:tcPr>
            <w:tcW w:w="1116"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Organ damage</w:t>
            </w:r>
          </w:p>
        </w:tc>
        <w:tc>
          <w:tcPr>
            <w:tcW w:w="1101" w:type="dxa"/>
            <w:tcBorders>
              <w:top w:val="single" w:sz="12" w:space="0" w:color="auto"/>
              <w:bottom w:val="single" w:sz="4" w:space="0" w:color="auto"/>
            </w:tcBorders>
          </w:tcPr>
          <w:p w:rsidR="002D772C" w:rsidRPr="00AE03CB" w:rsidRDefault="005D65BA" w:rsidP="0049322C">
            <w:pPr>
              <w:rPr>
                <w:rFonts w:asciiTheme="majorBidi" w:hAnsiTheme="majorBidi" w:cstheme="majorBidi"/>
                <w:sz w:val="16"/>
                <w:szCs w:val="16"/>
                <w:lang w:val="fr-CA"/>
              </w:rPr>
            </w:pPr>
            <w:r>
              <w:rPr>
                <w:rFonts w:asciiTheme="majorBidi" w:hAnsiTheme="majorBidi" w:cstheme="majorBidi"/>
                <w:sz w:val="16"/>
                <w:szCs w:val="16"/>
                <w:lang w:val="fr-CA"/>
              </w:rPr>
              <w:t>Anticardiolipins</w:t>
            </w:r>
          </w:p>
        </w:tc>
        <w:tc>
          <w:tcPr>
            <w:tcW w:w="1132"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Anti-malarials</w:t>
            </w:r>
          </w:p>
        </w:tc>
        <w:tc>
          <w:tcPr>
            <w:tcW w:w="1253"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Immuno-suppressant</w:t>
            </w:r>
          </w:p>
        </w:tc>
        <w:tc>
          <w:tcPr>
            <w:tcW w:w="1071"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eastAsia="zh-CN" w:bidi="ar-SA"/>
              </w:rPr>
              <w:t>Cholesterol</w:t>
            </w:r>
          </w:p>
        </w:tc>
        <w:tc>
          <w:tcPr>
            <w:tcW w:w="949" w:type="dxa"/>
            <w:tcBorders>
              <w:top w:val="single" w:sz="12" w:space="0" w:color="auto"/>
              <w:bottom w:val="single" w:sz="4" w:space="0" w:color="auto"/>
            </w:tcBorders>
          </w:tcPr>
          <w:p w:rsidR="002D772C" w:rsidRPr="00AE03CB" w:rsidRDefault="002D772C" w:rsidP="0049322C">
            <w:pPr>
              <w:rPr>
                <w:rFonts w:asciiTheme="majorBidi" w:hAnsiTheme="majorBidi" w:cstheme="majorBidi"/>
                <w:sz w:val="16"/>
                <w:szCs w:val="16"/>
                <w:lang w:eastAsia="zh-CN" w:bidi="ar-SA"/>
              </w:rPr>
            </w:pPr>
            <w:r>
              <w:rPr>
                <w:rFonts w:asciiTheme="majorBidi" w:hAnsiTheme="majorBidi" w:cstheme="majorBidi"/>
                <w:sz w:val="16"/>
                <w:szCs w:val="16"/>
                <w:lang w:eastAsia="zh-CN" w:bidi="ar-SA"/>
              </w:rPr>
              <w:t>Smoking</w:t>
            </w:r>
          </w:p>
        </w:tc>
      </w:tr>
      <w:tr w:rsidR="002D772C" w:rsidRPr="00AE03CB" w:rsidTr="00B50E2F">
        <w:tc>
          <w:tcPr>
            <w:tcW w:w="1000" w:type="dxa"/>
            <w:tcBorders>
              <w:top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Toloza</w:t>
            </w:r>
            <w:r w:rsidR="00FD18C9">
              <w:rPr>
                <w:rFonts w:asciiTheme="majorBidi" w:hAnsiTheme="majorBidi" w:cstheme="majorBidi"/>
                <w:sz w:val="16"/>
                <w:szCs w:val="16"/>
                <w:lang w:val="fr-CA"/>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fr-CA"/>
              </w:rPr>
              <w:instrText xml:space="preserve"> ADDIN REFMGR.CITE &lt;Refman&gt;&lt;Cite&gt;&lt;Author&gt;Toloza&lt;/Author&gt;&lt;Year&gt;2004&lt;/Year&gt;&lt;RecNum&gt;626&lt;/RecNum&gt;&lt;IDText&gt;Systemic lupus erythematosus in a multiethnic US cohort (LUMINA). XXIII. Baseline predictors of vascular events&lt;/IDText&gt;&lt;MDL Ref_Type="Journal"&gt;&lt;Ref_Type&gt;Journal&lt;/Ref_Type&gt;&lt;Ref_ID&gt;626&lt;/Ref_ID&gt;&lt;Title_Primary&gt;Systemic lupus erythematosus in a multiethnic US cohort (LUMINA). XXIII. Baseline predictors of vascular events&lt;/Title_Primary&gt;&lt;Authors_Primary&gt;Toloza,S.M.&lt;/Authors_Primary&gt;&lt;Authors_Primary&gt;Uribe,A.G.&lt;/Authors_Primary&gt;&lt;Authors_Primary&gt;McGwin,G.,Jr.&lt;/Authors_Primary&gt;&lt;Authors_Primary&gt;Alarcon,G.S.&lt;/Authors_Primary&gt;&lt;Authors_Primary&gt;Fessler,B.J.&lt;/Authors_Primary&gt;&lt;Authors_Primary&gt;Bastian,H.M.&lt;/Authors_Primary&gt;&lt;Authors_Primary&gt;Vila,L.M.&lt;/Authors_Primary&gt;&lt;Authors_Primary&gt;Wu,R.&lt;/Authors_Primary&gt;&lt;Authors_Primary&gt;Shoenfeld,Y.&lt;/Authors_Primary&gt;&lt;Authors_Primary&gt;Roseman,J.M.&lt;/Authors_Primary&gt;&lt;Authors_Primary&gt;Reveille,J.D.&lt;/Authors_Primary&gt;&lt;Date_Primary&gt;2004/12&lt;/Date_Primary&gt;&lt;Keywords&gt;Adult&lt;/Keywords&gt;&lt;Keywords&gt;African Americans&lt;/Keywords&gt;&lt;Keywords&gt;age&lt;/Keywords&gt;&lt;Keywords&gt;Alabama&lt;/Keywords&gt;&lt;Keywords&gt;analysis&lt;/Keywords&gt;&lt;Keywords&gt;Antibodies&lt;/Keywords&gt;&lt;Keywords&gt;Arteries&lt;/Keywords&gt;&lt;Keywords&gt;Atherosclerosis&lt;/Keywords&gt;&lt;Keywords&gt;Autoimmunity&lt;/Keywords&gt;&lt;Keywords&gt;Azathioprine&lt;/Keywords&gt;&lt;Keywords&gt;C-Reactive Protein&lt;/Keywords&gt;&lt;Keywords&gt;Cardiovascular Diseases&lt;/Keywords&gt;&lt;Keywords&gt;complications&lt;/Keywords&gt;&lt;Keywords&gt;epidemiology&lt;/Keywords&gt;&lt;Keywords&gt;erythematosus&lt;/Keywords&gt;&lt;Keywords&gt;ethnology&lt;/Keywords&gt;&lt;Keywords&gt;etiology&lt;/Keywords&gt;&lt;Keywords&gt;European Continental Ancestry Group&lt;/Keywords&gt;&lt;Keywords&gt;Female&lt;/Keywords&gt;&lt;Keywords&gt;Forecasting&lt;/Keywords&gt;&lt;Keywords&gt;Gangrene&lt;/Keywords&gt;&lt;Keywords&gt;Hispanic Americans&lt;/Keywords&gt;&lt;Keywords&gt;Humans&lt;/Keywords&gt;&lt;Keywords&gt;Infarction&lt;/Keywords&gt;&lt;Keywords&gt;Inflammation&lt;/Keywords&gt;&lt;Keywords&gt;Longitudinal Studies&lt;/Keywords&gt;&lt;Keywords&gt;lupus erythematosus&lt;/Keywords&gt;&lt;Keywords&gt;Lupus Erythematosus,Systemic&lt;/Keywords&gt;&lt;Keywords&gt;Male&lt;/Keywords&gt;&lt;Keywords&gt;methods&lt;/Keywords&gt;&lt;Keywords&gt;Middle Aged&lt;/Keywords&gt;&lt;Keywords&gt;Myocardial Infarction&lt;/Keywords&gt;&lt;Keywords&gt;Odds Ratio&lt;/Keywords&gt;&lt;Keywords&gt;patient&lt;/Keywords&gt;&lt;Keywords&gt;Patients&lt;/Keywords&gt;&lt;Keywords&gt;Proportional Hazards Models&lt;/Keywords&gt;&lt;Keywords&gt;Puerto Rico&lt;/Keywords&gt;&lt;Keywords&gt;Risk&lt;/Keywords&gt;&lt;Keywords&gt;Risk Factors&lt;/Keywords&gt;&lt;Keywords&gt;Serum&lt;/Keywords&gt;&lt;Keywords&gt;sex&lt;/Keywords&gt;&lt;Keywords&gt;Smoking&lt;/Keywords&gt;&lt;Keywords&gt;Stroke&lt;/Keywords&gt;&lt;Keywords&gt;systemic lupus erythematosus&lt;/Keywords&gt;&lt;Keywords&gt;Texas&lt;/Keywords&gt;&lt;Keywords&gt;Thrombosis&lt;/Keywords&gt;&lt;Keywords&gt;Time&lt;/Keywords&gt;&lt;Keywords&gt;Time Factors&lt;/Keywords&gt;&lt;Keywords&gt;United States&lt;/Keywords&gt;&lt;Reprint&gt;Not in File&lt;/Reprint&gt;&lt;Start_Page&gt;3947&lt;/Start_Page&gt;&lt;End_Page&gt;3957&lt;/End_Page&gt;&lt;Periodical&gt;Arthritis Rheum.&lt;/Periodical&gt;&lt;Volume&gt;50&lt;/Volume&gt;&lt;Issue&gt;12&lt;/Issue&gt;&lt;User_Def_1&gt;y&lt;/User_Def_1&gt;&lt;ZZ_JournalStdAbbrev&gt;&lt;f name="System"&gt;Arthritis Rheum.&lt;/f&gt;&lt;/ZZ_JournalStdAbbrev&gt;&lt;ZZ_WorkformID&gt;1&lt;/ZZ_WorkformID&gt;&lt;/MDL&gt;&lt;/Cite&gt;&lt;/Refman&gt;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fr-CA"/>
              </w:rPr>
              <w:t>(195)</w:t>
            </w:r>
            <w:r w:rsidR="00E729BA">
              <w:rPr>
                <w:rFonts w:asciiTheme="majorBidi" w:hAnsiTheme="majorBidi" w:cstheme="majorBidi"/>
                <w:sz w:val="16"/>
                <w:szCs w:val="16"/>
                <w:lang w:val="fr-CA"/>
              </w:rPr>
              <w:fldChar w:fldCharType="end"/>
            </w:r>
          </w:p>
        </w:tc>
        <w:tc>
          <w:tcPr>
            <w:tcW w:w="535" w:type="dxa"/>
            <w:tcBorders>
              <w:top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2004</w:t>
            </w:r>
          </w:p>
        </w:tc>
        <w:tc>
          <w:tcPr>
            <w:tcW w:w="1399" w:type="dxa"/>
            <w:tcBorders>
              <w:top w:val="single" w:sz="4" w:space="0" w:color="auto"/>
            </w:tcBorders>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V</w:t>
            </w:r>
            <w:r w:rsidRPr="00AE03CB">
              <w:rPr>
                <w:rFonts w:asciiTheme="majorBidi" w:hAnsiTheme="majorBidi" w:cstheme="majorBidi"/>
                <w:sz w:val="16"/>
                <w:szCs w:val="16"/>
                <w:lang w:val="fr-CA"/>
              </w:rPr>
              <w:t>ascular events</w:t>
            </w:r>
            <w:r>
              <w:rPr>
                <w:rFonts w:asciiTheme="majorBidi" w:hAnsiTheme="majorBidi" w:cstheme="majorBidi"/>
                <w:sz w:val="16"/>
                <w:szCs w:val="16"/>
                <w:lang w:val="fr-CA"/>
              </w:rPr>
              <w:t xml:space="preserve"> (HR)</w:t>
            </w:r>
          </w:p>
        </w:tc>
        <w:tc>
          <w:tcPr>
            <w:tcW w:w="1179"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122"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102"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113"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116"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101" w:type="dxa"/>
            <w:tcBorders>
              <w:top w:val="single" w:sz="4" w:space="0" w:color="auto"/>
            </w:tcBorders>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rPr>
              <w:t>4.72 (1.68-13.16)</w:t>
            </w:r>
          </w:p>
        </w:tc>
        <w:tc>
          <w:tcPr>
            <w:tcW w:w="1132" w:type="dxa"/>
            <w:tcBorders>
              <w:top w:val="single" w:sz="4" w:space="0" w:color="auto"/>
            </w:tcBorders>
          </w:tcPr>
          <w:p w:rsidR="002D772C" w:rsidRPr="00AE03CB" w:rsidRDefault="002D772C" w:rsidP="0049322C">
            <w:pPr>
              <w:rPr>
                <w:rFonts w:asciiTheme="majorBidi" w:hAnsiTheme="majorBidi" w:cstheme="majorBidi"/>
                <w:sz w:val="16"/>
                <w:szCs w:val="16"/>
                <w:lang w:val="fr-CA"/>
              </w:rPr>
            </w:pPr>
          </w:p>
        </w:tc>
        <w:tc>
          <w:tcPr>
            <w:tcW w:w="1253"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1071" w:type="dxa"/>
            <w:tcBorders>
              <w:top w:val="single" w:sz="4" w:space="0" w:color="auto"/>
            </w:tcBorders>
          </w:tcPr>
          <w:p w:rsidR="002D772C" w:rsidRPr="00AE03CB" w:rsidRDefault="002D772C" w:rsidP="0049322C">
            <w:pPr>
              <w:rPr>
                <w:rFonts w:asciiTheme="majorBidi" w:hAnsiTheme="majorBidi" w:cstheme="majorBidi"/>
                <w:sz w:val="16"/>
                <w:szCs w:val="16"/>
              </w:rPr>
            </w:pPr>
          </w:p>
        </w:tc>
        <w:tc>
          <w:tcPr>
            <w:tcW w:w="949" w:type="dxa"/>
            <w:tcBorders>
              <w:top w:val="single" w:sz="4" w:space="0" w:color="auto"/>
            </w:tcBorders>
          </w:tcPr>
          <w:p w:rsidR="002D772C" w:rsidRPr="00AE03CB" w:rsidRDefault="002D772C" w:rsidP="0049322C">
            <w:pPr>
              <w:rPr>
                <w:rFonts w:asciiTheme="majorBidi" w:hAnsiTheme="majorBidi" w:cstheme="majorBidi"/>
                <w:sz w:val="16"/>
                <w:szCs w:val="16"/>
              </w:rPr>
            </w:pPr>
          </w:p>
        </w:tc>
      </w:tr>
      <w:tr w:rsidR="002D772C" w:rsidRPr="00AE03CB" w:rsidTr="00B50E2F">
        <w:tc>
          <w:tcPr>
            <w:tcW w:w="1000" w:type="dxa"/>
          </w:tcPr>
          <w:p w:rsidR="002D772C" w:rsidRPr="00680ED8" w:rsidRDefault="002D772C" w:rsidP="0049322C">
            <w:pPr>
              <w:rPr>
                <w:rFonts w:asciiTheme="majorBidi" w:hAnsiTheme="majorBidi" w:cstheme="majorBidi"/>
                <w:sz w:val="16"/>
                <w:szCs w:val="16"/>
                <w:lang w:val="pt-PT"/>
              </w:rPr>
            </w:pPr>
            <w:r w:rsidRPr="00680ED8">
              <w:rPr>
                <w:rFonts w:asciiTheme="majorBidi" w:hAnsiTheme="majorBidi" w:cstheme="majorBidi"/>
                <w:sz w:val="16"/>
                <w:szCs w:val="16"/>
                <w:lang w:val="pt-PT"/>
              </w:rPr>
              <w:t xml:space="preserve">Pons-Estel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pt-PT"/>
              </w:rPr>
              <w:instrText xml:space="preserve"> ADDIN REFMGR.CITE &lt;Refman&gt;&lt;Cite&gt;&lt;Author&gt;Pons-Estel&lt;/Author&gt;&lt;Year&gt;2009&lt;/Year&gt;&lt;RecNum&gt;55&lt;/RecNum&gt;&lt;IDText&gt;Predictors of cardiovascular damage in patients with systemic lupus erythematosus: data from LUMINA (LXVIII), a multiethnic US cohort&lt;/IDText&gt;&lt;MDL Ref_Type="Journal"&gt;&lt;Ref_Type&gt;Journal&lt;/Ref_Type&gt;&lt;Ref_ID&gt;55&lt;/Ref_ID&gt;&lt;Title_Primary&gt;Predictors of cardiovascular damage in patients with systemic lupus erythematosus: data from LUMINA (LXVIII), a multiethnic US cohort&lt;/Title_Primary&gt;&lt;Authors_Primary&gt;Pons-Estel,G.J.&lt;/Authors_Primary&gt;&lt;Authors_Primary&gt;Gonzalez,L.A.&lt;/Authors_Primary&gt;&lt;Authors_Primary&gt;Zhang,J.&lt;/Authors_Primary&gt;&lt;Authors_Primary&gt;Burgos,P.I.&lt;/Authors_Primary&gt;&lt;Authors_Primary&gt;Reveille,J.D.&lt;/Authors_Primary&gt;&lt;Authors_Primary&gt;Vila,L.M.&lt;/Authors_Primary&gt;&lt;Authors_Primary&gt;Alarcon,G.S.&lt;/Authors_Primary&gt;&lt;Date_Primary&gt;2009/7&lt;/Date_Primary&gt;&lt;Keywords&gt;Adult&lt;/Keywords&gt;&lt;Keywords&gt;African Americans&lt;/Keywords&gt;&lt;Keywords&gt;age&lt;/Keywords&gt;&lt;Keywords&gt;Age Factors&lt;/Keywords&gt;&lt;Keywords&gt;Aged&lt;/Keywords&gt;&lt;Keywords&gt;Alabama&lt;/Keywords&gt;&lt;Keywords&gt;analysis&lt;/Keywords&gt;&lt;Keywords&gt;Arteries&lt;/Keywords&gt;&lt;Keywords&gt;C-Reactive Protein&lt;/Keywords&gt;&lt;Keywords&gt;Cardiovascular Diseases&lt;/Keywords&gt;&lt;Keywords&gt;complications&lt;/Keywords&gt;&lt;Keywords&gt;Disease&lt;/Keywords&gt;&lt;Keywords&gt;Educational Status&lt;/Keywords&gt;&lt;Keywords&gt;erythematosus&lt;/Keywords&gt;&lt;Keywords&gt;Ethnic Groups&lt;/Keywords&gt;&lt;Keywords&gt;ethnology&lt;/Keywords&gt;&lt;Keywords&gt;European Continental Ancestry Group&lt;/Keywords&gt;&lt;Keywords&gt;Female&lt;/Keywords&gt;&lt;Keywords&gt;Health&lt;/Keywords&gt;&lt;Keywords&gt;Heart&lt;/Keywords&gt;&lt;Keywords&gt;Heart Failure&lt;/Keywords&gt;&lt;Keywords&gt;Hispanic Americans&lt;/Keywords&gt;&lt;Keywords&gt;Humans&lt;/Keywords&gt;&lt;Keywords&gt;immunology&lt;/Keywords&gt;&lt;Keywords&gt;Infarction&lt;/Keywords&gt;&lt;Keywords&gt;Logistic Models&lt;/Keywords&gt;&lt;Keywords&gt;Longitudinal Studies&lt;/Keywords&gt;&lt;Keywords&gt;lupus erythematosus&lt;/Keywords&gt;&lt;Keywords&gt;Lupus Erythematosus,Systemic&lt;/Keywords&gt;&lt;Keywords&gt;Male&lt;/Keywords&gt;&lt;Keywords&gt;methods&lt;/Keywords&gt;&lt;Keywords&gt;Middle Aged&lt;/Keywords&gt;&lt;Keywords&gt;mortality&lt;/Keywords&gt;&lt;Keywords&gt;Myocardial Infarction&lt;/Keywords&gt;&lt;Keywords&gt;Odds Ratio&lt;/Keywords&gt;&lt;Keywords&gt;patient&lt;/Keywords&gt;&lt;Keywords&gt;Patients&lt;/Keywords&gt;&lt;Keywords&gt;Rheumatology&lt;/Keywords&gt;&lt;Keywords&gt;Risk Factors&lt;/Keywords&gt;&lt;Keywords&gt;Sex Factors&lt;/Keywords&gt;&lt;Keywords&gt;surgery&lt;/Keywords&gt;&lt;Keywords&gt;systemic lupus erythematosus&lt;/Keywords&gt;&lt;Keywords&gt;Women&lt;/Keywords&gt;&lt;Reprint&gt;Not in File&lt;/Reprint&gt;&lt;Start_Page&gt;817&lt;/Start_Page&gt;&lt;End_Page&gt;822&lt;/End_Page&gt;&lt;Periodical&gt;Rheumatology.(Oxford).&lt;/Periodical&gt;&lt;Volume&gt;48&lt;/Volume&gt;&lt;Issue&gt;7&lt;/Issue&gt;&lt;User_Def_1&gt;y&lt;/User_Def_1&gt;&lt;ZZ_JournalStdAbbrev&gt;&lt;f name="System"&gt;Rheumatology.(Oxford).&lt;/f&gt;&lt;/ZZ_JournalStdAbbrev&gt;&lt;ZZ_WorkformID&gt;1&lt;/ZZ_WorkformID&gt;&lt;/MDL&gt;&lt;/Cite&gt;&lt;/Refman&gt;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pt-PT"/>
              </w:rPr>
              <w:t>(196)</w:t>
            </w:r>
            <w:r w:rsidR="00E729BA">
              <w:rPr>
                <w:rFonts w:asciiTheme="majorBidi" w:hAnsiTheme="majorBidi" w:cstheme="majorBidi"/>
                <w:sz w:val="16"/>
                <w:szCs w:val="16"/>
                <w:lang w:val="fr-CA"/>
              </w:rPr>
              <w:fldChar w:fldCharType="end"/>
            </w:r>
          </w:p>
        </w:tc>
        <w:tc>
          <w:tcPr>
            <w:tcW w:w="535"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2009</w:t>
            </w:r>
          </w:p>
        </w:tc>
        <w:tc>
          <w:tcPr>
            <w:tcW w:w="1399"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Cardiovascular damage</w:t>
            </w:r>
            <w:r>
              <w:rPr>
                <w:rFonts w:asciiTheme="majorBidi" w:hAnsiTheme="majorBidi" w:cstheme="majorBidi"/>
                <w:sz w:val="16"/>
                <w:szCs w:val="16"/>
                <w:lang w:val="fr-CA"/>
              </w:rPr>
              <w:t xml:space="preserve"> (OR)</w:t>
            </w:r>
          </w:p>
        </w:tc>
        <w:tc>
          <w:tcPr>
            <w:tcW w:w="1179" w:type="dxa"/>
          </w:tcPr>
          <w:p w:rsidR="002D772C" w:rsidRPr="00AE03CB" w:rsidRDefault="002D772C" w:rsidP="0049322C">
            <w:pPr>
              <w:rPr>
                <w:rFonts w:asciiTheme="majorBidi" w:hAnsiTheme="majorBidi" w:cstheme="majorBidi"/>
                <w:sz w:val="16"/>
                <w:szCs w:val="16"/>
              </w:rPr>
            </w:pPr>
          </w:p>
        </w:tc>
        <w:tc>
          <w:tcPr>
            <w:tcW w:w="1122" w:type="dxa"/>
          </w:tcPr>
          <w:p w:rsidR="002D772C" w:rsidRPr="00AE03CB" w:rsidRDefault="002D772C" w:rsidP="0049322C">
            <w:pPr>
              <w:rPr>
                <w:rFonts w:asciiTheme="majorBidi" w:hAnsiTheme="majorBidi" w:cstheme="majorBidi"/>
                <w:sz w:val="16"/>
                <w:szCs w:val="16"/>
              </w:rPr>
            </w:pPr>
          </w:p>
        </w:tc>
        <w:tc>
          <w:tcPr>
            <w:tcW w:w="1102"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rPr>
              <w:t>1.06 (1.03-1.09)</w:t>
            </w:r>
          </w:p>
        </w:tc>
        <w:tc>
          <w:tcPr>
            <w:tcW w:w="1113"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rPr>
              <w:t>3.57 (1.35-9.09)</w:t>
            </w:r>
          </w:p>
        </w:tc>
        <w:tc>
          <w:tcPr>
            <w:tcW w:w="1116"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rPr>
              <w:t>1.28 (1.09-1.5)</w:t>
            </w:r>
          </w:p>
        </w:tc>
        <w:tc>
          <w:tcPr>
            <w:tcW w:w="1101" w:type="dxa"/>
          </w:tcPr>
          <w:p w:rsidR="002D772C" w:rsidRPr="00AE03CB" w:rsidRDefault="002D772C" w:rsidP="0049322C">
            <w:pPr>
              <w:rPr>
                <w:rFonts w:asciiTheme="majorBidi" w:hAnsiTheme="majorBidi" w:cstheme="majorBidi"/>
                <w:sz w:val="16"/>
                <w:szCs w:val="16"/>
                <w:lang w:val="fr-CA"/>
              </w:rPr>
            </w:pPr>
          </w:p>
        </w:tc>
        <w:tc>
          <w:tcPr>
            <w:tcW w:w="1132" w:type="dxa"/>
          </w:tcPr>
          <w:p w:rsidR="002D772C" w:rsidRPr="00AE03CB" w:rsidRDefault="002D772C" w:rsidP="0049322C">
            <w:pPr>
              <w:rPr>
                <w:rFonts w:asciiTheme="majorBidi" w:hAnsiTheme="majorBidi" w:cstheme="majorBidi"/>
                <w:sz w:val="16"/>
                <w:szCs w:val="16"/>
                <w:lang w:val="fr-CA"/>
              </w:rPr>
            </w:pPr>
          </w:p>
        </w:tc>
        <w:tc>
          <w:tcPr>
            <w:tcW w:w="1253" w:type="dxa"/>
          </w:tcPr>
          <w:p w:rsidR="002D772C" w:rsidRPr="00AE03CB" w:rsidRDefault="002D772C" w:rsidP="0049322C">
            <w:pPr>
              <w:rPr>
                <w:rFonts w:asciiTheme="majorBidi" w:hAnsiTheme="majorBidi" w:cstheme="majorBidi"/>
                <w:sz w:val="16"/>
                <w:szCs w:val="16"/>
                <w:lang w:val="fr-CA"/>
              </w:rPr>
            </w:pPr>
          </w:p>
        </w:tc>
        <w:tc>
          <w:tcPr>
            <w:tcW w:w="1071" w:type="dxa"/>
          </w:tcPr>
          <w:p w:rsidR="002D772C" w:rsidRPr="00AE03CB" w:rsidRDefault="002D772C" w:rsidP="0049322C">
            <w:pPr>
              <w:rPr>
                <w:rFonts w:asciiTheme="majorBidi" w:hAnsiTheme="majorBidi" w:cstheme="majorBidi"/>
                <w:sz w:val="16"/>
                <w:szCs w:val="16"/>
                <w:lang w:val="fr-CA"/>
              </w:rPr>
            </w:pPr>
          </w:p>
        </w:tc>
        <w:tc>
          <w:tcPr>
            <w:tcW w:w="949" w:type="dxa"/>
          </w:tcPr>
          <w:p w:rsidR="002D772C" w:rsidRPr="00AE03CB" w:rsidRDefault="002D772C" w:rsidP="0049322C">
            <w:pPr>
              <w:rPr>
                <w:rFonts w:asciiTheme="majorBidi" w:hAnsiTheme="majorBidi" w:cstheme="majorBidi"/>
                <w:sz w:val="16"/>
                <w:szCs w:val="16"/>
                <w:lang w:val="fr-CA"/>
              </w:rPr>
            </w:pPr>
          </w:p>
        </w:tc>
      </w:tr>
      <w:tr w:rsidR="002D772C" w:rsidRPr="00AE03CB" w:rsidTr="00B50E2F">
        <w:tc>
          <w:tcPr>
            <w:tcW w:w="1000" w:type="dxa"/>
          </w:tcPr>
          <w:p w:rsidR="002D772C" w:rsidRPr="00680ED8" w:rsidRDefault="002D772C" w:rsidP="0049322C">
            <w:pPr>
              <w:rPr>
                <w:rFonts w:asciiTheme="majorBidi" w:hAnsiTheme="majorBidi" w:cstheme="majorBidi"/>
                <w:sz w:val="16"/>
                <w:szCs w:val="16"/>
                <w:lang w:val="sv-SE"/>
              </w:rPr>
            </w:pPr>
            <w:r w:rsidRPr="00680ED8">
              <w:rPr>
                <w:rFonts w:asciiTheme="majorBidi" w:hAnsiTheme="majorBidi" w:cstheme="majorBidi"/>
                <w:sz w:val="16"/>
                <w:szCs w:val="16"/>
                <w:lang w:val="sv-SE"/>
              </w:rPr>
              <w:t>Becker-Merok</w:t>
            </w:r>
            <w:r w:rsidR="00680ED8" w:rsidRPr="00680ED8">
              <w:rPr>
                <w:rFonts w:asciiTheme="majorBidi" w:hAnsiTheme="majorBidi" w:cstheme="majorBidi"/>
                <w:sz w:val="16"/>
                <w:szCs w:val="16"/>
                <w:lang w:val="sv-SE"/>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sv-SE"/>
              </w:rPr>
              <w:instrText xml:space="preserve"> ADDIN REFMGR.CITE &lt;Refman&gt;&lt;Cite&gt;&lt;Author&gt;Becker-Merok&lt;/Author&gt;&lt;Year&gt;2009&lt;/Year&gt;&lt;RecNum&gt;77&lt;/RecNum&gt;&lt;IDText&gt;Prevalence, predictors and outcome of vascular damage in systemic lupus erythematosus&lt;/IDText&gt;&lt;MDL Ref_Type="Journal"&gt;&lt;Ref_Type&gt;Journal&lt;/Ref_Type&gt;&lt;Ref_ID&gt;77&lt;/Ref_ID&gt;&lt;Title_Primary&gt;Prevalence, predictors and outcome of vascular damage in systemic lupus erythematosus&lt;/Title_Primary&gt;&lt;Authors_Primary&gt;Becker-Merok,A.&lt;/Authors_Primary&gt;&lt;Authors_Primary&gt;Nossent,J.&lt;/Authors_Primary&gt;&lt;Date_Primary&gt;2009/5&lt;/Date_Primary&gt;&lt;Keywords&gt;Adult&lt;/Keywords&gt;&lt;Keywords&gt;age&lt;/Keywords&gt;&lt;Keywords&gt;analysis&lt;/Keywords&gt;&lt;Keywords&gt;Antimalarials&lt;/Keywords&gt;&lt;Keywords&gt;complications&lt;/Keywords&gt;&lt;Keywords&gt;death&lt;/Keywords&gt;&lt;Keywords&gt;diagnosis&lt;/Keywords&gt;&lt;Keywords&gt;Disease&lt;/Keywords&gt;&lt;Keywords&gt;epidemiology&lt;/Keywords&gt;&lt;Keywords&gt;erythematosus&lt;/Keywords&gt;&lt;Keywords&gt;etiology&lt;/Keywords&gt;&lt;Keywords&gt;Female&lt;/Keywords&gt;&lt;Keywords&gt;Follow-Up Studies&lt;/Keywords&gt;&lt;Keywords&gt;Humans&lt;/Keywords&gt;&lt;Keywords&gt;Hydroxychloroquine&lt;/Keywords&gt;&lt;Keywords&gt;lupus erythematosus&lt;/Keywords&gt;&lt;Keywords&gt;Lupus Erythematosus,Systemic&lt;/Keywords&gt;&lt;Keywords&gt;Male&lt;/Keywords&gt;&lt;Keywords&gt;Middle Aged&lt;/Keywords&gt;&lt;Keywords&gt;mortality&lt;/Keywords&gt;&lt;Keywords&gt;Multivariate Analysis&lt;/Keywords&gt;&lt;Keywords&gt;Norway&lt;/Keywords&gt;&lt;Keywords&gt;Odds Ratio&lt;/Keywords&gt;&lt;Keywords&gt;patient&lt;/Keywords&gt;&lt;Keywords&gt;Patients&lt;/Keywords&gt;&lt;Keywords&gt;Prevalence&lt;/Keywords&gt;&lt;Keywords&gt;Prognosis&lt;/Keywords&gt;&lt;Keywords&gt;Rheumatology&lt;/Keywords&gt;&lt;Keywords&gt;Risk&lt;/Keywords&gt;&lt;Keywords&gt;Risk Factors&lt;/Keywords&gt;&lt;Keywords&gt;Survival Rate&lt;/Keywords&gt;&lt;Keywords&gt;systemic lupus erythematosus&lt;/Keywords&gt;&lt;Keywords&gt;Time&lt;/Keywords&gt;&lt;Keywords&gt;Time Factors&lt;/Keywords&gt;&lt;Keywords&gt;Vascular Diseases&lt;/Keywords&gt;&lt;Keywords&gt;Vasculitis&lt;/Keywords&gt;&lt;Reprint&gt;Not in File&lt;/Reprint&gt;&lt;Start_Page&gt;508&lt;/Start_Page&gt;&lt;End_Page&gt;515&lt;/End_Page&gt;&lt;Periodical&gt;Lupus.&lt;/Periodical&gt;&lt;Volume&gt;18&lt;/Volume&gt;&lt;Issue&gt;6&lt;/Issue&gt;&lt;User_Def_1&gt;y&lt;/User_Def_1&gt;&lt;ZZ_JournalStdAbbrev&gt;&lt;f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sv-SE"/>
              </w:rPr>
              <w:t>(197)</w:t>
            </w:r>
            <w:r w:rsidR="00E729BA">
              <w:rPr>
                <w:rFonts w:asciiTheme="majorBidi" w:hAnsiTheme="majorBidi" w:cstheme="majorBidi"/>
                <w:sz w:val="16"/>
                <w:szCs w:val="16"/>
                <w:lang w:val="fr-CA"/>
              </w:rPr>
              <w:fldChar w:fldCharType="end"/>
            </w:r>
          </w:p>
        </w:tc>
        <w:tc>
          <w:tcPr>
            <w:tcW w:w="535"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2009</w:t>
            </w:r>
          </w:p>
        </w:tc>
        <w:tc>
          <w:tcPr>
            <w:tcW w:w="1399"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Antherothrombotic damage</w:t>
            </w:r>
            <w:r>
              <w:rPr>
                <w:rFonts w:asciiTheme="majorBidi" w:hAnsiTheme="majorBidi" w:cstheme="majorBidi"/>
                <w:sz w:val="16"/>
                <w:szCs w:val="16"/>
                <w:lang w:val="fr-CA"/>
              </w:rPr>
              <w:t xml:space="preserve"> (OR)</w:t>
            </w:r>
          </w:p>
        </w:tc>
        <w:tc>
          <w:tcPr>
            <w:tcW w:w="1179" w:type="dxa"/>
          </w:tcPr>
          <w:p w:rsidR="002D772C" w:rsidRPr="00AE03CB" w:rsidRDefault="002D772C" w:rsidP="0049322C">
            <w:pPr>
              <w:rPr>
                <w:rFonts w:asciiTheme="majorBidi" w:hAnsiTheme="majorBidi" w:cstheme="majorBidi"/>
                <w:sz w:val="16"/>
                <w:szCs w:val="16"/>
              </w:rPr>
            </w:pPr>
          </w:p>
        </w:tc>
        <w:tc>
          <w:tcPr>
            <w:tcW w:w="1122" w:type="dxa"/>
          </w:tcPr>
          <w:p w:rsidR="002D772C" w:rsidRPr="00AE03CB" w:rsidRDefault="002D772C" w:rsidP="0049322C">
            <w:pPr>
              <w:rPr>
                <w:rFonts w:asciiTheme="majorBidi" w:hAnsiTheme="majorBidi" w:cstheme="majorBidi"/>
                <w:sz w:val="16"/>
                <w:szCs w:val="16"/>
              </w:rPr>
            </w:pPr>
            <w:r>
              <w:rPr>
                <w:rFonts w:asciiTheme="majorBidi" w:hAnsiTheme="majorBidi" w:cstheme="majorBidi"/>
                <w:sz w:val="16"/>
                <w:szCs w:val="16"/>
              </w:rPr>
              <w:t>0.3 (0.12-0.75)</w:t>
            </w:r>
          </w:p>
        </w:tc>
        <w:tc>
          <w:tcPr>
            <w:tcW w:w="1102" w:type="dxa"/>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rPr>
              <w:t>3.33 (1.36-8.12</w:t>
            </w:r>
            <w:r w:rsidRPr="00AE03CB">
              <w:rPr>
                <w:rFonts w:asciiTheme="majorBidi" w:hAnsiTheme="majorBidi" w:cstheme="majorBidi"/>
                <w:sz w:val="16"/>
                <w:szCs w:val="16"/>
              </w:rPr>
              <w:t>)</w:t>
            </w:r>
          </w:p>
        </w:tc>
        <w:tc>
          <w:tcPr>
            <w:tcW w:w="1113" w:type="dxa"/>
          </w:tcPr>
          <w:p w:rsidR="002D772C" w:rsidRPr="00AE03CB" w:rsidRDefault="002D772C" w:rsidP="0049322C">
            <w:pPr>
              <w:rPr>
                <w:rFonts w:asciiTheme="majorBidi" w:hAnsiTheme="majorBidi" w:cstheme="majorBidi"/>
                <w:sz w:val="16"/>
                <w:szCs w:val="16"/>
                <w:lang w:val="fr-CA"/>
              </w:rPr>
            </w:pPr>
          </w:p>
        </w:tc>
        <w:tc>
          <w:tcPr>
            <w:tcW w:w="1116" w:type="dxa"/>
          </w:tcPr>
          <w:p w:rsidR="002D772C" w:rsidRPr="00AE03CB" w:rsidRDefault="002D772C" w:rsidP="0049322C">
            <w:pPr>
              <w:rPr>
                <w:rFonts w:asciiTheme="majorBidi" w:hAnsiTheme="majorBidi" w:cstheme="majorBidi"/>
                <w:sz w:val="16"/>
                <w:szCs w:val="16"/>
                <w:lang w:val="fr-CA"/>
              </w:rPr>
            </w:pPr>
          </w:p>
        </w:tc>
        <w:tc>
          <w:tcPr>
            <w:tcW w:w="1101" w:type="dxa"/>
          </w:tcPr>
          <w:p w:rsidR="002D772C" w:rsidRPr="00AE03CB" w:rsidRDefault="002D772C" w:rsidP="0049322C">
            <w:pPr>
              <w:rPr>
                <w:rFonts w:asciiTheme="majorBidi" w:hAnsiTheme="majorBidi" w:cstheme="majorBidi"/>
                <w:sz w:val="16"/>
                <w:szCs w:val="16"/>
                <w:lang w:val="fr-CA"/>
              </w:rPr>
            </w:pPr>
          </w:p>
        </w:tc>
        <w:tc>
          <w:tcPr>
            <w:tcW w:w="1132" w:type="dxa"/>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0.19 (0.08-0.47)</w:t>
            </w:r>
          </w:p>
        </w:tc>
        <w:tc>
          <w:tcPr>
            <w:tcW w:w="1253" w:type="dxa"/>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0.39 (0.15-0.99)</w:t>
            </w:r>
          </w:p>
        </w:tc>
        <w:tc>
          <w:tcPr>
            <w:tcW w:w="1071" w:type="dxa"/>
          </w:tcPr>
          <w:p w:rsidR="002D772C" w:rsidRPr="00AE03CB" w:rsidRDefault="002D772C" w:rsidP="0049322C">
            <w:pPr>
              <w:rPr>
                <w:rFonts w:asciiTheme="majorBidi" w:hAnsiTheme="majorBidi" w:cstheme="majorBidi"/>
                <w:sz w:val="16"/>
                <w:szCs w:val="16"/>
                <w:lang w:val="fr-CA"/>
              </w:rPr>
            </w:pPr>
          </w:p>
        </w:tc>
        <w:tc>
          <w:tcPr>
            <w:tcW w:w="949" w:type="dxa"/>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0.77 (0.70-0.85)</w:t>
            </w:r>
          </w:p>
        </w:tc>
      </w:tr>
      <w:tr w:rsidR="002D772C" w:rsidRPr="00AE03CB" w:rsidTr="00B50E2F">
        <w:tc>
          <w:tcPr>
            <w:tcW w:w="1000" w:type="dxa"/>
          </w:tcPr>
          <w:p w:rsidR="002D772C" w:rsidRPr="00680ED8" w:rsidRDefault="002D772C" w:rsidP="0049322C">
            <w:pPr>
              <w:rPr>
                <w:rFonts w:asciiTheme="majorBidi" w:hAnsiTheme="majorBidi" w:cstheme="majorBidi"/>
                <w:sz w:val="16"/>
                <w:szCs w:val="16"/>
                <w:lang w:val="pl-PL"/>
              </w:rPr>
            </w:pPr>
            <w:r w:rsidRPr="00680ED8">
              <w:rPr>
                <w:rFonts w:asciiTheme="majorBidi" w:hAnsiTheme="majorBidi" w:cstheme="majorBidi"/>
                <w:sz w:val="16"/>
                <w:szCs w:val="16"/>
                <w:lang w:val="pl-PL"/>
              </w:rPr>
              <w:t>Zonana-Nacach</w:t>
            </w:r>
            <w:r w:rsidR="00680ED8" w:rsidRPr="00680ED8">
              <w:rPr>
                <w:rFonts w:asciiTheme="majorBidi" w:hAnsiTheme="majorBidi" w:cstheme="majorBidi"/>
                <w:sz w:val="16"/>
                <w:szCs w:val="16"/>
                <w:lang w:val="pl-PL"/>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pl-PL"/>
              </w:rPr>
              <w:instrText xml:space="preserve"> ADDIN REFMGR.CITE &lt;Refman&gt;&lt;Cite&gt;&lt;Author&gt;Zonana-Nacach&lt;/Author&gt;&lt;Year&gt;2000&lt;/Year&gt;&lt;RecNum&gt;1034&lt;/RecNum&gt;&lt;IDText&gt;Damage in systemic lupus erythematosus and its association with corticosteroids&lt;/IDText&gt;&lt;MDL Ref_Type="Journal"&gt;&lt;Ref_Type&gt;Journal&lt;/Ref_Type&gt;&lt;Ref_ID&gt;1034&lt;/Ref_ID&gt;&lt;Title_Primary&gt;Damage in systemic lupus erythematosus and its association with corticosteroids&lt;/Title_Primary&gt;&lt;Authors_Primary&gt;Zonana-Nacach,A.&lt;/Authors_Primary&gt;&lt;Authors_Primary&gt;Barr,S.G.&lt;/Authors_Primary&gt;&lt;Authors_Primary&gt;Magder,L.S.&lt;/Authors_Primary&gt;&lt;Authors_Primary&gt;Petri,M.&lt;/Authors_Primary&gt;&lt;Date_Primary&gt;2000/8&lt;/Date_Primary&gt;&lt;Keywords&gt;administration &amp;amp; dosage&lt;/Keywords&gt;&lt;Keywords&gt;Administration,Oral&lt;/Keywords&gt;&lt;Keywords&gt;Adrenal Cortex Hormones&lt;/Keywords&gt;&lt;Keywords&gt;Adult&lt;/Keywords&gt;&lt;Keywords&gt;adverse effects&lt;/Keywords&gt;&lt;Keywords&gt;age&lt;/Keywords&gt;&lt;Keywords&gt;Arteries&lt;/Keywords&gt;&lt;Keywords&gt;Baltimore&lt;/Keywords&gt;&lt;Keywords&gt;Cardiovascular Diseases&lt;/Keywords&gt;&lt;Keywords&gt;Cataract&lt;/Keywords&gt;&lt;Keywords&gt;chemically induced&lt;/Keywords&gt;&lt;Keywords&gt;Cohort Studies&lt;/Keywords&gt;&lt;Keywords&gt;complications&lt;/Keywords&gt;&lt;Keywords&gt;confidence interval&lt;/Keywords&gt;&lt;Keywords&gt;Coronary Artery Disease&lt;/Keywords&gt;&lt;Keywords&gt;Disease&lt;/Keywords&gt;&lt;Keywords&gt;disease activity&lt;/Keywords&gt;&lt;Keywords&gt;drug effects&lt;/Keywords&gt;&lt;Keywords&gt;drug therapy&lt;/Keywords&gt;&lt;Keywords&gt;erythematosus&lt;/Keywords&gt;&lt;Keywords&gt;Female&lt;/Keywords&gt;&lt;Keywords&gt;Humans&lt;/Keywords&gt;&lt;Keywords&gt;Injections,Intravenous&lt;/Keywords&gt;&lt;Keywords&gt;Kidney&lt;/Keywords&gt;&lt;Keywords&gt;lupus erythematosus&lt;/Keywords&gt;&lt;Keywords&gt;Lupus Erythematosus,Systemic&lt;/Keywords&gt;&lt;Keywords&gt;Male&lt;/Keywords&gt;&lt;Keywords&gt;Maryland&lt;/Keywords&gt;&lt;Keywords&gt;methods&lt;/Keywords&gt;&lt;Keywords&gt;Methylprednisolone&lt;/Keywords&gt;&lt;Keywords&gt;Morbidity&lt;/Keywords&gt;&lt;Keywords&gt;Musculoskeletal System&lt;/Keywords&gt;&lt;Keywords&gt;Necrosis&lt;/Keywords&gt;&lt;Keywords&gt;Osteonecrosis&lt;/Keywords&gt;&lt;Keywords&gt;Osteoporosis&lt;/Keywords&gt;&lt;Keywords&gt;patient&lt;/Keywords&gt;&lt;Keywords&gt;Patients&lt;/Keywords&gt;&lt;Keywords&gt;Prednisone&lt;/Keywords&gt;&lt;Keywords&gt;race&lt;/Keywords&gt;&lt;Keywords&gt;Research&lt;/Keywords&gt;&lt;Keywords&gt;Rheumatology&lt;/Keywords&gt;&lt;Keywords&gt;Risk&lt;/Keywords&gt;&lt;Keywords&gt;sex&lt;/Keywords&gt;&lt;Keywords&gt;Stroke&lt;/Keywords&gt;&lt;Keywords&gt;systemic lupus erythematosus&lt;/Keywords&gt;&lt;Keywords&gt;therapeutic use&lt;/Keywords&gt;&lt;Keywords&gt;therapy&lt;/Keywords&gt;&lt;Reprint&gt;Not in File&lt;/Reprint&gt;&lt;Start_Page&gt;1801&lt;/Start_Page&gt;&lt;End_Page&gt;1808&lt;/End_Page&gt;&lt;Periodical&gt;Arthritis Rheum.&lt;/Periodical&gt;&lt;Volume&gt;43&lt;/Volume&gt;&lt;Issue&gt;8&lt;/Issue&gt;&lt;User_Def_1&gt;y&lt;/User_Def_1&gt;&lt;ZZ_JournalStdAbbrev&gt;&lt;f name="System"&gt;Arthritis Rheum.&lt;/f&gt;&lt;/ZZ_JournalStdAbbrev&gt;&lt;ZZ_WorkformID&gt;1&lt;/ZZ_WorkformID&gt;&lt;/MDL&gt;&lt;/Cite&gt;&lt;/Refman&gt;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pl-PL"/>
              </w:rPr>
              <w:t>(181)</w:t>
            </w:r>
            <w:r w:rsidR="00E729BA">
              <w:rPr>
                <w:rFonts w:asciiTheme="majorBidi" w:hAnsiTheme="majorBidi" w:cstheme="majorBidi"/>
                <w:sz w:val="16"/>
                <w:szCs w:val="16"/>
                <w:lang w:val="fr-CA"/>
              </w:rPr>
              <w:fldChar w:fldCharType="end"/>
            </w:r>
          </w:p>
        </w:tc>
        <w:tc>
          <w:tcPr>
            <w:tcW w:w="535"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2000</w:t>
            </w:r>
          </w:p>
        </w:tc>
        <w:tc>
          <w:tcPr>
            <w:tcW w:w="1399"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Coronary artery disease</w:t>
            </w:r>
            <w:r>
              <w:rPr>
                <w:rFonts w:asciiTheme="majorBidi" w:hAnsiTheme="majorBidi" w:cstheme="majorBidi"/>
                <w:sz w:val="16"/>
                <w:szCs w:val="16"/>
                <w:lang w:val="fr-CA"/>
              </w:rPr>
              <w:t xml:space="preserve"> (RR)</w:t>
            </w:r>
          </w:p>
        </w:tc>
        <w:tc>
          <w:tcPr>
            <w:tcW w:w="1179" w:type="dxa"/>
          </w:tcPr>
          <w:p w:rsidR="002D772C" w:rsidRPr="00AE03CB" w:rsidRDefault="002D772C" w:rsidP="0049322C">
            <w:pPr>
              <w:rPr>
                <w:rFonts w:asciiTheme="majorBidi" w:hAnsiTheme="majorBidi" w:cstheme="majorBidi"/>
                <w:sz w:val="16"/>
                <w:szCs w:val="16"/>
              </w:rPr>
            </w:pPr>
          </w:p>
        </w:tc>
        <w:tc>
          <w:tcPr>
            <w:tcW w:w="1122" w:type="dxa"/>
          </w:tcPr>
          <w:p w:rsidR="002D772C" w:rsidRPr="00AE03CB" w:rsidRDefault="002D772C" w:rsidP="0049322C">
            <w:pPr>
              <w:rPr>
                <w:rFonts w:asciiTheme="majorBidi" w:hAnsiTheme="majorBidi" w:cstheme="majorBidi"/>
                <w:sz w:val="16"/>
                <w:szCs w:val="16"/>
              </w:rPr>
            </w:pPr>
            <w:r w:rsidRPr="00AE03CB">
              <w:rPr>
                <w:rFonts w:asciiTheme="majorBidi" w:hAnsiTheme="majorBidi" w:cstheme="majorBidi"/>
                <w:sz w:val="16"/>
                <w:szCs w:val="16"/>
                <w:lang w:val="fr-CA"/>
              </w:rPr>
              <w:t>1.7 (1.1-1.4)</w:t>
            </w:r>
          </w:p>
        </w:tc>
        <w:tc>
          <w:tcPr>
            <w:tcW w:w="1102" w:type="dxa"/>
          </w:tcPr>
          <w:p w:rsidR="002D772C" w:rsidRPr="00AE03CB" w:rsidRDefault="002D772C" w:rsidP="0049322C">
            <w:pPr>
              <w:rPr>
                <w:rFonts w:asciiTheme="majorBidi" w:hAnsiTheme="majorBidi" w:cstheme="majorBidi"/>
                <w:sz w:val="16"/>
                <w:szCs w:val="16"/>
              </w:rPr>
            </w:pPr>
          </w:p>
        </w:tc>
        <w:tc>
          <w:tcPr>
            <w:tcW w:w="1113" w:type="dxa"/>
          </w:tcPr>
          <w:p w:rsidR="002D772C" w:rsidRPr="00AE03CB" w:rsidRDefault="002D772C" w:rsidP="0049322C">
            <w:pPr>
              <w:rPr>
                <w:rFonts w:asciiTheme="majorBidi" w:hAnsiTheme="majorBidi" w:cstheme="majorBidi"/>
                <w:sz w:val="16"/>
                <w:szCs w:val="16"/>
                <w:lang w:val="fr-CA"/>
              </w:rPr>
            </w:pPr>
          </w:p>
        </w:tc>
        <w:tc>
          <w:tcPr>
            <w:tcW w:w="1116" w:type="dxa"/>
          </w:tcPr>
          <w:p w:rsidR="002D772C" w:rsidRPr="00AE03CB" w:rsidRDefault="002D772C" w:rsidP="0049322C">
            <w:pPr>
              <w:rPr>
                <w:rFonts w:asciiTheme="majorBidi" w:hAnsiTheme="majorBidi" w:cstheme="majorBidi"/>
                <w:sz w:val="16"/>
                <w:szCs w:val="16"/>
                <w:lang w:val="fr-CA"/>
              </w:rPr>
            </w:pPr>
          </w:p>
        </w:tc>
        <w:tc>
          <w:tcPr>
            <w:tcW w:w="1101" w:type="dxa"/>
          </w:tcPr>
          <w:p w:rsidR="002D772C" w:rsidRPr="00AE03CB" w:rsidRDefault="002D772C" w:rsidP="0049322C">
            <w:pPr>
              <w:rPr>
                <w:rFonts w:asciiTheme="majorBidi" w:hAnsiTheme="majorBidi" w:cstheme="majorBidi"/>
                <w:sz w:val="16"/>
                <w:szCs w:val="16"/>
              </w:rPr>
            </w:pPr>
          </w:p>
        </w:tc>
        <w:tc>
          <w:tcPr>
            <w:tcW w:w="1132" w:type="dxa"/>
          </w:tcPr>
          <w:p w:rsidR="002D772C" w:rsidRPr="00AE03CB" w:rsidRDefault="002D772C" w:rsidP="0049322C">
            <w:pPr>
              <w:rPr>
                <w:rFonts w:asciiTheme="majorBidi" w:hAnsiTheme="majorBidi" w:cstheme="majorBidi"/>
                <w:sz w:val="16"/>
                <w:szCs w:val="16"/>
                <w:lang w:val="fr-CA"/>
              </w:rPr>
            </w:pPr>
          </w:p>
        </w:tc>
        <w:tc>
          <w:tcPr>
            <w:tcW w:w="1253" w:type="dxa"/>
          </w:tcPr>
          <w:p w:rsidR="002D772C" w:rsidRPr="00AE03CB" w:rsidRDefault="002D772C" w:rsidP="0049322C">
            <w:pPr>
              <w:rPr>
                <w:rFonts w:asciiTheme="majorBidi" w:hAnsiTheme="majorBidi" w:cstheme="majorBidi"/>
                <w:sz w:val="16"/>
                <w:szCs w:val="16"/>
                <w:lang w:val="fr-CA"/>
              </w:rPr>
            </w:pPr>
          </w:p>
        </w:tc>
        <w:tc>
          <w:tcPr>
            <w:tcW w:w="1071" w:type="dxa"/>
          </w:tcPr>
          <w:p w:rsidR="002D772C" w:rsidRPr="00AE03CB" w:rsidRDefault="002D772C" w:rsidP="0049322C">
            <w:pPr>
              <w:rPr>
                <w:rFonts w:asciiTheme="majorBidi" w:hAnsiTheme="majorBidi" w:cstheme="majorBidi"/>
                <w:sz w:val="16"/>
                <w:szCs w:val="16"/>
                <w:lang w:val="fr-CA"/>
              </w:rPr>
            </w:pPr>
          </w:p>
        </w:tc>
        <w:tc>
          <w:tcPr>
            <w:tcW w:w="949" w:type="dxa"/>
          </w:tcPr>
          <w:p w:rsidR="002D772C" w:rsidRPr="00AE03CB" w:rsidRDefault="002D772C" w:rsidP="0049322C">
            <w:pPr>
              <w:rPr>
                <w:rFonts w:asciiTheme="majorBidi" w:hAnsiTheme="majorBidi" w:cstheme="majorBidi"/>
                <w:sz w:val="16"/>
                <w:szCs w:val="16"/>
                <w:lang w:val="fr-CA"/>
              </w:rPr>
            </w:pPr>
          </w:p>
        </w:tc>
      </w:tr>
      <w:tr w:rsidR="002D772C" w:rsidRPr="00AE03CB" w:rsidTr="00B50E2F">
        <w:tc>
          <w:tcPr>
            <w:tcW w:w="1000"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Ibanez</w:t>
            </w:r>
            <w:r w:rsidR="00680ED8">
              <w:rPr>
                <w:rFonts w:asciiTheme="majorBidi" w:hAnsiTheme="majorBidi" w:cstheme="majorBidi"/>
                <w:sz w:val="16"/>
                <w:szCs w:val="16"/>
                <w:lang w:val="fr-CA"/>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fr-CA"/>
              </w:rPr>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fr-CA"/>
              </w:rPr>
              <w:t>(176)</w:t>
            </w:r>
            <w:r w:rsidR="00E729BA">
              <w:rPr>
                <w:rFonts w:asciiTheme="majorBidi" w:hAnsiTheme="majorBidi" w:cstheme="majorBidi"/>
                <w:sz w:val="16"/>
                <w:szCs w:val="16"/>
                <w:lang w:val="fr-CA"/>
              </w:rPr>
              <w:fldChar w:fldCharType="end"/>
            </w:r>
          </w:p>
        </w:tc>
        <w:tc>
          <w:tcPr>
            <w:tcW w:w="535"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2005</w:t>
            </w:r>
          </w:p>
        </w:tc>
        <w:tc>
          <w:tcPr>
            <w:tcW w:w="1399" w:type="dxa"/>
          </w:tcPr>
          <w:p w:rsidR="002D772C" w:rsidRPr="000D2BFC" w:rsidRDefault="00D0049C" w:rsidP="0049322C">
            <w:pPr>
              <w:rPr>
                <w:rFonts w:asciiTheme="majorBidi" w:hAnsiTheme="majorBidi" w:cstheme="majorBidi"/>
                <w:sz w:val="16"/>
                <w:szCs w:val="16"/>
              </w:rPr>
            </w:pPr>
            <w:r>
              <w:rPr>
                <w:rFonts w:asciiTheme="majorBidi" w:hAnsiTheme="majorBidi" w:cstheme="majorBidi"/>
                <w:sz w:val="16"/>
                <w:szCs w:val="16"/>
              </w:rPr>
              <w:t>Coronary arte</w:t>
            </w:r>
            <w:r w:rsidR="002D772C" w:rsidRPr="000D2BFC">
              <w:rPr>
                <w:rFonts w:asciiTheme="majorBidi" w:hAnsiTheme="majorBidi" w:cstheme="majorBidi"/>
                <w:sz w:val="16"/>
                <w:szCs w:val="16"/>
              </w:rPr>
              <w:t>ry disease (H</w:t>
            </w:r>
            <w:r w:rsidR="002D772C">
              <w:rPr>
                <w:rFonts w:asciiTheme="majorBidi" w:hAnsiTheme="majorBidi" w:cstheme="majorBidi"/>
                <w:sz w:val="16"/>
                <w:szCs w:val="16"/>
              </w:rPr>
              <w:t>R)</w:t>
            </w:r>
          </w:p>
        </w:tc>
        <w:tc>
          <w:tcPr>
            <w:tcW w:w="1179" w:type="dxa"/>
          </w:tcPr>
          <w:p w:rsidR="002D772C" w:rsidRPr="00AE03CB" w:rsidRDefault="002D772C" w:rsidP="0049322C">
            <w:pPr>
              <w:rPr>
                <w:rFonts w:asciiTheme="majorBidi" w:hAnsiTheme="majorBidi" w:cstheme="majorBidi"/>
                <w:sz w:val="16"/>
                <w:szCs w:val="16"/>
              </w:rPr>
            </w:pPr>
            <w:r w:rsidRPr="00AE03CB">
              <w:rPr>
                <w:rFonts w:asciiTheme="majorBidi" w:hAnsiTheme="majorBidi" w:cstheme="majorBidi"/>
                <w:sz w:val="16"/>
                <w:szCs w:val="16"/>
              </w:rPr>
              <w:t>1.04 (1.01-1.06)</w:t>
            </w:r>
          </w:p>
        </w:tc>
        <w:tc>
          <w:tcPr>
            <w:tcW w:w="1122" w:type="dxa"/>
          </w:tcPr>
          <w:p w:rsidR="002D772C" w:rsidRPr="00AE03CB" w:rsidRDefault="002D772C" w:rsidP="0049322C">
            <w:pPr>
              <w:rPr>
                <w:rFonts w:asciiTheme="majorBidi" w:hAnsiTheme="majorBidi" w:cstheme="majorBidi"/>
                <w:sz w:val="16"/>
                <w:szCs w:val="16"/>
              </w:rPr>
            </w:pPr>
            <w:r w:rsidRPr="00AE03CB">
              <w:rPr>
                <w:rFonts w:asciiTheme="majorBidi" w:hAnsiTheme="majorBidi" w:cstheme="majorBidi"/>
                <w:sz w:val="16"/>
                <w:szCs w:val="16"/>
              </w:rPr>
              <w:t>1.80 (1.27-2.55)</w:t>
            </w:r>
          </w:p>
        </w:tc>
        <w:tc>
          <w:tcPr>
            <w:tcW w:w="1102" w:type="dxa"/>
          </w:tcPr>
          <w:p w:rsidR="002D772C" w:rsidRPr="00AE03CB" w:rsidRDefault="002D772C" w:rsidP="0049322C">
            <w:pPr>
              <w:rPr>
                <w:rFonts w:asciiTheme="majorBidi" w:hAnsiTheme="majorBidi" w:cstheme="majorBidi"/>
                <w:sz w:val="16"/>
                <w:szCs w:val="16"/>
              </w:rPr>
            </w:pPr>
            <w:r w:rsidRPr="00AE03CB">
              <w:rPr>
                <w:rFonts w:asciiTheme="majorBidi" w:hAnsiTheme="majorBidi" w:cstheme="majorBidi"/>
                <w:sz w:val="16"/>
                <w:szCs w:val="16"/>
              </w:rPr>
              <w:t>1.02 (1.01-1.03)</w:t>
            </w:r>
          </w:p>
        </w:tc>
        <w:tc>
          <w:tcPr>
            <w:tcW w:w="1113"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0.81 (0.56-1.16)</w:t>
            </w:r>
          </w:p>
        </w:tc>
        <w:tc>
          <w:tcPr>
            <w:tcW w:w="1116" w:type="dxa"/>
          </w:tcPr>
          <w:p w:rsidR="002D772C" w:rsidRPr="00AE03CB" w:rsidRDefault="002D772C" w:rsidP="0049322C">
            <w:pPr>
              <w:rPr>
                <w:rFonts w:asciiTheme="majorBidi" w:hAnsiTheme="majorBidi" w:cstheme="majorBidi"/>
                <w:sz w:val="16"/>
                <w:szCs w:val="16"/>
                <w:lang w:val="fr-CA"/>
              </w:rPr>
            </w:pPr>
          </w:p>
        </w:tc>
        <w:tc>
          <w:tcPr>
            <w:tcW w:w="1101" w:type="dxa"/>
          </w:tcPr>
          <w:p w:rsidR="002D772C" w:rsidRPr="00AE03CB" w:rsidRDefault="002D772C" w:rsidP="0049322C">
            <w:pPr>
              <w:rPr>
                <w:rFonts w:asciiTheme="majorBidi" w:hAnsiTheme="majorBidi" w:cstheme="majorBidi"/>
                <w:sz w:val="16"/>
                <w:szCs w:val="16"/>
              </w:rPr>
            </w:pPr>
          </w:p>
        </w:tc>
        <w:tc>
          <w:tcPr>
            <w:tcW w:w="1132" w:type="dxa"/>
          </w:tcPr>
          <w:p w:rsidR="002D772C" w:rsidRPr="00AE03CB" w:rsidRDefault="002D772C" w:rsidP="0049322C">
            <w:pPr>
              <w:rPr>
                <w:rFonts w:asciiTheme="majorBidi" w:hAnsiTheme="majorBidi" w:cstheme="majorBidi"/>
                <w:sz w:val="16"/>
                <w:szCs w:val="16"/>
                <w:lang w:val="fr-CA"/>
              </w:rPr>
            </w:pPr>
            <w:r>
              <w:rPr>
                <w:rFonts w:asciiTheme="majorBidi" w:hAnsiTheme="majorBidi" w:cstheme="majorBidi"/>
                <w:sz w:val="16"/>
                <w:szCs w:val="16"/>
                <w:lang w:val="fr-CA"/>
              </w:rPr>
              <w:t>0.81 (0.64-1.01)</w:t>
            </w:r>
          </w:p>
        </w:tc>
        <w:tc>
          <w:tcPr>
            <w:tcW w:w="1253" w:type="dxa"/>
          </w:tcPr>
          <w:p w:rsidR="002D772C" w:rsidRPr="00AE03CB" w:rsidRDefault="002D772C" w:rsidP="0049322C">
            <w:pPr>
              <w:rPr>
                <w:rFonts w:asciiTheme="majorBidi" w:hAnsiTheme="majorBidi" w:cstheme="majorBidi"/>
                <w:sz w:val="16"/>
                <w:szCs w:val="16"/>
                <w:lang w:val="fr-CA"/>
              </w:rPr>
            </w:pPr>
            <w:r w:rsidRPr="00AE03CB">
              <w:rPr>
                <w:rFonts w:asciiTheme="majorBidi" w:hAnsiTheme="majorBidi" w:cstheme="majorBidi"/>
                <w:sz w:val="16"/>
                <w:szCs w:val="16"/>
                <w:lang w:val="fr-CA"/>
              </w:rPr>
              <w:t>2.21 (1.73-2.82)</w:t>
            </w:r>
          </w:p>
        </w:tc>
        <w:tc>
          <w:tcPr>
            <w:tcW w:w="1071" w:type="dxa"/>
          </w:tcPr>
          <w:p w:rsidR="002D772C" w:rsidRPr="00AE03CB" w:rsidRDefault="002D772C" w:rsidP="0049322C">
            <w:pPr>
              <w:rPr>
                <w:rFonts w:asciiTheme="majorBidi" w:hAnsiTheme="majorBidi" w:cstheme="majorBidi"/>
                <w:sz w:val="16"/>
                <w:szCs w:val="16"/>
                <w:lang w:val="fr-CA"/>
              </w:rPr>
            </w:pPr>
          </w:p>
        </w:tc>
        <w:tc>
          <w:tcPr>
            <w:tcW w:w="949" w:type="dxa"/>
          </w:tcPr>
          <w:p w:rsidR="002D772C" w:rsidRPr="00AE03CB" w:rsidRDefault="002D772C" w:rsidP="0049322C">
            <w:pPr>
              <w:rPr>
                <w:rFonts w:asciiTheme="majorBidi" w:hAnsiTheme="majorBidi" w:cstheme="majorBidi"/>
                <w:sz w:val="16"/>
                <w:szCs w:val="16"/>
                <w:lang w:val="fr-CA"/>
              </w:rPr>
            </w:pPr>
          </w:p>
        </w:tc>
      </w:tr>
      <w:tr w:rsidR="002D772C" w:rsidRPr="00AE03CB" w:rsidTr="00B50E2F">
        <w:tc>
          <w:tcPr>
            <w:tcW w:w="1000" w:type="dxa"/>
            <w:tcBorders>
              <w:bottom w:val="single" w:sz="4" w:space="0" w:color="auto"/>
            </w:tcBorders>
          </w:tcPr>
          <w:p w:rsidR="002D772C" w:rsidRPr="00771117" w:rsidRDefault="002D772C" w:rsidP="0049322C">
            <w:pPr>
              <w:rPr>
                <w:rFonts w:asciiTheme="majorBidi" w:hAnsiTheme="majorBidi" w:cstheme="majorBidi"/>
                <w:sz w:val="16"/>
                <w:szCs w:val="16"/>
              </w:rPr>
            </w:pPr>
            <w:r w:rsidRPr="00AE03CB">
              <w:rPr>
                <w:rFonts w:asciiTheme="majorBidi" w:hAnsiTheme="majorBidi" w:cstheme="majorBidi"/>
                <w:sz w:val="16"/>
                <w:szCs w:val="16"/>
                <w:lang w:val="fr-CA"/>
              </w:rPr>
              <w:t>Rahman</w:t>
            </w:r>
            <w:r w:rsidR="00680ED8">
              <w:rPr>
                <w:rFonts w:asciiTheme="majorBidi" w:hAnsiTheme="majorBidi" w:cstheme="majorBidi"/>
                <w:sz w:val="16"/>
                <w:szCs w:val="16"/>
                <w:lang w:val="fr-CA"/>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fr-CA"/>
              </w:rPr>
              <w:instrText xml:space="preserve"> ADDIN REFMGR.CITE &lt;Refman&gt;&lt;Cite&gt;&lt;Author&gt;Rahman&lt;/Author&gt;&lt;Year&gt;2001&lt;/Year&gt;&lt;RecNum&gt;1007&lt;/RecNum&gt;&lt;IDText&gt;Early damage as measured by the SLICC/ACR damage index is a predictor of mortality in systemic lupus erythematosus&lt;/IDText&gt;&lt;MDL Ref_Type="Journal"&gt;&lt;Ref_Type&gt;Journal&lt;/Ref_Type&gt;&lt;Ref_ID&gt;1007&lt;/Ref_ID&gt;&lt;Title_Primary&gt;Early damage as measured by the SLICC/ACR damage index is a predictor of mortality in systemic lupus erythematosus&lt;/Title_Primary&gt;&lt;Authors_Primary&gt;Rahman,P.&lt;/Authors_Primary&gt;&lt;Authors_Primary&gt;Gladman,D.D.&lt;/Authors_Primary&gt;&lt;Authors_Primary&gt;Urowitz,M.B.&lt;/Authors_Primary&gt;&lt;Authors_Primary&gt;Hallett,D.&lt;/Authors_Primary&gt;&lt;Authors_Primary&gt;Tam,L.S.&lt;/Authors_Primary&gt;&lt;Date_Primary&gt;2001&lt;/Date_Primary&gt;&lt;Keywords&gt;Adolescent&lt;/Keywords&gt;&lt;Keywords&gt;Adult&lt;/Keywords&gt;&lt;Keywords&gt;diagnosis&lt;/Keywords&gt;&lt;Keywords&gt;Disease&lt;/Keywords&gt;&lt;Keywords&gt;Disease Progression&lt;/Keywords&gt;&lt;Keywords&gt;erythematosus&lt;/Keywords&gt;&lt;Keywords&gt;Health&lt;/Keywords&gt;&lt;Keywords&gt;Health Status Indicators&lt;/Keywords&gt;&lt;Keywords&gt;hospital&lt;/Keywords&gt;&lt;Keywords&gt;Humans&lt;/Keywords&gt;&lt;Keywords&gt;lupus erythematosus&lt;/Keywords&gt;&lt;Keywords&gt;Lupus Erythematosus,Systemic&lt;/Keywords&gt;&lt;Keywords&gt;Middle Aged&lt;/Keywords&gt;&lt;Keywords&gt;mortality&lt;/Keywords&gt;&lt;Keywords&gt;Ontario&lt;/Keywords&gt;&lt;Keywords&gt;patient&lt;/Keywords&gt;&lt;Keywords&gt;Patients&lt;/Keywords&gt;&lt;Keywords&gt;physiopathology&lt;/Keywords&gt;&lt;Keywords&gt;Predictive Value of Tests&lt;/Keywords&gt;&lt;Keywords&gt;Prognosis&lt;/Keywords&gt;&lt;Keywords&gt;Rheumatic Diseases&lt;/Keywords&gt;&lt;Keywords&gt;Severity of Illness Index&lt;/Keywords&gt;&lt;Keywords&gt;systemic lupus erythematosus&lt;/Keywords&gt;&lt;Reprint&gt;Not in File&lt;/Reprint&gt;&lt;Start_Page&gt;93&lt;/Start_Page&gt;&lt;End_Page&gt;96&lt;/End_Page&gt;&lt;Periodical&gt;Lupus.&lt;/Periodical&gt;&lt;Volume&gt;10&lt;/Volume&gt;&lt;Issue&gt;2&lt;/Issue&gt;&lt;User_Def_1&gt;y&lt;/User_Def_1&gt;&lt;ZZ_JournalStdAbbrev&gt;&lt;f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rPr>
              <w:t>(159)</w:t>
            </w:r>
            <w:r w:rsidR="00E729BA">
              <w:rPr>
                <w:rFonts w:asciiTheme="majorBidi" w:hAnsiTheme="majorBidi" w:cstheme="majorBidi"/>
                <w:sz w:val="16"/>
                <w:szCs w:val="16"/>
                <w:lang w:val="fr-CA"/>
              </w:rPr>
              <w:fldChar w:fldCharType="end"/>
            </w:r>
          </w:p>
        </w:tc>
        <w:tc>
          <w:tcPr>
            <w:tcW w:w="535" w:type="dxa"/>
            <w:tcBorders>
              <w:bottom w:val="single" w:sz="4" w:space="0" w:color="auto"/>
            </w:tcBorders>
          </w:tcPr>
          <w:p w:rsidR="002D772C" w:rsidRPr="00771117" w:rsidRDefault="0094366B" w:rsidP="0049322C">
            <w:pPr>
              <w:rPr>
                <w:rFonts w:asciiTheme="majorBidi" w:hAnsiTheme="majorBidi" w:cstheme="majorBidi"/>
                <w:sz w:val="16"/>
                <w:szCs w:val="16"/>
              </w:rPr>
            </w:pPr>
            <w:r w:rsidRPr="0094366B">
              <w:rPr>
                <w:rFonts w:asciiTheme="majorBidi" w:hAnsiTheme="majorBidi" w:cstheme="majorBidi"/>
                <w:sz w:val="16"/>
                <w:szCs w:val="16"/>
              </w:rPr>
              <w:t>2000</w:t>
            </w:r>
          </w:p>
        </w:tc>
        <w:tc>
          <w:tcPr>
            <w:tcW w:w="1399" w:type="dxa"/>
            <w:tcBorders>
              <w:bottom w:val="single" w:sz="4" w:space="0" w:color="auto"/>
            </w:tcBorders>
          </w:tcPr>
          <w:p w:rsidR="002D772C" w:rsidRPr="00771117" w:rsidRDefault="0094366B" w:rsidP="0049322C">
            <w:pPr>
              <w:rPr>
                <w:rFonts w:asciiTheme="majorBidi" w:hAnsiTheme="majorBidi" w:cstheme="majorBidi"/>
                <w:sz w:val="16"/>
                <w:szCs w:val="16"/>
              </w:rPr>
            </w:pPr>
            <w:r w:rsidRPr="0094366B">
              <w:rPr>
                <w:rFonts w:asciiTheme="majorBidi" w:hAnsiTheme="majorBidi" w:cstheme="majorBidi"/>
                <w:sz w:val="16"/>
                <w:szCs w:val="16"/>
              </w:rPr>
              <w:t>Vascular event (OR)</w:t>
            </w:r>
          </w:p>
        </w:tc>
        <w:tc>
          <w:tcPr>
            <w:tcW w:w="1179" w:type="dxa"/>
            <w:tcBorders>
              <w:bottom w:val="single" w:sz="4" w:space="0" w:color="auto"/>
            </w:tcBorders>
          </w:tcPr>
          <w:p w:rsidR="002D772C" w:rsidRPr="00AE03CB" w:rsidRDefault="002D772C" w:rsidP="0049322C">
            <w:pPr>
              <w:rPr>
                <w:rFonts w:asciiTheme="majorBidi" w:hAnsiTheme="majorBidi" w:cstheme="majorBidi"/>
                <w:sz w:val="16"/>
                <w:szCs w:val="16"/>
              </w:rPr>
            </w:pPr>
          </w:p>
        </w:tc>
        <w:tc>
          <w:tcPr>
            <w:tcW w:w="1122" w:type="dxa"/>
            <w:tcBorders>
              <w:bottom w:val="single" w:sz="4" w:space="0" w:color="auto"/>
            </w:tcBorders>
          </w:tcPr>
          <w:p w:rsidR="002D772C" w:rsidRPr="00AE03CB" w:rsidRDefault="002D772C" w:rsidP="0049322C">
            <w:pPr>
              <w:rPr>
                <w:rFonts w:asciiTheme="majorBidi" w:hAnsiTheme="majorBidi" w:cstheme="majorBidi"/>
                <w:sz w:val="16"/>
                <w:szCs w:val="16"/>
              </w:rPr>
            </w:pPr>
          </w:p>
        </w:tc>
        <w:tc>
          <w:tcPr>
            <w:tcW w:w="1102" w:type="dxa"/>
            <w:tcBorders>
              <w:bottom w:val="single" w:sz="4" w:space="0" w:color="auto"/>
            </w:tcBorders>
          </w:tcPr>
          <w:p w:rsidR="002D772C" w:rsidRPr="00AE03CB" w:rsidRDefault="002D772C" w:rsidP="0049322C">
            <w:pPr>
              <w:rPr>
                <w:rFonts w:asciiTheme="majorBidi" w:hAnsiTheme="majorBidi" w:cstheme="majorBidi"/>
                <w:sz w:val="16"/>
                <w:szCs w:val="16"/>
              </w:rPr>
            </w:pPr>
          </w:p>
        </w:tc>
        <w:tc>
          <w:tcPr>
            <w:tcW w:w="1113" w:type="dxa"/>
            <w:tcBorders>
              <w:bottom w:val="single" w:sz="4" w:space="0" w:color="auto"/>
            </w:tcBorders>
          </w:tcPr>
          <w:p w:rsidR="002D772C" w:rsidRPr="00771117" w:rsidRDefault="002D772C" w:rsidP="0049322C">
            <w:pPr>
              <w:rPr>
                <w:rFonts w:asciiTheme="majorBidi" w:hAnsiTheme="majorBidi" w:cstheme="majorBidi"/>
                <w:sz w:val="16"/>
                <w:szCs w:val="16"/>
              </w:rPr>
            </w:pPr>
          </w:p>
        </w:tc>
        <w:tc>
          <w:tcPr>
            <w:tcW w:w="1116" w:type="dxa"/>
            <w:tcBorders>
              <w:bottom w:val="single" w:sz="4" w:space="0" w:color="auto"/>
            </w:tcBorders>
          </w:tcPr>
          <w:p w:rsidR="002D772C" w:rsidRPr="00771117" w:rsidRDefault="002D772C" w:rsidP="0049322C">
            <w:pPr>
              <w:rPr>
                <w:rFonts w:asciiTheme="majorBidi" w:hAnsiTheme="majorBidi" w:cstheme="majorBidi"/>
                <w:sz w:val="16"/>
                <w:szCs w:val="16"/>
              </w:rPr>
            </w:pPr>
          </w:p>
        </w:tc>
        <w:tc>
          <w:tcPr>
            <w:tcW w:w="1101" w:type="dxa"/>
            <w:tcBorders>
              <w:bottom w:val="single" w:sz="4" w:space="0" w:color="auto"/>
            </w:tcBorders>
          </w:tcPr>
          <w:p w:rsidR="002D772C" w:rsidRPr="00AE03CB" w:rsidRDefault="002D772C" w:rsidP="0049322C">
            <w:pPr>
              <w:rPr>
                <w:rFonts w:asciiTheme="majorBidi" w:hAnsiTheme="majorBidi" w:cstheme="majorBidi"/>
                <w:sz w:val="16"/>
                <w:szCs w:val="16"/>
              </w:rPr>
            </w:pPr>
          </w:p>
        </w:tc>
        <w:tc>
          <w:tcPr>
            <w:tcW w:w="1132" w:type="dxa"/>
            <w:tcBorders>
              <w:bottom w:val="single" w:sz="4" w:space="0" w:color="auto"/>
            </w:tcBorders>
          </w:tcPr>
          <w:p w:rsidR="002D772C" w:rsidRPr="00771117" w:rsidRDefault="002D772C" w:rsidP="0049322C">
            <w:pPr>
              <w:rPr>
                <w:rFonts w:asciiTheme="majorBidi" w:hAnsiTheme="majorBidi" w:cstheme="majorBidi"/>
                <w:sz w:val="16"/>
                <w:szCs w:val="16"/>
              </w:rPr>
            </w:pPr>
          </w:p>
        </w:tc>
        <w:tc>
          <w:tcPr>
            <w:tcW w:w="1253" w:type="dxa"/>
            <w:tcBorders>
              <w:bottom w:val="single" w:sz="4" w:space="0" w:color="auto"/>
            </w:tcBorders>
          </w:tcPr>
          <w:p w:rsidR="002D772C" w:rsidRPr="00771117" w:rsidRDefault="002D772C" w:rsidP="0049322C">
            <w:pPr>
              <w:rPr>
                <w:rFonts w:asciiTheme="majorBidi" w:hAnsiTheme="majorBidi" w:cstheme="majorBidi"/>
                <w:sz w:val="16"/>
                <w:szCs w:val="16"/>
              </w:rPr>
            </w:pPr>
          </w:p>
        </w:tc>
        <w:tc>
          <w:tcPr>
            <w:tcW w:w="1071" w:type="dxa"/>
            <w:tcBorders>
              <w:bottom w:val="single" w:sz="4" w:space="0" w:color="auto"/>
            </w:tcBorders>
          </w:tcPr>
          <w:p w:rsidR="002D772C" w:rsidRPr="00771117" w:rsidRDefault="002D772C" w:rsidP="0049322C">
            <w:pPr>
              <w:rPr>
                <w:rFonts w:asciiTheme="majorBidi" w:hAnsiTheme="majorBidi" w:cstheme="majorBidi"/>
                <w:sz w:val="16"/>
                <w:szCs w:val="16"/>
              </w:rPr>
            </w:pPr>
            <w:r w:rsidRPr="00AE03CB">
              <w:rPr>
                <w:rFonts w:asciiTheme="majorBidi" w:hAnsiTheme="majorBidi" w:cstheme="majorBidi"/>
                <w:sz w:val="16"/>
                <w:szCs w:val="16"/>
                <w:lang w:eastAsia="zh-CN" w:bidi="ar-SA"/>
              </w:rPr>
              <w:t>6.9 (2.4-24.8)</w:t>
            </w:r>
          </w:p>
        </w:tc>
        <w:tc>
          <w:tcPr>
            <w:tcW w:w="949" w:type="dxa"/>
          </w:tcPr>
          <w:p w:rsidR="002D772C" w:rsidRPr="00AE03CB" w:rsidRDefault="002D772C" w:rsidP="0049322C">
            <w:pPr>
              <w:rPr>
                <w:rFonts w:asciiTheme="majorBidi" w:hAnsiTheme="majorBidi" w:cstheme="majorBidi"/>
                <w:sz w:val="16"/>
                <w:szCs w:val="16"/>
                <w:lang w:eastAsia="zh-CN" w:bidi="ar-SA"/>
              </w:rPr>
            </w:pPr>
          </w:p>
        </w:tc>
      </w:tr>
      <w:tr w:rsidR="002D772C" w:rsidRPr="00873D08" w:rsidTr="00B50E2F">
        <w:tc>
          <w:tcPr>
            <w:tcW w:w="13123" w:type="dxa"/>
            <w:gridSpan w:val="12"/>
            <w:tcBorders>
              <w:top w:val="single" w:sz="4" w:space="0" w:color="auto"/>
              <w:bottom w:val="single" w:sz="12" w:space="0" w:color="auto"/>
            </w:tcBorders>
          </w:tcPr>
          <w:p w:rsidR="002D772C" w:rsidRPr="00873D08" w:rsidRDefault="002D772C" w:rsidP="0049322C">
            <w:pPr>
              <w:rPr>
                <w:rFonts w:asciiTheme="majorBidi" w:hAnsiTheme="majorBidi" w:cstheme="majorBidi"/>
                <w:sz w:val="16"/>
                <w:szCs w:val="16"/>
              </w:rPr>
            </w:pPr>
            <w:r w:rsidRPr="00873D08">
              <w:rPr>
                <w:rFonts w:asciiTheme="majorBidi" w:hAnsiTheme="majorBidi" w:cstheme="majorBidi"/>
                <w:sz w:val="16"/>
                <w:szCs w:val="16"/>
              </w:rPr>
              <w:t>HR Hazard ratios, RR Relative risk;</w:t>
            </w:r>
            <w:r>
              <w:rPr>
                <w:rFonts w:asciiTheme="majorBidi" w:hAnsiTheme="majorBidi" w:cstheme="majorBidi"/>
                <w:sz w:val="16"/>
                <w:szCs w:val="16"/>
              </w:rPr>
              <w:t xml:space="preserve"> OR Odds ratios; aCL anticardiolipin antibodies</w:t>
            </w:r>
          </w:p>
        </w:tc>
        <w:tc>
          <w:tcPr>
            <w:tcW w:w="949" w:type="dxa"/>
          </w:tcPr>
          <w:p w:rsidR="002D772C" w:rsidRPr="00873D08" w:rsidRDefault="002D772C" w:rsidP="0049322C">
            <w:pPr>
              <w:rPr>
                <w:rFonts w:asciiTheme="majorBidi" w:hAnsiTheme="majorBidi" w:cstheme="majorBidi"/>
                <w:sz w:val="16"/>
                <w:szCs w:val="16"/>
              </w:rPr>
            </w:pPr>
          </w:p>
        </w:tc>
      </w:tr>
    </w:tbl>
    <w:p w:rsidR="002D772C" w:rsidRPr="00873D08" w:rsidRDefault="002D772C" w:rsidP="002D772C"/>
    <w:p w:rsidR="002D772C" w:rsidRPr="00873D08" w:rsidRDefault="002D772C" w:rsidP="002D772C"/>
    <w:p w:rsidR="002D772C" w:rsidRPr="00873D08" w:rsidRDefault="002D772C" w:rsidP="002D772C">
      <w:pPr>
        <w:sectPr w:rsidR="002D772C" w:rsidRPr="00873D08" w:rsidSect="006A3B1E">
          <w:pgSz w:w="16838" w:h="11906" w:orient="landscape"/>
          <w:pgMar w:top="1440" w:right="1440" w:bottom="1440" w:left="2268" w:header="708" w:footer="708" w:gutter="0"/>
          <w:cols w:space="708"/>
          <w:docGrid w:linePitch="360"/>
        </w:sectPr>
      </w:pPr>
    </w:p>
    <w:p w:rsidR="002D772C" w:rsidRDefault="002D772C" w:rsidP="002D772C">
      <w:pPr>
        <w:pStyle w:val="Heading4"/>
      </w:pPr>
      <w:r>
        <w:t>Skin Organ System</w:t>
      </w:r>
    </w:p>
    <w:p w:rsidR="002D772C" w:rsidRPr="00595C0E" w:rsidRDefault="00E729BA" w:rsidP="002D772C">
      <w:pPr>
        <w:rPr>
          <w:lang w:eastAsia="zh-CN"/>
        </w:rPr>
      </w:pPr>
      <w:r>
        <w:rPr>
          <w:lang w:eastAsia="zh-CN"/>
        </w:rPr>
      </w:r>
      <w:r>
        <w:rPr>
          <w:lang w:eastAsia="zh-CN"/>
        </w:rPr>
        <w:pict>
          <v:rect id="_x0000_s1031" style="width:411.45pt;height:75.15pt;mso-left-percent:-10001;mso-top-percent:-10001;mso-position-horizontal:absolute;mso-position-horizontal-relative:char;mso-position-vertical:absolute;mso-position-vertical-relative:line;mso-left-percent:-10001;mso-top-percent:-10001">
            <v:textbox style="mso-next-textbox:#_x0000_s1031">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Skin Organ System</w:t>
                  </w:r>
                </w:p>
                <w:p w:rsidR="00BD2483" w:rsidRPr="000D29D8" w:rsidRDefault="00BD2483" w:rsidP="002D772C">
                  <w:pPr>
                    <w:spacing w:after="0" w:afterAutospacing="0"/>
                    <w:ind w:left="720"/>
                    <w:rPr>
                      <w:i/>
                      <w:iCs/>
                      <w:sz w:val="18"/>
                      <w:szCs w:val="18"/>
                    </w:rPr>
                  </w:pPr>
                  <w:r w:rsidRPr="000D29D8">
                    <w:rPr>
                      <w:i/>
                      <w:iCs/>
                      <w:sz w:val="18"/>
                      <w:szCs w:val="18"/>
                    </w:rPr>
                    <w:t>Scarring chronic alopecia</w:t>
                  </w:r>
                </w:p>
                <w:p w:rsidR="00BD2483" w:rsidRPr="000D29D8" w:rsidRDefault="00BD2483" w:rsidP="002D772C">
                  <w:pPr>
                    <w:spacing w:after="0" w:afterAutospacing="0"/>
                    <w:ind w:left="720"/>
                    <w:rPr>
                      <w:i/>
                      <w:iCs/>
                      <w:sz w:val="18"/>
                      <w:szCs w:val="18"/>
                    </w:rPr>
                  </w:pPr>
                  <w:r w:rsidRPr="000D29D8">
                    <w:rPr>
                      <w:i/>
                      <w:iCs/>
                      <w:sz w:val="18"/>
                      <w:szCs w:val="18"/>
                    </w:rPr>
                    <w:t>Extensive scarring or panniculum other than scalp and pulp space</w:t>
                  </w:r>
                </w:p>
                <w:p w:rsidR="00BD2483" w:rsidRPr="000D29D8" w:rsidRDefault="00BD2483" w:rsidP="002D772C">
                  <w:pPr>
                    <w:spacing w:after="0" w:afterAutospacing="0"/>
                    <w:ind w:left="720"/>
                    <w:rPr>
                      <w:i/>
                      <w:iCs/>
                      <w:sz w:val="18"/>
                      <w:szCs w:val="18"/>
                    </w:rPr>
                  </w:pPr>
                  <w:r w:rsidRPr="000D29D8">
                    <w:rPr>
                      <w:i/>
                      <w:iCs/>
                      <w:sz w:val="18"/>
                      <w:szCs w:val="18"/>
                    </w:rPr>
                    <w:t>Skin ulceration for more than 6 months</w:t>
                  </w:r>
                </w:p>
                <w:p w:rsidR="00BD2483" w:rsidRPr="00E437F4" w:rsidRDefault="00BD2483" w:rsidP="002D772C"/>
              </w:txbxContent>
            </v:textbox>
            <w10:wrap type="none"/>
            <w10:anchorlock/>
          </v:rect>
        </w:pict>
      </w:r>
    </w:p>
    <w:p w:rsidR="002D772C" w:rsidRDefault="002D772C" w:rsidP="004E70E9">
      <w:r>
        <w:t>Skin involvement</w:t>
      </w:r>
      <w:r w:rsidR="005D65BA">
        <w:t xml:space="preserve">, such as malar rash and ulcers, are </w:t>
      </w:r>
      <w:r>
        <w:t>the most freque</w:t>
      </w:r>
      <w:r w:rsidR="005D65BA">
        <w:t>nt complaints among SLE patients</w:t>
      </w:r>
      <w:r>
        <w:t xml:space="preserve">. However, damage relating to the skin is relatively uncommon. Guarise et al. </w:t>
      </w:r>
      <w:r w:rsidR="00E729BA">
        <w:fldChar w:fldCharType="begin"/>
      </w:r>
      <w:r w:rsidR="00FC61FD">
        <w:instrText xml:space="preserve"> ADDIN REFMGR.CITE &lt;Refman&gt;&lt;Cite&gt;&lt;Author&gt;Guarize&lt;/Author&gt;&lt;Year&gt;2007&lt;/Year&gt;&lt;RecNum&gt;338&lt;/RecNum&gt;&lt;IDText&gt;Skin damage occurs early in systemic lupus erythematosus and independently of disease duration in Brazilian patients&lt;/IDText&gt;&lt;MDL Ref_Type="Journal"&gt;&lt;Ref_Type&gt;Journal&lt;/Ref_Type&gt;&lt;Ref_ID&gt;338&lt;/Ref_ID&gt;&lt;Title_Primary&gt;Skin damage occurs early in systemic lupus erythematosus and independently of disease duration in Brazilian patients&lt;/Title_Primary&gt;&lt;Authors_Primary&gt;Guarize,J.&lt;/Authors_Primary&gt;&lt;Authors_Primary&gt;Appenzeller,S.&lt;/Authors_Primary&gt;&lt;Authors_Primary&gt;Costallat,L.T.&lt;/Authors_Primary&gt;&lt;Date_Primary&gt;2007/3&lt;/Date_Primary&gt;&lt;Keywords&gt;Adolescent&lt;/Keywords&gt;&lt;Keywords&gt;Adult&lt;/Keywords&gt;&lt;Keywords&gt;Brazil&lt;/Keywords&gt;&lt;Keywords&gt;Cohort Studies&lt;/Keywords&gt;&lt;Keywords&gt;complications&lt;/Keywords&gt;&lt;Keywords&gt;Disease&lt;/Keywords&gt;&lt;Keywords&gt;erythematosus&lt;/Keywords&gt;&lt;Keywords&gt;ethnology&lt;/Keywords&gt;&lt;Keywords&gt;European Continental Ancestry Group&lt;/Keywords&gt;&lt;Keywords&gt;Female&lt;/Keywords&gt;&lt;Keywords&gt;hospital&lt;/Keywords&gt;&lt;Keywords&gt;Humans&lt;/Keywords&gt;&lt;Keywords&gt;immunology&lt;/Keywords&gt;&lt;Keywords&gt;lupus erythematosus&lt;/Keywords&gt;&lt;Keywords&gt;Lupus Erythematosus,Systemic&lt;/Keywords&gt;&lt;Keywords&gt;Middle Aged&lt;/Keywords&gt;&lt;Keywords&gt;patient&lt;/Keywords&gt;&lt;Keywords&gt;Patients&lt;/Keywords&gt;&lt;Keywords&gt;population&lt;/Keywords&gt;&lt;Keywords&gt;Rheumatology&lt;/Keywords&gt;&lt;Keywords&gt;Skin&lt;/Keywords&gt;&lt;Keywords&gt;Skin Diseases&lt;/Keywords&gt;&lt;Keywords&gt;statistics&lt;/Keywords&gt;&lt;Keywords&gt;systemic lupus erythematosus&lt;/Keywords&gt;&lt;Keywords&gt;Time Factors&lt;/Keywords&gt;&lt;Reprint&gt;Not in File&lt;/Reprint&gt;&lt;Start_Page&gt;483&lt;/Start_Page&gt;&lt;End_Page&gt;487&lt;/End_Page&gt;&lt;Periodical&gt;Rheumatol.Int.&lt;/Periodical&gt;&lt;Volume&gt;27&lt;/Volume&gt;&lt;Issue&gt;5&lt;/Issue&gt;&lt;User_Def_1&gt;y&lt;/User_Def_1&gt;&lt;ZZ_JournalStdAbbrev&gt;&lt;f name="System"&gt;Rheumatol.Int.&lt;/f&gt;&lt;/ZZ_JournalStdAbbrev&gt;&lt;ZZ_WorkformID&gt;1&lt;/ZZ_WorkformID&gt;&lt;/MDL&gt;&lt;/Cite&gt;&lt;/Refman&gt;</w:instrText>
      </w:r>
      <w:r w:rsidR="00E729BA">
        <w:fldChar w:fldCharType="separate"/>
      </w:r>
      <w:r w:rsidR="004D7951">
        <w:t>(183)</w:t>
      </w:r>
      <w:r w:rsidR="00E729BA">
        <w:fldChar w:fldCharType="end"/>
      </w:r>
      <w:r>
        <w:t xml:space="preserve"> found that 35% of patients had accrued damage to the skin early in the disease. This is in sharp contrast to Gladman et al. and Chambers et al. who report rates of only 8.2% and 3.9% after 5 years of the disease. This may be due to increased sun exposure in the Brazilian population they studied.</w:t>
      </w:r>
    </w:p>
    <w:p w:rsidR="002D772C" w:rsidRDefault="002D772C" w:rsidP="002D772C">
      <w:pPr>
        <w:pStyle w:val="Heading4"/>
      </w:pPr>
      <w:r>
        <w:t>Peripheral vascular Organ System</w:t>
      </w:r>
    </w:p>
    <w:bookmarkStart w:id="221" w:name="_Toc253472610"/>
    <w:bookmarkEnd w:id="221"/>
    <w:p w:rsidR="002D772C" w:rsidRDefault="00E729BA" w:rsidP="002D772C">
      <w:r>
        <w:pict>
          <v:rect id="_x0000_s1030" style="width:405.7pt;height:90.75pt;mso-left-percent:-10001;mso-top-percent:-10001;mso-position-horizontal:absolute;mso-position-horizontal-relative:char;mso-position-vertical:absolute;mso-position-vertical-relative:line;mso-left-percent:-10001;mso-top-percent:-10001">
            <v:textbox style="mso-next-textbox:#_x0000_s1030">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Peripheral Vascular Organ System</w:t>
                  </w:r>
                </w:p>
                <w:p w:rsidR="00BD2483" w:rsidRPr="000D29D8" w:rsidRDefault="00BD2483" w:rsidP="002D772C">
                  <w:pPr>
                    <w:spacing w:after="0" w:afterAutospacing="0"/>
                    <w:ind w:left="720"/>
                    <w:rPr>
                      <w:i/>
                      <w:iCs/>
                      <w:sz w:val="18"/>
                      <w:szCs w:val="18"/>
                    </w:rPr>
                  </w:pPr>
                  <w:r w:rsidRPr="000D29D8">
                    <w:rPr>
                      <w:i/>
                      <w:iCs/>
                      <w:sz w:val="18"/>
                      <w:szCs w:val="18"/>
                    </w:rPr>
                    <w:t>Claudication for 6 months</w:t>
                  </w:r>
                </w:p>
                <w:p w:rsidR="00BD2483" w:rsidRPr="000D29D8" w:rsidRDefault="00BD2483" w:rsidP="002D772C">
                  <w:pPr>
                    <w:spacing w:after="0" w:afterAutospacing="0"/>
                    <w:ind w:left="720"/>
                    <w:rPr>
                      <w:i/>
                      <w:iCs/>
                      <w:sz w:val="18"/>
                      <w:szCs w:val="18"/>
                    </w:rPr>
                  </w:pPr>
                  <w:r w:rsidRPr="000D29D8">
                    <w:rPr>
                      <w:i/>
                      <w:iCs/>
                      <w:sz w:val="18"/>
                      <w:szCs w:val="18"/>
                    </w:rPr>
                    <w:t>Minor tissue loss</w:t>
                  </w:r>
                </w:p>
                <w:p w:rsidR="00BD2483" w:rsidRPr="000D29D8" w:rsidRDefault="00BD2483" w:rsidP="002D772C">
                  <w:pPr>
                    <w:spacing w:after="0" w:afterAutospacing="0"/>
                    <w:ind w:left="720"/>
                    <w:rPr>
                      <w:i/>
                      <w:iCs/>
                      <w:sz w:val="18"/>
                      <w:szCs w:val="18"/>
                    </w:rPr>
                  </w:pPr>
                  <w:r w:rsidRPr="000D29D8">
                    <w:rPr>
                      <w:i/>
                      <w:iCs/>
                      <w:sz w:val="18"/>
                      <w:szCs w:val="18"/>
                    </w:rPr>
                    <w:t>Significant tissue loss ever</w:t>
                  </w:r>
                </w:p>
                <w:p w:rsidR="00BD2483" w:rsidRPr="000D29D8" w:rsidRDefault="00BD2483" w:rsidP="002D772C">
                  <w:pPr>
                    <w:spacing w:after="0" w:afterAutospacing="0"/>
                    <w:ind w:left="720"/>
                    <w:rPr>
                      <w:i/>
                      <w:iCs/>
                      <w:sz w:val="18"/>
                      <w:szCs w:val="18"/>
                    </w:rPr>
                  </w:pPr>
                  <w:r w:rsidRPr="000D29D8">
                    <w:rPr>
                      <w:i/>
                      <w:iCs/>
                      <w:sz w:val="18"/>
                      <w:szCs w:val="18"/>
                    </w:rPr>
                    <w:t>Venous Thrombosis</w:t>
                  </w:r>
                </w:p>
                <w:p w:rsidR="00BD2483" w:rsidRPr="00E437F4" w:rsidRDefault="00BD2483" w:rsidP="002D772C"/>
              </w:txbxContent>
            </v:textbox>
            <w10:wrap type="none"/>
            <w10:anchorlock/>
          </v:rect>
        </w:pict>
      </w:r>
    </w:p>
    <w:p w:rsidR="002D772C" w:rsidRDefault="002D772C" w:rsidP="002D772C">
      <w:r>
        <w:t xml:space="preserve">Peripheral vascular damage is relatively uncommon in SLE. Gladman et al. </w:t>
      </w:r>
      <w:r w:rsidR="00E729BA">
        <w:fldChar w:fldCharType="begin"/>
      </w:r>
      <w:r w:rsidR="00FC61FD">
        <w:instrText xml:space="preserve"> ADDIN REFMGR.CITE &lt;Refman&gt;&lt;Cite&gt;&lt;Author&gt;Gladman&lt;/Author&gt;&lt;Year&gt;2003&lt;/Year&gt;&lt;RecNum&gt;763&lt;/RecNum&gt;&lt;IDText&gt;Accrual of organ damage over time in patients with systemic lupus erythematosus&lt;/IDText&gt;&lt;MDL Ref_Type="Journal"&gt;&lt;Ref_Type&gt;Journal&lt;/Ref_Type&gt;&lt;Ref_ID&gt;763&lt;/Ref_ID&gt;&lt;Title_Primary&gt;Accrual of organ damage over time in patients with systemic lupus erythematosus&lt;/Title_Primary&gt;&lt;Authors_Primary&gt;Gladman,D.D.&lt;/Authors_Primary&gt;&lt;Authors_Primary&gt;Urowitz,M.B.&lt;/Authors_Primary&gt;&lt;Authors_Primary&gt;Rahman,P.&lt;/Authors_Primary&gt;&lt;Authors_Primary&gt;Ibanez,D.&lt;/Authors_Primary&gt;&lt;Authors_Primary&gt;Tam,L.S.&lt;/Authors_Primary&gt;&lt;Date_Primary&gt;2003/9&lt;/Date_Primary&gt;&lt;Keywords&gt;Adult&lt;/Keywords&gt;&lt;Keywords&gt;adverse effects&lt;/Keywords&gt;&lt;Keywords&gt;age&lt;/Keywords&gt;&lt;Keywords&gt;Age of Onset&lt;/Keywords&gt;&lt;Keywords&gt;Canada&lt;/Keywords&gt;&lt;Keywords&gt;Chi-Square Distribution&lt;/Keywords&gt;&lt;Keywords&gt;Cohort Studies&lt;/Keywords&gt;&lt;Keywords&gt;Confidence Intervals&lt;/Keywords&gt;&lt;Keywords&gt;diagnosis&lt;/Keywords&gt;&lt;Keywords&gt;Disease&lt;/Keywords&gt;&lt;Keywords&gt;Disease Progression&lt;/Keywords&gt;&lt;Keywords&gt;Dose-Response Relationship,Drug&lt;/Keywords&gt;&lt;Keywords&gt;drug therapy&lt;/Keywords&gt;&lt;Keywords&gt;epidemiology&lt;/Keywords&gt;&lt;Keywords&gt;erythematosus&lt;/Keywords&gt;&lt;Keywords&gt;Female&lt;/Keywords&gt;&lt;Keywords&gt;hospital&lt;/Keywords&gt;&lt;Keywords&gt;Humans&lt;/Keywords&gt;&lt;Keywords&gt;Immunosuppressive Agents&lt;/Keywords&gt;&lt;Keywords&gt;lupus erythematosus&lt;/Keywords&gt;&lt;Keywords&gt;Lupus Erythematosus,Systemic&lt;/Keywords&gt;&lt;Keywords&gt;Male&lt;/Keywords&gt;&lt;Keywords&gt;methods&lt;/Keywords&gt;&lt;Keywords&gt;Middle Aged&lt;/Keywords&gt;&lt;Keywords&gt;Monitoring,Physiologic&lt;/Keywords&gt;&lt;Keywords&gt;Ontario&lt;/Keywords&gt;&lt;Keywords&gt;patient&lt;/Keywords&gt;&lt;Keywords&gt;Patients&lt;/Keywords&gt;&lt;Keywords&gt;Prednisone&lt;/Keywords&gt;&lt;Keywords&gt;Prognosis&lt;/Keywords&gt;&lt;Keywords&gt;Prospective Studies&lt;/Keywords&gt;&lt;Keywords&gt;Rheumatic Diseases&lt;/Keywords&gt;&lt;Keywords&gt;Risk Assessment&lt;/Keywords&gt;&lt;Keywords&gt;Severity of Illness Index&lt;/Keywords&gt;&lt;Keywords&gt;Sickness Impact Profile&lt;/Keywords&gt;&lt;Keywords&gt;systemic lupus erythematosus&lt;/Keywords&gt;&lt;Keywords&gt;therapeutic use&lt;/Keywords&gt;&lt;Keywords&gt;therapy&lt;/Keywords&gt;&lt;Keywords&gt;Time&lt;/Keywords&gt;&lt;Keywords&gt;Women&lt;/Keywords&gt;&lt;Reprint&gt;Not in File&lt;/Reprint&gt;&lt;Start_Page&gt;1955&lt;/Start_Page&gt;&lt;End_Page&gt;1959&lt;/End_Page&gt;&lt;Periodical&gt;J.Rheumatol.&lt;/Periodical&gt;&lt;Volume&gt;30&lt;/Volume&gt;&lt;Issue&gt;9&lt;/Issue&gt;&lt;User_Def_1&gt;y&lt;/User_Def_1&gt;&lt;ZZ_JournalStdAbbrev&gt;&lt;f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(169)</w:t>
      </w:r>
      <w:r w:rsidR="00E729BA">
        <w:fldChar w:fldCharType="end"/>
      </w:r>
      <w:r>
        <w:t xml:space="preserve"> and Chambers et al. </w:t>
      </w:r>
      <w:r w:rsidR="00E729BA">
        <w:fldChar w:fldCharType="begin"/>
      </w:r>
      <w:r w:rsidR="00FC61FD">
        <w:instrText xml:space="preserve"> ADDIN REFMGR.CITE &lt;Refman&gt;&lt;Cite&gt;&lt;Author&gt;Chambers&lt;/Author&gt;&lt;Year&gt;2009&lt;/Year&gt;&lt;RecNum&gt;67&lt;/RecNum&gt;&lt;IDText&gt;Damage and mortality in a group of British patients with systemic lupus erythematosus followed up for over 10 years&lt;/IDText&gt;&lt;MDL Ref_Type="Journal"&gt;&lt;Ref_Type&gt;Journal&lt;/Ref_Type&gt;&lt;Ref_ID&gt;67&lt;/Ref_ID&gt;&lt;Title_Primary&gt;Damage and mortality in a group of British patients with systemic lupus erythematosus followed up for over 10 years&lt;/Title_Primary&gt;&lt;Authors_Primary&gt;Chambers,S.A.&lt;/Authors_Primary&gt;&lt;Authors_Primary&gt;Allen,E.&lt;/Authors_Primary&gt;&lt;Authors_Primary&gt;Rahman,A.&lt;/Authors_Primary&gt;&lt;Authors_Primary&gt;Isenberg,D.&lt;/Authors_Primary&gt;&lt;Date_Primary&gt;2009/6&lt;/Date_Primary&gt;&lt;Keywords&gt;Adult&lt;/Keywords&gt;&lt;Keywords&gt;Cause of Death&lt;/Keywords&gt;&lt;Keywords&gt;complications&lt;/Keywords&gt;&lt;Keywords&gt;Disease Progression&lt;/Keywords&gt;&lt;Keywords&gt;Female&lt;/Keywords&gt;&lt;Keywords&gt;Follow-Up Studies&lt;/Keywords&gt;&lt;Keywords&gt;Great Britain&lt;/Keywords&gt;&lt;Keywords&gt;Humans&lt;/Keywords&gt;&lt;Keywords&gt;Infection&lt;/Keywords&gt;&lt;Keywords&gt;Kidney Diseases&lt;/Keywords&gt;&lt;Keywords&gt;London&lt;/Keywords&gt;&lt;Keywords&gt;Lung Diseases&lt;/Keywords&gt;&lt;Keywords&gt;Lupus Erythematosus,Systemic&lt;/Keywords&gt;&lt;Keywords&gt;Male&lt;/Keywords&gt;&lt;Keywords&gt;methods&lt;/Keywords&gt;&lt;Keywords&gt;mortality&lt;/Keywords&gt;&lt;Keywords&gt;Musculoskeletal Diseases&lt;/Keywords&gt;&lt;Keywords&gt;Neoplasms&lt;/Keywords&gt;&lt;Keywords&gt;pathology&lt;/Keywords&gt;&lt;Keywords&gt;Proportional Hazards Models&lt;/Keywords&gt;&lt;Keywords&gt;Rheumatology&lt;/Keywords&gt;&lt;Keywords&gt;Risk&lt;/Keywords&gt;&lt;Keywords&gt;Sepsis&lt;/Keywords&gt;&lt;Keywords&gt;Skin Diseases&lt;/Keywords&gt;&lt;Keywords&gt;Stroke&lt;/Keywords&gt;&lt;Keywords&gt;therapy&lt;/Keywords&gt;&lt;Keywords&gt;Time Factors&lt;/Keywords&gt;&lt;Reprint&gt;Not in File&lt;/Reprint&gt;&lt;Start_Page&gt;673&lt;/Start_Page&gt;&lt;End_Page&gt;675&lt;/End_Page&gt;&lt;Periodical&gt;Rheumatology.(Oxford).&lt;/Periodical&gt;&lt;Volume&gt;48&lt;/Volume&gt;&lt;Issue&gt;6&lt;/Issue&gt;&lt;User_Def_1&gt;y&lt;/User_Def_1&gt;&lt;ZZ_JournalStdAbbrev&gt;&lt;f name="System"&gt;Rheumatology.(Oxford).&lt;/f&gt;&lt;/ZZ_JournalStdAbbrev&gt;&lt;ZZ_WorkformID&gt;1&lt;/ZZ_WorkformID&gt;&lt;/MDL&gt;&lt;/Cite&gt;&lt;/Refman&gt;</w:instrText>
      </w:r>
      <w:r w:rsidR="00E729BA">
        <w:fldChar w:fldCharType="separate"/>
      </w:r>
      <w:r w:rsidR="004D7951">
        <w:t>(167)</w:t>
      </w:r>
      <w:r w:rsidR="00E729BA">
        <w:fldChar w:fldCharType="end"/>
      </w:r>
      <w:r>
        <w:t xml:space="preserve"> report a constant rate of damage accumulation for peripheral damage over time. </w:t>
      </w:r>
      <w:r w:rsidR="00E729BA">
        <w:fldChar w:fldCharType="begin"/>
      </w:r>
      <w:r>
        <w:instrText xml:space="preserve"> REF _Ref332026933 \h </w:instrText>
      </w:r>
      <w:r w:rsidR="00E729BA">
        <w:fldChar w:fldCharType="separate"/>
      </w:r>
      <w:r w:rsidR="004911B7">
        <w:t xml:space="preserve">Table </w:t>
      </w:r>
      <w:r w:rsidR="004911B7">
        <w:rPr>
          <w:noProof/>
        </w:rPr>
        <w:t>17</w:t>
      </w:r>
      <w:r w:rsidR="00E729BA">
        <w:fldChar w:fldCharType="end"/>
      </w:r>
      <w:r>
        <w:t xml:space="preserve"> reports the risk factors identified for events associated with peripheral vascular disease</w:t>
      </w:r>
      <w:r w:rsidR="00B56487">
        <w:t xml:space="preserve"> from Cox-regression and logistic regression</w:t>
      </w:r>
      <w:r>
        <w:t xml:space="preserve">. </w:t>
      </w:r>
    </w:p>
    <w:p w:rsidR="002D772C" w:rsidRDefault="002D772C" w:rsidP="002D772C"/>
    <w:p w:rsidR="002D772C" w:rsidRDefault="002D772C" w:rsidP="002D772C">
      <w:pPr>
        <w:sectPr w:rsidR="002D772C" w:rsidSect="006A3B1E">
          <w:pgSz w:w="11906" w:h="16838"/>
          <w:pgMar w:top="1440" w:right="1440" w:bottom="1440" w:left="2268" w:header="708" w:footer="708" w:gutter="0"/>
          <w:cols w:space="708"/>
          <w:docGrid w:linePitch="360"/>
        </w:sectPr>
      </w:pPr>
    </w:p>
    <w:p w:rsidR="002D772C" w:rsidRDefault="002D772C" w:rsidP="00234693">
      <w:pPr>
        <w:pStyle w:val="Caption"/>
      </w:pPr>
      <w:bookmarkStart w:id="222" w:name="_Ref332026933"/>
      <w:r>
        <w:t xml:space="preserve">Table </w:t>
      </w:r>
      <w:fldSimple w:instr=" SEQ Table \* ARABIC ">
        <w:r w:rsidR="004911B7">
          <w:rPr>
            <w:noProof/>
          </w:rPr>
          <w:t>17</w:t>
        </w:r>
      </w:fldSimple>
      <w:bookmarkEnd w:id="222"/>
      <w:r>
        <w:t>: Hazard ratios and odds ratios with confidence intervals estimated for risk factors for Peripheral vascular damage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tblPr>
      <w:tblGrid>
        <w:gridCol w:w="1242"/>
        <w:gridCol w:w="567"/>
        <w:gridCol w:w="1560"/>
        <w:gridCol w:w="1417"/>
        <w:gridCol w:w="1276"/>
        <w:gridCol w:w="1417"/>
        <w:gridCol w:w="1418"/>
        <w:gridCol w:w="1276"/>
        <w:gridCol w:w="141"/>
        <w:gridCol w:w="1701"/>
      </w:tblGrid>
      <w:tr w:rsidR="00651F34" w:rsidRPr="00B50E2F" w:rsidTr="004E70E9">
        <w:trPr>
          <w:trHeight w:val="113"/>
        </w:trPr>
        <w:tc>
          <w:tcPr>
            <w:tcW w:w="1242" w:type="dxa"/>
            <w:tcBorders>
              <w:top w:val="single" w:sz="12" w:space="0" w:color="auto"/>
              <w:bottom w:val="single" w:sz="4" w:space="0" w:color="auto"/>
            </w:tcBorders>
          </w:tcPr>
          <w:p w:rsidR="00651F34" w:rsidRPr="00B50E2F" w:rsidRDefault="00651F34" w:rsidP="00B50E2F">
            <w:pPr>
              <w:pStyle w:val="ListParagraph1"/>
              <w:rPr>
                <w:rFonts w:asciiTheme="majorBidi" w:hAnsiTheme="majorBidi" w:cstheme="majorBidi"/>
                <w:sz w:val="16"/>
                <w:szCs w:val="16"/>
              </w:rPr>
            </w:pPr>
            <w:r w:rsidRPr="00B50E2F">
              <w:rPr>
                <w:rFonts w:asciiTheme="majorBidi" w:hAnsiTheme="majorBidi" w:cstheme="majorBidi"/>
                <w:sz w:val="16"/>
                <w:szCs w:val="16"/>
              </w:rPr>
              <w:t>First Author name</w:t>
            </w:r>
          </w:p>
        </w:tc>
        <w:tc>
          <w:tcPr>
            <w:tcW w:w="567" w:type="dxa"/>
            <w:tcBorders>
              <w:top w:val="single" w:sz="12" w:space="0" w:color="auto"/>
              <w:bottom w:val="single" w:sz="4" w:space="0" w:color="auto"/>
            </w:tcBorders>
          </w:tcPr>
          <w:p w:rsidR="00651F34" w:rsidRPr="00B50E2F" w:rsidRDefault="00651F34" w:rsidP="00B50E2F">
            <w:pPr>
              <w:pStyle w:val="ListParagraph1"/>
              <w:rPr>
                <w:rFonts w:asciiTheme="majorBidi" w:hAnsiTheme="majorBidi" w:cstheme="majorBidi"/>
                <w:sz w:val="16"/>
                <w:szCs w:val="16"/>
              </w:rPr>
            </w:pPr>
            <w:r w:rsidRPr="00B50E2F">
              <w:rPr>
                <w:rFonts w:asciiTheme="majorBidi" w:hAnsiTheme="majorBidi" w:cstheme="majorBidi"/>
                <w:sz w:val="16"/>
                <w:szCs w:val="16"/>
              </w:rPr>
              <w:t>Date</w:t>
            </w:r>
          </w:p>
        </w:tc>
        <w:tc>
          <w:tcPr>
            <w:tcW w:w="1560" w:type="dxa"/>
            <w:tcBorders>
              <w:top w:val="single" w:sz="12" w:space="0" w:color="auto"/>
              <w:bottom w:val="single" w:sz="4" w:space="0" w:color="auto"/>
            </w:tcBorders>
          </w:tcPr>
          <w:p w:rsidR="00651F34" w:rsidRPr="00B50E2F" w:rsidRDefault="00651F34" w:rsidP="00B50E2F">
            <w:pPr>
              <w:pStyle w:val="ListParagraph1"/>
              <w:rPr>
                <w:rFonts w:asciiTheme="majorBidi" w:hAnsiTheme="majorBidi" w:cstheme="majorBidi"/>
                <w:sz w:val="16"/>
                <w:szCs w:val="16"/>
              </w:rPr>
            </w:pPr>
            <w:r w:rsidRPr="00B50E2F">
              <w:rPr>
                <w:rFonts w:asciiTheme="majorBidi" w:hAnsiTheme="majorBidi" w:cstheme="majorBidi"/>
                <w:sz w:val="16"/>
                <w:szCs w:val="16"/>
              </w:rPr>
              <w:t>Damage outcome</w:t>
            </w:r>
          </w:p>
        </w:tc>
        <w:tc>
          <w:tcPr>
            <w:tcW w:w="1417" w:type="dxa"/>
            <w:tcBorders>
              <w:top w:val="single" w:sz="12" w:space="0" w:color="auto"/>
              <w:bottom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Disease Activity</w:t>
            </w:r>
          </w:p>
        </w:tc>
        <w:tc>
          <w:tcPr>
            <w:tcW w:w="1276" w:type="dxa"/>
            <w:tcBorders>
              <w:top w:val="single" w:sz="12" w:space="0" w:color="auto"/>
              <w:bottom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Smoking</w:t>
            </w:r>
          </w:p>
        </w:tc>
        <w:tc>
          <w:tcPr>
            <w:tcW w:w="1417" w:type="dxa"/>
            <w:tcBorders>
              <w:top w:val="single" w:sz="12" w:space="0" w:color="auto"/>
              <w:bottom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Lupus Anticoagulant</w:t>
            </w:r>
          </w:p>
        </w:tc>
        <w:tc>
          <w:tcPr>
            <w:tcW w:w="1418" w:type="dxa"/>
            <w:tcBorders>
              <w:top w:val="single" w:sz="12" w:space="0" w:color="auto"/>
              <w:bottom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Hypertension</w:t>
            </w:r>
          </w:p>
        </w:tc>
        <w:tc>
          <w:tcPr>
            <w:tcW w:w="1417" w:type="dxa"/>
            <w:gridSpan w:val="2"/>
            <w:tcBorders>
              <w:top w:val="single" w:sz="12" w:space="0" w:color="auto"/>
              <w:bottom w:val="single" w:sz="4" w:space="0" w:color="auto"/>
            </w:tcBorders>
          </w:tcPr>
          <w:p w:rsidR="00651F34" w:rsidRPr="00B50E2F" w:rsidRDefault="00651F34" w:rsidP="00B50E2F">
            <w:pPr>
              <w:spacing w:after="0" w:afterAutospacing="0" w:line="240" w:lineRule="auto"/>
              <w:rPr>
                <w:sz w:val="16"/>
                <w:szCs w:val="16"/>
              </w:rPr>
            </w:pPr>
            <w:r w:rsidRPr="00B50E2F">
              <w:rPr>
                <w:rFonts w:asciiTheme="majorBidi" w:hAnsiTheme="majorBidi" w:cstheme="majorBidi"/>
                <w:sz w:val="16"/>
                <w:szCs w:val="16"/>
              </w:rPr>
              <w:t>aCL</w:t>
            </w:r>
          </w:p>
        </w:tc>
        <w:tc>
          <w:tcPr>
            <w:tcW w:w="1701" w:type="dxa"/>
            <w:tcBorders>
              <w:top w:val="single" w:sz="12" w:space="0" w:color="auto"/>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Hydroxycholoriquine</w:t>
            </w:r>
          </w:p>
        </w:tc>
      </w:tr>
      <w:tr w:rsidR="00651F34" w:rsidRPr="00B50E2F" w:rsidTr="004E70E9">
        <w:trPr>
          <w:trHeight w:val="113"/>
        </w:trPr>
        <w:tc>
          <w:tcPr>
            <w:tcW w:w="1242"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Calvo-Allen</w:t>
            </w:r>
            <w:r w:rsidR="00680ED8">
              <w:rPr>
                <w:sz w:val="16"/>
                <w:szCs w:val="16"/>
              </w:rPr>
              <w:t xml:space="preserve"> </w:t>
            </w:r>
            <w:r w:rsidR="00E729BA">
              <w:rPr>
                <w:sz w:val="16"/>
                <w:szCs w:val="16"/>
              </w:rPr>
              <w:fldChar w:fldCharType="begin"/>
            </w:r>
            <w:r w:rsidR="00FC61FD">
              <w:rPr>
                <w:sz w:val="16"/>
                <w:szCs w:val="16"/>
              </w:rPr>
              <w:instrText xml:space="preserve"> ADDIN REFMGR.CITE &lt;Refman&gt;&lt;Cite&gt;&lt;Author&gt;Calvo-Alen&lt;/Author&gt;&lt;Year&gt;2005&lt;/Year&gt;&lt;RecNum&gt;558&lt;/RecNum&gt;&lt;IDText&gt;Systemic lupus erythematosus in a multiethnic US cohort (LUMINA). XXV. Smoking, older age, disease activity, lupus anticoagulant, and glucocorticoid dose as risk factors for the occurrence of venous thrombosis in lupus patients&lt;/IDText&gt;&lt;MDL Ref_Type="Journal"&gt;&lt;Ref_Type&gt;Journal&lt;/Ref_Type&gt;&lt;Ref_ID&gt;558&lt;/Ref_ID&gt;&lt;Title_Primary&gt;Systemic lupus erythematosus in a multiethnic US cohort (LUMINA). XXV. Smoking, older age, disease activity, lupus anticoagulant, and glucocorticoid dose as risk factors for the occurrence of venous thrombosis in lupus patients&lt;/Title_Primary&gt;&lt;Authors_Primary&gt;Calvo-Alen,J.&lt;/Authors_Primary&gt;&lt;Authors_Primary&gt;Toloza,S.M.&lt;/Authors_Primary&gt;&lt;Authors_Primary&gt;Fernandez,M.&lt;/Authors_Primary&gt;&lt;Authors_Primary&gt;Bastian,H.M.&lt;/Authors_Primary&gt;&lt;Authors_Primary&gt;Fessler,B.J.&lt;/Authors_Primary&gt;&lt;Authors_Primary&gt;Roseman,J.M.&lt;/Authors_Primary&gt;&lt;Authors_Primary&gt;McGwin,G.,Jr.&lt;/Authors_Primary&gt;&lt;Authors_Primary&gt;Vila,L.M.&lt;/Authors_Primary&gt;&lt;Authors_Primary&gt;Reveille,J.D.&lt;/Authors_Primary&gt;&lt;Authors_Primary&gt;Alarcon,G.S.&lt;/Authors_Primary&gt;&lt;Date_Primary&gt;2005/7&lt;/Date_Primary&gt;&lt;Keywords&gt;Adult&lt;/Keywords&gt;&lt;Keywords&gt;adverse effects&lt;/Keywords&gt;&lt;Keywords&gt;African Americans&lt;/Keywords&gt;&lt;Keywords&gt;age&lt;/Keywords&gt;&lt;Keywords&gt;Age Factors&lt;/Keywords&gt;&lt;Keywords&gt;Aging&lt;/Keywords&gt;&lt;Keywords&gt;Alabama&lt;/Keywords&gt;&lt;Keywords&gt;Antibodies&lt;/Keywords&gt;&lt;Keywords&gt;Cholesterol&lt;/Keywords&gt;&lt;Keywords&gt;complications&lt;/Keywords&gt;&lt;Keywords&gt;diagnosis&lt;/Keywords&gt;&lt;Keywords&gt;Disease&lt;/Keywords&gt;&lt;Keywords&gt;epidemiology&lt;/Keywords&gt;&lt;Keywords&gt;erythematosus&lt;/Keywords&gt;&lt;Keywords&gt;ethnology&lt;/Keywords&gt;&lt;Keywords&gt;etiology&lt;/Keywords&gt;&lt;Keywords&gt;European Continental Ancestry Group&lt;/Keywords&gt;&lt;Keywords&gt;Female&lt;/Keywords&gt;&lt;Keywords&gt;Glucocorticoids&lt;/Keywords&gt;&lt;Keywords&gt;Hispanic Americans&lt;/Keywords&gt;&lt;Keywords&gt;Humans&lt;/Keywords&gt;&lt;Keywords&gt;Longitudinal Studies&lt;/Keywords&gt;&lt;Keywords&gt;Lupus Coagulation Inhibitor&lt;/Keywords&gt;&lt;Keywords&gt;lupus erythematosus&lt;/Keywords&gt;&lt;Keywords&gt;Lupus Erythematosus,Systemic&lt;/Keywords&gt;&lt;Keywords&gt;Male&lt;/Keywords&gt;&lt;Keywords&gt;methods&lt;/Keywords&gt;&lt;Keywords&gt;patient&lt;/Keywords&gt;&lt;Keywords&gt;Patients&lt;/Keywords&gt;&lt;Keywords&gt;Risk&lt;/Keywords&gt;&lt;Keywords&gt;Risk Factors&lt;/Keywords&gt;&lt;Keywords&gt;Serum&lt;/Keywords&gt;&lt;Keywords&gt;Smoking&lt;/Keywords&gt;&lt;Keywords&gt;systemic lupus erythematosus&lt;/Keywords&gt;&lt;Keywords&gt;Thrombosis&lt;/Keywords&gt;&lt;Keywords&gt;Time&lt;/Keywords&gt;&lt;Keywords&gt;Triglycerides&lt;/Keywords&gt;&lt;Keywords&gt;United States&lt;/Keywords&gt;&lt;Keywords&gt;Venous Thrombosis&lt;/Keywords&gt;&lt;Reprint&gt;Not in File&lt;/Reprint&gt;&lt;Start_Page&gt;2060&lt;/Start_Page&gt;&lt;End_Page&gt;2068&lt;/End_Page&gt;&lt;Periodical&gt;Arthritis Rheum.&lt;/Periodical&gt;&lt;Volume&gt;52&lt;/Volume&gt;&lt;Issue&gt;7&lt;/Issue&gt;&lt;User_Def_1&gt;y&lt;/User_Def_1&gt;&lt;ZZ_JournalStdAbbrev&gt;&lt;f name="System"&gt;Arthritis Rheum.&lt;/f&gt;&lt;/ZZ_JournalStdAbbrev&gt;&lt;ZZ_WorkformID&gt;1&lt;/ZZ_WorkformID&gt;&lt;/MDL&gt;&lt;/Cite&gt;&lt;/Refman&gt;</w:instrText>
            </w:r>
            <w:r w:rsidR="00E729BA">
              <w:rPr>
                <w:sz w:val="16"/>
                <w:szCs w:val="16"/>
              </w:rPr>
              <w:fldChar w:fldCharType="separate"/>
            </w:r>
            <w:r w:rsidR="004D7951">
              <w:rPr>
                <w:sz w:val="16"/>
                <w:szCs w:val="16"/>
              </w:rPr>
              <w:t>(198)</w:t>
            </w:r>
            <w:r w:rsidR="00E729BA">
              <w:rPr>
                <w:sz w:val="16"/>
                <w:szCs w:val="16"/>
              </w:rPr>
              <w:fldChar w:fldCharType="end"/>
            </w:r>
          </w:p>
        </w:tc>
        <w:tc>
          <w:tcPr>
            <w:tcW w:w="567"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2005</w:t>
            </w:r>
          </w:p>
        </w:tc>
        <w:tc>
          <w:tcPr>
            <w:tcW w:w="1560"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Venous thrombosis (HR)</w:t>
            </w:r>
          </w:p>
        </w:tc>
        <w:tc>
          <w:tcPr>
            <w:tcW w:w="1417"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2.49 (1.22-5.06)</w:t>
            </w:r>
          </w:p>
        </w:tc>
        <w:tc>
          <w:tcPr>
            <w:tcW w:w="1276"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1.11 (1.01-1.21)</w:t>
            </w:r>
          </w:p>
        </w:tc>
        <w:tc>
          <w:tcPr>
            <w:tcW w:w="1417" w:type="dxa"/>
            <w:tcBorders>
              <w:top w:val="single" w:sz="4" w:space="0" w:color="auto"/>
            </w:tcBorders>
          </w:tcPr>
          <w:p w:rsidR="00651F34" w:rsidRPr="00B50E2F" w:rsidRDefault="00651F34" w:rsidP="00B50E2F">
            <w:pPr>
              <w:spacing w:after="0" w:afterAutospacing="0" w:line="240" w:lineRule="auto"/>
              <w:rPr>
                <w:sz w:val="16"/>
                <w:szCs w:val="16"/>
              </w:rPr>
            </w:pPr>
            <w:r w:rsidRPr="00B50E2F">
              <w:rPr>
                <w:sz w:val="16"/>
                <w:szCs w:val="16"/>
              </w:rPr>
              <w:t>2.29 (1.2-5.12)</w:t>
            </w:r>
          </w:p>
        </w:tc>
        <w:tc>
          <w:tcPr>
            <w:tcW w:w="1418" w:type="dxa"/>
            <w:tcBorders>
              <w:top w:val="single" w:sz="4" w:space="0" w:color="auto"/>
            </w:tcBorders>
          </w:tcPr>
          <w:p w:rsidR="00651F34" w:rsidRPr="00B50E2F" w:rsidRDefault="00651F34" w:rsidP="00B50E2F">
            <w:pPr>
              <w:spacing w:after="0" w:afterAutospacing="0" w:line="240" w:lineRule="auto"/>
              <w:rPr>
                <w:sz w:val="16"/>
                <w:szCs w:val="16"/>
              </w:rPr>
            </w:pPr>
          </w:p>
        </w:tc>
        <w:tc>
          <w:tcPr>
            <w:tcW w:w="1276" w:type="dxa"/>
            <w:tcBorders>
              <w:top w:val="single" w:sz="4" w:space="0" w:color="auto"/>
            </w:tcBorders>
          </w:tcPr>
          <w:p w:rsidR="00651F34" w:rsidRPr="00B50E2F" w:rsidRDefault="00651F34" w:rsidP="00B50E2F">
            <w:pPr>
              <w:spacing w:after="0" w:afterAutospacing="0" w:line="240" w:lineRule="auto"/>
              <w:rPr>
                <w:sz w:val="16"/>
                <w:szCs w:val="16"/>
              </w:rPr>
            </w:pPr>
          </w:p>
        </w:tc>
        <w:tc>
          <w:tcPr>
            <w:tcW w:w="1842" w:type="dxa"/>
            <w:gridSpan w:val="2"/>
            <w:tcBorders>
              <w:top w:val="single" w:sz="4" w:space="0" w:color="auto"/>
            </w:tcBorders>
          </w:tcPr>
          <w:p w:rsidR="00651F34" w:rsidRPr="00B50E2F" w:rsidRDefault="00651F34" w:rsidP="00B50E2F">
            <w:pPr>
              <w:spacing w:after="0" w:afterAutospacing="0" w:line="240" w:lineRule="auto"/>
              <w:rPr>
                <w:sz w:val="16"/>
                <w:szCs w:val="16"/>
              </w:rPr>
            </w:pPr>
          </w:p>
        </w:tc>
      </w:tr>
      <w:tr w:rsidR="00651F34" w:rsidRPr="00B50E2F" w:rsidTr="004E70E9">
        <w:trPr>
          <w:trHeight w:val="113"/>
        </w:trPr>
        <w:tc>
          <w:tcPr>
            <w:tcW w:w="1242" w:type="dxa"/>
          </w:tcPr>
          <w:p w:rsidR="00651F34" w:rsidRPr="00B50E2F" w:rsidRDefault="00651F34" w:rsidP="00B50E2F">
            <w:pPr>
              <w:spacing w:after="0" w:afterAutospacing="0" w:line="240" w:lineRule="auto"/>
              <w:rPr>
                <w:rFonts w:asciiTheme="majorBidi" w:hAnsiTheme="majorBidi" w:cstheme="majorBidi"/>
                <w:sz w:val="16"/>
                <w:szCs w:val="16"/>
                <w:lang w:val="fr-CA"/>
              </w:rPr>
            </w:pPr>
            <w:r w:rsidRPr="00B50E2F">
              <w:rPr>
                <w:rFonts w:asciiTheme="majorBidi" w:hAnsiTheme="majorBidi" w:cstheme="majorBidi"/>
                <w:sz w:val="16"/>
                <w:szCs w:val="16"/>
                <w:lang w:val="fr-CA"/>
              </w:rPr>
              <w:t>Toloza</w:t>
            </w:r>
            <w:r w:rsidR="00680ED8">
              <w:rPr>
                <w:rFonts w:asciiTheme="majorBidi" w:hAnsiTheme="majorBidi" w:cstheme="majorBidi"/>
                <w:sz w:val="16"/>
                <w:szCs w:val="16"/>
                <w:lang w:val="fr-CA"/>
              </w:rPr>
              <w:t xml:space="preserve"> </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fr-CA"/>
              </w:rPr>
              <w:instrText xml:space="preserve"> ADDIN REFMGR.CITE &lt;Refman&gt;&lt;Cite&gt;&lt;Author&gt;Toloza&lt;/Author&gt;&lt;Year&gt;2004&lt;/Year&gt;&lt;RecNum&gt;626&lt;/RecNum&gt;&lt;IDText&gt;Systemic lupus erythematosus in a multiethnic US cohort (LUMINA). XXIII. Baseline predictors of vascular events&lt;/IDText&gt;&lt;MDL Ref_Type="Journal"&gt;&lt;Ref_Type&gt;Journal&lt;/Ref_Type&gt;&lt;Ref_ID&gt;626&lt;/Ref_ID&gt;&lt;Title_Primary&gt;Systemic lupus erythematosus in a multiethnic US cohort (LUMINA). XXIII. Baseline predictors of vascular events&lt;/Title_Primary&gt;&lt;Authors_Primary&gt;Toloza,S.M.&lt;/Authors_Primary&gt;&lt;Authors_Primary&gt;Uribe,A.G.&lt;/Authors_Primary&gt;&lt;Authors_Primary&gt;McGwin,G.,Jr.&lt;/Authors_Primary&gt;&lt;Authors_Primary&gt;Alarcon,G.S.&lt;/Authors_Primary&gt;&lt;Authors_Primary&gt;Fessler,B.J.&lt;/Authors_Primary&gt;&lt;Authors_Primary&gt;Bastian,H.M.&lt;/Authors_Primary&gt;&lt;Authors_Primary&gt;Vila,L.M.&lt;/Authors_Primary&gt;&lt;Authors_Primary&gt;Wu,R.&lt;/Authors_Primary&gt;&lt;Authors_Primary&gt;Shoenfeld,Y.&lt;/Authors_Primary&gt;&lt;Authors_Primary&gt;Roseman,J.M.&lt;/Authors_Primary&gt;&lt;Authors_Primary&gt;Reveille,J.D.&lt;/Authors_Primary&gt;&lt;Date_Primary&gt;2004/12&lt;/Date_Primary&gt;&lt;Keywords&gt;Adult&lt;/Keywords&gt;&lt;Keywords&gt;African Americans&lt;/Keywords&gt;&lt;Keywords&gt;age&lt;/Keywords&gt;&lt;Keywords&gt;Alabama&lt;/Keywords&gt;&lt;Keywords&gt;analysis&lt;/Keywords&gt;&lt;Keywords&gt;Antibodies&lt;/Keywords&gt;&lt;Keywords&gt;Arteries&lt;/Keywords&gt;&lt;Keywords&gt;Atherosclerosis&lt;/Keywords&gt;&lt;Keywords&gt;Autoimmunity&lt;/Keywords&gt;&lt;Keywords&gt;Azathioprine&lt;/Keywords&gt;&lt;Keywords&gt;C-Reactive Protein&lt;/Keywords&gt;&lt;Keywords&gt;Cardiovascular Diseases&lt;/Keywords&gt;&lt;Keywords&gt;complications&lt;/Keywords&gt;&lt;Keywords&gt;epidemiology&lt;/Keywords&gt;&lt;Keywords&gt;erythematosus&lt;/Keywords&gt;&lt;Keywords&gt;ethnology&lt;/Keywords&gt;&lt;Keywords&gt;etiology&lt;/Keywords&gt;&lt;Keywords&gt;European Continental Ancestry Group&lt;/Keywords&gt;&lt;Keywords&gt;Female&lt;/Keywords&gt;&lt;Keywords&gt;Forecasting&lt;/Keywords&gt;&lt;Keywords&gt;Gangrene&lt;/Keywords&gt;&lt;Keywords&gt;Hispanic Americans&lt;/Keywords&gt;&lt;Keywords&gt;Humans&lt;/Keywords&gt;&lt;Keywords&gt;Infarction&lt;/Keywords&gt;&lt;Keywords&gt;Inflammation&lt;/Keywords&gt;&lt;Keywords&gt;Longitudinal Studies&lt;/Keywords&gt;&lt;Keywords&gt;lupus erythematosus&lt;/Keywords&gt;&lt;Keywords&gt;Lupus Erythematosus,Systemic&lt;/Keywords&gt;&lt;Keywords&gt;Male&lt;/Keywords&gt;&lt;Keywords&gt;methods&lt;/Keywords&gt;&lt;Keywords&gt;Middle Aged&lt;/Keywords&gt;&lt;Keywords&gt;Myocardial Infarction&lt;/Keywords&gt;&lt;Keywords&gt;Odds Ratio&lt;/Keywords&gt;&lt;Keywords&gt;patient&lt;/Keywords&gt;&lt;Keywords&gt;Patients&lt;/Keywords&gt;&lt;Keywords&gt;Proportional Hazards Models&lt;/Keywords&gt;&lt;Keywords&gt;Puerto Rico&lt;/Keywords&gt;&lt;Keywords&gt;Risk&lt;/Keywords&gt;&lt;Keywords&gt;Risk Factors&lt;/Keywords&gt;&lt;Keywords&gt;Serum&lt;/Keywords&gt;&lt;Keywords&gt;sex&lt;/Keywords&gt;&lt;Keywords&gt;Smoking&lt;/Keywords&gt;&lt;Keywords&gt;Stroke&lt;/Keywords&gt;&lt;Keywords&gt;systemic lupus erythematosus&lt;/Keywords&gt;&lt;Keywords&gt;Texas&lt;/Keywords&gt;&lt;Keywords&gt;Thrombosis&lt;/Keywords&gt;&lt;Keywords&gt;Time&lt;/Keywords&gt;&lt;Keywords&gt;Time Factors&lt;/Keywords&gt;&lt;Keywords&gt;United States&lt;/Keywords&gt;&lt;Reprint&gt;Not in File&lt;/Reprint&gt;&lt;Start_Page&gt;3947&lt;/Start_Page&gt;&lt;End_Page&gt;3957&lt;/End_Page&gt;&lt;Periodical&gt;Arthritis Rheum.&lt;/Periodical&gt;&lt;Volume&gt;50&lt;/Volume&gt;&lt;Issue&gt;12&lt;/Issue&gt;&lt;User_Def_1&gt;y&lt;/User_Def_1&gt;&lt;ZZ_JournalStdAbbrev&gt;&lt;f name="System"&gt;Arthritis Rheum.&lt;/f&gt;&lt;/ZZ_JournalStdAbbrev&gt;&lt;ZZ_WorkformID&gt;1&lt;/ZZ_WorkformID&gt;&lt;/MDL&gt;&lt;/Cite&gt;&lt;/Refman&gt;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lang w:val="fr-CA"/>
              </w:rPr>
              <w:t>(195)</w:t>
            </w:r>
            <w:r w:rsidR="00E729BA">
              <w:rPr>
                <w:rFonts w:asciiTheme="majorBidi" w:hAnsiTheme="majorBidi" w:cstheme="majorBidi"/>
                <w:sz w:val="16"/>
                <w:szCs w:val="16"/>
                <w:lang w:val="fr-CA"/>
              </w:rPr>
              <w:fldChar w:fldCharType="end"/>
            </w:r>
          </w:p>
        </w:tc>
        <w:tc>
          <w:tcPr>
            <w:tcW w:w="567" w:type="dxa"/>
          </w:tcPr>
          <w:p w:rsidR="00651F34" w:rsidRPr="00B50E2F" w:rsidRDefault="00651F34" w:rsidP="00B50E2F">
            <w:pPr>
              <w:spacing w:after="0" w:afterAutospacing="0" w:line="240" w:lineRule="auto"/>
              <w:rPr>
                <w:rFonts w:asciiTheme="majorBidi" w:hAnsiTheme="majorBidi" w:cstheme="majorBidi"/>
                <w:sz w:val="16"/>
                <w:szCs w:val="16"/>
                <w:lang w:val="fr-CA"/>
              </w:rPr>
            </w:pPr>
            <w:r w:rsidRPr="00B50E2F">
              <w:rPr>
                <w:rFonts w:asciiTheme="majorBidi" w:hAnsiTheme="majorBidi" w:cstheme="majorBidi"/>
                <w:sz w:val="16"/>
                <w:szCs w:val="16"/>
                <w:lang w:val="fr-CA"/>
              </w:rPr>
              <w:t>2004</w:t>
            </w:r>
          </w:p>
        </w:tc>
        <w:tc>
          <w:tcPr>
            <w:tcW w:w="1560" w:type="dxa"/>
          </w:tcPr>
          <w:p w:rsidR="00651F34" w:rsidRPr="00B50E2F" w:rsidRDefault="00651F34" w:rsidP="00B50E2F">
            <w:pPr>
              <w:spacing w:after="0" w:afterAutospacing="0" w:line="240" w:lineRule="auto"/>
              <w:rPr>
                <w:rFonts w:asciiTheme="majorBidi" w:hAnsiTheme="majorBidi" w:cstheme="majorBidi"/>
                <w:sz w:val="16"/>
                <w:szCs w:val="16"/>
                <w:lang w:val="fr-CA"/>
              </w:rPr>
            </w:pPr>
            <w:r w:rsidRPr="00B50E2F">
              <w:rPr>
                <w:rFonts w:asciiTheme="majorBidi" w:hAnsiTheme="majorBidi" w:cstheme="majorBidi"/>
                <w:sz w:val="16"/>
                <w:szCs w:val="16"/>
                <w:lang w:val="fr-CA"/>
              </w:rPr>
              <w:t>Vascular events (HR)</w:t>
            </w:r>
          </w:p>
        </w:tc>
        <w:tc>
          <w:tcPr>
            <w:tcW w:w="1417" w:type="dxa"/>
          </w:tcPr>
          <w:p w:rsidR="00651F34" w:rsidRPr="00B50E2F" w:rsidRDefault="00651F34" w:rsidP="00B50E2F">
            <w:pPr>
              <w:spacing w:after="0" w:afterAutospacing="0" w:line="240" w:lineRule="auto"/>
              <w:rPr>
                <w:sz w:val="16"/>
                <w:szCs w:val="16"/>
              </w:rPr>
            </w:pPr>
          </w:p>
        </w:tc>
        <w:tc>
          <w:tcPr>
            <w:tcW w:w="1276" w:type="dxa"/>
          </w:tcPr>
          <w:p w:rsidR="00651F34" w:rsidRPr="00B50E2F" w:rsidRDefault="00651F34" w:rsidP="00B50E2F">
            <w:pPr>
              <w:spacing w:after="0" w:afterAutospacing="0" w:line="240" w:lineRule="auto"/>
              <w:rPr>
                <w:sz w:val="16"/>
                <w:szCs w:val="16"/>
              </w:rPr>
            </w:pPr>
          </w:p>
        </w:tc>
        <w:tc>
          <w:tcPr>
            <w:tcW w:w="1417" w:type="dxa"/>
          </w:tcPr>
          <w:p w:rsidR="00651F34" w:rsidRPr="00B50E2F" w:rsidRDefault="00651F34" w:rsidP="00B50E2F">
            <w:pPr>
              <w:spacing w:after="0" w:afterAutospacing="0" w:line="240" w:lineRule="auto"/>
              <w:rPr>
                <w:sz w:val="16"/>
                <w:szCs w:val="16"/>
              </w:rPr>
            </w:pPr>
          </w:p>
        </w:tc>
        <w:tc>
          <w:tcPr>
            <w:tcW w:w="1418" w:type="dxa"/>
          </w:tcPr>
          <w:p w:rsidR="00651F34" w:rsidRPr="00B50E2F" w:rsidRDefault="00651F34" w:rsidP="00B50E2F">
            <w:pPr>
              <w:spacing w:after="0" w:afterAutospacing="0" w:line="240" w:lineRule="auto"/>
              <w:rPr>
                <w:sz w:val="16"/>
                <w:szCs w:val="16"/>
              </w:rPr>
            </w:pPr>
          </w:p>
        </w:tc>
        <w:tc>
          <w:tcPr>
            <w:tcW w:w="1276" w:type="dxa"/>
          </w:tcPr>
          <w:p w:rsidR="00651F34" w:rsidRPr="00B50E2F" w:rsidRDefault="00651F34" w:rsidP="00B50E2F">
            <w:pPr>
              <w:spacing w:after="0" w:afterAutospacing="0" w:line="240" w:lineRule="auto"/>
              <w:rPr>
                <w:sz w:val="16"/>
                <w:szCs w:val="16"/>
              </w:rPr>
            </w:pPr>
            <w:r w:rsidRPr="00B50E2F">
              <w:rPr>
                <w:rFonts w:asciiTheme="majorBidi" w:hAnsiTheme="majorBidi" w:cstheme="majorBidi"/>
                <w:sz w:val="16"/>
                <w:szCs w:val="16"/>
              </w:rPr>
              <w:t>4.72 (1.68-13.16)</w:t>
            </w:r>
          </w:p>
        </w:tc>
        <w:tc>
          <w:tcPr>
            <w:tcW w:w="1842" w:type="dxa"/>
            <w:gridSpan w:val="2"/>
          </w:tcPr>
          <w:p w:rsidR="00651F34" w:rsidRPr="00B50E2F" w:rsidRDefault="00651F34" w:rsidP="00B50E2F">
            <w:pPr>
              <w:spacing w:after="0" w:afterAutospacing="0" w:line="240" w:lineRule="auto"/>
              <w:rPr>
                <w:rFonts w:asciiTheme="majorBidi" w:hAnsiTheme="majorBidi" w:cstheme="majorBidi"/>
                <w:sz w:val="16"/>
                <w:szCs w:val="16"/>
              </w:rPr>
            </w:pPr>
          </w:p>
        </w:tc>
      </w:tr>
      <w:tr w:rsidR="00651F34" w:rsidRPr="00B50E2F" w:rsidTr="004E70E9">
        <w:trPr>
          <w:trHeight w:val="113"/>
        </w:trPr>
        <w:tc>
          <w:tcPr>
            <w:tcW w:w="1242" w:type="dxa"/>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Manger</w:t>
            </w:r>
            <w:r w:rsidR="00680ED8">
              <w:rPr>
                <w:rFonts w:asciiTheme="majorBidi" w:hAnsiTheme="majorBidi" w:cstheme="majorBidi"/>
                <w:sz w:val="16"/>
                <w:szCs w:val="16"/>
              </w:rPr>
              <w:t xml:space="preserve"> </w:t>
            </w:r>
            <w:r w:rsidR="00E729BA">
              <w:rPr>
                <w:rFonts w:asciiTheme="majorBidi" w:hAnsiTheme="majorBidi" w:cstheme="majorBidi"/>
                <w:sz w:val="16"/>
                <w:szCs w:val="16"/>
              </w:rPr>
              <w:fldChar w:fldCharType="begin"/>
            </w:r>
            <w:r w:rsidR="00FC61FD">
              <w:rPr>
                <w:rFonts w:asciiTheme="majorBidi" w:hAnsiTheme="majorBidi" w:cstheme="majorBidi"/>
                <w:sz w:val="16"/>
                <w:szCs w:val="16"/>
              </w:rPr>
              <w:instrText xml:space="preserve"> ADDIN REFMGR.CITE &lt;Refman&gt;&lt;Cite&gt;&lt;Author&gt;Manger&lt;/Author&gt;&lt;Year&gt;2002&lt;/Year&gt;&lt;RecNum&gt;843&lt;/RecNum&gt;&lt;IDText&gt;Definition of risk factors for death, end stage renal disease, and thromboembolic events in a monocentric cohort of 338 patients with systemic lupus erythematosus&lt;/IDText&gt;&lt;MDL Ref_Type="Journal"&gt;&lt;Ref_Type&gt;Journal&lt;/Ref_Type&gt;&lt;Ref_ID&gt;843&lt;/Ref_ID&gt;&lt;Title_Primary&gt;Definition of risk factors for death, end stage renal disease, and thromboembolic events in a monocentric cohort of 338 patients with systemic lupus erythematosus&lt;/Title_Primary&gt;&lt;Authors_Primary&gt;Manger,K.&lt;/Authors_Primary&gt;&lt;Authors_Primary&gt;Manger,B.&lt;/Authors_Primary&gt;&lt;Authors_Primary&gt;Repp,R.&lt;/Authors_Primary&gt;&lt;Authors_Primary&gt;Geisselbrecht,M.&lt;/Authors_Primary&gt;&lt;Authors_Primary&gt;Geiger,A.&lt;/Authors_Primary&gt;&lt;Authors_Primary&gt;Pfahlberg,A.&lt;/Authors_Primary&gt;&lt;Authors_Primary&gt;Harrer,T.&lt;/Authors_Primary&gt;&lt;Authors_Primary&gt;Kalden,J.R.&lt;/Authors_Primary&gt;&lt;Date_Primary&gt;2002/12&lt;/Date_Primary&gt;&lt;Keywords&gt;Adult&lt;/Keywords&gt;&lt;Keywords&gt;Age Factors&lt;/Keywords&gt;&lt;Keywords&gt;analysis&lt;/Keywords&gt;&lt;Keywords&gt;Antibodies&lt;/Keywords&gt;&lt;Keywords&gt;Biometry&lt;/Keywords&gt;&lt;Keywords&gt;Cardiovascular Diseases&lt;/Keywords&gt;&lt;Keywords&gt;Central Nervous System&lt;/Keywords&gt;&lt;Keywords&gt;Central Nervous System Diseases&lt;/Keywords&gt;&lt;Keywords&gt;Cohort Studies&lt;/Keywords&gt;&lt;Keywords&gt;complications&lt;/Keywords&gt;&lt;Keywords&gt;Creatinine&lt;/Keywords&gt;&lt;Keywords&gt;Cryoglobulins&lt;/Keywords&gt;&lt;Keywords&gt;Disease&lt;/Keywords&gt;&lt;Keywords&gt;epidemiology&lt;/Keywords&gt;&lt;Keywords&gt;Female&lt;/Keywords&gt;&lt;Keywords&gt;Germany&lt;/Keywords&gt;&lt;Keywords&gt;Heart&lt;/Keywords&gt;&lt;Keywords&gt;Heart Diseases&lt;/Keywords&gt;&lt;Keywords&gt;Humans&lt;/Keywords&gt;&lt;Keywords&gt;Hypertension&lt;/Keywords&gt;&lt;Keywords&gt;immunology&lt;/Keywords&gt;&lt;Keywords&gt;Infection&lt;/Keywords&gt;&lt;Keywords&gt;Kidney Failure,Chronic&lt;/Keywords&gt;&lt;Keywords&gt;Lupus Erythematosus,Systemic&lt;/Keywords&gt;&lt;Keywords&gt;Male&lt;/Keywords&gt;&lt;Keywords&gt;metabolism&lt;/Keywords&gt;&lt;Keywords&gt;methods&lt;/Keywords&gt;&lt;Keywords&gt;mortality&lt;/Keywords&gt;&lt;Keywords&gt;Multivariate Analysis&lt;/Keywords&gt;&lt;Keywords&gt;Nephritis&lt;/Keywords&gt;&lt;Keywords&gt;Phenotype&lt;/Keywords&gt;&lt;Keywords&gt;Prevalence&lt;/Keywords&gt;&lt;Keywords&gt;Rheumatology&lt;/Keywords&gt;&lt;Keywords&gt;Risk&lt;/Keywords&gt;&lt;Keywords&gt;Risk Factors&lt;/Keywords&gt;&lt;Keywords&gt;Sex Factors&lt;/Keywords&gt;&lt;Keywords&gt;Survival Rate&lt;/Keywords&gt;&lt;Keywords&gt;Thromboembolism&lt;/Keywords&gt;&lt;Keywords&gt;Time&lt;/Keywords&gt;&lt;Reprint&gt;Not in File&lt;/Reprint&gt;&lt;Start_Page&gt;1065&lt;/Start_Page&gt;&lt;End_Page&gt;1070&lt;/End_Page&gt;&lt;Periodical&gt;Ann.Rheum.Dis.&lt;/Periodical&gt;&lt;Volume&gt;61&lt;/Volume&gt;&lt;Issue&gt;12&lt;/Issue&gt;&lt;User_Def_1&gt;y&lt;/User_Def_1&gt;&lt;ZZ_JournalStdAbbrev&gt;&lt;f name="System"&gt;Ann.Rheum.Dis.&lt;/f&gt;&lt;/ZZ_JournalStdAbbrev&gt;&lt;ZZ_WorkformID&gt;1&lt;/ZZ_WorkformID&gt;&lt;/MDL&gt;&lt;/Cite&gt;&lt;/Refman&gt;</w:instrText>
            </w:r>
            <w:r w:rsidR="00E729BA">
              <w:rPr>
                <w:rFonts w:asciiTheme="majorBidi" w:hAnsiTheme="majorBidi" w:cstheme="majorBidi"/>
                <w:sz w:val="16"/>
                <w:szCs w:val="16"/>
              </w:rPr>
              <w:fldChar w:fldCharType="separate"/>
            </w:r>
            <w:r w:rsidR="004D7951">
              <w:rPr>
                <w:rFonts w:asciiTheme="majorBidi" w:hAnsiTheme="majorBidi" w:cstheme="majorBidi"/>
                <w:sz w:val="16"/>
                <w:szCs w:val="16"/>
              </w:rPr>
              <w:t>(145)</w:t>
            </w:r>
            <w:r w:rsidR="00E729BA">
              <w:rPr>
                <w:rFonts w:asciiTheme="majorBidi" w:hAnsiTheme="majorBidi" w:cstheme="majorBidi"/>
                <w:sz w:val="16"/>
                <w:szCs w:val="16"/>
              </w:rPr>
              <w:fldChar w:fldCharType="end"/>
            </w:r>
          </w:p>
        </w:tc>
        <w:tc>
          <w:tcPr>
            <w:tcW w:w="567" w:type="dxa"/>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2002</w:t>
            </w:r>
          </w:p>
        </w:tc>
        <w:tc>
          <w:tcPr>
            <w:tcW w:w="1560" w:type="dxa"/>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Thromboembolic event</w:t>
            </w:r>
            <w:r>
              <w:rPr>
                <w:rFonts w:asciiTheme="majorBidi" w:hAnsiTheme="majorBidi" w:cstheme="majorBidi"/>
                <w:sz w:val="16"/>
                <w:szCs w:val="16"/>
              </w:rPr>
              <w:t xml:space="preserve"> (HR)</w:t>
            </w:r>
          </w:p>
        </w:tc>
        <w:tc>
          <w:tcPr>
            <w:tcW w:w="1417" w:type="dxa"/>
          </w:tcPr>
          <w:p w:rsidR="00651F34" w:rsidRPr="00B50E2F" w:rsidRDefault="00651F34" w:rsidP="00B50E2F">
            <w:pPr>
              <w:spacing w:after="0" w:afterAutospacing="0" w:line="240" w:lineRule="auto"/>
              <w:rPr>
                <w:rFonts w:asciiTheme="majorBidi" w:hAnsiTheme="majorBidi" w:cstheme="majorBidi"/>
                <w:sz w:val="16"/>
                <w:szCs w:val="16"/>
              </w:rPr>
            </w:pPr>
          </w:p>
        </w:tc>
        <w:tc>
          <w:tcPr>
            <w:tcW w:w="1276" w:type="dxa"/>
          </w:tcPr>
          <w:p w:rsidR="00651F34" w:rsidRPr="00B50E2F" w:rsidRDefault="00651F34" w:rsidP="00B50E2F">
            <w:pPr>
              <w:spacing w:after="0" w:afterAutospacing="0" w:line="240" w:lineRule="auto"/>
              <w:rPr>
                <w:rFonts w:asciiTheme="majorBidi" w:hAnsiTheme="majorBidi" w:cstheme="majorBidi"/>
                <w:sz w:val="16"/>
                <w:szCs w:val="16"/>
              </w:rPr>
            </w:pPr>
          </w:p>
        </w:tc>
        <w:tc>
          <w:tcPr>
            <w:tcW w:w="1417" w:type="dxa"/>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1.6 (0.8-3.1)</w:t>
            </w:r>
          </w:p>
        </w:tc>
        <w:tc>
          <w:tcPr>
            <w:tcW w:w="1418" w:type="dxa"/>
          </w:tcPr>
          <w:p w:rsidR="00651F34" w:rsidRPr="00B50E2F" w:rsidRDefault="00651F34" w:rsidP="00B50E2F">
            <w:pPr>
              <w:spacing w:after="0" w:afterAutospacing="0" w:line="240" w:lineRule="auto"/>
              <w:rPr>
                <w:rFonts w:asciiTheme="majorBidi" w:hAnsiTheme="majorBidi" w:cstheme="majorBidi"/>
                <w:sz w:val="16"/>
                <w:szCs w:val="16"/>
              </w:rPr>
            </w:pPr>
          </w:p>
        </w:tc>
        <w:tc>
          <w:tcPr>
            <w:tcW w:w="1276" w:type="dxa"/>
          </w:tcPr>
          <w:p w:rsidR="00651F34" w:rsidRPr="00B50E2F" w:rsidRDefault="00651F34" w:rsidP="00B50E2F">
            <w:pPr>
              <w:spacing w:after="0" w:afterAutospacing="0" w:line="240" w:lineRule="auto"/>
              <w:rPr>
                <w:rFonts w:asciiTheme="majorBidi" w:hAnsiTheme="majorBidi" w:cstheme="majorBidi"/>
                <w:sz w:val="16"/>
                <w:szCs w:val="16"/>
              </w:rPr>
            </w:pPr>
          </w:p>
        </w:tc>
        <w:tc>
          <w:tcPr>
            <w:tcW w:w="1842" w:type="dxa"/>
            <w:gridSpan w:val="2"/>
          </w:tcPr>
          <w:p w:rsidR="00651F34" w:rsidRPr="00B50E2F" w:rsidRDefault="00651F34" w:rsidP="00B50E2F">
            <w:pPr>
              <w:spacing w:after="0" w:afterAutospacing="0" w:line="240" w:lineRule="auto"/>
              <w:rPr>
                <w:rFonts w:asciiTheme="majorBidi" w:hAnsiTheme="majorBidi" w:cstheme="majorBidi"/>
                <w:sz w:val="16"/>
                <w:szCs w:val="16"/>
              </w:rPr>
            </w:pPr>
          </w:p>
        </w:tc>
      </w:tr>
      <w:tr w:rsidR="00651F34" w:rsidRPr="00B50E2F" w:rsidTr="004E70E9">
        <w:trPr>
          <w:trHeight w:val="113"/>
        </w:trPr>
        <w:tc>
          <w:tcPr>
            <w:tcW w:w="1242" w:type="dxa"/>
            <w:tcBorders>
              <w:bottom w:val="single" w:sz="4" w:space="0" w:color="auto"/>
            </w:tcBorders>
          </w:tcPr>
          <w:p w:rsidR="00651F34" w:rsidRPr="00771117" w:rsidRDefault="00651F34" w:rsidP="00B50E2F">
            <w:pPr>
              <w:spacing w:after="0" w:afterAutospacing="0" w:line="240" w:lineRule="auto"/>
              <w:rPr>
                <w:rFonts w:asciiTheme="majorBidi" w:hAnsiTheme="majorBidi" w:cstheme="majorBidi"/>
                <w:sz w:val="16"/>
                <w:szCs w:val="16"/>
              </w:rPr>
            </w:pPr>
            <w:r w:rsidRPr="00680ED8">
              <w:rPr>
                <w:rFonts w:asciiTheme="majorBidi" w:hAnsiTheme="majorBidi" w:cstheme="majorBidi"/>
                <w:sz w:val="16"/>
                <w:szCs w:val="16"/>
                <w:lang w:val="sv-SE"/>
              </w:rPr>
              <w:t>Becker-Merok</w:t>
            </w:r>
            <w:r w:rsidR="00E729BA">
              <w:rPr>
                <w:rFonts w:asciiTheme="majorBidi" w:hAnsiTheme="majorBidi" w:cstheme="majorBidi"/>
                <w:sz w:val="16"/>
                <w:szCs w:val="16"/>
                <w:lang w:val="fr-CA"/>
              </w:rPr>
              <w:fldChar w:fldCharType="begin"/>
            </w:r>
            <w:r w:rsidR="00FC61FD">
              <w:rPr>
                <w:rFonts w:asciiTheme="majorBidi" w:hAnsiTheme="majorBidi" w:cstheme="majorBidi"/>
                <w:sz w:val="16"/>
                <w:szCs w:val="16"/>
                <w:lang w:val="sv-SE"/>
              </w:rPr>
              <w:instrText xml:space="preserve"> ADDIN REFMGR.CITE &lt;Refman&gt;&lt;Cite&gt;&lt;Author&gt;Becker-Merok&lt;/Author&gt;&lt;Year&gt;2009&lt;/Year&gt;&lt;RecNum&gt;77&lt;/RecNum&gt;&lt;IDText&gt;Prevalence, predictors and outcome of vascular damage in systemic lupus erythematosus&lt;/IDText&gt;&lt;MDL Ref_Type="Journal"&gt;&lt;Ref_Type&gt;Journal&lt;/Ref_Type&gt;&lt;Ref_ID&gt;77&lt;/Ref_ID&gt;&lt;Title_Primary&gt;Prevalence, predictors and outcome of vascular damage in systemic lupus erythematosus&lt;/Title_Primary&gt;&lt;Authors_Primary&gt;Becker-Merok,A.&lt;/Authors_Primary&gt;&lt;Authors_Primary&gt;Nossent,J.&lt;/Authors_Primary&gt;&lt;Date_Primary&gt;2009/5&lt;/Date_Primary&gt;&lt;Keywords&gt;Adult&lt;/Keywords&gt;&lt;Keywords&gt;age&lt;/Keywords&gt;&lt;Keywords&gt;analysis&lt;/Keywords&gt;&lt;Keywords&gt;Antimalarials&lt;/Keywords&gt;&lt;Keywords&gt;complications&lt;/Keywords&gt;&lt;Keywords&gt;death&lt;/Keywords&gt;&lt;Keywords&gt;diagnosis&lt;/Keywords&gt;&lt;Keywords&gt;Disease&lt;/Keywords&gt;&lt;Keywords&gt;epidemiology&lt;/Keywords&gt;&lt;Keywords&gt;erythematosus&lt;/Keywords&gt;&lt;Keywords&gt;etiology&lt;/Keywords&gt;&lt;Keywords&gt;Female&lt;/Keywords&gt;&lt;Keywords&gt;Follow-Up Studies&lt;/Keywords&gt;&lt;Keywords&gt;Humans&lt;/Keywords&gt;&lt;Keywords&gt;Hydroxychloroquine&lt;/Keywords&gt;&lt;Keywords&gt;lupus erythematosus&lt;/Keywords&gt;&lt;Keywords&gt;Lupus Erythematosus,Systemic&lt;/Keywords&gt;&lt;Keywords&gt;Male&lt;/Keywords&gt;&lt;Keywords&gt;Middle Aged&lt;/Keywords&gt;&lt;Keywords&gt;mortality&lt;/Keywords&gt;&lt;Keywords&gt;Multivariate Analysis&lt;/Keywords&gt;&lt;Keywords&gt;Norway&lt;/Keywords&gt;&lt;Keywords&gt;Odds Ratio&lt;/Keywords&gt;&lt;Keywords&gt;patient&lt;/Keywords&gt;&lt;Keywords&gt;Patients&lt;/Keywords&gt;&lt;Keywords&gt;Prevalence&lt;/Keywords&gt;&lt;Keywords&gt;Prognosis&lt;/Keywords&gt;&lt;Keywords&gt;Rheumatology&lt;/Keywords&gt;&lt;Keywords&gt;Risk&lt;/Keywords&gt;&lt;Keywords&gt;Risk Factors&lt;/Keywords&gt;&lt;Keywords&gt;Survival Rate&lt;/Keywords&gt;&lt;Keywords&gt;systemic lupus erythematosus&lt;/Keywords&gt;&lt;Keywords&gt;Time&lt;/Keywords&gt;&lt;Keywords&gt;Time Factors&lt;/Keywords&gt;&lt;Keywords&gt;Vascular Diseases&lt;/Keywords&gt;&lt;Keywords&gt;Vasculitis&lt;/Keywords&gt;&lt;Reprint&gt;Not in File&lt;/Reprint&gt;&lt;Start_Page&gt;508&lt;/Start_Page&gt;&lt;End_Page&gt;515&lt;/End_Page&gt;&lt;Periodical&gt;Lupus.&lt;/Periodical&gt;&lt;Volume&gt;18&lt;/Volume&gt;&lt;Issue&gt;6&lt;/Issue&gt;&lt;User_Def_1&gt;y&lt;/User_Def_1&gt;&lt;ZZ_JournalStdAbbrev&gt;&lt;f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6"/>
                <w:szCs w:val="16"/>
                <w:lang w:val="fr-CA"/>
              </w:rPr>
              <w:fldChar w:fldCharType="separate"/>
            </w:r>
            <w:r w:rsidR="004D7951">
              <w:rPr>
                <w:rFonts w:asciiTheme="majorBidi" w:hAnsiTheme="majorBidi" w:cstheme="majorBidi"/>
                <w:sz w:val="16"/>
                <w:szCs w:val="16"/>
              </w:rPr>
              <w:t>(197)</w:t>
            </w:r>
            <w:r w:rsidR="00E729BA">
              <w:rPr>
                <w:rFonts w:asciiTheme="majorBidi" w:hAnsiTheme="majorBidi" w:cstheme="majorBidi"/>
                <w:sz w:val="16"/>
                <w:szCs w:val="16"/>
                <w:lang w:val="fr-CA"/>
              </w:rPr>
              <w:fldChar w:fldCharType="end"/>
            </w:r>
          </w:p>
        </w:tc>
        <w:tc>
          <w:tcPr>
            <w:tcW w:w="567" w:type="dxa"/>
            <w:tcBorders>
              <w:bottom w:val="single" w:sz="4" w:space="0" w:color="auto"/>
            </w:tcBorders>
          </w:tcPr>
          <w:p w:rsidR="00651F34" w:rsidRPr="00771117" w:rsidRDefault="0094366B" w:rsidP="00B50E2F">
            <w:pPr>
              <w:spacing w:after="0" w:afterAutospacing="0" w:line="240" w:lineRule="auto"/>
              <w:rPr>
                <w:rFonts w:asciiTheme="majorBidi" w:hAnsiTheme="majorBidi" w:cstheme="majorBidi"/>
                <w:sz w:val="16"/>
                <w:szCs w:val="16"/>
              </w:rPr>
            </w:pPr>
            <w:r w:rsidRPr="0094366B">
              <w:rPr>
                <w:rFonts w:asciiTheme="majorBidi" w:hAnsiTheme="majorBidi" w:cstheme="majorBidi"/>
                <w:sz w:val="16"/>
                <w:szCs w:val="16"/>
              </w:rPr>
              <w:t>2009</w:t>
            </w:r>
          </w:p>
        </w:tc>
        <w:tc>
          <w:tcPr>
            <w:tcW w:w="1560"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Venous thrombotic event (OR)</w:t>
            </w:r>
          </w:p>
        </w:tc>
        <w:tc>
          <w:tcPr>
            <w:tcW w:w="1417"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p>
        </w:tc>
        <w:tc>
          <w:tcPr>
            <w:tcW w:w="1276"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p>
        </w:tc>
        <w:tc>
          <w:tcPr>
            <w:tcW w:w="1417"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4.8 (0.99-23.19)</w:t>
            </w:r>
          </w:p>
        </w:tc>
        <w:tc>
          <w:tcPr>
            <w:tcW w:w="1418"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0.08 (0.02-0.38)</w:t>
            </w:r>
          </w:p>
        </w:tc>
        <w:tc>
          <w:tcPr>
            <w:tcW w:w="1276" w:type="dxa"/>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p>
        </w:tc>
        <w:tc>
          <w:tcPr>
            <w:tcW w:w="1842" w:type="dxa"/>
            <w:gridSpan w:val="2"/>
            <w:tcBorders>
              <w:bottom w:val="single" w:sz="4" w:space="0" w:color="auto"/>
            </w:tcBorders>
          </w:tcPr>
          <w:p w:rsidR="00651F34" w:rsidRPr="00B50E2F" w:rsidRDefault="00651F34"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0.26 (0.06-1.12)</w:t>
            </w:r>
          </w:p>
        </w:tc>
      </w:tr>
      <w:tr w:rsidR="002D772C" w:rsidRPr="00B50E2F" w:rsidTr="004E70E9">
        <w:trPr>
          <w:trHeight w:val="113"/>
        </w:trPr>
        <w:tc>
          <w:tcPr>
            <w:tcW w:w="12015" w:type="dxa"/>
            <w:gridSpan w:val="10"/>
            <w:tcBorders>
              <w:top w:val="single" w:sz="4" w:space="0" w:color="auto"/>
              <w:bottom w:val="single" w:sz="12" w:space="0" w:color="auto"/>
            </w:tcBorders>
          </w:tcPr>
          <w:p w:rsidR="002D772C" w:rsidRPr="00B50E2F" w:rsidRDefault="002D772C" w:rsidP="00B50E2F">
            <w:pPr>
              <w:spacing w:after="0" w:afterAutospacing="0" w:line="240" w:lineRule="auto"/>
              <w:rPr>
                <w:rFonts w:asciiTheme="majorBidi" w:hAnsiTheme="majorBidi" w:cstheme="majorBidi"/>
                <w:sz w:val="16"/>
                <w:szCs w:val="16"/>
              </w:rPr>
            </w:pPr>
            <w:r w:rsidRPr="00B50E2F">
              <w:rPr>
                <w:rFonts w:asciiTheme="majorBidi" w:hAnsiTheme="majorBidi" w:cstheme="majorBidi"/>
                <w:sz w:val="16"/>
                <w:szCs w:val="16"/>
              </w:rPr>
              <w:t>HR Hazard ratios, RR Relative risk; OR Odds ratios; aCL anticardiolipin antibodies</w:t>
            </w:r>
          </w:p>
        </w:tc>
      </w:tr>
    </w:tbl>
    <w:p w:rsidR="002D772C" w:rsidRPr="00873D08" w:rsidRDefault="002D772C" w:rsidP="002D772C">
      <w:pPr>
        <w:rPr>
          <w:rFonts w:asciiTheme="majorBidi" w:hAnsiTheme="majorBidi" w:cstheme="majorBidi"/>
          <w:sz w:val="18"/>
          <w:szCs w:val="18"/>
        </w:rPr>
      </w:pPr>
    </w:p>
    <w:p w:rsidR="002D772C" w:rsidRDefault="002D772C" w:rsidP="002D772C">
      <w:pPr>
        <w:pStyle w:val="DecimalAligned"/>
        <w:sectPr w:rsidR="002D772C" w:rsidSect="006A3B1E">
          <w:pgSz w:w="16838" w:h="11906" w:orient="landscape"/>
          <w:pgMar w:top="1440" w:right="1440" w:bottom="1440" w:left="2268" w:header="708" w:footer="708" w:gutter="0"/>
          <w:cols w:space="708"/>
          <w:docGrid w:linePitch="360"/>
        </w:sectPr>
      </w:pPr>
    </w:p>
    <w:p w:rsidR="002D772C" w:rsidRDefault="002D772C" w:rsidP="002D772C">
      <w:pPr>
        <w:pStyle w:val="Heading4"/>
      </w:pPr>
      <w:r>
        <w:t>Gastrointestinal Organ System</w:t>
      </w:r>
    </w:p>
    <w:p w:rsidR="002D772C" w:rsidRPr="00595C0E" w:rsidRDefault="00E729BA" w:rsidP="002D772C">
      <w:pPr>
        <w:rPr>
          <w:lang w:eastAsia="zh-CN"/>
        </w:rPr>
      </w:pPr>
      <w:r>
        <w:pict>
          <v:rect id="_x0000_s1029" style="width:408.6pt;height:82.55pt;mso-left-percent:-10001;mso-top-percent:-10001;mso-position-horizontal:absolute;mso-position-horizontal-relative:char;mso-position-vertical:absolute;mso-position-vertical-relative:line;mso-left-percent:-10001;mso-top-percent:-10001">
            <v:textbox style="mso-next-textbox:#_x0000_s1029">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Gastrointestinal Organ System</w:t>
                  </w:r>
                </w:p>
                <w:p w:rsidR="00BD2483" w:rsidRPr="000D29D8" w:rsidRDefault="00BD2483" w:rsidP="002D772C">
                  <w:pPr>
                    <w:spacing w:after="0" w:afterAutospacing="0"/>
                    <w:ind w:left="720"/>
                    <w:rPr>
                      <w:i/>
                      <w:iCs/>
                      <w:sz w:val="18"/>
                      <w:szCs w:val="18"/>
                    </w:rPr>
                  </w:pPr>
                  <w:r w:rsidRPr="000D29D8">
                    <w:rPr>
                      <w:i/>
                      <w:iCs/>
                      <w:sz w:val="18"/>
                      <w:szCs w:val="18"/>
                    </w:rPr>
                    <w:t>Infarction or resection of bowel below duodenum</w:t>
                  </w:r>
                </w:p>
                <w:p w:rsidR="00BD2483" w:rsidRPr="000D29D8" w:rsidRDefault="00BD2483" w:rsidP="002D772C">
                  <w:pPr>
                    <w:spacing w:after="0" w:afterAutospacing="0"/>
                    <w:ind w:left="720"/>
                    <w:rPr>
                      <w:i/>
                      <w:iCs/>
                      <w:sz w:val="18"/>
                      <w:szCs w:val="18"/>
                    </w:rPr>
                  </w:pPr>
                  <w:r w:rsidRPr="000D29D8">
                    <w:rPr>
                      <w:i/>
                      <w:iCs/>
                      <w:sz w:val="18"/>
                      <w:szCs w:val="18"/>
                    </w:rPr>
                    <w:t>Mesenteric insufficiency</w:t>
                  </w:r>
                </w:p>
                <w:p w:rsidR="00BD2483" w:rsidRPr="000D29D8" w:rsidRDefault="00BD2483" w:rsidP="002D772C">
                  <w:pPr>
                    <w:spacing w:after="0" w:afterAutospacing="0"/>
                    <w:ind w:left="720"/>
                    <w:rPr>
                      <w:i/>
                      <w:iCs/>
                      <w:sz w:val="18"/>
                      <w:szCs w:val="18"/>
                    </w:rPr>
                  </w:pPr>
                  <w:r w:rsidRPr="000D29D8">
                    <w:rPr>
                      <w:i/>
                      <w:iCs/>
                      <w:sz w:val="18"/>
                      <w:szCs w:val="18"/>
                    </w:rPr>
                    <w:t>Chronic peritonitis</w:t>
                  </w:r>
                </w:p>
                <w:p w:rsidR="00BD2483" w:rsidRPr="000D29D8" w:rsidRDefault="00BD2483" w:rsidP="002D772C">
                  <w:pPr>
                    <w:ind w:left="720"/>
                    <w:rPr>
                      <w:i/>
                      <w:iCs/>
                      <w:sz w:val="18"/>
                      <w:szCs w:val="18"/>
                    </w:rPr>
                  </w:pPr>
                  <w:r w:rsidRPr="000D29D8">
                    <w:rPr>
                      <w:i/>
                      <w:iCs/>
                      <w:sz w:val="18"/>
                      <w:szCs w:val="18"/>
                    </w:rPr>
                    <w:t>Stricture or upper gastrointestinal tract surgery ever</w:t>
                  </w:r>
                </w:p>
                <w:p w:rsidR="00BD2483" w:rsidRPr="00E437F4" w:rsidRDefault="00BD2483" w:rsidP="002D772C"/>
              </w:txbxContent>
            </v:textbox>
            <w10:wrap type="none"/>
            <w10:anchorlock/>
          </v:rect>
        </w:pict>
      </w:r>
    </w:p>
    <w:p w:rsidR="002D772C" w:rsidRDefault="002D772C" w:rsidP="005D65BA">
      <w:r>
        <w:t xml:space="preserve">The evidence from </w:t>
      </w:r>
      <w:fldSimple w:instr=" REF _Ref254596032 \h  \* MERGEFORMAT ">
        <w:r w:rsidR="004911B7">
          <w:t xml:space="preserve">Table </w:t>
        </w:r>
        <w:r w:rsidR="004911B7">
          <w:rPr>
            <w:noProof/>
          </w:rPr>
          <w:t>14</w:t>
        </w:r>
      </w:fldSimple>
      <w:r>
        <w:t xml:space="preserve"> suggests that gastrointestinal damage occurs in a very small proportion of SLE patients. </w:t>
      </w:r>
      <w:fldSimple w:instr=" REF _Ref252459137 \h  \* MERGEFORMAT ">
        <w:r w:rsidR="004911B7">
          <w:t xml:space="preserve">Figure </w:t>
        </w:r>
        <w:r w:rsidR="004911B7">
          <w:rPr>
            <w:noProof/>
          </w:rPr>
          <w:t>8</w:t>
        </w:r>
      </w:fldSimple>
      <w:r>
        <w:t xml:space="preserve"> and </w:t>
      </w:r>
      <w:r w:rsidR="00E729BA">
        <w:fldChar w:fldCharType="begin"/>
      </w:r>
      <w:r>
        <w:instrText xml:space="preserve"> REF _Ref279046656 \h </w:instrText>
      </w:r>
      <w:r w:rsidR="00E729BA">
        <w:fldChar w:fldCharType="separate"/>
      </w:r>
      <w:r w:rsidR="004911B7" w:rsidRPr="002D772C">
        <w:t xml:space="preserve">Figure </w:t>
      </w:r>
      <w:r w:rsidR="004911B7">
        <w:rPr>
          <w:noProof/>
        </w:rPr>
        <w:t>9</w:t>
      </w:r>
      <w:r w:rsidR="00E729BA">
        <w:fldChar w:fldCharType="end"/>
      </w:r>
      <w:r>
        <w:t xml:space="preserve"> show that gastrointestinal system </w:t>
      </w:r>
      <w:r w:rsidR="005D65BA">
        <w:t>damage occurs early in the disease</w:t>
      </w:r>
      <w:r>
        <w:t>. The rate of damage accrual after the first year of the disease is relatively low.</w:t>
      </w:r>
    </w:p>
    <w:p w:rsidR="002D772C" w:rsidRDefault="002D772C" w:rsidP="002D772C">
      <w:pPr>
        <w:pStyle w:val="Heading4"/>
      </w:pPr>
      <w:r>
        <w:t>Musculoskeletal Organ System</w:t>
      </w:r>
    </w:p>
    <w:p w:rsidR="002D772C" w:rsidRPr="00E437F4" w:rsidRDefault="00E729BA" w:rsidP="002D772C">
      <w:pPr>
        <w:rPr>
          <w:lang w:eastAsia="zh-CN"/>
        </w:rPr>
      </w:pPr>
      <w:r>
        <w:rPr>
          <w:lang w:eastAsia="zh-CN"/>
        </w:rPr>
      </w:r>
      <w:r>
        <w:rPr>
          <w:lang w:eastAsia="zh-CN"/>
        </w:rPr>
        <w:pict>
          <v:rect id="_x0000_s1028" style="width:405.15pt;height:103.5pt;mso-left-percent:-10001;mso-top-percent:-10001;mso-position-horizontal:absolute;mso-position-horizontal-relative:char;mso-position-vertical:absolute;mso-position-vertical-relative:line;mso-left-percent:-10001;mso-top-percent:-10001">
            <v:textbox style="mso-next-textbox:#_x0000_s1028">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Musculsoskeletal Organ System</w:t>
                  </w:r>
                </w:p>
                <w:p w:rsidR="00BD2483" w:rsidRPr="000D29D8" w:rsidRDefault="00BD2483" w:rsidP="002D772C">
                  <w:pPr>
                    <w:spacing w:after="0" w:afterAutospacing="0"/>
                    <w:ind w:left="720"/>
                    <w:rPr>
                      <w:i/>
                      <w:iCs/>
                      <w:sz w:val="18"/>
                      <w:szCs w:val="18"/>
                    </w:rPr>
                  </w:pPr>
                  <w:r w:rsidRPr="000D29D8">
                    <w:rPr>
                      <w:i/>
                      <w:iCs/>
                      <w:sz w:val="18"/>
                      <w:szCs w:val="18"/>
                    </w:rPr>
                    <w:t xml:space="preserve">Muscle atrophy or weakness                                                                                                                                                    </w:t>
                  </w:r>
                </w:p>
                <w:p w:rsidR="00BD2483" w:rsidRPr="000D29D8" w:rsidRDefault="00BD2483" w:rsidP="002D772C">
                  <w:pPr>
                    <w:spacing w:after="0" w:afterAutospacing="0"/>
                    <w:ind w:left="720"/>
                    <w:rPr>
                      <w:i/>
                      <w:iCs/>
                      <w:sz w:val="18"/>
                      <w:szCs w:val="18"/>
                    </w:rPr>
                  </w:pPr>
                  <w:r w:rsidRPr="000D29D8">
                    <w:rPr>
                      <w:i/>
                      <w:iCs/>
                      <w:sz w:val="18"/>
                      <w:szCs w:val="18"/>
                    </w:rPr>
                    <w:t xml:space="preserve">Deforming or erosive arthritis                                                                                                                                                                       </w:t>
                  </w:r>
                </w:p>
                <w:p w:rsidR="00BD2483" w:rsidRPr="000D29D8" w:rsidRDefault="00BD2483" w:rsidP="002D772C">
                  <w:pPr>
                    <w:spacing w:after="0" w:afterAutospacing="0"/>
                    <w:ind w:left="720"/>
                    <w:rPr>
                      <w:i/>
                      <w:iCs/>
                      <w:sz w:val="18"/>
                      <w:szCs w:val="18"/>
                    </w:rPr>
                  </w:pPr>
                  <w:r w:rsidRPr="000D29D8">
                    <w:rPr>
                      <w:i/>
                      <w:iCs/>
                      <w:sz w:val="18"/>
                      <w:szCs w:val="18"/>
                    </w:rPr>
                    <w:t xml:space="preserve">Osteoperosis with fracture or vertebral collapse                                                                                                                             </w:t>
                  </w:r>
                </w:p>
                <w:p w:rsidR="00BD2483" w:rsidRPr="000D29D8" w:rsidRDefault="00BD2483" w:rsidP="002D772C">
                  <w:pPr>
                    <w:spacing w:after="0" w:afterAutospacing="0"/>
                    <w:ind w:left="720"/>
                    <w:rPr>
                      <w:i/>
                      <w:iCs/>
                      <w:sz w:val="18"/>
                      <w:szCs w:val="18"/>
                    </w:rPr>
                  </w:pPr>
                  <w:r w:rsidRPr="000D29D8">
                    <w:rPr>
                      <w:i/>
                      <w:iCs/>
                      <w:sz w:val="18"/>
                      <w:szCs w:val="18"/>
                    </w:rPr>
                    <w:t xml:space="preserve">Avascular Necrosis                                                                                                                                                                                 </w:t>
                  </w:r>
                </w:p>
                <w:p w:rsidR="00BD2483" w:rsidRPr="000D29D8" w:rsidRDefault="00BD2483" w:rsidP="002D772C">
                  <w:pPr>
                    <w:ind w:left="720"/>
                    <w:rPr>
                      <w:i/>
                      <w:iCs/>
                      <w:sz w:val="18"/>
                      <w:szCs w:val="18"/>
                    </w:rPr>
                  </w:pPr>
                  <w:r w:rsidRPr="000D29D8">
                    <w:rPr>
                      <w:i/>
                      <w:iCs/>
                      <w:sz w:val="18"/>
                      <w:szCs w:val="18"/>
                    </w:rPr>
                    <w:t>Osteomyelitis</w:t>
                  </w:r>
                </w:p>
                <w:p w:rsidR="00BD2483" w:rsidRPr="00E437F4" w:rsidRDefault="00BD2483" w:rsidP="002D772C"/>
              </w:txbxContent>
            </v:textbox>
            <w10:wrap type="none"/>
            <w10:anchorlock/>
          </v:rect>
        </w:pict>
      </w:r>
    </w:p>
    <w:p w:rsidR="004911B7" w:rsidRDefault="00E729BA" w:rsidP="00B56487">
      <w:fldSimple w:instr=" REF _Ref254596032 \h  \* MERGEFORMAT ">
        <w:r w:rsidR="004911B7">
          <w:t xml:space="preserve">Table </w:t>
        </w:r>
        <w:r w:rsidR="004911B7">
          <w:rPr>
            <w:noProof/>
          </w:rPr>
          <w:t>14</w:t>
        </w:r>
      </w:fldSimple>
      <w:r w:rsidR="002D772C">
        <w:t xml:space="preserve"> illustrates that damage in the musculoskeletal system is common in SLE patients. </w:t>
      </w:r>
      <w:r w:rsidR="00F6410D" w:rsidRPr="001F1AD6">
        <w:t xml:space="preserve">Petri et al. </w:t>
      </w:r>
      <w:r>
        <w:fldChar w:fldCharType="begin"/>
      </w:r>
      <w:r w:rsidR="00FC61FD">
        <w:instrText xml:space="preserve"> ADDIN REFMGR.CITE &lt;Refman&gt;&lt;Cite&gt;&lt;Author&gt;Petri&lt;/Author&gt;&lt;Year&gt;1995&lt;/Year&gt;&lt;RecNum&gt;1395&lt;/RecNum&gt;&lt;IDText&gt;Musculoskeletal complications of systemic lupus erythematosus in the Hopkins Lupus Cohort: an update&lt;/IDText&gt;&lt;MDL Ref_Type="Journal"&gt;&lt;Ref_Type&gt;Journal&lt;/Ref_Type&gt;&lt;Ref_ID&gt;1395&lt;/Ref_ID&gt;&lt;Title_Primary&gt;Musculoskeletal complications of systemic lupus erythematosus in the Hopkins Lupus Cohort: an update&lt;/Title_Primary&gt;&lt;Authors_Primary&gt;Petri,M.&lt;/Authors_Primary&gt;&lt;Date_Primary&gt;1995/9&lt;/Date_Primary&gt;&lt;Keywords&gt;Adult&lt;/Keywords&gt;&lt;Keywords&gt;African Americans&lt;/Keywords&gt;&lt;Keywords&gt;Cohort Studies&lt;/Keywords&gt;&lt;Keywords&gt;complications&lt;/Keywords&gt;&lt;Keywords&gt;diagnosis&lt;/Keywords&gt;&lt;Keywords&gt;erythematosus&lt;/Keywords&gt;&lt;Keywords&gt;etiology&lt;/Keywords&gt;&lt;Keywords&gt;Female&lt;/Keywords&gt;&lt;Keywords&gt;Humans&lt;/Keywords&gt;&lt;Keywords&gt;lupus erythematosus&lt;/Keywords&gt;&lt;Keywords&gt;Lupus Erythematosus,Systemic&lt;/Keywords&gt;&lt;Keywords&gt;Male&lt;/Keywords&gt;&lt;Keywords&gt;methods&lt;/Keywords&gt;&lt;Keywords&gt;Middle Aged&lt;/Keywords&gt;&lt;Keywords&gt;Musculoskeletal Diseases&lt;/Keywords&gt;&lt;Keywords&gt;Musculoskeletal System&lt;/Keywords&gt;&lt;Keywords&gt;Necrosis&lt;/Keywords&gt;&lt;Keywords&gt;Osteoporosis&lt;/Keywords&gt;&lt;Keywords&gt;patient&lt;/Keywords&gt;&lt;Keywords&gt;Patients&lt;/Keywords&gt;&lt;Keywords&gt;Predictive Value of Tests&lt;/Keywords&gt;&lt;Keywords&gt;Prednisone&lt;/Keywords&gt;&lt;Keywords&gt;prevention &amp;amp; control&lt;/Keywords&gt;&lt;Keywords&gt;Risk&lt;/Keywords&gt;&lt;Keywords&gt;Risk Factors&lt;/Keywords&gt;&lt;Keywords&gt;systemic lupus erythematosus&lt;/Keywords&gt;&lt;Keywords&gt;Time&lt;/Keywords&gt;&lt;Keywords&gt;Time Factors&lt;/Keywords&gt;&lt;Reprint&gt;Not in File&lt;/Reprint&gt;&lt;Start_Page&gt;137&lt;/Start_Page&gt;&lt;End_Page&gt;145&lt;/End_Page&gt;&lt;Periodical&gt;Arthritis Care Res.&lt;/Periodical&gt;&lt;Volume&gt;8&lt;/Volume&gt;&lt;Issue&gt;3&lt;/Issue&gt;&lt;User_Def_1&gt;y&lt;/User_Def_1&gt;&lt;ZZ_JournalStdAbbrev&gt;&lt;f name="System"&gt;Arthritis Care Res.&lt;/f&gt;&lt;/ZZ_JournalStdAbbrev&gt;&lt;ZZ_WorkformID&gt;1&lt;/ZZ_WorkformID&gt;&lt;/MDL&gt;&lt;/Cite&gt;&lt;/Refman&gt;</w:instrText>
      </w:r>
      <w:r>
        <w:fldChar w:fldCharType="separate"/>
      </w:r>
      <w:r w:rsidR="00F6410D" w:rsidRPr="001F1AD6">
        <w:t>(170)</w:t>
      </w:r>
      <w:r>
        <w:fldChar w:fldCharType="end"/>
      </w:r>
      <w:r w:rsidR="00F6410D" w:rsidRPr="001F1AD6">
        <w:t xml:space="preserve"> find that avascular necrosis (osteonecrosis) as the most common musculoskeletal complication in SLE patients affecting 14.5% of patients. </w:t>
      </w:r>
      <w:r>
        <w:fldChar w:fldCharType="begin"/>
      </w:r>
      <w:r w:rsidR="0094366B">
        <w:instrText xml:space="preserve"> REF _Ref332028800 \h </w:instrText>
      </w:r>
      <w:r>
        <w:fldChar w:fldCharType="separate"/>
      </w:r>
    </w:p>
    <w:p w:rsidR="005D65BA" w:rsidRDefault="004911B7" w:rsidP="00B56487">
      <w:r>
        <w:t xml:space="preserve">Table </w:t>
      </w:r>
      <w:r>
        <w:rPr>
          <w:noProof/>
        </w:rPr>
        <w:t>18</w:t>
      </w:r>
      <w:r w:rsidR="00E729BA">
        <w:fldChar w:fldCharType="end"/>
      </w:r>
      <w:r w:rsidR="002D772C">
        <w:t xml:space="preserve"> reports the odds ratios</w:t>
      </w:r>
      <w:r w:rsidR="009602B1">
        <w:t xml:space="preserve"> </w:t>
      </w:r>
      <w:r w:rsidR="002D772C">
        <w:t xml:space="preserve">for </w:t>
      </w:r>
      <w:r w:rsidR="00B56487">
        <w:t>logistic regression for</w:t>
      </w:r>
      <w:r w:rsidR="002D772C">
        <w:t xml:space="preserve"> musculoskeletal damage and related events.</w:t>
      </w:r>
      <w:bookmarkStart w:id="223" w:name="_Ref332028800"/>
    </w:p>
    <w:p w:rsidR="002D772C" w:rsidRDefault="002D772C" w:rsidP="00234693">
      <w:pPr>
        <w:pStyle w:val="Caption"/>
      </w:pPr>
      <w:r>
        <w:t xml:space="preserve">Table </w:t>
      </w:r>
      <w:fldSimple w:instr=" SEQ Table \* ARABIC ">
        <w:r w:rsidR="004911B7">
          <w:rPr>
            <w:noProof/>
          </w:rPr>
          <w:t>18</w:t>
        </w:r>
      </w:fldSimple>
      <w:bookmarkEnd w:id="223"/>
      <w:r>
        <w:t>:</w:t>
      </w:r>
      <w:r w:rsidRPr="005773F2">
        <w:t xml:space="preserve"> </w:t>
      </w:r>
      <w:r>
        <w:t>Odds ratios with confidence intervals estimated for risk factors for musculoskeletal damage</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28" w:type="dxa"/>
          <w:right w:w="28" w:type="dxa"/>
        </w:tblCellMar>
        <w:tblLook w:val="04A0"/>
      </w:tblPr>
      <w:tblGrid>
        <w:gridCol w:w="811"/>
        <w:gridCol w:w="396"/>
        <w:gridCol w:w="1373"/>
        <w:gridCol w:w="992"/>
        <w:gridCol w:w="851"/>
        <w:gridCol w:w="850"/>
        <w:gridCol w:w="1559"/>
        <w:gridCol w:w="851"/>
      </w:tblGrid>
      <w:tr w:rsidR="009A48D5" w:rsidRPr="004E70E9" w:rsidTr="004E70E9">
        <w:tc>
          <w:tcPr>
            <w:tcW w:w="811" w:type="dxa"/>
            <w:tcBorders>
              <w:top w:val="single" w:sz="12" w:space="0" w:color="auto"/>
              <w:bottom w:val="single" w:sz="4" w:space="0" w:color="auto"/>
            </w:tcBorders>
          </w:tcPr>
          <w:p w:rsidR="002D772C" w:rsidRPr="004E70E9" w:rsidRDefault="002D772C" w:rsidP="004E70E9">
            <w:pPr>
              <w:pStyle w:val="ListParagraph1"/>
              <w:rPr>
                <w:rFonts w:asciiTheme="majorBidi" w:hAnsiTheme="majorBidi" w:cstheme="majorBidi"/>
                <w:sz w:val="17"/>
                <w:szCs w:val="17"/>
              </w:rPr>
            </w:pPr>
            <w:r w:rsidRPr="004E70E9">
              <w:rPr>
                <w:rFonts w:asciiTheme="majorBidi" w:hAnsiTheme="majorBidi" w:cstheme="majorBidi"/>
                <w:sz w:val="17"/>
                <w:szCs w:val="17"/>
              </w:rPr>
              <w:t>First Author name</w:t>
            </w:r>
          </w:p>
        </w:tc>
        <w:tc>
          <w:tcPr>
            <w:tcW w:w="396" w:type="dxa"/>
            <w:tcBorders>
              <w:top w:val="single" w:sz="12" w:space="0" w:color="auto"/>
              <w:bottom w:val="single" w:sz="4" w:space="0" w:color="auto"/>
            </w:tcBorders>
          </w:tcPr>
          <w:p w:rsidR="002D772C" w:rsidRPr="004E70E9" w:rsidRDefault="002D772C" w:rsidP="004E70E9">
            <w:pPr>
              <w:pStyle w:val="ListParagraph1"/>
              <w:rPr>
                <w:rFonts w:asciiTheme="majorBidi" w:hAnsiTheme="majorBidi" w:cstheme="majorBidi"/>
                <w:sz w:val="17"/>
                <w:szCs w:val="17"/>
              </w:rPr>
            </w:pPr>
            <w:r w:rsidRPr="004E70E9">
              <w:rPr>
                <w:rFonts w:asciiTheme="majorBidi" w:hAnsiTheme="majorBidi" w:cstheme="majorBidi"/>
                <w:sz w:val="17"/>
                <w:szCs w:val="17"/>
              </w:rPr>
              <w:t>Date</w:t>
            </w:r>
          </w:p>
        </w:tc>
        <w:tc>
          <w:tcPr>
            <w:tcW w:w="1373" w:type="dxa"/>
            <w:tcBorders>
              <w:top w:val="single" w:sz="12" w:space="0" w:color="auto"/>
              <w:bottom w:val="single" w:sz="4" w:space="0" w:color="auto"/>
            </w:tcBorders>
          </w:tcPr>
          <w:p w:rsidR="002D772C" w:rsidRPr="004E70E9" w:rsidRDefault="002D772C" w:rsidP="004E70E9">
            <w:pPr>
              <w:pStyle w:val="ListParagraph1"/>
              <w:rPr>
                <w:rFonts w:asciiTheme="majorBidi" w:hAnsiTheme="majorBidi" w:cstheme="majorBidi"/>
                <w:sz w:val="17"/>
                <w:szCs w:val="17"/>
              </w:rPr>
            </w:pPr>
            <w:r w:rsidRPr="004E70E9">
              <w:rPr>
                <w:rFonts w:asciiTheme="majorBidi" w:hAnsiTheme="majorBidi" w:cstheme="majorBidi"/>
                <w:sz w:val="17"/>
                <w:szCs w:val="17"/>
              </w:rPr>
              <w:t>Damage outcome</w:t>
            </w:r>
          </w:p>
        </w:tc>
        <w:tc>
          <w:tcPr>
            <w:tcW w:w="992" w:type="dxa"/>
            <w:tcBorders>
              <w:top w:val="single" w:sz="12" w:space="0" w:color="auto"/>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Disease Activity</w:t>
            </w:r>
          </w:p>
        </w:tc>
        <w:tc>
          <w:tcPr>
            <w:tcW w:w="851" w:type="dxa"/>
            <w:tcBorders>
              <w:top w:val="single" w:sz="12" w:space="0" w:color="auto"/>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Age</w:t>
            </w:r>
          </w:p>
        </w:tc>
        <w:tc>
          <w:tcPr>
            <w:tcW w:w="850" w:type="dxa"/>
            <w:tcBorders>
              <w:top w:val="single" w:sz="12" w:space="0" w:color="auto"/>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Steroids</w:t>
            </w:r>
          </w:p>
        </w:tc>
        <w:tc>
          <w:tcPr>
            <w:tcW w:w="1559" w:type="dxa"/>
            <w:tcBorders>
              <w:top w:val="single" w:sz="12" w:space="0" w:color="auto"/>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Immunosuppressants</w:t>
            </w:r>
          </w:p>
        </w:tc>
        <w:tc>
          <w:tcPr>
            <w:tcW w:w="851" w:type="dxa"/>
            <w:tcBorders>
              <w:top w:val="single" w:sz="12" w:space="0" w:color="auto"/>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 xml:space="preserve">Arthritis </w:t>
            </w:r>
          </w:p>
        </w:tc>
      </w:tr>
      <w:tr w:rsidR="009A48D5" w:rsidRPr="004E70E9" w:rsidTr="004E70E9">
        <w:tc>
          <w:tcPr>
            <w:tcW w:w="811"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Stoll</w:t>
            </w:r>
            <w:r w:rsidR="00680ED8" w:rsidRPr="004E70E9">
              <w:rPr>
                <w:rFonts w:asciiTheme="majorBidi" w:hAnsiTheme="majorBidi" w:cstheme="majorBidi"/>
                <w:sz w:val="17"/>
                <w:szCs w:val="17"/>
              </w:rPr>
              <w:t xml:space="preserve"> </w:t>
            </w:r>
            <w:r w:rsidR="00E729BA" w:rsidRPr="004E70E9">
              <w:rPr>
                <w:rFonts w:asciiTheme="majorBidi" w:hAnsiTheme="majorBidi" w:cstheme="majorBidi"/>
                <w:sz w:val="17"/>
                <w:szCs w:val="17"/>
              </w:rPr>
              <w:fldChar w:fldCharType="begin"/>
            </w:r>
            <w:r w:rsidR="00FC61FD">
              <w:rPr>
                <w:rFonts w:asciiTheme="majorBidi" w:hAnsiTheme="majorBidi" w:cstheme="majorBidi"/>
                <w:sz w:val="17"/>
                <w:szCs w:val="17"/>
              </w:rPr>
              <w:instrText xml:space="preserve"> ADDIN REFMGR.CITE &lt;Refman&gt;&lt;Cite&gt;&lt;Author&gt;Stoll&lt;/Author&gt;&lt;Year&gt;2000&lt;/Year&gt;&lt;RecNum&gt;1024&lt;/RecNum&gt;&lt;IDText&gt;Do present damage and health perception in patients with systemic lupus erythematosus predict extent of future damage?: a prospective study&lt;/IDText&gt;&lt;MDL Ref_Type="Journal"&gt;&lt;Ref_Type&gt;Journal&lt;/Ref_Type&gt;&lt;Ref_ID&gt;1024&lt;/Ref_ID&gt;&lt;Title_Primary&gt;Do present damage and health perception in patients with systemic lupus erythematosus predict extent of future damage?: a prospective study&lt;/Title_Primary&gt;&lt;Authors_Primary&gt;Stoll,T.&lt;/Authors_Primary&gt;&lt;Authors_Primary&gt;Sutcliffe,N.&lt;/Authors_Primary&gt;&lt;Authors_Primary&gt;Klaghofer,R.&lt;/Authors_Primary&gt;&lt;Authors_Primary&gt;Isenberg,D.A.&lt;/Authors_Primary&gt;&lt;Date_Primary&gt;2000/10&lt;/Date_Primary&gt;&lt;Keywords&gt;Adult&lt;/Keywords&gt;&lt;Keywords&gt;age&lt;/Keywords&gt;&lt;Keywords&gt;analysis&lt;/Keywords&gt;&lt;Keywords&gt;Disease&lt;/Keywords&gt;&lt;Keywords&gt;Disease Progression&lt;/Keywords&gt;&lt;Keywords&gt;erythematosus&lt;/Keywords&gt;&lt;Keywords&gt;Fatigue&lt;/Keywords&gt;&lt;Keywords&gt;Female&lt;/Keywords&gt;&lt;Keywords&gt;Health&lt;/Keywords&gt;&lt;Keywords&gt;Health Status&lt;/Keywords&gt;&lt;Keywords&gt;Humans&lt;/Keywords&gt;&lt;Keywords&gt;Longitudinal Studies&lt;/Keywords&gt;&lt;Keywords&gt;lupus erythematosus&lt;/Keywords&gt;&lt;Keywords&gt;Lupus Erythematosus,Systemic&lt;/Keywords&gt;&lt;Keywords&gt;Male&lt;/Keywords&gt;&lt;Keywords&gt;Mental Health&lt;/Keywords&gt;&lt;Keywords&gt;methods&lt;/Keywords&gt;&lt;Keywords&gt;Odds Ratio&lt;/Keywords&gt;&lt;Keywords&gt;Pain&lt;/Keywords&gt;&lt;Keywords&gt;pathology&lt;/Keywords&gt;&lt;Keywords&gt;patient&lt;/Keywords&gt;&lt;Keywords&gt;Patients&lt;/Keywords&gt;&lt;Keywords&gt;Perception&lt;/Keywords&gt;&lt;Keywords&gt;Predictive Value of Tests&lt;/Keywords&gt;&lt;Keywords&gt;Prospective Studies&lt;/Keywords&gt;&lt;Keywords&gt;psychology&lt;/Keywords&gt;&lt;Keywords&gt;Regression Analysis&lt;/Keywords&gt;&lt;Keywords&gt;systemic lupus erythematosus&lt;/Keywords&gt;&lt;Reprint&gt;Not in File&lt;/Reprint&gt;&lt;Start_Page&gt;832&lt;/Start_Page&gt;&lt;End_Page&gt;835&lt;/End_Page&gt;&lt;Periodical&gt;Ann.Rheum.Dis.&lt;/Periodical&gt;&lt;Volume&gt;59&lt;/Volume&gt;&lt;Issue&gt;10&lt;/Issue&gt;&lt;User_Def_1&gt;y&lt;/User_Def_1&gt;&lt;ZZ_JournalStdAbbrev&gt;&lt;f name="System"&gt;Ann.Rheum.Dis.&lt;/f&gt;&lt;/ZZ_JournalStdAbbrev&gt;&lt;ZZ_WorkformID&gt;1&lt;/ZZ_WorkformID&gt;&lt;/MDL&gt;&lt;/Cite&gt;&lt;/Refman&gt;</w:instrText>
            </w:r>
            <w:r w:rsidR="00E729BA" w:rsidRPr="004E70E9">
              <w:rPr>
                <w:rFonts w:asciiTheme="majorBidi" w:hAnsiTheme="majorBidi" w:cstheme="majorBidi"/>
                <w:sz w:val="17"/>
                <w:szCs w:val="17"/>
              </w:rPr>
              <w:fldChar w:fldCharType="separate"/>
            </w:r>
            <w:r w:rsidR="004D7951">
              <w:rPr>
                <w:rFonts w:asciiTheme="majorBidi" w:hAnsiTheme="majorBidi" w:cstheme="majorBidi"/>
                <w:sz w:val="17"/>
                <w:szCs w:val="17"/>
              </w:rPr>
              <w:t>(179)</w:t>
            </w:r>
            <w:r w:rsidR="00E729BA" w:rsidRPr="004E70E9">
              <w:rPr>
                <w:rFonts w:asciiTheme="majorBidi" w:hAnsiTheme="majorBidi" w:cstheme="majorBidi"/>
                <w:sz w:val="17"/>
                <w:szCs w:val="17"/>
              </w:rPr>
              <w:fldChar w:fldCharType="end"/>
            </w:r>
          </w:p>
        </w:tc>
        <w:tc>
          <w:tcPr>
            <w:tcW w:w="396"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2001</w:t>
            </w:r>
          </w:p>
        </w:tc>
        <w:tc>
          <w:tcPr>
            <w:tcW w:w="1373"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Musculoskeletal damage (OR)</w:t>
            </w:r>
          </w:p>
        </w:tc>
        <w:tc>
          <w:tcPr>
            <w:tcW w:w="992" w:type="dxa"/>
            <w:tcBorders>
              <w:top w:val="single" w:sz="4" w:space="0" w:color="auto"/>
            </w:tcBorders>
          </w:tcPr>
          <w:p w:rsid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 xml:space="preserve">2.26 </w:t>
            </w:r>
          </w:p>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w:t>
            </w:r>
            <w:r w:rsidRPr="004E70E9">
              <w:rPr>
                <w:rFonts w:asciiTheme="majorBidi" w:hAnsiTheme="majorBidi" w:cstheme="majorBidi"/>
                <w:sz w:val="17"/>
                <w:szCs w:val="17"/>
                <w:lang w:eastAsia="zh-CN" w:bidi="ar-SA"/>
              </w:rPr>
              <w:t>0.65–10.32)</w:t>
            </w:r>
          </w:p>
        </w:tc>
        <w:tc>
          <w:tcPr>
            <w:tcW w:w="851"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lang w:eastAsia="zh-CN" w:bidi="ar-SA"/>
              </w:rPr>
              <w:t>0.885 (0.78–1.00)</w:t>
            </w:r>
          </w:p>
        </w:tc>
        <w:tc>
          <w:tcPr>
            <w:tcW w:w="850"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c>
          <w:tcPr>
            <w:tcW w:w="1559"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c>
          <w:tcPr>
            <w:tcW w:w="851" w:type="dxa"/>
            <w:tcBorders>
              <w:top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r>
      <w:tr w:rsidR="009A48D5" w:rsidRPr="004E70E9" w:rsidTr="004E70E9">
        <w:tc>
          <w:tcPr>
            <w:tcW w:w="811" w:type="dxa"/>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Gladman</w:t>
            </w:r>
            <w:r w:rsidR="00680ED8" w:rsidRPr="004E70E9">
              <w:rPr>
                <w:rFonts w:asciiTheme="majorBidi" w:hAnsiTheme="majorBidi" w:cstheme="majorBidi"/>
                <w:sz w:val="17"/>
                <w:szCs w:val="17"/>
              </w:rPr>
              <w:t xml:space="preserve"> </w:t>
            </w:r>
            <w:r w:rsidR="00E729BA" w:rsidRPr="004E70E9">
              <w:rPr>
                <w:rFonts w:asciiTheme="majorBidi" w:hAnsiTheme="majorBidi" w:cstheme="majorBidi"/>
                <w:sz w:val="17"/>
                <w:szCs w:val="17"/>
              </w:rPr>
              <w:fldChar w:fldCharType="begin"/>
            </w:r>
            <w:r w:rsidR="00FC61FD">
              <w:rPr>
                <w:rFonts w:asciiTheme="majorBidi" w:hAnsiTheme="majorBidi" w:cstheme="majorBidi"/>
                <w:sz w:val="17"/>
                <w:szCs w:val="17"/>
              </w:rPr>
              <w:instrText xml:space="preserve"> ADDIN REFMGR.CITE &lt;Refman&gt;&lt;Cite&gt;&lt;Author&gt;Gladman&lt;/Author&gt;&lt;Year&gt;2001&lt;/Year&gt;&lt;RecNum&gt;978&lt;/RecNum&gt;&lt;IDText&gt;Predictive factors for symptomatic osteonecrosis in patients with systemic lupus erythematosus&lt;/IDText&gt;&lt;MDL Ref_Type="Journal"&gt;&lt;Ref_Type&gt;Journal&lt;/Ref_Type&gt;&lt;Ref_ID&gt;978&lt;/Ref_ID&gt;&lt;Title_Primary&gt;Predictive factors for symptomatic osteonecrosis in patients with systemic lupus erythematosus&lt;/Title_Primary&gt;&lt;Authors_Primary&gt;Gladman,D.D.&lt;/Authors_Primary&gt;&lt;Authors_Primary&gt;Urowitz,M.B.&lt;/Authors_Primary&gt;&lt;Authors_Primary&gt;Chaudhry-Ahluwalia,V.&lt;/Authors_Primary&gt;&lt;Authors_Primary&gt;Hallet,D.C.&lt;/Authors_Primary&gt;&lt;Authors_Primary&gt;Cook,R.J.&lt;/Authors_Primary&gt;&lt;Date_Primary&gt;2001/4&lt;/Date_Primary&gt;&lt;Keywords&gt;Adolescent&lt;/Keywords&gt;&lt;Keywords&gt;Adult&lt;/Keywords&gt;&lt;Keywords&gt;Aged&lt;/Keywords&gt;&lt;Keywords&gt;analysis&lt;/Keywords&gt;&lt;Keywords&gt;Arthritis&lt;/Keywords&gt;&lt;Keywords&gt;Child&lt;/Keywords&gt;&lt;Keywords&gt;Cohort Studies&lt;/Keywords&gt;&lt;Keywords&gt;complications&lt;/Keywords&gt;&lt;Keywords&gt;Cytotoxins&lt;/Keywords&gt;&lt;Keywords&gt;diagnosis&lt;/Keywords&gt;&lt;Keywords&gt;Disease&lt;/Keywords&gt;&lt;Keywords&gt;Dose-Response Relationship,Drug&lt;/Keywords&gt;&lt;Keywords&gt;Drug Administration Schedule&lt;/Keywords&gt;&lt;Keywords&gt;drug therapy&lt;/Keywords&gt;&lt;Keywords&gt;erythematosus&lt;/Keywords&gt;&lt;Keywords&gt;etiology&lt;/Keywords&gt;&lt;Keywords&gt;Female&lt;/Keywords&gt;&lt;Keywords&gt;Glucocorticoids&lt;/Keywords&gt;&lt;Keywords&gt;Health&lt;/Keywords&gt;&lt;Keywords&gt;hospital&lt;/Keywords&gt;&lt;Keywords&gt;Humans&lt;/Keywords&gt;&lt;Keywords&gt;lupus erythematosus&lt;/Keywords&gt;&lt;Keywords&gt;Lupus Erythematosus,Systemic&lt;/Keywords&gt;&lt;Keywords&gt;Magnetic Resonance Imaging&lt;/Keywords&gt;&lt;Keywords&gt;methods&lt;/Keywords&gt;&lt;Keywords&gt;Middle Aged&lt;/Keywords&gt;&lt;Keywords&gt;Multivariate Analysis&lt;/Keywords&gt;&lt;Keywords&gt;Ontario&lt;/Keywords&gt;&lt;Keywords&gt;Osteonecrosis&lt;/Keywords&gt;&lt;Keywords&gt;patient&lt;/Keywords&gt;&lt;Keywords&gt;Patients&lt;/Keywords&gt;&lt;Keywords&gt;Prognosis&lt;/Keywords&gt;&lt;Keywords&gt;Rheumatic Diseases&lt;/Keywords&gt;&lt;Keywords&gt;Risk&lt;/Keywords&gt;&lt;Keywords&gt;Risk Factors&lt;/Keywords&gt;&lt;Keywords&gt;sex&lt;/Keywords&gt;&lt;Keywords&gt;systemic lupus erythematosus&lt;/Keywords&gt;&lt;Keywords&gt;therapeutic use&lt;/Keywords&gt;&lt;Keywords&gt;therapy&lt;/Keywords&gt;&lt;Reprint&gt;Not in File&lt;/Reprint&gt;&lt;Start_Page&gt;761&lt;/Start_Page&gt;&lt;End_Page&gt;765&lt;/End_Page&gt;&lt;Periodical&gt;J.Rheumatol.&lt;/Periodical&gt;&lt;Volume&gt;28&lt;/Volume&gt;&lt;Issue&gt;4&lt;/Issue&gt;&lt;User_Def_1&gt;y&lt;/User_Def_1&gt;&lt;ZZ_JournalStdAbbrev&gt;&lt;f name="System"&gt;J.Rheumatol.&lt;/f&gt;&lt;/ZZ_JournalStdAbbrev&gt;&lt;ZZ_WorkformID&gt;1&lt;/ZZ_WorkformID&gt;&lt;/MDL&gt;&lt;/Cite&gt;&lt;/Refman&gt;</w:instrText>
            </w:r>
            <w:r w:rsidR="00E729BA" w:rsidRPr="004E70E9">
              <w:rPr>
                <w:rFonts w:asciiTheme="majorBidi" w:hAnsiTheme="majorBidi" w:cstheme="majorBidi"/>
                <w:sz w:val="17"/>
                <w:szCs w:val="17"/>
              </w:rPr>
              <w:fldChar w:fldCharType="separate"/>
            </w:r>
            <w:r w:rsidR="004D7951">
              <w:rPr>
                <w:rFonts w:asciiTheme="majorBidi" w:hAnsiTheme="majorBidi" w:cstheme="majorBidi"/>
                <w:sz w:val="17"/>
                <w:szCs w:val="17"/>
              </w:rPr>
              <w:t>(199)</w:t>
            </w:r>
            <w:r w:rsidR="00E729BA" w:rsidRPr="004E70E9">
              <w:rPr>
                <w:rFonts w:asciiTheme="majorBidi" w:hAnsiTheme="majorBidi" w:cstheme="majorBidi"/>
                <w:sz w:val="17"/>
                <w:szCs w:val="17"/>
              </w:rPr>
              <w:fldChar w:fldCharType="end"/>
            </w:r>
          </w:p>
        </w:tc>
        <w:tc>
          <w:tcPr>
            <w:tcW w:w="396" w:type="dxa"/>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2001</w:t>
            </w:r>
          </w:p>
        </w:tc>
        <w:tc>
          <w:tcPr>
            <w:tcW w:w="1373" w:type="dxa"/>
          </w:tcPr>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Osteonecrosis (OR)</w:t>
            </w:r>
          </w:p>
        </w:tc>
        <w:tc>
          <w:tcPr>
            <w:tcW w:w="992" w:type="dxa"/>
          </w:tcPr>
          <w:p w:rsidR="002D772C" w:rsidRPr="004E70E9" w:rsidRDefault="002D772C" w:rsidP="004E70E9">
            <w:pPr>
              <w:spacing w:after="0" w:afterAutospacing="0" w:line="240" w:lineRule="auto"/>
              <w:rPr>
                <w:rFonts w:asciiTheme="majorBidi" w:hAnsiTheme="majorBidi" w:cstheme="majorBidi"/>
                <w:sz w:val="17"/>
                <w:szCs w:val="17"/>
              </w:rPr>
            </w:pPr>
          </w:p>
        </w:tc>
        <w:tc>
          <w:tcPr>
            <w:tcW w:w="851" w:type="dxa"/>
          </w:tcPr>
          <w:p w:rsidR="002D772C" w:rsidRPr="004E70E9" w:rsidRDefault="002D772C" w:rsidP="004E70E9">
            <w:pPr>
              <w:spacing w:after="0" w:afterAutospacing="0" w:line="240" w:lineRule="auto"/>
              <w:rPr>
                <w:rFonts w:asciiTheme="majorBidi" w:hAnsiTheme="majorBidi" w:cstheme="majorBidi"/>
                <w:sz w:val="17"/>
                <w:szCs w:val="17"/>
              </w:rPr>
            </w:pPr>
          </w:p>
        </w:tc>
        <w:tc>
          <w:tcPr>
            <w:tcW w:w="850" w:type="dxa"/>
          </w:tcPr>
          <w:p w:rsid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18.5</w:t>
            </w:r>
          </w:p>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(3.2-359.6)</w:t>
            </w:r>
          </w:p>
        </w:tc>
        <w:tc>
          <w:tcPr>
            <w:tcW w:w="1559" w:type="dxa"/>
          </w:tcPr>
          <w:p w:rsidR="004E70E9" w:rsidRDefault="002D772C" w:rsidP="004E70E9">
            <w:pPr>
              <w:spacing w:after="0" w:afterAutospacing="0" w:line="240" w:lineRule="auto"/>
              <w:rPr>
                <w:sz w:val="17"/>
                <w:szCs w:val="17"/>
              </w:rPr>
            </w:pPr>
            <w:r w:rsidRPr="004E70E9">
              <w:rPr>
                <w:sz w:val="17"/>
                <w:szCs w:val="17"/>
              </w:rPr>
              <w:t xml:space="preserve">2.7 </w:t>
            </w:r>
          </w:p>
          <w:p w:rsidR="002D772C" w:rsidRPr="004E70E9" w:rsidRDefault="002D772C" w:rsidP="004E70E9">
            <w:pPr>
              <w:spacing w:after="0" w:afterAutospacing="0" w:line="240" w:lineRule="auto"/>
              <w:rPr>
                <w:rFonts w:asciiTheme="majorBidi" w:hAnsiTheme="majorBidi" w:cstheme="majorBidi"/>
                <w:sz w:val="17"/>
                <w:szCs w:val="17"/>
              </w:rPr>
            </w:pPr>
            <w:r w:rsidRPr="004E70E9">
              <w:rPr>
                <w:sz w:val="17"/>
                <w:szCs w:val="17"/>
              </w:rPr>
              <w:t>(1.02-8.8)</w:t>
            </w:r>
          </w:p>
        </w:tc>
        <w:tc>
          <w:tcPr>
            <w:tcW w:w="851" w:type="dxa"/>
          </w:tcPr>
          <w:p w:rsidR="004E70E9" w:rsidRDefault="002D772C" w:rsidP="004E70E9">
            <w:pPr>
              <w:spacing w:after="0" w:afterAutospacing="0" w:line="240" w:lineRule="auto"/>
              <w:rPr>
                <w:sz w:val="17"/>
                <w:szCs w:val="17"/>
              </w:rPr>
            </w:pPr>
            <w:r w:rsidRPr="004E70E9">
              <w:rPr>
                <w:sz w:val="17"/>
                <w:szCs w:val="17"/>
              </w:rPr>
              <w:t xml:space="preserve">4.2 </w:t>
            </w:r>
          </w:p>
          <w:p w:rsidR="002D772C" w:rsidRPr="004E70E9" w:rsidRDefault="002D772C" w:rsidP="004E70E9">
            <w:pPr>
              <w:spacing w:after="0" w:afterAutospacing="0" w:line="240" w:lineRule="auto"/>
              <w:rPr>
                <w:rFonts w:asciiTheme="majorBidi" w:hAnsiTheme="majorBidi" w:cstheme="majorBidi"/>
                <w:sz w:val="17"/>
                <w:szCs w:val="17"/>
              </w:rPr>
            </w:pPr>
            <w:r w:rsidRPr="004E70E9">
              <w:rPr>
                <w:sz w:val="17"/>
                <w:szCs w:val="17"/>
              </w:rPr>
              <w:t>(1.6-13.7)</w:t>
            </w:r>
          </w:p>
        </w:tc>
      </w:tr>
      <w:tr w:rsidR="009A48D5" w:rsidRPr="004E70E9" w:rsidTr="004E70E9">
        <w:tc>
          <w:tcPr>
            <w:tcW w:w="811" w:type="dxa"/>
            <w:tcBorders>
              <w:bottom w:val="single" w:sz="4" w:space="0" w:color="auto"/>
            </w:tcBorders>
          </w:tcPr>
          <w:p w:rsidR="002D772C" w:rsidRPr="00771117"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lang w:val="fr-CA"/>
              </w:rPr>
              <w:t>Calvo-Allen</w:t>
            </w:r>
            <w:r w:rsidR="00680ED8" w:rsidRPr="004E70E9">
              <w:rPr>
                <w:rFonts w:asciiTheme="majorBidi" w:hAnsiTheme="majorBidi" w:cstheme="majorBidi"/>
                <w:sz w:val="17"/>
                <w:szCs w:val="17"/>
                <w:lang w:val="fr-CA"/>
              </w:rPr>
              <w:t xml:space="preserve"> </w:t>
            </w:r>
            <w:r w:rsidR="00E729BA" w:rsidRPr="004E70E9">
              <w:rPr>
                <w:rFonts w:asciiTheme="majorBidi" w:hAnsiTheme="majorBidi" w:cstheme="majorBidi"/>
                <w:sz w:val="17"/>
                <w:szCs w:val="17"/>
                <w:lang w:val="fr-CA"/>
              </w:rPr>
              <w:fldChar w:fldCharType="begin"/>
            </w:r>
            <w:r w:rsidR="00FC61FD">
              <w:rPr>
                <w:rFonts w:asciiTheme="majorBidi" w:hAnsiTheme="majorBidi" w:cstheme="majorBidi"/>
                <w:sz w:val="17"/>
                <w:szCs w:val="17"/>
                <w:lang w:val="fr-CA"/>
              </w:rPr>
              <w:instrText xml:space="preserve"> ADDIN REFMGR.CITE &lt;Refman&gt;&lt;Cite&gt;&lt;Author&gt;Calvo-Alen&lt;/Author&gt;&lt;Year&gt;2006&lt;/Year&gt;&lt;RecNum&gt;441&lt;/RecNum&gt;&lt;IDText&gt;Systemic lupus erythematosus in a multiethnic US cohort (LUMINA): XXIV. Cytotoxic treatment is an additional risk factor for the development of symptomatic osteonecrosis in lupus patients: results of a nested matched case-control study&lt;/IDText&gt;&lt;MDL Ref_Type="Journal"&gt;&lt;Ref_Type&gt;Journal&lt;/Ref_Type&gt;&lt;Ref_ID&gt;441&lt;/Ref_ID&gt;&lt;Title_Primary&gt;Systemic lupus erythematosus in a multiethnic US cohort (LUMINA): XXIV. Cytotoxic treatment is an additional risk factor for the development of symptomatic osteonecrosis in lupus patients: results of a nested matched case-control study&lt;/Title_Primary&gt;&lt;Authors_Primary&gt;Calvo-Alen,J.&lt;/Authors_Primary&gt;&lt;Authors_Primary&gt;McGwin,G.&lt;/Authors_Primary&gt;&lt;Authors_Primary&gt;Toloza,S.&lt;/Authors_Primary&gt;&lt;Authors_Primary&gt;Fernandez,M.&lt;/Authors_Primary&gt;&lt;Authors_Primary&gt;Roseman,J.M.&lt;/Authors_Primary&gt;&lt;Authors_Primary&gt;Bastian,H.M.&lt;/Authors_Primary&gt;&lt;Authors_Primary&gt;Cepeda,E.J.&lt;/Authors_Primary&gt;&lt;Authors_Primary&gt;Gonzalez,E.B.&lt;/Authors_Primary&gt;&lt;Authors_Primary&gt;Baethge,B.A.&lt;/Authors_Primary&gt;&lt;Authors_Primary&gt;Fessler,B.J.&lt;/Authors_Primary&gt;&lt;Authors_Primary&gt;Vila,L.M.&lt;/Authors_Primary&gt;&lt;Authors_Primary&gt;Reveille,J.D.&lt;/Authors_Primary&gt;&lt;Authors_Primary&gt;Alarcon,G.S.&lt;/Authors_Primary&gt;&lt;Date_Primary&gt;2006/6&lt;/Date_Primary&gt;&lt;Keywords&gt;Adult&lt;/Keywords&gt;&lt;Keywords&gt;adverse effects&lt;/Keywords&gt;&lt;Keywords&gt;African Americans&lt;/Keywords&gt;&lt;Keywords&gt;age&lt;/Keywords&gt;&lt;Keywords&gt;Alabama&lt;/Keywords&gt;&lt;Keywords&gt;Antibiotics,Antineoplastic&lt;/Keywords&gt;&lt;Keywords&gt;Case-Control Studies&lt;/Keywords&gt;&lt;Keywords&gt;complications&lt;/Keywords&gt;&lt;Keywords&gt;diagnosis&lt;/Keywords&gt;&lt;Keywords&gt;Disease&lt;/Keywords&gt;&lt;Keywords&gt;Drug Administration Schedule&lt;/Keywords&gt;&lt;Keywords&gt;drug therapy&lt;/Keywords&gt;&lt;Keywords&gt;Drug Therapy,Combination&lt;/Keywords&gt;&lt;Keywords&gt;Epidemiologic Methods&lt;/Keywords&gt;&lt;Keywords&gt;erythematosus&lt;/Keywords&gt;&lt;Keywords&gt;Ethnic Groups&lt;/Keywords&gt;&lt;Keywords&gt;ethnology&lt;/Keywords&gt;&lt;Keywords&gt;etiology&lt;/Keywords&gt;&lt;Keywords&gt;European Continental Ancestry Group&lt;/Keywords&gt;&lt;Keywords&gt;Female&lt;/Keywords&gt;&lt;Keywords&gt;Glucocorticoids&lt;/Keywords&gt;&lt;Keywords&gt;Hispanic Americans&lt;/Keywords&gt;&lt;Keywords&gt;Humans&lt;/Keywords&gt;&lt;Keywords&gt;Hydroxychloroquine&lt;/Keywords&gt;&lt;Keywords&gt;lupus erythematosus&lt;/Keywords&gt;&lt;Keywords&gt;Lupus Erythematosus,Systemic&lt;/Keywords&gt;&lt;Keywords&gt;Male&lt;/Keywords&gt;&lt;Keywords&gt;methods&lt;/Keywords&gt;&lt;Keywords&gt;Osteonecrosis&lt;/Keywords&gt;&lt;Keywords&gt;patient&lt;/Keywords&gt;&lt;Keywords&gt;Patients&lt;/Keywords&gt;&lt;Keywords&gt;Rheumatology&lt;/Keywords&gt;&lt;Keywords&gt;Risk&lt;/Keywords&gt;&lt;Keywords&gt;Risk Factors&lt;/Keywords&gt;&lt;Keywords&gt;systemic lupus erythematosus&lt;/Keywords&gt;&lt;Keywords&gt;therapeutic use&lt;/Keywords&gt;&lt;Keywords&gt;Time&lt;/Keywords&gt;&lt;Keywords&gt;United States&lt;/Keywords&gt;&lt;Reprint&gt;Not in File&lt;/Reprint&gt;&lt;Start_Page&gt;785&lt;/Start_Page&gt;&lt;End_Page&gt;790&lt;/End_Page&gt;&lt;Periodical&gt;Ann.Rheum.Dis.&lt;/Periodical&gt;&lt;Volume&gt;65&lt;/Volume&gt;&lt;Issue&gt;6&lt;/Issue&gt;&lt;User_Def_1&gt;y&lt;/User_Def_1&gt;&lt;ZZ_JournalStdAbbrev&gt;&lt;f name="System"&gt;Ann.Rheum.Dis.&lt;/f&gt;&lt;/ZZ_JournalStdAbbrev&gt;&lt;ZZ_WorkformID&gt;1&lt;/ZZ_WorkformID&gt;&lt;/MDL&gt;&lt;/Cite&gt;&lt;/Refman&gt;</w:instrText>
            </w:r>
            <w:r w:rsidR="00E729BA" w:rsidRPr="004E70E9">
              <w:rPr>
                <w:rFonts w:asciiTheme="majorBidi" w:hAnsiTheme="majorBidi" w:cstheme="majorBidi"/>
                <w:sz w:val="17"/>
                <w:szCs w:val="17"/>
                <w:lang w:val="fr-CA"/>
              </w:rPr>
              <w:fldChar w:fldCharType="separate"/>
            </w:r>
            <w:r w:rsidR="004D7951">
              <w:rPr>
                <w:rFonts w:asciiTheme="majorBidi" w:hAnsiTheme="majorBidi" w:cstheme="majorBidi"/>
                <w:sz w:val="17"/>
                <w:szCs w:val="17"/>
              </w:rPr>
              <w:t>(200)</w:t>
            </w:r>
            <w:r w:rsidR="00E729BA" w:rsidRPr="004E70E9">
              <w:rPr>
                <w:rFonts w:asciiTheme="majorBidi" w:hAnsiTheme="majorBidi" w:cstheme="majorBidi"/>
                <w:sz w:val="17"/>
                <w:szCs w:val="17"/>
                <w:lang w:val="fr-CA"/>
              </w:rPr>
              <w:fldChar w:fldCharType="end"/>
            </w:r>
          </w:p>
        </w:tc>
        <w:tc>
          <w:tcPr>
            <w:tcW w:w="396" w:type="dxa"/>
            <w:tcBorders>
              <w:bottom w:val="single" w:sz="4" w:space="0" w:color="auto"/>
            </w:tcBorders>
          </w:tcPr>
          <w:p w:rsidR="002D772C" w:rsidRPr="00771117" w:rsidRDefault="0094366B" w:rsidP="004E70E9">
            <w:pPr>
              <w:spacing w:after="0" w:afterAutospacing="0" w:line="240" w:lineRule="auto"/>
              <w:rPr>
                <w:rFonts w:asciiTheme="majorBidi" w:hAnsiTheme="majorBidi" w:cstheme="majorBidi"/>
                <w:sz w:val="17"/>
                <w:szCs w:val="17"/>
              </w:rPr>
            </w:pPr>
            <w:r w:rsidRPr="0094366B">
              <w:rPr>
                <w:rFonts w:asciiTheme="majorBidi" w:hAnsiTheme="majorBidi" w:cstheme="majorBidi"/>
                <w:sz w:val="17"/>
                <w:szCs w:val="17"/>
              </w:rPr>
              <w:t>2006</w:t>
            </w:r>
          </w:p>
        </w:tc>
        <w:tc>
          <w:tcPr>
            <w:tcW w:w="1373" w:type="dxa"/>
            <w:tcBorders>
              <w:bottom w:val="single" w:sz="4" w:space="0" w:color="auto"/>
            </w:tcBorders>
          </w:tcPr>
          <w:p w:rsidR="002D772C" w:rsidRPr="00771117"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Osteonecrosis (OR)</w:t>
            </w:r>
          </w:p>
        </w:tc>
        <w:tc>
          <w:tcPr>
            <w:tcW w:w="992" w:type="dxa"/>
            <w:tcBorders>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c>
          <w:tcPr>
            <w:tcW w:w="851" w:type="dxa"/>
            <w:tcBorders>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c>
          <w:tcPr>
            <w:tcW w:w="850" w:type="dxa"/>
            <w:tcBorders>
              <w:bottom w:val="single" w:sz="4" w:space="0" w:color="auto"/>
            </w:tcBorders>
          </w:tcPr>
          <w:p w:rsid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 xml:space="preserve">1.03 </w:t>
            </w:r>
          </w:p>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(1.00-1.05)</w:t>
            </w:r>
          </w:p>
        </w:tc>
        <w:tc>
          <w:tcPr>
            <w:tcW w:w="1559" w:type="dxa"/>
            <w:tcBorders>
              <w:bottom w:val="single" w:sz="4" w:space="0" w:color="auto"/>
            </w:tcBorders>
          </w:tcPr>
          <w:p w:rsidR="002D772C" w:rsidRPr="004E70E9" w:rsidRDefault="002D772C" w:rsidP="004E70E9">
            <w:pPr>
              <w:spacing w:after="0" w:afterAutospacing="0" w:line="240" w:lineRule="auto"/>
              <w:rPr>
                <w:rFonts w:asciiTheme="majorBidi" w:hAnsiTheme="majorBidi" w:cstheme="majorBidi"/>
                <w:sz w:val="17"/>
                <w:szCs w:val="17"/>
              </w:rPr>
            </w:pPr>
          </w:p>
        </w:tc>
        <w:tc>
          <w:tcPr>
            <w:tcW w:w="851" w:type="dxa"/>
            <w:tcBorders>
              <w:bottom w:val="single" w:sz="4" w:space="0" w:color="auto"/>
            </w:tcBorders>
          </w:tcPr>
          <w:p w:rsid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 xml:space="preserve">3.04 </w:t>
            </w:r>
          </w:p>
          <w:p w:rsidR="002D772C" w:rsidRPr="004E70E9" w:rsidRDefault="002D772C"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(1.02 -9.04)</w:t>
            </w:r>
          </w:p>
        </w:tc>
      </w:tr>
      <w:tr w:rsidR="002D772C" w:rsidRPr="004E70E9" w:rsidTr="004E70E9">
        <w:tc>
          <w:tcPr>
            <w:tcW w:w="7683" w:type="dxa"/>
            <w:gridSpan w:val="8"/>
            <w:tcBorders>
              <w:top w:val="single" w:sz="4" w:space="0" w:color="auto"/>
              <w:bottom w:val="single" w:sz="12" w:space="0" w:color="auto"/>
            </w:tcBorders>
          </w:tcPr>
          <w:p w:rsidR="002D772C" w:rsidRPr="004E70E9" w:rsidRDefault="00680ED8" w:rsidP="004E70E9">
            <w:pPr>
              <w:spacing w:after="0" w:afterAutospacing="0" w:line="240" w:lineRule="auto"/>
              <w:rPr>
                <w:rFonts w:asciiTheme="majorBidi" w:hAnsiTheme="majorBidi" w:cstheme="majorBidi"/>
                <w:sz w:val="17"/>
                <w:szCs w:val="17"/>
              </w:rPr>
            </w:pPr>
            <w:r w:rsidRPr="004E70E9">
              <w:rPr>
                <w:rFonts w:asciiTheme="majorBidi" w:hAnsiTheme="majorBidi" w:cstheme="majorBidi"/>
                <w:sz w:val="17"/>
                <w:szCs w:val="17"/>
              </w:rPr>
              <w:t>OR Odds ratios</w:t>
            </w:r>
          </w:p>
        </w:tc>
      </w:tr>
    </w:tbl>
    <w:p w:rsidR="002D772C" w:rsidRDefault="002D772C" w:rsidP="002D772C"/>
    <w:p w:rsidR="002D772C" w:rsidRDefault="002D772C" w:rsidP="002D772C">
      <w:pPr>
        <w:pStyle w:val="DecimalAligned"/>
        <w:sectPr w:rsidR="002D772C" w:rsidSect="006A3B1E">
          <w:pgSz w:w="11906" w:h="16838"/>
          <w:pgMar w:top="1440" w:right="1440" w:bottom="1440" w:left="2268" w:header="708" w:footer="708" w:gutter="0"/>
          <w:cols w:space="708"/>
          <w:docGrid w:linePitch="360"/>
        </w:sectPr>
      </w:pPr>
    </w:p>
    <w:p w:rsidR="002D772C" w:rsidRDefault="002D772C" w:rsidP="002D772C">
      <w:pPr>
        <w:pStyle w:val="Heading4"/>
      </w:pPr>
      <w:r>
        <w:t>Renal Organ System</w:t>
      </w:r>
    </w:p>
    <w:p w:rsidR="002D772C" w:rsidRDefault="00E729BA" w:rsidP="002D772C">
      <w:r>
        <w:rPr>
          <w:lang w:eastAsia="zh-CN"/>
        </w:rPr>
      </w:r>
      <w:r>
        <w:rPr>
          <w:lang w:eastAsia="zh-CN"/>
        </w:rPr>
        <w:pict>
          <v:rect id="_x0000_s1027" style="width:411.4pt;height:61.2pt;mso-left-percent:-10001;mso-top-percent:-10001;mso-position-horizontal:absolute;mso-position-horizontal-relative:char;mso-position-vertical:absolute;mso-position-vertical-relative:line;mso-left-percent:-10001;mso-top-percent:-10001">
            <v:textbox style="mso-next-textbox:#_x0000_s1027">
              <w:txbxContent>
                <w:p w:rsidR="00BD2483" w:rsidRPr="000D29D8" w:rsidRDefault="00BD2483" w:rsidP="002D772C">
                  <w:pPr>
                    <w:spacing w:after="0" w:afterAutospacing="0"/>
                    <w:rPr>
                      <w:i/>
                      <w:iCs/>
                      <w:sz w:val="18"/>
                      <w:szCs w:val="18"/>
                    </w:rPr>
                  </w:pPr>
                  <w:r>
                    <w:rPr>
                      <w:i/>
                      <w:iCs/>
                      <w:sz w:val="18"/>
                      <w:szCs w:val="18"/>
                    </w:rPr>
                    <w:t xml:space="preserve">The </w:t>
                  </w:r>
                  <w:r w:rsidRPr="000D29D8">
                    <w:rPr>
                      <w:i/>
                      <w:iCs/>
                      <w:sz w:val="18"/>
                      <w:szCs w:val="18"/>
                    </w:rPr>
                    <w:t xml:space="preserve">SLICC/ACR Damage Index </w:t>
                  </w:r>
                  <w:r>
                    <w:rPr>
                      <w:i/>
                      <w:iCs/>
                      <w:sz w:val="18"/>
                      <w:szCs w:val="18"/>
                    </w:rPr>
                    <w:t>includes the following events for the Renal Organ System</w:t>
                  </w:r>
                </w:p>
                <w:p w:rsidR="00BD2483" w:rsidRPr="00767F4D" w:rsidRDefault="00BD2483" w:rsidP="002D772C">
                  <w:pPr>
                    <w:spacing w:after="0" w:afterAutospacing="0"/>
                    <w:ind w:left="720"/>
                    <w:rPr>
                      <w:i/>
                      <w:iCs/>
                      <w:sz w:val="20"/>
                    </w:rPr>
                  </w:pPr>
                  <w:r w:rsidRPr="00767F4D">
                    <w:rPr>
                      <w:i/>
                      <w:iCs/>
                      <w:sz w:val="20"/>
                    </w:rPr>
                    <w:t>Estimated or measured glomerular filtration rate &lt;50%</w:t>
                  </w:r>
                </w:p>
                <w:p w:rsidR="00BD2483" w:rsidRPr="00767F4D" w:rsidRDefault="00BD2483" w:rsidP="002D772C">
                  <w:pPr>
                    <w:spacing w:after="120" w:afterAutospacing="0"/>
                    <w:ind w:left="720"/>
                    <w:rPr>
                      <w:i/>
                      <w:iCs/>
                      <w:sz w:val="20"/>
                    </w:rPr>
                  </w:pPr>
                  <w:r w:rsidRPr="00767F4D">
                    <w:rPr>
                      <w:i/>
                      <w:iCs/>
                      <w:sz w:val="20"/>
                    </w:rPr>
                    <w:t>Proteinuria or End stage renal disease</w:t>
                  </w:r>
                </w:p>
              </w:txbxContent>
            </v:textbox>
            <w10:wrap type="none"/>
            <w10:anchorlock/>
          </v:rect>
        </w:pict>
      </w:r>
    </w:p>
    <w:p w:rsidR="002D772C" w:rsidRDefault="002D772C" w:rsidP="005D65BA">
      <w:r w:rsidRPr="00367A30">
        <w:t>Results from</w:t>
      </w:r>
      <w:r>
        <w:t xml:space="preserve"> </w:t>
      </w:r>
      <w:fldSimple w:instr=" REF _Ref254596032 \h  \* MERGEFORMAT ">
        <w:r w:rsidR="004911B7">
          <w:t xml:space="preserve">Table </w:t>
        </w:r>
        <w:r w:rsidR="004911B7">
          <w:rPr>
            <w:noProof/>
          </w:rPr>
          <w:t>14</w:t>
        </w:r>
      </w:fldSimple>
      <w:r>
        <w:t xml:space="preserve"> s</w:t>
      </w:r>
      <w:r w:rsidRPr="00367A30">
        <w:t xml:space="preserve">uggest that renal damage is not common among SLE patients. </w:t>
      </w:r>
      <w:r w:rsidR="00E729BA">
        <w:fldChar w:fldCharType="begin"/>
      </w:r>
      <w:r>
        <w:instrText xml:space="preserve"> REF _Ref250896712 \h </w:instrText>
      </w:r>
      <w:r w:rsidR="00E729BA">
        <w:fldChar w:fldCharType="separate"/>
      </w:r>
      <w:r w:rsidR="004911B7">
        <w:t xml:space="preserve">Table </w:t>
      </w:r>
      <w:r w:rsidR="004911B7">
        <w:rPr>
          <w:noProof/>
        </w:rPr>
        <w:t>19</w:t>
      </w:r>
      <w:r w:rsidR="00E729BA">
        <w:fldChar w:fldCharType="end"/>
      </w:r>
      <w:r>
        <w:t xml:space="preserve"> reports the survival rates </w:t>
      </w:r>
      <w:r w:rsidR="005D65BA">
        <w:t>for time to end-stage renal failure</w:t>
      </w:r>
      <w:r>
        <w:t xml:space="preserve"> after 10 years of follow-up in different population of SLE patients.</w:t>
      </w:r>
    </w:p>
    <w:p w:rsidR="002D772C" w:rsidRDefault="002D772C" w:rsidP="00234693">
      <w:pPr>
        <w:pStyle w:val="Caption"/>
      </w:pPr>
      <w:bookmarkStart w:id="224" w:name="_Ref250896712"/>
      <w:r>
        <w:t xml:space="preserve">Table </w:t>
      </w:r>
      <w:fldSimple w:instr=" SEQ Table \* ARABIC ">
        <w:r w:rsidR="004911B7">
          <w:rPr>
            <w:noProof/>
          </w:rPr>
          <w:t>19</w:t>
        </w:r>
      </w:fldSimple>
      <w:bookmarkEnd w:id="224"/>
      <w:r>
        <w:t>: Renal survival over time</w:t>
      </w:r>
    </w:p>
    <w:tbl>
      <w:tblPr>
        <w:tblW w:w="0" w:type="auto"/>
        <w:tblBorders>
          <w:top w:val="single" w:sz="12" w:space="0" w:color="auto"/>
          <w:bottom w:val="single" w:sz="12" w:space="0" w:color="auto"/>
        </w:tblBorders>
        <w:tblLook w:val="01E0"/>
      </w:tblPr>
      <w:tblGrid>
        <w:gridCol w:w="1813"/>
        <w:gridCol w:w="1116"/>
        <w:gridCol w:w="1611"/>
        <w:gridCol w:w="1746"/>
        <w:gridCol w:w="2128"/>
      </w:tblGrid>
      <w:tr w:rsidR="002D772C" w:rsidRPr="00CB5AEF" w:rsidTr="00B50E2F">
        <w:tc>
          <w:tcPr>
            <w:tcW w:w="1912" w:type="dxa"/>
            <w:vMerge w:val="restart"/>
            <w:tcBorders>
              <w:top w:val="single" w:sz="12" w:space="0" w:color="auto"/>
              <w:bottom w:val="nil"/>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Author</w:t>
            </w:r>
          </w:p>
        </w:tc>
        <w:tc>
          <w:tcPr>
            <w:tcW w:w="1173" w:type="dxa"/>
            <w:vMerge w:val="restart"/>
            <w:tcBorders>
              <w:top w:val="single" w:sz="12" w:space="0" w:color="auto"/>
              <w:bottom w:val="nil"/>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Date</w:t>
            </w:r>
          </w:p>
        </w:tc>
        <w:tc>
          <w:tcPr>
            <w:tcW w:w="1701" w:type="dxa"/>
            <w:vMerge w:val="restart"/>
            <w:tcBorders>
              <w:top w:val="single" w:sz="12" w:space="0" w:color="auto"/>
              <w:bottom w:val="nil"/>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Sample size</w:t>
            </w:r>
          </w:p>
        </w:tc>
        <w:tc>
          <w:tcPr>
            <w:tcW w:w="1843" w:type="dxa"/>
            <w:tcBorders>
              <w:top w:val="single" w:sz="12" w:space="0" w:color="auto"/>
              <w:bottom w:val="nil"/>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Renal Survival </w:t>
            </w:r>
          </w:p>
        </w:tc>
        <w:tc>
          <w:tcPr>
            <w:tcW w:w="2268" w:type="dxa"/>
            <w:tcBorders>
              <w:top w:val="single" w:sz="12" w:space="0" w:color="auto"/>
              <w:bottom w:val="nil"/>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Overall survival</w:t>
            </w:r>
          </w:p>
        </w:tc>
      </w:tr>
      <w:tr w:rsidR="002D772C" w:rsidRPr="00CB5AEF" w:rsidTr="00B50E2F">
        <w:tc>
          <w:tcPr>
            <w:tcW w:w="1912" w:type="dxa"/>
            <w:vMerge/>
            <w:tcBorders>
              <w:top w:val="nil"/>
              <w:bottom w:val="single" w:sz="4" w:space="0" w:color="auto"/>
            </w:tcBorders>
          </w:tcPr>
          <w:p w:rsidR="002D772C" w:rsidRPr="00CB5AEF" w:rsidRDefault="002D772C" w:rsidP="004E70E9">
            <w:pPr>
              <w:spacing w:line="276" w:lineRule="auto"/>
              <w:rPr>
                <w:rFonts w:eastAsia="Times New Roman"/>
                <w:sz w:val="18"/>
                <w:szCs w:val="18"/>
                <w:lang w:eastAsia="en-GB"/>
              </w:rPr>
            </w:pPr>
          </w:p>
        </w:tc>
        <w:tc>
          <w:tcPr>
            <w:tcW w:w="1173" w:type="dxa"/>
            <w:vMerge/>
            <w:tcBorders>
              <w:top w:val="nil"/>
              <w:bottom w:val="single" w:sz="4" w:space="0" w:color="auto"/>
            </w:tcBorders>
          </w:tcPr>
          <w:p w:rsidR="002D772C" w:rsidRPr="00CB5AEF" w:rsidRDefault="002D772C" w:rsidP="004E70E9">
            <w:pPr>
              <w:spacing w:line="276" w:lineRule="auto"/>
              <w:rPr>
                <w:rFonts w:eastAsia="Times New Roman"/>
                <w:sz w:val="18"/>
                <w:szCs w:val="18"/>
                <w:lang w:eastAsia="en-GB"/>
              </w:rPr>
            </w:pPr>
          </w:p>
        </w:tc>
        <w:tc>
          <w:tcPr>
            <w:tcW w:w="1701" w:type="dxa"/>
            <w:vMerge/>
            <w:tcBorders>
              <w:top w:val="nil"/>
              <w:bottom w:val="single" w:sz="4" w:space="0" w:color="auto"/>
            </w:tcBorders>
          </w:tcPr>
          <w:p w:rsidR="002D772C" w:rsidRPr="00CB5AEF" w:rsidRDefault="002D772C" w:rsidP="004E70E9">
            <w:pPr>
              <w:spacing w:line="276" w:lineRule="auto"/>
              <w:rPr>
                <w:rFonts w:eastAsia="Times New Roman"/>
                <w:sz w:val="18"/>
                <w:szCs w:val="18"/>
                <w:lang w:eastAsia="en-GB"/>
              </w:rPr>
            </w:pPr>
          </w:p>
        </w:tc>
        <w:tc>
          <w:tcPr>
            <w:tcW w:w="1843" w:type="dxa"/>
            <w:tcBorders>
              <w:top w:val="nil"/>
              <w:bottom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10 years</w:t>
            </w:r>
          </w:p>
        </w:tc>
        <w:tc>
          <w:tcPr>
            <w:tcW w:w="2268" w:type="dxa"/>
            <w:tcBorders>
              <w:top w:val="nil"/>
              <w:bottom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10 years</w:t>
            </w:r>
          </w:p>
        </w:tc>
      </w:tr>
      <w:tr w:rsidR="002D772C" w:rsidRPr="00CB5AEF" w:rsidTr="00B50E2F">
        <w:tc>
          <w:tcPr>
            <w:tcW w:w="1912" w:type="dxa"/>
            <w:tcBorders>
              <w:top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Farschou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&lt;Refman&gt;&lt;Cite&gt;&lt;Author&gt;Faurschou&lt;/Author&gt;&lt;Year&gt;2006&lt;/Year&gt;&lt;RecNum&gt;423&lt;/RecNum&gt;&lt;IDText&gt;Prognostic factors in lupus nephritis: diagnostic and therapeutic delay increases the risk of terminal renal failure&lt;/IDText&gt;&lt;MDL Ref_Type="Journal"&gt;&lt;Ref_Type&gt;Journal&lt;/Ref_Type&gt;&lt;Ref_ID&gt;423&lt;/Ref_ID&gt;&lt;Title_Primary&gt;Prognostic factors in lupus nephritis: diagnostic and therapeutic delay increases the risk of terminal renal failure&lt;/Title_Primary&gt;&lt;Authors_Primary&gt;Faurschou,M.&lt;/Authors_Primary&gt;&lt;Authors_Primary&gt;Starklint,H.&lt;/Authors_Primary&gt;&lt;Authors_Primary&gt;Halberg,P.&lt;/Authors_Primary&gt;&lt;Authors_Primary&gt;Jacobsen,S.&lt;/Authors_Primary&gt;&lt;Date_Primary&gt;2006/8&lt;/Date_Primary&gt;&lt;Keywords&gt;Adolescent&lt;/Keywords&gt;&lt;Keywords&gt;Adult&lt;/Keywords&gt;&lt;Keywords&gt;Atrophy&lt;/Keywords&gt;&lt;Keywords&gt;Biopsy&lt;/Keywords&gt;&lt;Keywords&gt;Child&lt;/Keywords&gt;&lt;Keywords&gt;Cohort Studies&lt;/Keywords&gt;&lt;Keywords&gt;complications&lt;/Keywords&gt;&lt;Keywords&gt;Denmark&lt;/Keywords&gt;&lt;Keywords&gt;diagnosis&lt;/Keywords&gt;&lt;Keywords&gt;Disease&lt;/Keywords&gt;&lt;Keywords&gt;erythematosus&lt;/Keywords&gt;&lt;Keywords&gt;etiology&lt;/Keywords&gt;&lt;Keywords&gt;Female&lt;/Keywords&gt;&lt;Keywords&gt;Glomerulonephritis&lt;/Keywords&gt;&lt;Keywords&gt;hospital&lt;/Keywords&gt;&lt;Keywords&gt;Humans&lt;/Keywords&gt;&lt;Keywords&gt;Incidence&lt;/Keywords&gt;&lt;Keywords&gt;Kidney&lt;/Keywords&gt;&lt;Keywords&gt;Kidney Failure,Chronic&lt;/Keywords&gt;&lt;Keywords&gt;lupus erythematosus&lt;/Keywords&gt;&lt;Keywords&gt;Lupus Nephritis&lt;/Keywords&gt;&lt;Keywords&gt;Male&lt;/Keywords&gt;&lt;Keywords&gt;methods&lt;/Keywords&gt;&lt;Keywords&gt;Middle Aged&lt;/Keywords&gt;&lt;Keywords&gt;Nephritis&lt;/Keywords&gt;&lt;Keywords&gt;pathology&lt;/Keywords&gt;&lt;Keywords&gt;patient&lt;/Keywords&gt;&lt;Keywords&gt;Patients&lt;/Keywords&gt;&lt;Keywords&gt;Prognosis&lt;/Keywords&gt;&lt;Keywords&gt;Rheumatology&lt;/Keywords&gt;&lt;Keywords&gt;Risk&lt;/Keywords&gt;&lt;Keywords&gt;Risk Factors&lt;/Keywords&gt;&lt;Keywords&gt;Severity of Illness Index&lt;/Keywords&gt;&lt;Keywords&gt;systemic lupus erythematosus&lt;/Keywords&gt;&lt;Keywords&gt;therapy&lt;/Keywords&gt;&lt;Keywords&gt;Time&lt;/Keywords&gt;&lt;Keywords&gt;Time Factors&lt;/Keywords&gt;&lt;Keywords&gt;Treatment Outcome&lt;/Keywords&gt;&lt;Reprint&gt;Not in File&lt;/Reprint&gt;&lt;Start_Page&gt;1563&lt;/Start_Page&gt;&lt;End_Page&gt;1569&lt;/End_Page&gt;&lt;Periodical&gt;J.Rheumatol.&lt;/Periodical&gt;&lt;Volume&gt;33&lt;/Volume&gt;&lt;Issue&gt;8&lt;/Issue&gt;&lt;User_Def_1&gt;y&lt;/User_Def_1&gt;&lt;ZZ_JournalStdAbbrev&gt;&lt;f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(201)</w:t>
            </w:r>
            <w:r w:rsidR="00E729BA">
              <w:rPr>
                <w:rFonts w:eastAsia="Times New Roman"/>
                <w:sz w:val="18"/>
                <w:szCs w:val="18"/>
                <w:lang w:eastAsia="en-GB"/>
              </w:rPr>
              <w:fldChar w:fldCharType="end"/>
            </w:r>
          </w:p>
        </w:tc>
        <w:tc>
          <w:tcPr>
            <w:tcW w:w="1173" w:type="dxa"/>
            <w:tcBorders>
              <w:top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2006</w:t>
            </w:r>
          </w:p>
        </w:tc>
        <w:tc>
          <w:tcPr>
            <w:tcW w:w="1701" w:type="dxa"/>
            <w:tcBorders>
              <w:top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91</w:t>
            </w:r>
          </w:p>
        </w:tc>
        <w:tc>
          <w:tcPr>
            <w:tcW w:w="1843" w:type="dxa"/>
            <w:tcBorders>
              <w:top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0.83</w:t>
            </w:r>
          </w:p>
        </w:tc>
        <w:tc>
          <w:tcPr>
            <w:tcW w:w="2268" w:type="dxa"/>
            <w:tcBorders>
              <w:top w:val="single" w:sz="4" w:space="0" w:color="auto"/>
            </w:tcBorders>
          </w:tcPr>
          <w:p w:rsidR="002D772C" w:rsidRPr="00CB5AEF" w:rsidRDefault="002D772C" w:rsidP="004E70E9">
            <w:pPr>
              <w:spacing w:line="276" w:lineRule="auto"/>
              <w:rPr>
                <w:rFonts w:eastAsia="Times New Roman"/>
                <w:sz w:val="18"/>
                <w:szCs w:val="18"/>
                <w:lang w:eastAsia="en-GB"/>
              </w:rPr>
            </w:pPr>
          </w:p>
        </w:tc>
      </w:tr>
      <w:tr w:rsidR="002D772C" w:rsidRPr="00CB5AEF" w:rsidTr="00B50E2F">
        <w:tc>
          <w:tcPr>
            <w:tcW w:w="1912"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Moroni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&lt;Refman&gt;&lt;Cite&gt;&lt;Author&gt;Moroni&lt;/Author&gt;&lt;Year&gt;2007&lt;/Year&gt;&lt;RecNum&gt;290&lt;/RecNum&gt;&lt;IDText&gt;The long-term outcome of 93 patients with proliferative lupus nephritis&lt;/IDText&gt;&lt;MDL Ref_Type="Journal"&gt;&lt;Ref_Type&gt;Journal&lt;/Ref_Type&gt;&lt;Ref_ID&gt;290&lt;/Ref_ID&gt;&lt;Title_Primary&gt;The long-term outcome of 93 patients with proliferative lupus nephritis&lt;/Title_Primary&gt;&lt;Authors_Primary&gt;Moroni,G.&lt;/Authors_Primary&gt;&lt;Authors_Primary&gt;Quaglini,S.&lt;/Authors_Primary&gt;&lt;Authors_Primary&gt;Gallelli,B.&lt;/Authors_Primary&gt;&lt;Authors_Primary&gt;Banfi,G.&lt;/Authors_Primary&gt;&lt;Authors_Primary&gt;Messa,P.&lt;/Authors_Primary&gt;&lt;Authors_Primary&gt;Ponticelli,C.&lt;/Authors_Primary&gt;&lt;Date_Primary&gt;2007/9&lt;/Date_Primary&gt;&lt;Keywords&gt;Adult&lt;/Keywords&gt;&lt;Keywords&gt;analysis&lt;/Keywords&gt;&lt;Keywords&gt;blood&lt;/Keywords&gt;&lt;Keywords&gt;complications&lt;/Keywords&gt;&lt;Keywords&gt;Creatinine&lt;/Keywords&gt;&lt;Keywords&gt;death&lt;/Keywords&gt;&lt;Keywords&gt;diagnosis&lt;/Keywords&gt;&lt;Keywords&gt;Disease&lt;/Keywords&gt;&lt;Keywords&gt;Female&lt;/Keywords&gt;&lt;Keywords&gt;Humans&lt;/Keywords&gt;&lt;Keywords&gt;Immunosuppressive Agents&lt;/Keywords&gt;&lt;Keywords&gt;Italy&lt;/Keywords&gt;&lt;Keywords&gt;Kidney Failure,Chronic&lt;/Keywords&gt;&lt;Keywords&gt;Lupus Nephritis&lt;/Keywords&gt;&lt;Keywords&gt;Male&lt;/Keywords&gt;&lt;Keywords&gt;methods&lt;/Keywords&gt;&lt;Keywords&gt;Multivariate Analysis&lt;/Keywords&gt;&lt;Keywords&gt;Nephritis&lt;/Keywords&gt;&lt;Keywords&gt;patient&lt;/Keywords&gt;&lt;Keywords&gt;Patients&lt;/Keywords&gt;&lt;Keywords&gt;Probability&lt;/Keywords&gt;&lt;Keywords&gt;Prognosis&lt;/Keywords&gt;&lt;Keywords&gt;Remission Induction&lt;/Keywords&gt;&lt;Keywords&gt;Renal Insufficiency,Chronic&lt;/Keywords&gt;&lt;Keywords&gt;Risk&lt;/Keywords&gt;&lt;Keywords&gt;Survival Analysis&lt;/Keywords&gt;&lt;Keywords&gt;therapy&lt;/Keywords&gt;&lt;Keywords&gt;Time Factors&lt;/Keywords&gt;&lt;Keywords&gt;Treatment Outcome&lt;/Keywords&gt;&lt;Reprint&gt;Not in File&lt;/Reprint&gt;&lt;Start_Page&gt;2531&lt;/Start_Page&gt;&lt;End_Page&gt;2539&lt;/End_Page&gt;&lt;Periodical&gt;Nephrol.Dial.Transplant.&lt;/Periodical&gt;&lt;Volume&gt;22&lt;/Volume&gt;&lt;Issue&gt;9&lt;/Issue&gt;&lt;User_Def_1&gt;y&lt;/User_Def_1&gt;&lt;ZZ_JournalStdAbbrev&gt;&lt;f name="System"&gt;Nephrol.Dial.Transplant.&lt;/f&gt;&lt;/ZZ_JournalStdAbbrev&gt;&lt;ZZ_WorkformID&gt;1&lt;/ZZ_WorkformID&gt;&lt;/MDL&gt;&lt;/Cite&gt;&lt;/Refman&gt;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(202)</w:t>
            </w:r>
            <w:r w:rsidR="00E729BA">
              <w:rPr>
                <w:rFonts w:eastAsia="Times New Roman"/>
                <w:sz w:val="18"/>
                <w:szCs w:val="18"/>
                <w:lang w:eastAsia="en-GB"/>
              </w:rPr>
              <w:fldChar w:fldCharType="end"/>
            </w:r>
          </w:p>
        </w:tc>
        <w:tc>
          <w:tcPr>
            <w:tcW w:w="117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2007</w:t>
            </w:r>
          </w:p>
        </w:tc>
        <w:tc>
          <w:tcPr>
            <w:tcW w:w="1701"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93</w:t>
            </w:r>
          </w:p>
        </w:tc>
        <w:tc>
          <w:tcPr>
            <w:tcW w:w="184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0.97</w:t>
            </w:r>
          </w:p>
        </w:tc>
        <w:tc>
          <w:tcPr>
            <w:tcW w:w="2268"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0.83</w:t>
            </w:r>
          </w:p>
        </w:tc>
      </w:tr>
      <w:tr w:rsidR="002D772C" w:rsidRPr="00CB5AEF" w:rsidTr="00B50E2F">
        <w:tc>
          <w:tcPr>
            <w:tcW w:w="1912"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Chen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&lt;Refman&gt;&lt;Cite&gt;&lt;Author&gt;Chen&lt;/Author&gt;&lt;Year&gt;2008&lt;/Year&gt;&lt;RecNum&gt;239&lt;/RecNum&gt;&lt;IDText&gt;Value of a complete or partial remission in severe lupus nephritis&lt;/IDText&gt;&lt;MDL Ref_Type="Journal"&gt;&lt;Ref_Type&gt;Journal&lt;/Ref_Type&gt;&lt;Ref_ID&gt;239&lt;/Ref_ID&gt;&lt;Title_Primary&gt;Value of a complete or partial remission in severe lupus nephritis&lt;/Title_Primary&gt;&lt;Authors_Primary&gt;Chen,Y.E.&lt;/Authors_Primary&gt;&lt;Authors_Primary&gt;Korbet,S.M.&lt;/Authors_Primary&gt;&lt;Authors_Primary&gt;Katz,R.S.&lt;/Authors_Primary&gt;&lt;Authors_Primary&gt;Schwartz,M.M.&lt;/Authors_Primary&gt;&lt;Authors_Primary&gt;Lewis,E.J.&lt;/Authors_Primary&gt;&lt;Date_Primary&gt;2008/1&lt;/Date_Primary&gt;&lt;Keywords&gt;Adult&lt;/Keywords&gt;&lt;Keywords&gt;Biopsy&lt;/Keywords&gt;&lt;Keywords&gt;Creatinine&lt;/Keywords&gt;&lt;Keywords&gt;Disease&lt;/Keywords&gt;&lt;Keywords&gt;Female&lt;/Keywords&gt;&lt;Keywords&gt;Follow-Up Studies&lt;/Keywords&gt;&lt;Keywords&gt;Glomerulonephritis&lt;/Keywords&gt;&lt;Keywords&gt;Humans&lt;/Keywords&gt;&lt;Keywords&gt;Kidney&lt;/Keywords&gt;&lt;Keywords&gt;Kidney Failure,Chronic&lt;/Keywords&gt;&lt;Keywords&gt;Lupus Nephritis&lt;/Keywords&gt;&lt;Keywords&gt;Male&lt;/Keywords&gt;&lt;Keywords&gt;Middle Aged&lt;/Keywords&gt;&lt;Keywords&gt;mortality&lt;/Keywords&gt;&lt;Keywords&gt;Nephritis&lt;/Keywords&gt;&lt;Keywords&gt;pathology&lt;/Keywords&gt;&lt;Keywords&gt;patient&lt;/Keywords&gt;&lt;Keywords&gt;Patients&lt;/Keywords&gt;&lt;Keywords&gt;Plasmapheresis&lt;/Keywords&gt;&lt;Keywords&gt;population&lt;/Keywords&gt;&lt;Keywords&gt;Prognosis&lt;/Keywords&gt;&lt;Keywords&gt;Prospective Studies&lt;/Keywords&gt;&lt;Keywords&gt;Proteinuria&lt;/Keywords&gt;&lt;Keywords&gt;Remission Induction&lt;/Keywords&gt;&lt;Keywords&gt;Serum&lt;/Keywords&gt;&lt;Keywords&gt;Severity of Illness Index&lt;/Keywords&gt;&lt;Keywords&gt;Survival Analysis&lt;/Keywords&gt;&lt;Keywords&gt;therapy&lt;/Keywords&gt;&lt;Keywords&gt;Treatment Outcome&lt;/Keywords&gt;&lt;Reprint&gt;Not in File&lt;/Reprint&gt;&lt;Start_Page&gt;46&lt;/Start_Page&gt;&lt;End_Page&gt;53&lt;/End_Page&gt;&lt;Periodical&gt;Clin.J.Am.Soc.Nephrol.&lt;/Periodical&gt;&lt;Volume&gt;3&lt;/Volume&gt;&lt;Issue&gt;1&lt;/Issue&gt;&lt;User_Def_1&gt;y&lt;/User_Def_1&gt;&lt;ZZ_JournalStdAbbrev&gt;&lt;f name="System"&gt;Clin.J.Am.Soc.Nephrol.&lt;/f&gt;&lt;/ZZ_JournalStdAbbrev&gt;&lt;ZZ_WorkformID&gt;1&lt;/ZZ_WorkformID&gt;&lt;/MDL&gt;&lt;/Cite&gt;&lt;/Refman&gt;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(203)</w:t>
            </w:r>
            <w:r w:rsidR="00E729BA">
              <w:rPr>
                <w:rFonts w:eastAsia="Times New Roman"/>
                <w:sz w:val="18"/>
                <w:szCs w:val="18"/>
                <w:lang w:eastAsia="en-GB"/>
              </w:rPr>
              <w:fldChar w:fldCharType="end"/>
            </w:r>
          </w:p>
        </w:tc>
        <w:tc>
          <w:tcPr>
            <w:tcW w:w="117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2008</w:t>
            </w:r>
          </w:p>
        </w:tc>
        <w:tc>
          <w:tcPr>
            <w:tcW w:w="1701" w:type="dxa"/>
          </w:tcPr>
          <w:p w:rsidR="002D772C" w:rsidRPr="00CB5AEF" w:rsidRDefault="00434C44" w:rsidP="004E70E9">
            <w:pPr>
              <w:spacing w:line="276" w:lineRule="auto"/>
              <w:rPr>
                <w:rFonts w:eastAsia="Times New Roman"/>
                <w:sz w:val="18"/>
                <w:szCs w:val="18"/>
                <w:lang w:eastAsia="en-GB"/>
              </w:rPr>
            </w:pPr>
            <w:r>
              <w:rPr>
                <w:rFonts w:eastAsia="Times New Roman"/>
                <w:sz w:val="18"/>
                <w:szCs w:val="18"/>
                <w:lang w:eastAsia="en-GB"/>
              </w:rPr>
              <w:t>37</w:t>
            </w:r>
          </w:p>
        </w:tc>
        <w:tc>
          <w:tcPr>
            <w:tcW w:w="184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0.94</w:t>
            </w:r>
            <w:r w:rsidRPr="00CB5AEF">
              <w:rPr>
                <w:rFonts w:eastAsia="Times New Roman"/>
                <w:sz w:val="18"/>
                <w:szCs w:val="18"/>
                <w:vertAlign w:val="superscript"/>
                <w:lang w:eastAsia="en-GB"/>
              </w:rPr>
              <w:t>a</w:t>
            </w:r>
          </w:p>
        </w:tc>
        <w:tc>
          <w:tcPr>
            <w:tcW w:w="2268"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0.95</w:t>
            </w:r>
            <w:r w:rsidRPr="00CB5AEF">
              <w:rPr>
                <w:rFonts w:eastAsia="Times New Roman"/>
                <w:sz w:val="18"/>
                <w:szCs w:val="18"/>
                <w:vertAlign w:val="superscript"/>
                <w:lang w:eastAsia="en-GB"/>
              </w:rPr>
              <w:t>a</w:t>
            </w:r>
          </w:p>
        </w:tc>
      </w:tr>
      <w:tr w:rsidR="002D772C" w:rsidRPr="00CB5AEF" w:rsidTr="00B50E2F">
        <w:tc>
          <w:tcPr>
            <w:tcW w:w="1912"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Chen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&lt;Refman&gt;&lt;Cite&gt;&lt;Author&gt;Chen&lt;/Author&gt;&lt;Year&gt;2008&lt;/Year&gt;&lt;RecNum&gt;239&lt;/RecNum&gt;&lt;IDText&gt;Value of a complete or partial remission in severe lupus nephritis&lt;/IDText&gt;&lt;MDL Ref_Type="Journal"&gt;&lt;Ref_Type&gt;Journal&lt;/Ref_Type&gt;&lt;Ref_ID&gt;239&lt;/Ref_ID&gt;&lt;Title_Primary&gt;Value of a complete or partial remission in severe lupus nephritis&lt;/Title_Primary&gt;&lt;Authors_Primary&gt;Chen,Y.E.&lt;/Authors_Primary&gt;&lt;Authors_Primary&gt;Korbet,S.M.&lt;/Authors_Primary&gt;&lt;Authors_Primary&gt;Katz,R.S.&lt;/Authors_Primary&gt;&lt;Authors_Primary&gt;Schwartz,M.M.&lt;/Authors_Primary&gt;&lt;Authors_Primary&gt;Lewis,E.J.&lt;/Authors_Primary&gt;&lt;Date_Primary&gt;2008/1&lt;/Date_Primary&gt;&lt;Keywords&gt;Adult&lt;/Keywords&gt;&lt;Keywords&gt;Biopsy&lt;/Keywords&gt;&lt;Keywords&gt;Creatinine&lt;/Keywords&gt;&lt;Keywords&gt;Disease&lt;/Keywords&gt;&lt;Keywords&gt;Female&lt;/Keywords&gt;&lt;Keywords&gt;Follow-Up Studies&lt;/Keywords&gt;&lt;Keywords&gt;Glomerulonephritis&lt;/Keywords&gt;&lt;Keywords&gt;Humans&lt;/Keywords&gt;&lt;Keywords&gt;Kidney&lt;/Keywords&gt;&lt;Keywords&gt;Kidney Failure,Chronic&lt;/Keywords&gt;&lt;Keywords&gt;Lupus Nephritis&lt;/Keywords&gt;&lt;Keywords&gt;Male&lt;/Keywords&gt;&lt;Keywords&gt;Middle Aged&lt;/Keywords&gt;&lt;Keywords&gt;mortality&lt;/Keywords&gt;&lt;Keywords&gt;Nephritis&lt;/Keywords&gt;&lt;Keywords&gt;pathology&lt;/Keywords&gt;&lt;Keywords&gt;patient&lt;/Keywords&gt;&lt;Keywords&gt;Patients&lt;/Keywords&gt;&lt;Keywords&gt;Plasmapheresis&lt;/Keywords&gt;&lt;Keywords&gt;population&lt;/Keywords&gt;&lt;Keywords&gt;Prognosis&lt;/Keywords&gt;&lt;Keywords&gt;Prospective Studies&lt;/Keywords&gt;&lt;Keywords&gt;Proteinuria&lt;/Keywords&gt;&lt;Keywords&gt;Remission Induction&lt;/Keywords&gt;&lt;Keywords&gt;Serum&lt;/Keywords&gt;&lt;Keywords&gt;Severity of Illness Index&lt;/Keywords&gt;&lt;Keywords&gt;Survival Analysis&lt;/Keywords&gt;&lt;Keywords&gt;therapy&lt;/Keywords&gt;&lt;Keywords&gt;Treatment Outcome&lt;/Keywords&gt;&lt;Reprint&gt;Not in File&lt;/Reprint&gt;&lt;Start_Page&gt;46&lt;/Start_Page&gt;&lt;End_Page&gt;53&lt;/End_Page&gt;&lt;Periodical&gt;Clin.J.Am.Soc.Nephrol.&lt;/Periodical&gt;&lt;Volume&gt;3&lt;/Volume&gt;&lt;Issue&gt;1&lt;/Issue&gt;&lt;User_Def_1&gt;y&lt;/User_Def_1&gt;&lt;ZZ_JournalStdAbbrev&gt;&lt;f name="System"&gt;Clin.J.Am.Soc.Nephrol.&lt;/f&gt;&lt;/ZZ_JournalStdAbbrev&gt;&lt;ZZ_WorkformID&gt;1&lt;/ZZ_WorkformID&gt;&lt;/MDL&gt;&lt;/Cite&gt;&lt;/Refman&gt;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(203)</w:t>
            </w:r>
            <w:r w:rsidR="00E729BA">
              <w:rPr>
                <w:rFonts w:eastAsia="Times New Roman"/>
                <w:sz w:val="18"/>
                <w:szCs w:val="18"/>
                <w:lang w:eastAsia="en-GB"/>
              </w:rPr>
              <w:fldChar w:fldCharType="end"/>
            </w:r>
          </w:p>
        </w:tc>
        <w:tc>
          <w:tcPr>
            <w:tcW w:w="117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2008</w:t>
            </w:r>
          </w:p>
        </w:tc>
        <w:tc>
          <w:tcPr>
            <w:tcW w:w="1701" w:type="dxa"/>
          </w:tcPr>
          <w:p w:rsidR="002D772C" w:rsidRPr="00CB5AEF" w:rsidRDefault="00434C44" w:rsidP="004E70E9">
            <w:pPr>
              <w:spacing w:line="276" w:lineRule="auto"/>
              <w:rPr>
                <w:rFonts w:eastAsia="Times New Roman"/>
                <w:sz w:val="18"/>
                <w:szCs w:val="18"/>
                <w:lang w:eastAsia="en-GB"/>
              </w:rPr>
            </w:pPr>
            <w:r>
              <w:rPr>
                <w:rFonts w:eastAsia="Times New Roman"/>
                <w:sz w:val="18"/>
                <w:szCs w:val="18"/>
                <w:lang w:eastAsia="en-GB"/>
              </w:rPr>
              <w:t>21</w:t>
            </w:r>
          </w:p>
        </w:tc>
        <w:tc>
          <w:tcPr>
            <w:tcW w:w="184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0.45</w:t>
            </w:r>
            <w:r w:rsidRPr="00CB5AEF">
              <w:rPr>
                <w:rFonts w:eastAsia="Times New Roman"/>
                <w:sz w:val="18"/>
                <w:szCs w:val="18"/>
                <w:vertAlign w:val="superscript"/>
                <w:lang w:eastAsia="en-GB"/>
              </w:rPr>
              <w:t>b</w:t>
            </w:r>
          </w:p>
        </w:tc>
        <w:tc>
          <w:tcPr>
            <w:tcW w:w="2268"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0.76</w:t>
            </w:r>
            <w:r w:rsidRPr="00CB5AEF">
              <w:rPr>
                <w:rFonts w:eastAsia="Times New Roman"/>
                <w:sz w:val="18"/>
                <w:szCs w:val="18"/>
                <w:vertAlign w:val="superscript"/>
                <w:lang w:eastAsia="en-GB"/>
              </w:rPr>
              <w:t>b</w:t>
            </w:r>
          </w:p>
        </w:tc>
      </w:tr>
      <w:tr w:rsidR="002D772C" w:rsidRPr="00CB5AEF" w:rsidTr="00B50E2F">
        <w:tc>
          <w:tcPr>
            <w:tcW w:w="1912"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Chen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&lt;Refman&gt;&lt;Cite&gt;&lt;Author&gt;Chen&lt;/Author&gt;&lt;Year&gt;2008&lt;/Year&gt;&lt;RecNum&gt;239&lt;/RecNum&gt;&lt;IDText&gt;Value of a complete or partial remission in severe lupus nephritis&lt;/IDText&gt;&lt;MDL Ref_Type="Journal"&gt;&lt;Ref_Type&gt;Journal&lt;/Ref_Type&gt;&lt;Ref_ID&gt;239&lt;/Ref_ID&gt;&lt;Title_Primary&gt;Value of a complete or partial remission in severe lupus nephritis&lt;/Title_Primary&gt;&lt;Authors_Primary&gt;Chen,Y.E.&lt;/Authors_Primary&gt;&lt;Authors_Primary&gt;Korbet,S.M.&lt;/Authors_Primary&gt;&lt;Authors_Primary&gt;Katz,R.S.&lt;/Authors_Primary&gt;&lt;Authors_Primary&gt;Schwartz,M.M.&lt;/Authors_Primary&gt;&lt;Authors_Primary&gt;Lewis,E.J.&lt;/Authors_Primary&gt;&lt;Date_Primary&gt;2008/1&lt;/Date_Primary&gt;&lt;Keywords&gt;Adult&lt;/Keywords&gt;&lt;Keywords&gt;Biopsy&lt;/Keywords&gt;&lt;Keywords&gt;Creatinine&lt;/Keywords&gt;&lt;Keywords&gt;Disease&lt;/Keywords&gt;&lt;Keywords&gt;Female&lt;/Keywords&gt;&lt;Keywords&gt;Follow-Up Studies&lt;/Keywords&gt;&lt;Keywords&gt;Glomerulonephritis&lt;/Keywords&gt;&lt;Keywords&gt;Humans&lt;/Keywords&gt;&lt;Keywords&gt;Kidney&lt;/Keywords&gt;&lt;Keywords&gt;Kidney Failure,Chronic&lt;/Keywords&gt;&lt;Keywords&gt;Lupus Nephritis&lt;/Keywords&gt;&lt;Keywords&gt;Male&lt;/Keywords&gt;&lt;Keywords&gt;Middle Aged&lt;/Keywords&gt;&lt;Keywords&gt;mortality&lt;/Keywords&gt;&lt;Keywords&gt;Nephritis&lt;/Keywords&gt;&lt;Keywords&gt;pathology&lt;/Keywords&gt;&lt;Keywords&gt;patient&lt;/Keywords&gt;&lt;Keywords&gt;Patients&lt;/Keywords&gt;&lt;Keywords&gt;Plasmapheresis&lt;/Keywords&gt;&lt;Keywords&gt;population&lt;/Keywords&gt;&lt;Keywords&gt;Prognosis&lt;/Keywords&gt;&lt;Keywords&gt;Prospective Studies&lt;/Keywords&gt;&lt;Keywords&gt;Proteinuria&lt;/Keywords&gt;&lt;Keywords&gt;Remission Induction&lt;/Keywords&gt;&lt;Keywords&gt;Serum&lt;/Keywords&gt;&lt;Keywords&gt;Severity of Illness Index&lt;/Keywords&gt;&lt;Keywords&gt;Survival Analysis&lt;/Keywords&gt;&lt;Keywords&gt;therapy&lt;/Keywords&gt;&lt;Keywords&gt;Treatment Outcome&lt;/Keywords&gt;&lt;Reprint&gt;Not in File&lt;/Reprint&gt;&lt;Start_Page&gt;46&lt;/Start_Page&gt;&lt;End_Page&gt;53&lt;/End_Page&gt;&lt;Periodical&gt;Clin.J.Am.Soc.Nephrol.&lt;/Periodical&gt;&lt;Volume&gt;3&lt;/Volume&gt;&lt;Issue&gt;1&lt;/Issue&gt;&lt;User_Def_1&gt;y&lt;/User_Def_1&gt;&lt;ZZ_JournalStdAbbrev&gt;&lt;f name="System"&gt;Clin.J.Am.Soc.Nephrol.&lt;/f&gt;&lt;/ZZ_JournalStdAbbrev&gt;&lt;ZZ_WorkformID&gt;1&lt;/ZZ_WorkformID&gt;&lt;/MDL&gt;&lt;/Cite&gt;&lt;/Refman&gt;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(203)</w:t>
            </w:r>
            <w:r w:rsidR="00E729BA">
              <w:rPr>
                <w:rFonts w:eastAsia="Times New Roman"/>
                <w:sz w:val="18"/>
                <w:szCs w:val="18"/>
                <w:lang w:eastAsia="en-GB"/>
              </w:rPr>
              <w:fldChar w:fldCharType="end"/>
            </w:r>
          </w:p>
        </w:tc>
        <w:tc>
          <w:tcPr>
            <w:tcW w:w="117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2008</w:t>
            </w:r>
          </w:p>
        </w:tc>
        <w:tc>
          <w:tcPr>
            <w:tcW w:w="1701" w:type="dxa"/>
          </w:tcPr>
          <w:p w:rsidR="002D772C" w:rsidRPr="00CB5AEF" w:rsidRDefault="00434C44" w:rsidP="00434C44">
            <w:pPr>
              <w:spacing w:line="276" w:lineRule="auto"/>
              <w:rPr>
                <w:rFonts w:eastAsia="Times New Roman"/>
                <w:sz w:val="18"/>
                <w:szCs w:val="18"/>
                <w:lang w:eastAsia="en-GB"/>
              </w:rPr>
            </w:pPr>
            <w:r>
              <w:rPr>
                <w:rFonts w:eastAsia="Times New Roman"/>
                <w:sz w:val="18"/>
                <w:szCs w:val="18"/>
                <w:lang w:eastAsia="en-GB"/>
              </w:rPr>
              <w:t>28</w:t>
            </w:r>
          </w:p>
        </w:tc>
        <w:tc>
          <w:tcPr>
            <w:tcW w:w="184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0.19</w:t>
            </w:r>
            <w:r w:rsidRPr="00CB5AEF">
              <w:rPr>
                <w:rFonts w:eastAsia="Times New Roman"/>
                <w:sz w:val="18"/>
                <w:szCs w:val="18"/>
                <w:vertAlign w:val="superscript"/>
                <w:lang w:eastAsia="en-GB"/>
              </w:rPr>
              <w:t>c</w:t>
            </w:r>
          </w:p>
        </w:tc>
        <w:tc>
          <w:tcPr>
            <w:tcW w:w="2268"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0.41</w:t>
            </w:r>
            <w:r w:rsidRPr="00CB5AEF">
              <w:rPr>
                <w:rFonts w:eastAsia="Times New Roman"/>
                <w:sz w:val="18"/>
                <w:szCs w:val="18"/>
                <w:vertAlign w:val="superscript"/>
                <w:lang w:eastAsia="en-GB"/>
              </w:rPr>
              <w:t>c</w:t>
            </w:r>
          </w:p>
        </w:tc>
      </w:tr>
      <w:tr w:rsidR="002D772C" w:rsidRPr="00CB5AEF" w:rsidTr="00B50E2F">
        <w:tc>
          <w:tcPr>
            <w:tcW w:w="1912"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Korbet</w:t>
            </w:r>
            <w:r w:rsidR="00680ED8">
              <w:rPr>
                <w:rFonts w:eastAsia="Times New Roman"/>
                <w:sz w:val="18"/>
                <w:szCs w:val="18"/>
                <w:lang w:eastAsia="en-GB"/>
              </w:rPr>
              <w:t xml:space="preserve">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&lt;Refman&gt;&lt;Cite&gt;&lt;Author&gt;Korbet&lt;/Author&gt;&lt;Year&gt;2000&lt;/Year&gt;&lt;RecNum&gt;1049&lt;/RecNum&gt;&lt;IDText&gt;Factors predictive of outcome in severe lupus nephritis. Lupus Nephritis Collaborative Study Group&lt;/IDText&gt;&lt;MDL Ref_Type="Journal"&gt;&lt;Ref_Type&gt;Journal&lt;/Ref_Type&gt;&lt;Ref_ID&gt;1049&lt;/Ref_ID&gt;&lt;Title_Primary&gt;Factors predictive of outcome in severe lupus nephritis. Lupus Nephritis Collaborative Study Group&lt;/Title_Primary&gt;&lt;Authors_Primary&gt;Korbet,S.M.&lt;/Authors_Primary&gt;&lt;Authors_Primary&gt;Lewis,E.J.&lt;/Authors_Primary&gt;&lt;Authors_Primary&gt;Schwartz,M.M.&lt;/Authors_Primary&gt;&lt;Authors_Primary&gt;Reichlin,M.&lt;/Authors_Primary&gt;&lt;Authors_Primary&gt;Evans,J.&lt;/Authors_Primary&gt;&lt;Authors_Primary&gt;Rohde,R.D.&lt;/Authors_Primary&gt;&lt;Date_Primary&gt;2000/5&lt;/Date_Primary&gt;&lt;Keywords&gt;Adult&lt;/Keywords&gt;&lt;Keywords&gt;Antibodies&lt;/Keywords&gt;&lt;Keywords&gt;Creatinine&lt;/Keywords&gt;&lt;Keywords&gt;Cyclophosphamide&lt;/Keywords&gt;&lt;Keywords&gt;Disease&lt;/Keywords&gt;&lt;Keywords&gt;Female&lt;/Keywords&gt;&lt;Keywords&gt;follow up&lt;/Keywords&gt;&lt;Keywords&gt;Follow-Up Studies&lt;/Keywords&gt;&lt;Keywords&gt;Humans&lt;/Keywords&gt;&lt;Keywords&gt;Lupus Nephritis&lt;/Keywords&gt;&lt;Keywords&gt;Male&lt;/Keywords&gt;&lt;Keywords&gt;mortality&lt;/Keywords&gt;&lt;Keywords&gt;Multivariate Analysis&lt;/Keywords&gt;&lt;Keywords&gt;Nephritis&lt;/Keywords&gt;&lt;Keywords&gt;pathology&lt;/Keywords&gt;&lt;Keywords&gt;patient&lt;/Keywords&gt;&lt;Keywords&gt;Patients&lt;/Keywords&gt;&lt;Keywords&gt;Plasmapheresis&lt;/Keywords&gt;&lt;Keywords&gt;Prednisone&lt;/Keywords&gt;&lt;Keywords&gt;Prognosis&lt;/Keywords&gt;&lt;Keywords&gt;Proteinuria&lt;/Keywords&gt;&lt;Keywords&gt;race&lt;/Keywords&gt;&lt;Keywords&gt;remission&lt;/Keywords&gt;&lt;Keywords&gt;Remission Induction&lt;/Keywords&gt;&lt;Keywords&gt;Serum&lt;/Keywords&gt;&lt;Keywords&gt;Severity of Illness Index&lt;/Keywords&gt;&lt;Keywords&gt;Survival Rate&lt;/Keywords&gt;&lt;Keywords&gt;therapy&lt;/Keywords&gt;&lt;Keywords&gt;Time Factors&lt;/Keywords&gt;&lt;Keywords&gt;Treatment Outcome&lt;/Keywords&gt;&lt;Keywords&gt;urine&lt;/Keywords&gt;&lt;Reprint&gt;Not in File&lt;/Reprint&gt;&lt;Start_Page&gt;904&lt;/Start_Page&gt;&lt;End_Page&gt;914&lt;/End_Page&gt;&lt;Periodical&gt;Am.J.Kidney Dis.&lt;/Periodical&gt;&lt;Volume&gt;35&lt;/Volume&gt;&lt;Issue&gt;5&lt;/Issue&gt;&lt;User_Def_1&gt;y&lt;/User_Def_1&gt;&lt;ZZ_JournalStdAbbrev&gt;&lt;f name="System"&gt;Am.J.Kidney Dis.&lt;/f&gt;&lt;/ZZ_JournalStdAbbrev&gt;&lt;ZZ_WorkformID&gt;1&lt;/ZZ_WorkformID&gt;&lt;/MDL&gt;&lt;/Cite&gt;&lt;/Refman&gt;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(204)</w:t>
            </w:r>
            <w:r w:rsidR="00E729BA">
              <w:rPr>
                <w:rFonts w:eastAsia="Times New Roman"/>
                <w:sz w:val="18"/>
                <w:szCs w:val="18"/>
                <w:lang w:eastAsia="en-GB"/>
              </w:rPr>
              <w:fldChar w:fldCharType="end"/>
            </w:r>
          </w:p>
        </w:tc>
        <w:tc>
          <w:tcPr>
            <w:tcW w:w="1173" w:type="dxa"/>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2000</w:t>
            </w:r>
          </w:p>
        </w:tc>
        <w:tc>
          <w:tcPr>
            <w:tcW w:w="1701" w:type="dxa"/>
          </w:tcPr>
          <w:p w:rsidR="002D772C" w:rsidRPr="00CB5AEF" w:rsidRDefault="00434C44" w:rsidP="004E70E9">
            <w:pPr>
              <w:spacing w:line="276" w:lineRule="auto"/>
              <w:rPr>
                <w:rFonts w:eastAsia="Times New Roman"/>
                <w:sz w:val="18"/>
                <w:szCs w:val="18"/>
                <w:lang w:eastAsia="en-GB"/>
              </w:rPr>
            </w:pPr>
            <w:r>
              <w:rPr>
                <w:rFonts w:eastAsia="Times New Roman"/>
                <w:sz w:val="18"/>
                <w:szCs w:val="18"/>
                <w:lang w:eastAsia="en-GB"/>
              </w:rPr>
              <w:t>37</w:t>
            </w:r>
          </w:p>
        </w:tc>
        <w:tc>
          <w:tcPr>
            <w:tcW w:w="1843" w:type="dxa"/>
          </w:tcPr>
          <w:p w:rsidR="002D772C" w:rsidRPr="00CB5AEF" w:rsidRDefault="002D772C" w:rsidP="004E70E9">
            <w:pPr>
              <w:spacing w:line="276" w:lineRule="auto"/>
              <w:rPr>
                <w:rFonts w:eastAsia="Times New Roman"/>
                <w:sz w:val="18"/>
                <w:szCs w:val="18"/>
                <w:vertAlign w:val="superscript"/>
                <w:lang w:eastAsia="en-GB"/>
              </w:rPr>
            </w:pPr>
            <w:r w:rsidRPr="00CB5AEF">
              <w:rPr>
                <w:rFonts w:eastAsia="Times New Roman"/>
                <w:sz w:val="18"/>
                <w:szCs w:val="18"/>
                <w:lang w:eastAsia="en-GB"/>
              </w:rPr>
              <w:t>0.95</w:t>
            </w:r>
            <w:r w:rsidRPr="00CB5AEF">
              <w:rPr>
                <w:rFonts w:eastAsia="Times New Roman"/>
                <w:sz w:val="18"/>
                <w:szCs w:val="18"/>
                <w:vertAlign w:val="superscript"/>
                <w:lang w:eastAsia="en-GB"/>
              </w:rPr>
              <w:t>a</w:t>
            </w:r>
          </w:p>
        </w:tc>
        <w:tc>
          <w:tcPr>
            <w:tcW w:w="2268" w:type="dxa"/>
          </w:tcPr>
          <w:p w:rsidR="002D772C" w:rsidRPr="00CB5AEF" w:rsidRDefault="002D772C" w:rsidP="004E70E9">
            <w:pPr>
              <w:spacing w:line="276" w:lineRule="auto"/>
              <w:rPr>
                <w:rFonts w:eastAsia="Times New Roman"/>
                <w:sz w:val="18"/>
                <w:szCs w:val="18"/>
                <w:lang w:eastAsia="en-GB"/>
              </w:rPr>
            </w:pPr>
          </w:p>
        </w:tc>
      </w:tr>
      <w:tr w:rsidR="002D772C" w:rsidRPr="00CB5AEF" w:rsidTr="00B50E2F">
        <w:tc>
          <w:tcPr>
            <w:tcW w:w="1912" w:type="dxa"/>
            <w:tcBorders>
              <w:bottom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 xml:space="preserve">Korbet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&lt;Refman&gt;&lt;Cite&gt;&lt;Author&gt;Korbet&lt;/Author&gt;&lt;Year&gt;2000&lt;/Year&gt;&lt;RecNum&gt;1049&lt;/RecNum&gt;&lt;IDText&gt;Factors predictive of outcome in severe lupus nephritis. Lupus Nephritis Collaborative Study Group&lt;/IDText&gt;&lt;MDL Ref_Type="Journal"&gt;&lt;Ref_Type&gt;Journal&lt;/Ref_Type&gt;&lt;Ref_ID&gt;1049&lt;/Ref_ID&gt;&lt;Title_Primary&gt;Factors predictive of outcome in severe lupus nephritis. Lupus Nephritis Collaborative Study Group&lt;/Title_Primary&gt;&lt;Authors_Primary&gt;Korbet,S.M.&lt;/Authors_Primary&gt;&lt;Authors_Primary&gt;Lewis,E.J.&lt;/Authors_Primary&gt;&lt;Authors_Primary&gt;Schwartz,M.M.&lt;/Authors_Primary&gt;&lt;Authors_Primary&gt;Reichlin,M.&lt;/Authors_Primary&gt;&lt;Authors_Primary&gt;Evans,J.&lt;/Authors_Primary&gt;&lt;Authors_Primary&gt;Rohde,R.D.&lt;/Authors_Primary&gt;&lt;Date_Primary&gt;2000/5&lt;/Date_Primary&gt;&lt;Keywords&gt;Adult&lt;/Keywords&gt;&lt;Keywords&gt;Antibodies&lt;/Keywords&gt;&lt;Keywords&gt;Creatinine&lt;/Keywords&gt;&lt;Keywords&gt;Cyclophosphamide&lt;/Keywords&gt;&lt;Keywords&gt;Disease&lt;/Keywords&gt;&lt;Keywords&gt;Female&lt;/Keywords&gt;&lt;Keywords&gt;follow up&lt;/Keywords&gt;&lt;Keywords&gt;Follow-Up Studies&lt;/Keywords&gt;&lt;Keywords&gt;Humans&lt;/Keywords&gt;&lt;Keywords&gt;Lupus Nephritis&lt;/Keywords&gt;&lt;Keywords&gt;Male&lt;/Keywords&gt;&lt;Keywords&gt;mortality&lt;/Keywords&gt;&lt;Keywords&gt;Multivariate Analysis&lt;/Keywords&gt;&lt;Keywords&gt;Nephritis&lt;/Keywords&gt;&lt;Keywords&gt;pathology&lt;/Keywords&gt;&lt;Keywords&gt;patient&lt;/Keywords&gt;&lt;Keywords&gt;Patients&lt;/Keywords&gt;&lt;Keywords&gt;Plasmapheresis&lt;/Keywords&gt;&lt;Keywords&gt;Prednisone&lt;/Keywords&gt;&lt;Keywords&gt;Prognosis&lt;/Keywords&gt;&lt;Keywords&gt;Proteinuria&lt;/Keywords&gt;&lt;Keywords&gt;race&lt;/Keywords&gt;&lt;Keywords&gt;remission&lt;/Keywords&gt;&lt;Keywords&gt;Remission Induction&lt;/Keywords&gt;&lt;Keywords&gt;Serum&lt;/Keywords&gt;&lt;Keywords&gt;Severity of Illness Index&lt;/Keywords&gt;&lt;Keywords&gt;Survival Rate&lt;/Keywords&gt;&lt;Keywords&gt;therapy&lt;/Keywords&gt;&lt;Keywords&gt;Time Factors&lt;/Keywords&gt;&lt;Keywords&gt;Treatment Outcome&lt;/Keywords&gt;&lt;Keywords&gt;urine&lt;/Keywords&gt;&lt;Reprint&gt;Not in File&lt;/Reprint&gt;&lt;Start_Page&gt;904&lt;/Start_Page&gt;&lt;End_Page&gt;914&lt;/End_Page&gt;&lt;Periodical&gt;Am.J.Kidney Dis.&lt;/Periodical&gt;&lt;Volume&gt;35&lt;/Volume&gt;&lt;Issue&gt;5&lt;/Issue&gt;&lt;User_Def_1&gt;y&lt;/User_Def_1&gt;&lt;ZZ_JournalStdAbbrev&gt;&lt;f name="System"&gt;Am.J.Kidney Dis.&lt;/f&gt;&lt;/ZZ_JournalStdAbbrev&gt;&lt;ZZ_WorkformID&gt;1&lt;/ZZ_WorkformID&gt;&lt;/MDL&gt;&lt;/Cite&gt;&lt;/Refman&gt;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(204)</w:t>
            </w:r>
            <w:r w:rsidR="00E729BA">
              <w:rPr>
                <w:rFonts w:eastAsia="Times New Roman"/>
                <w:sz w:val="18"/>
                <w:szCs w:val="18"/>
                <w:lang w:eastAsia="en-GB"/>
              </w:rPr>
              <w:fldChar w:fldCharType="end"/>
            </w:r>
          </w:p>
        </w:tc>
        <w:tc>
          <w:tcPr>
            <w:tcW w:w="1173" w:type="dxa"/>
            <w:tcBorders>
              <w:bottom w:val="single" w:sz="4" w:space="0" w:color="auto"/>
            </w:tcBorders>
          </w:tcPr>
          <w:p w:rsidR="002D772C" w:rsidRPr="00CB5AEF" w:rsidRDefault="002D772C" w:rsidP="004E70E9">
            <w:pPr>
              <w:spacing w:line="276" w:lineRule="auto"/>
              <w:rPr>
                <w:rFonts w:eastAsia="Times New Roman"/>
                <w:sz w:val="18"/>
                <w:szCs w:val="18"/>
                <w:lang w:eastAsia="en-GB"/>
              </w:rPr>
            </w:pPr>
            <w:r w:rsidRPr="00CB5AEF">
              <w:rPr>
                <w:rFonts w:eastAsia="Times New Roman"/>
                <w:sz w:val="18"/>
                <w:szCs w:val="18"/>
                <w:lang w:eastAsia="en-GB"/>
              </w:rPr>
              <w:t>2000</w:t>
            </w:r>
          </w:p>
        </w:tc>
        <w:tc>
          <w:tcPr>
            <w:tcW w:w="1701" w:type="dxa"/>
            <w:tcBorders>
              <w:bottom w:val="single" w:sz="4" w:space="0" w:color="auto"/>
            </w:tcBorders>
          </w:tcPr>
          <w:p w:rsidR="002D772C" w:rsidRPr="00CB5AEF" w:rsidRDefault="00434C44" w:rsidP="004E70E9">
            <w:pPr>
              <w:spacing w:line="276" w:lineRule="auto"/>
              <w:rPr>
                <w:rFonts w:eastAsia="Times New Roman"/>
                <w:sz w:val="18"/>
                <w:szCs w:val="18"/>
                <w:lang w:eastAsia="en-GB"/>
              </w:rPr>
            </w:pPr>
            <w:r>
              <w:rPr>
                <w:rFonts w:eastAsia="Times New Roman"/>
                <w:sz w:val="18"/>
                <w:szCs w:val="18"/>
                <w:lang w:eastAsia="en-GB"/>
              </w:rPr>
              <w:t>49</w:t>
            </w:r>
          </w:p>
        </w:tc>
        <w:tc>
          <w:tcPr>
            <w:tcW w:w="1843" w:type="dxa"/>
            <w:tcBorders>
              <w:bottom w:val="single" w:sz="4" w:space="0" w:color="auto"/>
            </w:tcBorders>
          </w:tcPr>
          <w:p w:rsidR="002D772C" w:rsidRPr="00CB5AEF" w:rsidRDefault="002D772C" w:rsidP="004E70E9">
            <w:pPr>
              <w:spacing w:line="276" w:lineRule="auto"/>
              <w:rPr>
                <w:rFonts w:eastAsia="Times New Roman"/>
                <w:sz w:val="18"/>
                <w:szCs w:val="18"/>
                <w:vertAlign w:val="superscript"/>
                <w:lang w:eastAsia="en-GB"/>
              </w:rPr>
            </w:pPr>
            <w:r w:rsidRPr="00CB5AEF">
              <w:rPr>
                <w:rFonts w:eastAsia="Times New Roman"/>
                <w:sz w:val="18"/>
                <w:szCs w:val="18"/>
                <w:lang w:eastAsia="en-GB"/>
              </w:rPr>
              <w:t>0.31</w:t>
            </w:r>
            <w:r w:rsidRPr="00CB5AEF">
              <w:rPr>
                <w:rFonts w:eastAsia="Times New Roman"/>
                <w:sz w:val="18"/>
                <w:szCs w:val="18"/>
                <w:vertAlign w:val="superscript"/>
                <w:lang w:eastAsia="en-GB"/>
              </w:rPr>
              <w:t>c</w:t>
            </w:r>
          </w:p>
        </w:tc>
        <w:tc>
          <w:tcPr>
            <w:tcW w:w="2268" w:type="dxa"/>
            <w:tcBorders>
              <w:bottom w:val="single" w:sz="4" w:space="0" w:color="auto"/>
            </w:tcBorders>
          </w:tcPr>
          <w:p w:rsidR="002D772C" w:rsidRPr="00CB5AEF" w:rsidRDefault="002D772C" w:rsidP="004E70E9">
            <w:pPr>
              <w:spacing w:line="276" w:lineRule="auto"/>
              <w:rPr>
                <w:rFonts w:eastAsia="Times New Roman"/>
                <w:sz w:val="18"/>
                <w:szCs w:val="18"/>
                <w:lang w:eastAsia="en-GB"/>
              </w:rPr>
            </w:pPr>
          </w:p>
        </w:tc>
      </w:tr>
      <w:tr w:rsidR="002D772C" w:rsidRPr="00CB5AEF" w:rsidTr="00B50E2F">
        <w:tc>
          <w:tcPr>
            <w:tcW w:w="8897" w:type="dxa"/>
            <w:gridSpan w:val="5"/>
            <w:tcBorders>
              <w:top w:val="single" w:sz="4" w:space="0" w:color="auto"/>
              <w:bottom w:val="single" w:sz="12" w:space="0" w:color="auto"/>
            </w:tcBorders>
          </w:tcPr>
          <w:p w:rsidR="002D772C" w:rsidRPr="004E70E9" w:rsidRDefault="002D772C" w:rsidP="004E70E9">
            <w:pPr>
              <w:spacing w:line="276" w:lineRule="auto"/>
              <w:rPr>
                <w:rFonts w:eastAsia="Times New Roman"/>
                <w:sz w:val="16"/>
                <w:szCs w:val="16"/>
                <w:lang w:eastAsia="en-GB"/>
              </w:rPr>
            </w:pPr>
            <w:r w:rsidRPr="004E70E9">
              <w:rPr>
                <w:sz w:val="16"/>
                <w:szCs w:val="16"/>
                <w:vertAlign w:val="superscript"/>
              </w:rPr>
              <w:t>a</w:t>
            </w:r>
            <w:r w:rsidRPr="004E70E9">
              <w:rPr>
                <w:sz w:val="16"/>
                <w:szCs w:val="16"/>
              </w:rPr>
              <w:t xml:space="preserve"> Survival of patients with complete remission; </w:t>
            </w:r>
            <w:r w:rsidRPr="004E70E9">
              <w:rPr>
                <w:sz w:val="16"/>
                <w:szCs w:val="16"/>
                <w:vertAlign w:val="superscript"/>
              </w:rPr>
              <w:t>b</w:t>
            </w:r>
            <w:r w:rsidRPr="004E70E9">
              <w:rPr>
                <w:sz w:val="16"/>
                <w:szCs w:val="16"/>
              </w:rPr>
              <w:t xml:space="preserve"> survival of patients with partial remission; </w:t>
            </w:r>
            <w:r w:rsidRPr="004E70E9">
              <w:rPr>
                <w:sz w:val="16"/>
                <w:szCs w:val="16"/>
                <w:vertAlign w:val="superscript"/>
              </w:rPr>
              <w:t>c</w:t>
            </w:r>
            <w:r w:rsidRPr="004E70E9">
              <w:rPr>
                <w:sz w:val="16"/>
                <w:szCs w:val="16"/>
              </w:rPr>
              <w:t xml:space="preserve"> survival of patients with no remission</w:t>
            </w:r>
          </w:p>
        </w:tc>
      </w:tr>
    </w:tbl>
    <w:p w:rsidR="009A48D5" w:rsidRDefault="002D772C" w:rsidP="009A48D5">
      <w:pPr>
        <w:rPr>
          <w:sz w:val="18"/>
          <w:szCs w:val="18"/>
        </w:rPr>
      </w:pPr>
      <w:r w:rsidRPr="008E359B">
        <w:rPr>
          <w:sz w:val="18"/>
          <w:szCs w:val="18"/>
        </w:rPr>
        <w:t>.</w:t>
      </w:r>
    </w:p>
    <w:p w:rsidR="002D772C" w:rsidRPr="00367A30" w:rsidRDefault="002D772C" w:rsidP="009A48D5">
      <w:r w:rsidRPr="00367A30">
        <w:t xml:space="preserve">Several studies have utilised univariate and multivariate statistical techniques to identify variables associated with end stage renal disease. The results are detailed in </w:t>
      </w:r>
      <w:fldSimple w:instr=" REF _Ref252544836 \h  \* MERGEFORMAT ">
        <w:r w:rsidR="004911B7">
          <w:t xml:space="preserve">Table </w:t>
        </w:r>
        <w:r w:rsidR="004911B7">
          <w:rPr>
            <w:noProof/>
          </w:rPr>
          <w:t>20</w:t>
        </w:r>
      </w:fldSimple>
      <w:r w:rsidRPr="00367A30">
        <w:t>.</w:t>
      </w:r>
    </w:p>
    <w:p w:rsidR="002D772C" w:rsidRDefault="002D772C" w:rsidP="00234693">
      <w:pPr>
        <w:pStyle w:val="Caption"/>
      </w:pPr>
      <w:bookmarkStart w:id="225" w:name="_Ref252544836"/>
      <w:bookmarkStart w:id="226" w:name="_Toc279009291"/>
      <w:r>
        <w:t xml:space="preserve">Table </w:t>
      </w:r>
      <w:fldSimple w:instr=" SEQ Table \* ARABIC ">
        <w:r w:rsidR="004911B7">
          <w:rPr>
            <w:noProof/>
          </w:rPr>
          <w:t>20</w:t>
        </w:r>
      </w:fldSimple>
      <w:bookmarkEnd w:id="225"/>
      <w:r>
        <w:t>: Predictors of end stage renal disease</w:t>
      </w:r>
      <w:bookmarkEnd w:id="226"/>
    </w:p>
    <w:tbl>
      <w:tblPr>
        <w:tblW w:w="0" w:type="auto"/>
        <w:tblBorders>
          <w:top w:val="single" w:sz="12" w:space="0" w:color="auto"/>
          <w:bottom w:val="single" w:sz="12" w:space="0" w:color="auto"/>
        </w:tblBorders>
        <w:tblLook w:val="01E0"/>
      </w:tblPr>
      <w:tblGrid>
        <w:gridCol w:w="811"/>
        <w:gridCol w:w="576"/>
        <w:gridCol w:w="1447"/>
        <w:gridCol w:w="1102"/>
        <w:gridCol w:w="1055"/>
        <w:gridCol w:w="1139"/>
        <w:gridCol w:w="1148"/>
        <w:gridCol w:w="1136"/>
      </w:tblGrid>
      <w:tr w:rsidR="002D772C" w:rsidRPr="00A042EC" w:rsidTr="00B50E2F">
        <w:tc>
          <w:tcPr>
            <w:tcW w:w="817"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Author</w:t>
            </w:r>
          </w:p>
        </w:tc>
        <w:tc>
          <w:tcPr>
            <w:tcW w:w="576"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Year</w:t>
            </w:r>
          </w:p>
        </w:tc>
        <w:tc>
          <w:tcPr>
            <w:tcW w:w="1692"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Outcome</w:t>
            </w:r>
          </w:p>
        </w:tc>
        <w:tc>
          <w:tcPr>
            <w:tcW w:w="1231"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Disease Activity</w:t>
            </w:r>
          </w:p>
        </w:tc>
        <w:tc>
          <w:tcPr>
            <w:tcW w:w="1231"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Age</w:t>
            </w:r>
          </w:p>
        </w:tc>
        <w:tc>
          <w:tcPr>
            <w:tcW w:w="1232"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Serum creatinine</w:t>
            </w:r>
          </w:p>
        </w:tc>
        <w:tc>
          <w:tcPr>
            <w:tcW w:w="1231"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anti-Ro antibodies</w:t>
            </w:r>
          </w:p>
        </w:tc>
        <w:tc>
          <w:tcPr>
            <w:tcW w:w="1232" w:type="dxa"/>
            <w:tcBorders>
              <w:top w:val="single" w:sz="12" w:space="0" w:color="auto"/>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No remission</w:t>
            </w:r>
          </w:p>
        </w:tc>
      </w:tr>
      <w:tr w:rsidR="002D772C" w:rsidRPr="00A042EC" w:rsidTr="00B50E2F">
        <w:tc>
          <w:tcPr>
            <w:tcW w:w="817"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Alarcon</w:t>
            </w:r>
            <w:r w:rsidR="00680ED8">
              <w:rPr>
                <w:rFonts w:asciiTheme="majorBidi" w:hAnsiTheme="majorBidi" w:cstheme="majorBidi"/>
                <w:sz w:val="18"/>
                <w:szCs w:val="18"/>
                <w:lang w:eastAsia="en-GB"/>
              </w:rPr>
              <w:t xml:space="preserve"> </w:t>
            </w:r>
            <w:r w:rsidR="00E729BA">
              <w:rPr>
                <w:rFonts w:asciiTheme="majorBidi" w:hAnsiTheme="majorBidi" w:cstheme="majorBidi"/>
                <w:sz w:val="18"/>
                <w:szCs w:val="18"/>
                <w:lang w:eastAsia="en-GB"/>
              </w:rPr>
              <w:fldChar w:fldCharType="begin"/>
            </w:r>
            <w:r w:rsidR="00FC61FD">
              <w:rPr>
                <w:rFonts w:asciiTheme="majorBidi" w:hAnsiTheme="majorBidi" w:cstheme="majorBidi"/>
                <w:sz w:val="18"/>
                <w:szCs w:val="18"/>
                <w:lang w:eastAsia="en-GB"/>
              </w:rPr>
              <w:instrText xml:space="preserve"> ADDIN REFMGR.CITE &lt;Refman&gt;&lt;Cite&gt;&lt;Author&gt;Alarcon&lt;/Author&gt;&lt;Year&gt;2006&lt;/Year&gt;&lt;RecNum&gt;410&lt;/RecNum&gt;&lt;IDText&gt;Time to renal disease and end-stage renal disease in PROFILE: a multiethnic lupus cohort&lt;/IDText&gt;&lt;MDL Ref_Type="Journal"&gt;&lt;Ref_Type&gt;Journal&lt;/Ref_Type&gt;&lt;Ref_ID&gt;410&lt;/Ref_ID&gt;&lt;Title_Primary&gt;Time to renal disease and end-stage renal disease in PROFILE: a multiethnic lupus cohort&lt;/Title_Primary&gt;&lt;Authors_Primary&gt;Alarcon,G.S.&lt;/Authors_Primary&gt;&lt;Authors_Primary&gt;McGwin,G.,Jr.&lt;/Authors_Primary&gt;&lt;Authors_Primary&gt;Petri,M.&lt;/Authors_Primary&gt;&lt;Authors_Primary&gt;Ramsey-Goldman,R.&lt;/Authors_Primary&gt;&lt;Authors_Primary&gt;Fessler,B.J.&lt;/Authors_Primary&gt;&lt;Authors_Primary&gt;Vila,L.M.&lt;/Authors_Primary&gt;&lt;Authors_Primary&gt;Edberg,J.C.&lt;/Authors_Primary&gt;&lt;Authors_Primary&gt;Reveille,J.D.&lt;/Authors_Primary&gt;&lt;Authors_Primary&gt;Kimberly,R.P.&lt;/Authors_Primary&gt;&lt;Date_Primary&gt;2006/10&lt;/Date_Primary&gt;&lt;Keywords&gt;Adult&lt;/Keywords&gt;&lt;Keywords&gt;age&lt;/Keywords&gt;&lt;Keywords&gt;Alabama&lt;/Keywords&gt;&lt;Keywords&gt;Alleles&lt;/Keywords&gt;&lt;Keywords&gt;analysis&lt;/Keywords&gt;&lt;Keywords&gt;Cohort Studies&lt;/Keywords&gt;&lt;Keywords&gt;complications&lt;/Keywords&gt;&lt;Keywords&gt;diagnosis&lt;/Keywords&gt;&lt;Keywords&gt;Disease&lt;/Keywords&gt;&lt;Keywords&gt;Disease Progression&lt;/Keywords&gt;&lt;Keywords&gt;epidemiology&lt;/Keywords&gt;&lt;Keywords&gt;erythematosus&lt;/Keywords&gt;&lt;Keywords&gt;Ethnic Groups&lt;/Keywords&gt;&lt;Keywords&gt;ethnology&lt;/Keywords&gt;&lt;Keywords&gt;etiology&lt;/Keywords&gt;&lt;Keywords&gt;Female&lt;/Keywords&gt;&lt;Keywords&gt;Genetic Predisposition to Disease&lt;/Keywords&gt;&lt;Keywords&gt;genetics&lt;/Keywords&gt;&lt;Keywords&gt;Genotype&lt;/Keywords&gt;&lt;Keywords&gt;HLA Antigens&lt;/Keywords&gt;&lt;Keywords&gt;Humans&lt;/Keywords&gt;&lt;Keywords&gt;immunology&lt;/Keywords&gt;&lt;Keywords&gt;Kidney Diseases&lt;/Keywords&gt;&lt;Keywords&gt;Kidney Failure,Chronic&lt;/Keywords&gt;&lt;Keywords&gt;lupus erythematosus&lt;/Keywords&gt;&lt;Keywords&gt;Lupus Erythematosus,Systemic&lt;/Keywords&gt;&lt;Keywords&gt;Male&lt;/Keywords&gt;&lt;Keywords&gt;methods&lt;/Keywords&gt;&lt;Keywords&gt;Middle Aged&lt;/Keywords&gt;&lt;Keywords&gt;Multivariate Analysis&lt;/Keywords&gt;&lt;Keywords&gt;patient&lt;/Keywords&gt;&lt;Keywords&gt;Patients&lt;/Keywords&gt;&lt;Keywords&gt;Prognosis&lt;/Keywords&gt;&lt;Keywords&gt;Puerto Rico&lt;/Keywords&gt;&lt;Keywords&gt;Receptors,IgG&lt;/Keywords&gt;&lt;Keywords&gt;Regression Analysis&lt;/Keywords&gt;&lt;Keywords&gt;Rheumatology&lt;/Keywords&gt;&lt;Keywords&gt;Risk&lt;/Keywords&gt;&lt;Keywords&gt;systemic lupus erythematosus&lt;/Keywords&gt;&lt;Keywords&gt;Texas&lt;/Keywords&gt;&lt;Keywords&gt;Time&lt;/Keywords&gt;&lt;Keywords&gt;Time Factors&lt;/Keywords&gt;&lt;Keywords&gt;United States&lt;/Keywords&gt;&lt;Reprint&gt;Not in File&lt;/Reprint&gt;&lt;Start_Page&gt;e396&lt;/Start_Page&gt;&lt;Periodical&gt;PLoS.Med.&lt;/Periodical&gt;&lt;Volume&gt;3&lt;/Volume&gt;&lt;Issue&gt;10&lt;/Issue&gt;&lt;User_Def_1&gt;y&lt;/User_Def_1&gt;&lt;ZZ_JournalStdAbbrev&gt;&lt;f name="System"&gt;PLoS.Med.&lt;/f&gt;&lt;/ZZ_JournalStdAbbrev&gt;&lt;ZZ_WorkformID&gt;1&lt;/ZZ_WorkformID&gt;&lt;/MDL&gt;&lt;/Cite&gt;&lt;/Refman&gt;</w:instrText>
            </w:r>
            <w:r w:rsidR="00E729BA">
              <w:rPr>
                <w:rFonts w:asciiTheme="majorBidi" w:hAnsiTheme="majorBidi" w:cstheme="majorBidi"/>
                <w:sz w:val="18"/>
                <w:szCs w:val="18"/>
                <w:lang w:eastAsia="en-GB"/>
              </w:rPr>
              <w:fldChar w:fldCharType="separate"/>
            </w:r>
            <w:r w:rsidR="004D7951">
              <w:rPr>
                <w:rFonts w:asciiTheme="majorBidi" w:hAnsiTheme="majorBidi" w:cstheme="majorBidi"/>
                <w:sz w:val="18"/>
                <w:szCs w:val="18"/>
                <w:lang w:eastAsia="en-GB"/>
              </w:rPr>
              <w:t>(205)</w:t>
            </w:r>
            <w:r w:rsidR="00E729BA">
              <w:rPr>
                <w:rFonts w:asciiTheme="majorBidi" w:hAnsiTheme="majorBidi" w:cstheme="majorBidi"/>
                <w:sz w:val="18"/>
                <w:szCs w:val="18"/>
                <w:lang w:eastAsia="en-GB"/>
              </w:rPr>
              <w:fldChar w:fldCharType="end"/>
            </w:r>
            <w:r w:rsidRPr="00A042EC">
              <w:rPr>
                <w:rFonts w:asciiTheme="majorBidi" w:hAnsiTheme="majorBidi" w:cstheme="majorBidi"/>
                <w:sz w:val="18"/>
                <w:szCs w:val="18"/>
                <w:lang w:eastAsia="en-GB"/>
              </w:rPr>
              <w:t xml:space="preserve"> </w:t>
            </w:r>
          </w:p>
        </w:tc>
        <w:tc>
          <w:tcPr>
            <w:tcW w:w="576"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2006</w:t>
            </w:r>
          </w:p>
        </w:tc>
        <w:tc>
          <w:tcPr>
            <w:tcW w:w="1692"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Pr>
                <w:rFonts w:asciiTheme="majorBidi" w:hAnsiTheme="majorBidi" w:cstheme="majorBidi"/>
                <w:sz w:val="18"/>
                <w:szCs w:val="18"/>
                <w:lang w:eastAsia="en-GB"/>
              </w:rPr>
              <w:t>Renal disease (HR)</w:t>
            </w:r>
          </w:p>
        </w:tc>
        <w:tc>
          <w:tcPr>
            <w:tcW w:w="1231"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1"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0.96 (0.92-0.99)</w:t>
            </w:r>
          </w:p>
        </w:tc>
        <w:tc>
          <w:tcPr>
            <w:tcW w:w="1232"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1"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2" w:type="dxa"/>
            <w:tcBorders>
              <w:top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r>
      <w:tr w:rsidR="002D772C" w:rsidRPr="00A042EC" w:rsidTr="00B50E2F">
        <w:tc>
          <w:tcPr>
            <w:tcW w:w="817" w:type="dxa"/>
          </w:tcPr>
          <w:p w:rsidR="002D772C" w:rsidRPr="00A042EC" w:rsidRDefault="002D772C" w:rsidP="00B50E2F">
            <w:pPr>
              <w:spacing w:line="240" w:lineRule="auto"/>
              <w:rPr>
                <w:rFonts w:asciiTheme="majorBidi" w:hAnsiTheme="majorBidi" w:cstheme="majorBidi"/>
                <w:sz w:val="18"/>
                <w:szCs w:val="18"/>
                <w:lang w:val="de-DE" w:eastAsia="en-GB"/>
              </w:rPr>
            </w:pPr>
            <w:r w:rsidRPr="00A042EC">
              <w:rPr>
                <w:rFonts w:asciiTheme="majorBidi" w:hAnsiTheme="majorBidi" w:cstheme="majorBidi"/>
                <w:sz w:val="18"/>
                <w:szCs w:val="18"/>
                <w:lang w:val="de-DE" w:eastAsia="en-GB"/>
              </w:rPr>
              <w:t xml:space="preserve">Korbet </w:t>
            </w:r>
            <w:r w:rsidR="00E729BA">
              <w:rPr>
                <w:rFonts w:eastAsia="Times New Roman"/>
                <w:sz w:val="18"/>
                <w:szCs w:val="18"/>
                <w:lang w:eastAsia="en-GB"/>
              </w:rPr>
              <w:fldChar w:fldCharType="begin"/>
            </w:r>
            <w:r w:rsidR="00FC61FD">
              <w:rPr>
                <w:rFonts w:eastAsia="Times New Roman"/>
                <w:sz w:val="18"/>
                <w:szCs w:val="18"/>
                <w:lang w:eastAsia="en-GB"/>
              </w:rPr>
              <w:instrText xml:space="preserve"> ADDIN REFMGR.CITE &lt;Refman&gt;&lt;Cite&gt;&lt;Author&gt;Korbet&lt;/Author&gt;&lt;Year&gt;2000&lt;/Year&gt;&lt;RecNum&gt;1049&lt;/RecNum&gt;&lt;IDText&gt;Factors predictive of outcome in severe lupus nephritis. Lupus Nephritis Collaborative Study Group&lt;/IDText&gt;&lt;MDL Ref_Type="Journal"&gt;&lt;Ref_Type&gt;Journal&lt;/Ref_Type&gt;&lt;Ref_ID&gt;1049&lt;/Ref_ID&gt;&lt;Title_Primary&gt;Factors predictive of outcome in severe lupus nephritis. Lupus Nephritis Collaborative Study Group&lt;/Title_Primary&gt;&lt;Authors_Primary&gt;Korbet,S.M.&lt;/Authors_Primary&gt;&lt;Authors_Primary&gt;Lewis,E.J.&lt;/Authors_Primary&gt;&lt;Authors_Primary&gt;Schwartz,M.M.&lt;/Authors_Primary&gt;&lt;Authors_Primary&gt;Reichlin,M.&lt;/Authors_Primary&gt;&lt;Authors_Primary&gt;Evans,J.&lt;/Authors_Primary&gt;&lt;Authors_Primary&gt;Rohde,R.D.&lt;/Authors_Primary&gt;&lt;Date_Primary&gt;2000/5&lt;/Date_Primary&gt;&lt;Keywords&gt;Adult&lt;/Keywords&gt;&lt;Keywords&gt;Antibodies&lt;/Keywords&gt;&lt;Keywords&gt;Creatinine&lt;/Keywords&gt;&lt;Keywords&gt;Cyclophosphamide&lt;/Keywords&gt;&lt;Keywords&gt;Disease&lt;/Keywords&gt;&lt;Keywords&gt;Female&lt;/Keywords&gt;&lt;Keywords&gt;follow up&lt;/Keywords&gt;&lt;Keywords&gt;Follow-Up Studies&lt;/Keywords&gt;&lt;Keywords&gt;Humans&lt;/Keywords&gt;&lt;Keywords&gt;Lupus Nephritis&lt;/Keywords&gt;&lt;Keywords&gt;Male&lt;/Keywords&gt;&lt;Keywords&gt;mortality&lt;/Keywords&gt;&lt;Keywords&gt;Multivariate Analysis&lt;/Keywords&gt;&lt;Keywords&gt;Nephritis&lt;/Keywords&gt;&lt;Keywords&gt;pathology&lt;/Keywords&gt;&lt;Keywords&gt;patient&lt;/Keywords&gt;&lt;Keywords&gt;Patients&lt;/Keywords&gt;&lt;Keywords&gt;Plasmapheresis&lt;/Keywords&gt;&lt;Keywords&gt;Prednisone&lt;/Keywords&gt;&lt;Keywords&gt;Prognosis&lt;/Keywords&gt;&lt;Keywords&gt;Proteinuria&lt;/Keywords&gt;&lt;Keywords&gt;race&lt;/Keywords&gt;&lt;Keywords&gt;remission&lt;/Keywords&gt;&lt;Keywords&gt;Remission Induction&lt;/Keywords&gt;&lt;Keywords&gt;Serum&lt;/Keywords&gt;&lt;Keywords&gt;Severity of Illness Index&lt;/Keywords&gt;&lt;Keywords&gt;Survival Rate&lt;/Keywords&gt;&lt;Keywords&gt;therapy&lt;/Keywords&gt;&lt;Keywords&gt;Time Factors&lt;/Keywords&gt;&lt;Keywords&gt;Treatment Outcome&lt;/Keywords&gt;&lt;Keywords&gt;urine&lt;/Keywords&gt;&lt;Reprint&gt;Not in File&lt;/Reprint&gt;&lt;Start_Page&gt;904&lt;/Start_Page&gt;&lt;End_Page&gt;914&lt;/End_Page&gt;&lt;Periodical&gt;Am.J.Kidney Dis.&lt;/Periodical&gt;&lt;Volume&gt;35&lt;/Volume&gt;&lt;Issue&gt;5&lt;/Issue&gt;&lt;User_Def_1&gt;y&lt;/User_Def_1&gt;&lt;ZZ_JournalStdAbbrev&gt;&lt;f name="System"&gt;Am.J.Kidney Dis.&lt;/f&gt;&lt;/ZZ_JournalStdAbbrev&gt;&lt;ZZ_WorkformID&gt;1&lt;/ZZ_WorkformID&gt;&lt;/MDL&gt;&lt;/Cite&gt;&lt;/Refman&gt;</w:instrText>
            </w:r>
            <w:r w:rsidR="00E729BA">
              <w:rPr>
                <w:rFonts w:eastAsia="Times New Roman"/>
                <w:sz w:val="18"/>
                <w:szCs w:val="18"/>
                <w:lang w:eastAsia="en-GB"/>
              </w:rPr>
              <w:fldChar w:fldCharType="separate"/>
            </w:r>
            <w:r w:rsidR="004D7951">
              <w:rPr>
                <w:rFonts w:eastAsia="Times New Roman"/>
                <w:sz w:val="18"/>
                <w:szCs w:val="18"/>
                <w:lang w:eastAsia="en-GB"/>
              </w:rPr>
              <w:t>(204)</w:t>
            </w:r>
            <w:r w:rsidR="00E729BA">
              <w:rPr>
                <w:rFonts w:eastAsia="Times New Roman"/>
                <w:sz w:val="18"/>
                <w:szCs w:val="18"/>
                <w:lang w:eastAsia="en-GB"/>
              </w:rPr>
              <w:fldChar w:fldCharType="end"/>
            </w:r>
          </w:p>
        </w:tc>
        <w:tc>
          <w:tcPr>
            <w:tcW w:w="576" w:type="dxa"/>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2000</w:t>
            </w:r>
          </w:p>
        </w:tc>
        <w:tc>
          <w:tcPr>
            <w:tcW w:w="1692" w:type="dxa"/>
          </w:tcPr>
          <w:p w:rsidR="002D772C" w:rsidRPr="00A042EC" w:rsidRDefault="002D772C" w:rsidP="00B50E2F">
            <w:pPr>
              <w:spacing w:line="240" w:lineRule="auto"/>
              <w:rPr>
                <w:rFonts w:asciiTheme="majorBidi" w:hAnsiTheme="majorBidi" w:cstheme="majorBidi"/>
                <w:sz w:val="18"/>
                <w:szCs w:val="18"/>
                <w:lang w:eastAsia="en-GB"/>
              </w:rPr>
            </w:pPr>
            <w:r>
              <w:rPr>
                <w:rFonts w:asciiTheme="majorBidi" w:hAnsiTheme="majorBidi" w:cstheme="majorBidi"/>
                <w:sz w:val="18"/>
                <w:szCs w:val="18"/>
                <w:lang w:eastAsia="en-GB"/>
              </w:rPr>
              <w:t>ESRD (HR)</w:t>
            </w:r>
          </w:p>
        </w:tc>
        <w:tc>
          <w:tcPr>
            <w:tcW w:w="1231" w:type="dxa"/>
          </w:tcPr>
          <w:p w:rsidR="002D772C" w:rsidRPr="00A042EC" w:rsidRDefault="002D772C" w:rsidP="00B50E2F">
            <w:pPr>
              <w:spacing w:line="240" w:lineRule="auto"/>
              <w:rPr>
                <w:rFonts w:asciiTheme="majorBidi" w:hAnsiTheme="majorBidi" w:cstheme="majorBidi"/>
                <w:sz w:val="18"/>
                <w:szCs w:val="18"/>
                <w:lang w:eastAsia="en-GB"/>
              </w:rPr>
            </w:pPr>
          </w:p>
        </w:tc>
        <w:tc>
          <w:tcPr>
            <w:tcW w:w="1231" w:type="dxa"/>
          </w:tcPr>
          <w:p w:rsidR="002D772C" w:rsidRPr="00A042EC" w:rsidRDefault="002D772C" w:rsidP="00B50E2F">
            <w:pPr>
              <w:spacing w:line="240" w:lineRule="auto"/>
              <w:rPr>
                <w:rFonts w:asciiTheme="majorBidi" w:hAnsiTheme="majorBidi" w:cstheme="majorBidi"/>
                <w:sz w:val="18"/>
                <w:szCs w:val="18"/>
                <w:lang w:eastAsia="en-GB"/>
              </w:rPr>
            </w:pPr>
          </w:p>
        </w:tc>
        <w:tc>
          <w:tcPr>
            <w:tcW w:w="1232" w:type="dxa"/>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2 (1.4-2.9)</w:t>
            </w:r>
          </w:p>
        </w:tc>
        <w:tc>
          <w:tcPr>
            <w:tcW w:w="1231" w:type="dxa"/>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3 (1.4-6.4)</w:t>
            </w:r>
          </w:p>
        </w:tc>
        <w:tc>
          <w:tcPr>
            <w:tcW w:w="1232" w:type="dxa"/>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8.2 (2.6-25.6)</w:t>
            </w:r>
          </w:p>
        </w:tc>
      </w:tr>
      <w:tr w:rsidR="002D772C" w:rsidRPr="00A042EC" w:rsidTr="00B50E2F">
        <w:tc>
          <w:tcPr>
            <w:tcW w:w="817" w:type="dxa"/>
            <w:tcBorders>
              <w:bottom w:val="single" w:sz="4" w:space="0" w:color="auto"/>
            </w:tcBorders>
          </w:tcPr>
          <w:p w:rsidR="002D772C" w:rsidRPr="00680ED8" w:rsidRDefault="002D772C" w:rsidP="00680ED8">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val="de-DE" w:eastAsia="en-GB"/>
              </w:rPr>
              <w:t>Bastian</w:t>
            </w:r>
            <w:r w:rsidR="00680ED8">
              <w:rPr>
                <w:rFonts w:asciiTheme="majorBidi" w:hAnsiTheme="majorBidi" w:cstheme="majorBidi"/>
                <w:sz w:val="18"/>
                <w:szCs w:val="18"/>
                <w:lang w:val="de-DE" w:eastAsia="en-GB"/>
              </w:rPr>
              <w:t xml:space="preserve"> </w:t>
            </w:r>
            <w:r w:rsidR="00E729BA">
              <w:rPr>
                <w:rFonts w:asciiTheme="majorBidi" w:hAnsiTheme="majorBidi" w:cstheme="majorBidi"/>
                <w:sz w:val="18"/>
                <w:szCs w:val="18"/>
                <w:lang w:val="de-DE" w:eastAsia="en-GB"/>
              </w:rPr>
              <w:fldChar w:fldCharType="begin"/>
            </w:r>
            <w:r w:rsidR="00FC61FD">
              <w:rPr>
                <w:rFonts w:asciiTheme="majorBidi" w:hAnsiTheme="majorBidi" w:cstheme="majorBidi"/>
                <w:sz w:val="18"/>
                <w:szCs w:val="18"/>
                <w:lang w:val="de-DE" w:eastAsia="en-GB"/>
              </w:rPr>
              <w:instrText xml:space="preserve"> ADDIN REFMGR.CITE &lt;Refman&gt;&lt;Cite&gt;&lt;Author&gt;Bastian&lt;/Author&gt;&lt;Year&gt;2002&lt;/Year&gt;&lt;RecNum&gt;922&lt;/RecNum&gt;&lt;IDText&gt;Systemic lupus erythematosus in three ethnic groups. XII. Risk factors for lupus nephritis after diagnosis&lt;/IDText&gt;&lt;MDL Ref_Type="Journal"&gt;&lt;Ref_Type&gt;Journal&lt;/Ref_Type&gt;&lt;Ref_ID&gt;922&lt;/Ref_ID&gt;&lt;Title_Primary&gt;Systemic lupus erythematosus in three ethnic groups. XII. Risk factors for lupus nephritis after diagnosis&lt;/Title_Primary&gt;&lt;Authors_Primary&gt;Bastian,H.M.&lt;/Authors_Primary&gt;&lt;Authors_Primary&gt;Roseman,J.M.&lt;/Authors_Primary&gt;&lt;Authors_Primary&gt;McGwin,G.,Jr.&lt;/Authors_Primary&gt;&lt;Authors_Primary&gt;Alarcon,G.S.&lt;/Authors_Primary&gt;&lt;Authors_Primary&gt;Friedman,A.W.&lt;/Authors_Primary&gt;&lt;Authors_Primary&gt;Fessler,B.J.&lt;/Authors_Primary&gt;&lt;Authors_Primary&gt;Baethge,B.A.&lt;/Authors_Primary&gt;&lt;Authors_Primary&gt;Reveille,J.D.&lt;/Authors_Primary&gt;&lt;Date_Primary&gt;2002&lt;/Date_Primary&gt;&lt;Keywords&gt;African Americans&lt;/Keywords&gt;&lt;Keywords&gt;Alabama&lt;/Keywords&gt;&lt;Keywords&gt;Alleles&lt;/Keywords&gt;&lt;Keywords&gt;Antibodies&lt;/Keywords&gt;&lt;Keywords&gt;Autoantibodies&lt;/Keywords&gt;&lt;Keywords&gt;Biopsy&lt;/Keywords&gt;&lt;Keywords&gt;Cohort Studies&lt;/Keywords&gt;&lt;Keywords&gt;complications&lt;/Keywords&gt;&lt;Keywords&gt;Creatinine&lt;/Keywords&gt;&lt;Keywords&gt;diagnosis&lt;/Keywords&gt;&lt;Keywords&gt;Disease&lt;/Keywords&gt;&lt;Keywords&gt;epidemiology&lt;/Keywords&gt;&lt;Keywords&gt;erythematosus&lt;/Keywords&gt;&lt;Keywords&gt;Ethnic Groups&lt;/Keywords&gt;&lt;Keywords&gt;ethnology&lt;/Keywords&gt;&lt;Keywords&gt;European Continental Ancestry Group&lt;/Keywords&gt;&lt;Keywords&gt;Female&lt;/Keywords&gt;&lt;Keywords&gt;Health&lt;/Keywords&gt;&lt;Keywords&gt;Hispanic Americans&lt;/Keywords&gt;&lt;Keywords&gt;HLA-D Antigens&lt;/Keywords&gt;&lt;Keywords&gt;Humans&lt;/Keywords&gt;&lt;Keywords&gt;immunology&lt;/Keywords&gt;&lt;Keywords&gt;Incidence&lt;/Keywords&gt;&lt;Keywords&gt;Logistic Models&lt;/Keywords&gt;&lt;Keywords&gt;lupus erythematosus&lt;/Keywords&gt;&lt;Keywords&gt;Lupus Erythematosus,Systemic&lt;/Keywords&gt;&lt;Keywords&gt;Lupus Nephritis&lt;/Keywords&gt;&lt;Keywords&gt;Male&lt;/Keywords&gt;&lt;Keywords&gt;Nephritis&lt;/Keywords&gt;&lt;Keywords&gt;Odds Ratio&lt;/Keywords&gt;&lt;Keywords&gt;patient&lt;/Keywords&gt;&lt;Keywords&gt;Patients&lt;/Keywords&gt;&lt;Keywords&gt;Proteinuria&lt;/Keywords&gt;&lt;Keywords&gt;Rheumatology&lt;/Keywords&gt;&lt;Keywords&gt;Risk&lt;/Keywords&gt;&lt;Keywords&gt;Risk Factors&lt;/Keywords&gt;&lt;Keywords&gt;Serum&lt;/Keywords&gt;&lt;Keywords&gt;Survival Analysis&lt;/Keywords&gt;&lt;Keywords&gt;systemic lupus erythematosus&lt;/Keywords&gt;&lt;Keywords&gt;World Health&lt;/Keywords&gt;&lt;Keywords&gt;World Health Organization&lt;/Keywords&gt;&lt;Reprint&gt;Not in File&lt;/Reprint&gt;&lt;Start_Page&gt;152&lt;/Start_Page&gt;&lt;End_Page&gt;160&lt;/End_Page&gt;&lt;Periodical&gt;Lupus.&lt;/Periodical&gt;&lt;Volume&gt;11&lt;/Volume&gt;&lt;Issue&gt;3&lt;/Issue&gt;&lt;User_Def_1&gt;y&lt;/User_Def_1&gt;&lt;ZZ_JournalStdAbbrev&gt;&lt;f name="System"&gt;Lupus.&lt;/f&gt;&lt;/ZZ_JournalStdAbbrev&gt;&lt;ZZ_WorkformID&gt;1&lt;/ZZ_WorkformID&gt;&lt;/MDL&gt;&lt;/Cite&gt;&lt;/Refman&gt;</w:instrText>
            </w:r>
            <w:r w:rsidR="00E729BA">
              <w:rPr>
                <w:rFonts w:asciiTheme="majorBidi" w:hAnsiTheme="majorBidi" w:cstheme="majorBidi"/>
                <w:sz w:val="18"/>
                <w:szCs w:val="18"/>
                <w:lang w:val="de-DE" w:eastAsia="en-GB"/>
              </w:rPr>
              <w:fldChar w:fldCharType="separate"/>
            </w:r>
            <w:r w:rsidR="004D7951">
              <w:rPr>
                <w:rFonts w:asciiTheme="majorBidi" w:hAnsiTheme="majorBidi" w:cstheme="majorBidi"/>
                <w:sz w:val="18"/>
                <w:szCs w:val="18"/>
                <w:lang w:eastAsia="en-GB"/>
              </w:rPr>
              <w:t>(206)</w:t>
            </w:r>
            <w:r w:rsidR="00E729BA">
              <w:rPr>
                <w:rFonts w:asciiTheme="majorBidi" w:hAnsiTheme="majorBidi" w:cstheme="majorBidi"/>
                <w:sz w:val="18"/>
                <w:szCs w:val="18"/>
                <w:lang w:val="de-DE" w:eastAsia="en-GB"/>
              </w:rPr>
              <w:fldChar w:fldCharType="end"/>
            </w:r>
          </w:p>
        </w:tc>
        <w:tc>
          <w:tcPr>
            <w:tcW w:w="576"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2002</w:t>
            </w:r>
          </w:p>
        </w:tc>
        <w:tc>
          <w:tcPr>
            <w:tcW w:w="1692"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en-GB"/>
              </w:rPr>
              <w:t>Lupus Nephritis (OR)</w:t>
            </w:r>
          </w:p>
        </w:tc>
        <w:tc>
          <w:tcPr>
            <w:tcW w:w="1231"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A042EC">
              <w:rPr>
                <w:rFonts w:asciiTheme="majorBidi" w:hAnsiTheme="majorBidi" w:cstheme="majorBidi"/>
                <w:sz w:val="18"/>
                <w:szCs w:val="18"/>
                <w:lang w:eastAsia="zh-CN" w:bidi="ar-SA"/>
              </w:rPr>
              <w:t>1.11 (1.02-1.19)</w:t>
            </w:r>
          </w:p>
        </w:tc>
        <w:tc>
          <w:tcPr>
            <w:tcW w:w="1231"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2"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1"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c>
          <w:tcPr>
            <w:tcW w:w="1232" w:type="dxa"/>
            <w:tcBorders>
              <w:bottom w:val="single" w:sz="4" w:space="0" w:color="auto"/>
            </w:tcBorders>
          </w:tcPr>
          <w:p w:rsidR="002D772C" w:rsidRPr="00A042EC" w:rsidRDefault="002D772C" w:rsidP="00B50E2F">
            <w:pPr>
              <w:spacing w:line="240" w:lineRule="auto"/>
              <w:rPr>
                <w:rFonts w:asciiTheme="majorBidi" w:hAnsiTheme="majorBidi" w:cstheme="majorBidi"/>
                <w:sz w:val="18"/>
                <w:szCs w:val="18"/>
                <w:lang w:eastAsia="en-GB"/>
              </w:rPr>
            </w:pPr>
          </w:p>
        </w:tc>
      </w:tr>
      <w:tr w:rsidR="002D772C" w:rsidRPr="00A042EC" w:rsidTr="00B50E2F">
        <w:tc>
          <w:tcPr>
            <w:tcW w:w="9242" w:type="dxa"/>
            <w:gridSpan w:val="8"/>
            <w:tcBorders>
              <w:top w:val="single" w:sz="4" w:space="0" w:color="auto"/>
              <w:bottom w:val="single" w:sz="12" w:space="0" w:color="auto"/>
            </w:tcBorders>
          </w:tcPr>
          <w:p w:rsidR="002D772C" w:rsidRPr="00A042EC" w:rsidRDefault="002D772C" w:rsidP="00B50E2F">
            <w:pPr>
              <w:spacing w:line="240" w:lineRule="auto"/>
              <w:rPr>
                <w:rFonts w:asciiTheme="majorBidi" w:hAnsiTheme="majorBidi" w:cstheme="majorBidi"/>
                <w:sz w:val="18"/>
                <w:szCs w:val="18"/>
                <w:lang w:eastAsia="en-GB"/>
              </w:rPr>
            </w:pPr>
            <w:r w:rsidRPr="005773F2">
              <w:rPr>
                <w:rFonts w:asciiTheme="majorBidi" w:hAnsiTheme="majorBidi" w:cstheme="majorBidi"/>
                <w:sz w:val="18"/>
                <w:szCs w:val="18"/>
              </w:rPr>
              <w:t>HR Hazard ratios</w:t>
            </w:r>
            <w:r>
              <w:rPr>
                <w:rFonts w:asciiTheme="majorBidi" w:hAnsiTheme="majorBidi" w:cstheme="majorBidi"/>
                <w:sz w:val="18"/>
                <w:szCs w:val="18"/>
              </w:rPr>
              <w:t xml:space="preserve">; </w:t>
            </w:r>
            <w:r w:rsidRPr="005773F2">
              <w:rPr>
                <w:rFonts w:asciiTheme="majorBidi" w:hAnsiTheme="majorBidi" w:cstheme="majorBidi"/>
                <w:sz w:val="18"/>
                <w:szCs w:val="18"/>
              </w:rPr>
              <w:t>OR Odds ratios</w:t>
            </w:r>
          </w:p>
        </w:tc>
      </w:tr>
    </w:tbl>
    <w:p w:rsidR="002D772C" w:rsidRDefault="002D772C" w:rsidP="002D772C">
      <w:pPr>
        <w:spacing w:after="0" w:afterAutospacing="0" w:line="240" w:lineRule="auto"/>
        <w:rPr>
          <w:b/>
          <w:bCs/>
        </w:rPr>
      </w:pPr>
    </w:p>
    <w:p w:rsidR="002D772C" w:rsidRDefault="002D772C" w:rsidP="002D772C">
      <w:pPr>
        <w:pStyle w:val="Heading4"/>
      </w:pPr>
      <w:r>
        <w:t>Gonadal failure</w:t>
      </w:r>
    </w:p>
    <w:p w:rsidR="002D772C" w:rsidRPr="008A46F8" w:rsidRDefault="002D772C" w:rsidP="00927797">
      <w:r w:rsidRPr="008A46F8">
        <w:t>Gonadal failure is among the least commonly reported damage type recorded by the SLICC/ACR</w:t>
      </w:r>
      <w:r w:rsidR="00E94D16">
        <w:t xml:space="preserve"> Damage Index</w:t>
      </w:r>
      <w:r w:rsidRPr="008A46F8">
        <w:t xml:space="preserve">. </w:t>
      </w:r>
      <w:fldSimple w:instr=" REF  _Ref254596032 \h  \* MERGEFORMAT ">
        <w:r w:rsidR="004911B7">
          <w:t xml:space="preserve">Table </w:t>
        </w:r>
        <w:r w:rsidR="004911B7">
          <w:rPr>
            <w:noProof/>
          </w:rPr>
          <w:t>14</w:t>
        </w:r>
      </w:fldSimple>
      <w:r w:rsidRPr="008A46F8">
        <w:t xml:space="preserve"> reports a prevalence of between 0.43-4%. Gonzalez et al. </w:t>
      </w:r>
      <w:r w:rsidR="00E729BA" w:rsidRPr="008A46F8">
        <w:fldChar w:fldCharType="begin"/>
      </w:r>
      <w:r w:rsidR="00FC61FD">
        <w:instrText xml:space="preserve"> ADDIN REFMGR.CITE &lt;Refman&gt;&lt;Cite&gt;&lt;Author&gt;Gonzalez&lt;/Author&gt;&lt;Year&gt;2008&lt;/Year&gt;&lt;RecNum&gt;170&lt;/RecNum&gt;&lt;IDText&gt;Predictors of premature gonadal failure in patients with systemic lupus erythematosus. Results from LUMINA, a multiethnic US cohort (LUMINA LVIII)&lt;/IDText&gt;&lt;MDL Ref_Type="Journal"&gt;&lt;Ref_Type&gt;Journal&lt;/Ref_Type&gt;&lt;Ref_ID&gt;170&lt;/Ref_ID&gt;&lt;Title_Primary&gt;Predictors of premature gonadal failure in patients with systemic lupus erythematosus. Results from LUMINA, a multiethnic US cohort (LUMINA LVIII)&lt;/Title_Primary&gt;&lt;Authors_Primary&gt;Gonzalez,L.A.&lt;/Authors_Primary&gt;&lt;Authors_Primary&gt;McGwin,G.,Jr.&lt;/Authors_Primary&gt;&lt;Authors_Primary&gt;Duran,S.&lt;/Authors_Primary&gt;&lt;Authors_Primary&gt;Pons-Estel,G.J.&lt;/Authors_Primary&gt;&lt;Authors_Primary&gt;Apte,M.&lt;/Authors_Primary&gt;&lt;Authors_Primary&gt;Vila,L.M.&lt;/Authors_Primary&gt;&lt;Authors_Primary&gt;Reveille,J.D.&lt;/Authors_Primary&gt;&lt;Authors_Primary&gt;Alarcon,G.S.&lt;/Authors_Primary&gt;&lt;Date_Primary&gt;2008/8&lt;/Date_Primary&gt;&lt;Keywords&gt;Acute Disease&lt;/Keywords&gt;&lt;Keywords&gt;Adult&lt;/Keywords&gt;&lt;Keywords&gt;adverse effects&lt;/Keywords&gt;&lt;Keywords&gt;African Americans&lt;/Keywords&gt;&lt;Keywords&gt;age&lt;/Keywords&gt;&lt;Keywords&gt;Age Factors&lt;/Keywords&gt;&lt;Keywords&gt;Alabama&lt;/Keywords&gt;&lt;Keywords&gt;Cyclophosphamide&lt;/Keywords&gt;&lt;Keywords&gt;Disease&lt;/Keywords&gt;&lt;Keywords&gt;drug therapy&lt;/Keywords&gt;&lt;Keywords&gt;erythematosus&lt;/Keywords&gt;&lt;Keywords&gt;ethnology&lt;/Keywords&gt;&lt;Keywords&gt;European Continental Ancestry Group&lt;/Keywords&gt;&lt;Keywords&gt;Female&lt;/Keywords&gt;&lt;Keywords&gt;Health&lt;/Keywords&gt;&lt;Keywords&gt;Hispanic Americans&lt;/Keywords&gt;&lt;Keywords&gt;Humans&lt;/Keywords&gt;&lt;Keywords&gt;immunology&lt;/Keywords&gt;&lt;Keywords&gt;Immunosuppressive Agents&lt;/Keywords&gt;&lt;Keywords&gt;Longitudinal Studies&lt;/Keywords&gt;&lt;Keywords&gt;lupus erythematosus&lt;/Keywords&gt;&lt;Keywords&gt;Lupus Erythematosus,Systemic&lt;/Keywords&gt;&lt;Keywords&gt;Menopause,Premature&lt;/Keywords&gt;&lt;Keywords&gt;methods&lt;/Keywords&gt;&lt;Keywords&gt;Multivariate Analysis&lt;/Keywords&gt;&lt;Keywords&gt;patient&lt;/Keywords&gt;&lt;Keywords&gt;Patients&lt;/Keywords&gt;&lt;Keywords&gt;Prognosis&lt;/Keywords&gt;&lt;Keywords&gt;Proportional Hazards Models&lt;/Keywords&gt;&lt;Keywords&gt;Rheumatology&lt;/Keywords&gt;&lt;Keywords&gt;Risk&lt;/Keywords&gt;&lt;Keywords&gt;systemic lupus erythematosus&lt;/Keywords&gt;&lt;Keywords&gt;therapy&lt;/Keywords&gt;&lt;Keywords&gt;Time&lt;/Keywords&gt;&lt;Keywords&gt;Women&lt;/Keywords&gt;&lt;Reprint&gt;Not in File&lt;/Reprint&gt;&lt;Start_Page&gt;1170&lt;/Start_Page&gt;&lt;End_Page&gt;1173&lt;/End_Page&gt;&lt;Periodical&gt;Ann.Rheum.Dis.&lt;/Periodical&gt;&lt;Volume&gt;67&lt;/Volume&gt;&lt;Issue&gt;8&lt;/Issue&gt;&lt;User_Def_1&gt;y&lt;/User_Def_1&gt;&lt;ZZ_JournalStdAbbrev&gt;&lt;f name="System"&gt;Ann.Rheum.Dis.&lt;/f&gt;&lt;/ZZ_JournalStdAbbrev&gt;&lt;ZZ_WorkformID&gt;1&lt;/ZZ_WorkformID&gt;&lt;/MDL&gt;&lt;/Cite&gt;&lt;/Refman&gt;</w:instrText>
      </w:r>
      <w:r w:rsidR="00E729BA" w:rsidRPr="008A46F8">
        <w:fldChar w:fldCharType="separate"/>
      </w:r>
      <w:r w:rsidR="004D7951">
        <w:t>(207)</w:t>
      </w:r>
      <w:r w:rsidR="00E729BA" w:rsidRPr="008A46F8">
        <w:fldChar w:fldCharType="end"/>
      </w:r>
      <w:r w:rsidRPr="008A46F8">
        <w:t xml:space="preserve"> studied the occurrence of gonadal failure in SLE. They identified age (HR 1.07 95% CI 1.00-1.41), average disease activity (HR 1.29 95% CI 1.19-1.39), and cumulative cyclophosphamide (HR 3.63 95% CI 1.81-7.27) to be statistically significant predictors of gonadal failure in univariate analysis.  In multivariate analysis age, average disease activity and cyclophosphamide were significantly associated with gonadal failure. The association between cyclophosphamide and gonadal failure is reported </w:t>
      </w:r>
      <w:r>
        <w:t xml:space="preserve">elsewhere </w:t>
      </w:r>
      <w:r w:rsidRPr="008A46F8">
        <w:t xml:space="preserve">in the literature </w:t>
      </w:r>
      <w:r w:rsidR="00E729BA" w:rsidRPr="008A46F8">
        <w:fldChar w:fldCharType="begin"/>
      </w:r>
      <w:r w:rsidR="00FC61FD">
        <w:instrText xml:space="preserve"> ADDIN REFMGR.CITE &lt;Refman&gt;&lt;Cite&gt;&lt;Author&gt;Mok&lt;/Author&gt;&lt;Year&gt;1998&lt;/Year&gt;&lt;RecNum&gt;1428&lt;/RecNum&gt;&lt;IDText&gt;Risk factors for ovarian failure in patients with systemic lupus erythematosus receiving cyclophosphamide therapy&lt;/IDText&gt;&lt;MDL Ref_Type="Journal"&gt;&lt;Ref_Type&gt;Journal&lt;/Ref_Type&gt;&lt;Ref_ID&gt;1428&lt;/Ref_ID&gt;&lt;Title_Primary&gt;Risk factors for ovarian failure in patients with systemic lupus erythematosus receiving cyclophosphamide therapy&lt;/Title_Primary&gt;&lt;Authors_Primary&gt;Mok,C.C.&lt;/Authors_Primary&gt;&lt;Authors_Primary&gt;Lau,C.S.&lt;/Authors_Primary&gt;&lt;Authors_Primary&gt;Wong,R.W.&lt;/Authors_Primary&gt;&lt;Date_Primary&gt;1998/5&lt;/Date_Primary&gt;&lt;Keywords&gt;Adult&lt;/Keywords&gt;&lt;Keywords&gt;adverse effects&lt;/Keywords&gt;&lt;Keywords&gt;age&lt;/Keywords&gt;&lt;Keywords&gt;Age Factors&lt;/Keywords&gt;&lt;Keywords&gt;Amenorrhea&lt;/Keywords&gt;&lt;Keywords&gt;Antirheumatic Agents&lt;/Keywords&gt;&lt;Keywords&gt;Autoantibodies&lt;/Keywords&gt;&lt;Keywords&gt;blood&lt;/Keywords&gt;&lt;Keywords&gt;chemically induced&lt;/Keywords&gt;&lt;Keywords&gt;Cyclophosphamide&lt;/Keywords&gt;&lt;Keywords&gt;drug therapy&lt;/Keywords&gt;&lt;Keywords&gt;erythematosus&lt;/Keywords&gt;&lt;Keywords&gt;Female&lt;/Keywords&gt;&lt;Keywords&gt;Hong Kong&lt;/Keywords&gt;&lt;Keywords&gt;hospital&lt;/Keywords&gt;&lt;Keywords&gt;Humans&lt;/Keywords&gt;&lt;Keywords&gt;Incidence&lt;/Keywords&gt;&lt;Keywords&gt;lupus erythematosus&lt;/Keywords&gt;&lt;Keywords&gt;Lupus Erythematosus,Systemic&lt;/Keywords&gt;&lt;Keywords&gt;methods&lt;/Keywords&gt;&lt;Keywords&gt;Middle Aged&lt;/Keywords&gt;&lt;Keywords&gt;Ovarian Failure,Premature&lt;/Keywords&gt;&lt;Keywords&gt;pathology&lt;/Keywords&gt;&lt;Keywords&gt;patient&lt;/Keywords&gt;&lt;Keywords&gt;Patients&lt;/Keywords&gt;&lt;Keywords&gt;population&lt;/Keywords&gt;&lt;Keywords&gt;Retrospective Studies&lt;/Keywords&gt;&lt;Keywords&gt;Risk&lt;/Keywords&gt;&lt;Keywords&gt;Risk Factors&lt;/Keywords&gt;&lt;Keywords&gt;systemic lupus erythematosus&lt;/Keywords&gt;&lt;Keywords&gt;therapy&lt;/Keywords&gt;&lt;Keywords&gt;Time&lt;/Keywords&gt;&lt;Reprint&gt;Not in File&lt;/Reprint&gt;&lt;Start_Page&gt;831&lt;/Start_Page&gt;&lt;End_Page&gt;837&lt;/End_Page&gt;&lt;Periodical&gt;Arthritis Rheum.&lt;/Periodical&gt;&lt;Volume&gt;41&lt;/Volume&gt;&lt;Issue&gt;5&lt;/Issue&gt;&lt;ZZ_JournalStdAbbrev&gt;&lt;f name="System"&gt;Arthritis Rheum.&lt;/f&gt;&lt;/ZZ_JournalStdAbbrev&gt;&lt;ZZ_WorkformID&gt;1&lt;/ZZ_WorkformID&gt;&lt;/MDL&gt;&lt;/Cite&gt;&lt;/Refman&gt;</w:instrText>
      </w:r>
      <w:r w:rsidR="00E729BA" w:rsidRPr="008A46F8">
        <w:fldChar w:fldCharType="separate"/>
      </w:r>
      <w:r w:rsidR="004D7951">
        <w:t>(208)</w:t>
      </w:r>
      <w:r w:rsidR="00E729BA" w:rsidRPr="008A46F8">
        <w:fldChar w:fldCharType="end"/>
      </w:r>
      <w:r w:rsidRPr="008A46F8">
        <w:t xml:space="preserve">. </w:t>
      </w:r>
    </w:p>
    <w:p w:rsidR="002D772C" w:rsidRDefault="002D772C" w:rsidP="002D772C">
      <w:pPr>
        <w:pStyle w:val="Heading4"/>
      </w:pPr>
      <w:r>
        <w:t>Diabetes</w:t>
      </w:r>
    </w:p>
    <w:p w:rsidR="002D772C" w:rsidRDefault="00927797" w:rsidP="00D0049C">
      <w:pPr>
        <w:rPr>
          <w:b/>
          <w:bCs/>
        </w:rPr>
      </w:pPr>
      <w:r>
        <w:t>No studies were identified investigating diabetes</w:t>
      </w:r>
      <w:r w:rsidR="00D0049C">
        <w:t xml:space="preserve"> comorbid</w:t>
      </w:r>
      <w:r>
        <w:t xml:space="preserve"> to SLE.</w:t>
      </w:r>
      <w:r w:rsidR="002D772C">
        <w:t xml:space="preserve"> </w:t>
      </w:r>
    </w:p>
    <w:p w:rsidR="002D772C" w:rsidRDefault="002D772C" w:rsidP="002D772C">
      <w:pPr>
        <w:pStyle w:val="Heading4"/>
      </w:pPr>
      <w:r>
        <w:t>Malignancy</w:t>
      </w:r>
    </w:p>
    <w:p w:rsidR="002D772C" w:rsidRDefault="002D772C" w:rsidP="002D772C">
      <w:r>
        <w:t xml:space="preserve">There is some contradictory evidence in the literature as to whether SLE patients have an increased risk of cancer compared with the general population. Chun (2005) compared the rates of cancer in a Korean population. The incidence of malignancy was not different between the populations. Ramsey-Goldman et al. </w:t>
      </w:r>
      <w:r w:rsidR="00E729BA">
        <w:fldChar w:fldCharType="begin"/>
      </w:r>
      <w:r w:rsidR="00FC61FD">
        <w:instrText xml:space="preserve"> ADDIN REFMGR.CITE &lt;Refman&gt;&lt;Cite&gt;&lt;Author&gt;Ramsey-Goldman&lt;/Author&gt;&lt;Year&gt;1998&lt;/Year&gt;&lt;RecNum&gt;1233&lt;/RecNum&gt;&lt;IDText&gt;Increased risk of malignancy in patients with systemic lupus erythematosus&lt;/IDText&gt;&lt;MDL Ref_Type="Journal"&gt;&lt;Ref_Type&gt;Journal&lt;/Ref_Type&gt;&lt;Ref_ID&gt;1233&lt;/Ref_ID&gt;&lt;Title_Primary&gt;Increased risk of malignancy in patients with systemic lupus erythematosus&lt;/Title_Primary&gt;&lt;Authors_Primary&gt;Ramsey-Goldman,R.&lt;/Authors_Primary&gt;&lt;Authors_Primary&gt;Mattai,S.A.&lt;/Authors_Primary&gt;&lt;Authors_Primary&gt;Schilling,E.&lt;/Authors_Primary&gt;&lt;Authors_Primary&gt;Chiu,Y.L.&lt;/Authors_Primary&gt;&lt;Authors_Primary&gt;Alo,C.J.&lt;/Authors_Primary&gt;&lt;Authors_Primary&gt;Howe,H.L.&lt;/Authors_Primary&gt;&lt;Authors_Primary&gt;Manzi,S.&lt;/Authors_Primary&gt;&lt;Date_Primary&gt;1998/6&lt;/Date_Primary&gt;&lt;Keywords&gt;Adult&lt;/Keywords&gt;&lt;Keywords&gt;age&lt;/Keywords&gt;&lt;Keywords&gt;Aged&lt;/Keywords&gt;&lt;Keywords&gt;analysis&lt;/Keywords&gt;&lt;Keywords&gt;Breast Neoplasms&lt;/Keywords&gt;&lt;Keywords&gt;cancer&lt;/Keywords&gt;&lt;Keywords&gt;complications&lt;/Keywords&gt;&lt;Keywords&gt;confidence interval&lt;/Keywords&gt;&lt;Keywords&gt;Disease&lt;/Keywords&gt;&lt;Keywords&gt;erythematosus&lt;/Keywords&gt;&lt;Keywords&gt;etiology&lt;/Keywords&gt;&lt;Keywords&gt;Female&lt;/Keywords&gt;&lt;Keywords&gt;Humans&lt;/Keywords&gt;&lt;Keywords&gt;Incidence&lt;/Keywords&gt;&lt;Keywords&gt;Lung&lt;/Keywords&gt;&lt;Keywords&gt;lung cancer&lt;/Keywords&gt;&lt;Keywords&gt;Lung Neoplasms&lt;/Keywords&gt;&lt;Keywords&gt;lupus erythematosus&lt;/Keywords&gt;&lt;Keywords&gt;Lupus Erythematosus,Systemic&lt;/Keywords&gt;&lt;Keywords&gt;methods&lt;/Keywords&gt;&lt;Keywords&gt;Middle Aged&lt;/Keywords&gt;&lt;Keywords&gt;Morbidity&lt;/Keywords&gt;&lt;Keywords&gt;mortality&lt;/Keywords&gt;&lt;Keywords&gt;Neoplasms&lt;/Keywords&gt;&lt;Keywords&gt;patient&lt;/Keywords&gt;&lt;Keywords&gt;Patients&lt;/Keywords&gt;&lt;Keywords&gt;race&lt;/Keywords&gt;&lt;Keywords&gt;Registries&lt;/Keywords&gt;&lt;Keywords&gt;Risk&lt;/Keywords&gt;&lt;Keywords&gt;systemic lupus erythematosus&lt;/Keywords&gt;&lt;Keywords&gt;Uterine Cervical Neoplasms&lt;/Keywords&gt;&lt;Keywords&gt;Women&lt;/Keywords&gt;&lt;Reprint&gt;Not in File&lt;/Reprint&gt;&lt;Start_Page&gt;217&lt;/Start_Page&gt;&lt;End_Page&gt;222&lt;/End_Page&gt;&lt;Periodical&gt;J.Investig.Med.&lt;/Periodical&gt;&lt;Volume&gt;46&lt;/Volume&gt;&lt;Issue&gt;5&lt;/Issue&gt;&lt;User_Def_1&gt;y&lt;/User_Def_1&gt;&lt;ZZ_JournalStdAbbrev&gt;&lt;f name="System"&gt;J.Investig.Med.&lt;/f&gt;&lt;/ZZ_JournalStdAbbrev&gt;&lt;ZZ_WorkformID&gt;1&lt;/ZZ_WorkformID&gt;&lt;/MDL&gt;&lt;/Cite&gt;&lt;/Refman&gt;</w:instrText>
      </w:r>
      <w:r w:rsidR="00E729BA">
        <w:fldChar w:fldCharType="separate"/>
      </w:r>
      <w:r w:rsidR="004D7951">
        <w:t>(209)</w:t>
      </w:r>
      <w:r w:rsidR="00E729BA">
        <w:fldChar w:fldCharType="end"/>
      </w:r>
      <w:r>
        <w:t xml:space="preserve"> estimate a statistically significant standardised incidence ratio of </w:t>
      </w:r>
      <w:r w:rsidRPr="00732EDD">
        <w:t>2.0 (</w:t>
      </w:r>
      <w:r>
        <w:t xml:space="preserve">95% CI </w:t>
      </w:r>
      <w:r w:rsidRPr="00732EDD">
        <w:t>1.4, 2.9)</w:t>
      </w:r>
      <w:r>
        <w:t xml:space="preserve"> for all malignancies</w:t>
      </w:r>
      <w:r w:rsidR="005D65BA">
        <w:t xml:space="preserve"> in the United States</w:t>
      </w:r>
      <w:r>
        <w:t xml:space="preserve">. </w:t>
      </w:r>
    </w:p>
    <w:p w:rsidR="002D772C" w:rsidRDefault="002D772C" w:rsidP="002D772C">
      <w:pPr>
        <w:pStyle w:val="Heading2"/>
      </w:pPr>
      <w:bookmarkStart w:id="227" w:name="_Ref334366233"/>
      <w:bookmarkStart w:id="228" w:name="_Ref334366236"/>
      <w:bookmarkStart w:id="229" w:name="_Toc379467602"/>
      <w:r>
        <w:t>Discussion</w:t>
      </w:r>
      <w:bookmarkEnd w:id="227"/>
      <w:bookmarkEnd w:id="228"/>
      <w:bookmarkEnd w:id="229"/>
    </w:p>
    <w:p w:rsidR="00027C1C" w:rsidRPr="00027C1C" w:rsidRDefault="00027C1C" w:rsidP="00236C8F">
      <w:pPr>
        <w:pStyle w:val="Heading3"/>
      </w:pPr>
      <w:bookmarkStart w:id="230" w:name="_Toc379467603"/>
      <w:r>
        <w:t xml:space="preserve">The Formulation of a Conceptual </w:t>
      </w:r>
      <w:r w:rsidR="00236C8F">
        <w:t>M</w:t>
      </w:r>
      <w:r>
        <w:t>odel for SLE</w:t>
      </w:r>
      <w:bookmarkEnd w:id="230"/>
    </w:p>
    <w:p w:rsidR="002D772C" w:rsidRDefault="00927797" w:rsidP="00327F97">
      <w:r>
        <w:t>The conceptual model</w:t>
      </w:r>
      <w:r w:rsidR="002D772C">
        <w:t xml:space="preserve"> identified a number of very important associations between disease features and co-morbidities that arise with SLE. The relationship between the short term features of the disease, such as disease activity and steroids, and the long term outcomes, organ damage and mortality, are of particular interest because the short term outcomes </w:t>
      </w:r>
      <w:r w:rsidR="00B236E5">
        <w:t>will be measured</w:t>
      </w:r>
      <w:r w:rsidR="002D772C">
        <w:t xml:space="preserve"> in </w:t>
      </w:r>
      <w:r w:rsidR="00327F97">
        <w:t>short clinical trials</w:t>
      </w:r>
      <w:r>
        <w:t>, whereas organ damage and mortality are not</w:t>
      </w:r>
      <w:r w:rsidR="002D772C">
        <w:t>.  The literature shows that both disease activity and steroid dose are likely to be risk factors</w:t>
      </w:r>
      <w:r w:rsidR="00B236E5">
        <w:t xml:space="preserve"> for organ damage and mortality. Previous analyses of individual organ damage systems suggest that</w:t>
      </w:r>
      <w:r w:rsidR="002D772C">
        <w:t xml:space="preserve"> the relationships will vary between different organ systems. Disease activity and steroid dose are also inevitably correlated as one is used to treat the other.</w:t>
      </w:r>
      <w:r w:rsidR="00B236E5">
        <w:t xml:space="preserve"> I</w:t>
      </w:r>
      <w:r w:rsidR="002D772C">
        <w:t>t is important that the natural history model estimates the independent effects on long term outcomes</w:t>
      </w:r>
      <w:r w:rsidR="00B236E5">
        <w:t xml:space="preserve"> to estimate the total benefit of reducing disease activity and steroid exposure</w:t>
      </w:r>
      <w:r w:rsidR="002D772C">
        <w:t xml:space="preserve">. </w:t>
      </w:r>
    </w:p>
    <w:p w:rsidR="00027C1C" w:rsidRDefault="00027C1C" w:rsidP="006074C8">
      <w:pPr>
        <w:pStyle w:val="Heading3"/>
      </w:pPr>
      <w:bookmarkStart w:id="231" w:name="_Toc379467604"/>
      <w:r>
        <w:t xml:space="preserve">Justification for further Data </w:t>
      </w:r>
      <w:r w:rsidR="006074C8">
        <w:t>An</w:t>
      </w:r>
      <w:r>
        <w:t>alysis</w:t>
      </w:r>
      <w:bookmarkEnd w:id="231"/>
    </w:p>
    <w:p w:rsidR="002D772C" w:rsidRDefault="002D772C" w:rsidP="00462E08">
      <w:r>
        <w:t xml:space="preserve">There </w:t>
      </w:r>
      <w:r w:rsidR="00947E23">
        <w:t>was</w:t>
      </w:r>
      <w:r>
        <w:t xml:space="preserve"> not sufficient evidence from the literature to build a </w:t>
      </w:r>
      <w:r w:rsidR="00B0148C">
        <w:t>CE</w:t>
      </w:r>
      <w:r>
        <w:t xml:space="preserve"> model</w:t>
      </w:r>
      <w:r w:rsidR="00F7051B">
        <w:t xml:space="preserve"> and BCTS</w:t>
      </w:r>
      <w:r>
        <w:t xml:space="preserve">. </w:t>
      </w:r>
      <w:r w:rsidR="00327F97">
        <w:t xml:space="preserve">There are three reasons for this. </w:t>
      </w:r>
      <w:r>
        <w:t>Firstly, the statistical analyses that have been employed cannot be easily translated into probabilities of organ damage events for the</w:t>
      </w:r>
      <w:r w:rsidR="00462E08">
        <w:t xml:space="preserve"> BCTS and CE</w:t>
      </w:r>
      <w:r>
        <w:t xml:space="preserve"> model. The Cox-regression model </w:t>
      </w:r>
      <w:r w:rsidR="00B236E5">
        <w:t xml:space="preserve">estimates </w:t>
      </w:r>
      <w:r>
        <w:t xml:space="preserve">hazard ratios for risk factors, but </w:t>
      </w:r>
      <w:r w:rsidR="00B236E5">
        <w:t>not</w:t>
      </w:r>
      <w:r>
        <w:t xml:space="preserve"> the baseline hazard. Secondly,</w:t>
      </w:r>
      <w:r w:rsidR="00B236E5" w:rsidRPr="00B236E5">
        <w:t xml:space="preserve"> </w:t>
      </w:r>
      <w:r w:rsidR="00B236E5">
        <w:t xml:space="preserve">there are several gaps in the literature for certain outcomes, for example skin, </w:t>
      </w:r>
      <w:r w:rsidR="0094270B">
        <w:t>gastrointestinal</w:t>
      </w:r>
      <w:r w:rsidR="00B236E5">
        <w:t xml:space="preserve"> and ocular damage are under</w:t>
      </w:r>
      <w:r w:rsidR="0094270B">
        <w:t>-</w:t>
      </w:r>
      <w:r w:rsidR="00B236E5">
        <w:t>represented in the literature. M</w:t>
      </w:r>
      <w:r>
        <w:t>ost studies have used the SLICC/ACR</w:t>
      </w:r>
      <w:r w:rsidR="00B236E5">
        <w:t xml:space="preserve"> Damage Index</w:t>
      </w:r>
      <w:r>
        <w:t xml:space="preserve"> composite score as the outcome of interest, which </w:t>
      </w:r>
      <w:r w:rsidR="00B236E5">
        <w:t>may not</w:t>
      </w:r>
      <w:r>
        <w:t xml:space="preserve"> be appropriate for use in the </w:t>
      </w:r>
      <w:r w:rsidR="00B236E5">
        <w:t>CE</w:t>
      </w:r>
      <w:r>
        <w:t xml:space="preserve"> model. The severity, aetiology and rate of damage accrual for each organ system are highly variable. Furthermore, the costs and health outcomes </w:t>
      </w:r>
      <w:r w:rsidR="00327F97">
        <w:t xml:space="preserve">for </w:t>
      </w:r>
      <w:r>
        <w:t>damage event</w:t>
      </w:r>
      <w:r w:rsidR="00B236E5">
        <w:t>s</w:t>
      </w:r>
      <w:r>
        <w:t xml:space="preserve"> will vary so it is appropriate to consid</w:t>
      </w:r>
      <w:r w:rsidR="00B236E5">
        <w:t>er the organ systems separately</w:t>
      </w:r>
      <w:r>
        <w:t xml:space="preserve">. Finally, only a small number of studies have reported multivariate analyses that included covariates for disease activity and steroid exposure. These covariates can both be risk factors for long term outcomes so it is necessary to try and estimate the independent contribution of each in a </w:t>
      </w:r>
      <w:r w:rsidR="00462E08">
        <w:t>survival</w:t>
      </w:r>
      <w:r>
        <w:t xml:space="preserve"> model. </w:t>
      </w:r>
    </w:p>
    <w:p w:rsidR="00027C1C" w:rsidRDefault="00027C1C" w:rsidP="00027C1C">
      <w:pPr>
        <w:pStyle w:val="Heading3"/>
      </w:pPr>
      <w:bookmarkStart w:id="232" w:name="_Toc379467605"/>
      <w:r>
        <w:t>Identification of Large Observational Cohorts</w:t>
      </w:r>
      <w:bookmarkEnd w:id="232"/>
    </w:p>
    <w:p w:rsidR="0094270B" w:rsidRDefault="002D772C" w:rsidP="00B236E5">
      <w:r>
        <w:t>There have been many observational studies in SLE. Three cohorts have contributed a large body of research due to the</w:t>
      </w:r>
      <w:r w:rsidR="00B236E5">
        <w:t>ir</w:t>
      </w:r>
      <w:r>
        <w:t xml:space="preserve"> size and duration of follow-up. </w:t>
      </w:r>
    </w:p>
    <w:p w:rsidR="002D772C" w:rsidRDefault="002D772C" w:rsidP="00B236E5">
      <w:pPr>
        <w:rPr>
          <w:lang w:eastAsia="zh-CN"/>
        </w:rPr>
      </w:pPr>
      <w:r>
        <w:t xml:space="preserve">The </w:t>
      </w:r>
      <w:r>
        <w:rPr>
          <w:lang w:eastAsia="zh-CN"/>
        </w:rPr>
        <w:t xml:space="preserve">Lupus in Minority Populations: Nature vs. Nurture (LUMINA) cohort is a comprehensive database of </w:t>
      </w:r>
      <w:r w:rsidR="00327F97">
        <w:rPr>
          <w:lang w:eastAsia="zh-CN"/>
        </w:rPr>
        <w:t xml:space="preserve">approximately 600 </w:t>
      </w:r>
      <w:r>
        <w:rPr>
          <w:lang w:eastAsia="zh-CN"/>
        </w:rPr>
        <w:t xml:space="preserve">patients from the </w:t>
      </w:r>
      <w:r w:rsidRPr="00A73361">
        <w:rPr>
          <w:lang w:eastAsia="zh-CN"/>
        </w:rPr>
        <w:t>University of Alabam</w:t>
      </w:r>
      <w:r>
        <w:rPr>
          <w:lang w:eastAsia="zh-CN"/>
        </w:rPr>
        <w:t>a at Birmingham, the University of Texas</w:t>
      </w:r>
      <w:r w:rsidRPr="00A73361">
        <w:rPr>
          <w:lang w:eastAsia="zh-CN"/>
        </w:rPr>
        <w:t xml:space="preserve"> Health Science Centre at Houston, and the University of Texas Medical Branch at Galveston</w:t>
      </w:r>
      <w:r w:rsidR="00327F97">
        <w:rPr>
          <w:lang w:eastAsia="zh-CN"/>
        </w:rPr>
        <w:t xml:space="preserve"> </w:t>
      </w:r>
      <w:r w:rsidR="00E729BA">
        <w:rPr>
          <w:lang w:eastAsia="zh-CN"/>
        </w:rPr>
        <w:fldChar w:fldCharType="begin"/>
      </w:r>
      <w:r w:rsidR="00FC61FD">
        <w:rPr>
          <w:lang w:eastAsia="zh-CN"/>
        </w:rPr>
        <w:instrText xml:space="preserve"> ADDIN REFMGR.CITE &lt;Refman&gt;&lt;Cite&gt;&lt;Author&gt;Fernandez&lt;/Author&gt;&lt;Year&gt;2007&lt;/Year&gt;&lt;RecNum&gt;1468&lt;/RecNum&gt;&lt;IDText&gt;Systemic lupus erythematosus in a multiethnic US cohort: XLIII. The significance of thrombocytopenia as a prognostic factor&lt;/IDText&gt;&lt;MDL Ref_Type="Journal"&gt;&lt;Ref_Type&gt;Journal&lt;/Ref_Type&gt;&lt;Ref_ID&gt;1468&lt;/Ref_ID&gt;&lt;Title_Primary&gt;Systemic lupus erythematosus in a multiethnic US cohort: XLIII. The significance of thrombocytopenia as a prognostic factor&lt;/Title_Primary&gt;&lt;Authors_Primary&gt;Fernandez,M.&lt;/Authors_Primary&gt;&lt;Authors_Primary&gt;Alarcon,G.S.&lt;/Authors_Primary&gt;&lt;Authors_Primary&gt;Apte,M.&lt;/Authors_Primary&gt;&lt;Authors_Primary&gt;Andrade,R.M.&lt;/Authors_Primary&gt;&lt;Authors_Primary&gt;Vila,L.M.&lt;/Authors_Primary&gt;&lt;Authors_Primary&gt;Reveille,J.D.&lt;/Authors_Primary&gt;&lt;Date_Primary&gt;2007/2&lt;/Date_Primary&gt;&lt;Keywords&gt;Adult&lt;/Keywords&gt;&lt;Keywords&gt;African Americans&lt;/Keywords&gt;&lt;Keywords&gt;Alabama&lt;/Keywords&gt;&lt;Keywords&gt;blood&lt;/Keywords&gt;&lt;Keywords&gt;Cohort Studies&lt;/Keywords&gt;&lt;Keywords&gt;Data Interpretation,Statistical&lt;/Keywords&gt;&lt;Keywords&gt;Disease&lt;/Keywords&gt;&lt;Keywords&gt;disease activity&lt;/Keywords&gt;&lt;Keywords&gt;Disease Progression&lt;/Keywords&gt;&lt;Keywords&gt;erythematosus&lt;/Keywords&gt;&lt;Keywords&gt;ethnology&lt;/Keywords&gt;&lt;Keywords&gt;European Continental Ancestry Group&lt;/Keywords&gt;&lt;Keywords&gt;Female&lt;/Keywords&gt;&lt;Keywords&gt;Hispanic Americans&lt;/Keywords&gt;&lt;Keywords&gt;Humans&lt;/Keywords&gt;&lt;Keywords&gt;Longitudinal Studies&lt;/Keywords&gt;&lt;Keywords&gt;lupus erythematosus&lt;/Keywords&gt;&lt;Keywords&gt;Lupus Erythematosus,Systemic&lt;/Keywords&gt;&lt;Keywords&gt;Male&lt;/Keywords&gt;&lt;Keywords&gt;methods&lt;/Keywords&gt;&lt;Keywords&gt;Middle Aged&lt;/Keywords&gt;&lt;Keywords&gt;mortality&lt;/Keywords&gt;&lt;Keywords&gt;Multivariate Analysis&lt;/Keywords&gt;&lt;Keywords&gt;pathology&lt;/Keywords&gt;&lt;Keywords&gt;patient&lt;/Keywords&gt;&lt;Keywords&gt;Patients&lt;/Keywords&gt;&lt;Keywords&gt;Poverty&lt;/Keywords&gt;&lt;Keywords&gt;Prognosis&lt;/Keywords&gt;&lt;Keywords&gt;Survival Analysis&lt;/Keywords&gt;&lt;Keywords&gt;systemic lupus erythematosus&lt;/Keywords&gt;&lt;Keywords&gt;Thrombocytopenia&lt;/Keywords&gt;&lt;Keywords&gt;United States&lt;/Keywords&gt;&lt;Reprint&gt;Not in File&lt;/Reprint&gt;&lt;Start_Page&gt;614&lt;/Start_Page&gt;&lt;End_Page&gt;621&lt;/End_Page&gt;&lt;Periodical&gt;Arthritis Rheum.&lt;/Periodical&gt;&lt;Volume&gt;56&lt;/Volume&gt;&lt;Issue&gt;2&lt;/Issue&gt;&lt;ZZ_JournalStdAbbrev&gt;&lt;f name="System"&gt;Arthritis Rheum.&lt;/f&gt;&lt;/ZZ_JournalStdAbbrev&gt;&lt;ZZ_WorkformID&gt;1&lt;/ZZ_WorkformID&gt;&lt;/MDL&gt;&lt;/Cite&gt;&lt;/Refman&gt;</w:instrText>
      </w:r>
      <w:r w:rsidR="00E729BA">
        <w:rPr>
          <w:lang w:eastAsia="zh-CN"/>
        </w:rPr>
        <w:fldChar w:fldCharType="separate"/>
      </w:r>
      <w:r w:rsidR="004D7951">
        <w:rPr>
          <w:lang w:eastAsia="zh-CN"/>
        </w:rPr>
        <w:t>(210)</w:t>
      </w:r>
      <w:r w:rsidR="00E729BA">
        <w:rPr>
          <w:lang w:eastAsia="zh-CN"/>
        </w:rPr>
        <w:fldChar w:fldCharType="end"/>
      </w:r>
      <w:r w:rsidRPr="00A73361">
        <w:rPr>
          <w:lang w:eastAsia="zh-CN"/>
        </w:rPr>
        <w:t xml:space="preserve">. </w:t>
      </w:r>
    </w:p>
    <w:p w:rsidR="002D772C" w:rsidRDefault="002D772C" w:rsidP="00E94D16">
      <w:r>
        <w:t>The John Hopkins lupus cohort is a decade long prospective study based in Baltimore in which patients with SLE are seen on a quarterly basis for measurement of disease activity, laboratory tests, and assessment of morbidity and quality of life</w:t>
      </w:r>
      <w:r w:rsidR="007C1767">
        <w:t xml:space="preserve"> </w:t>
      </w:r>
      <w:r w:rsidR="00E729BA">
        <w:fldChar w:fldCharType="begin"/>
      </w:r>
      <w:r w:rsidR="00FC61FD">
        <w:instrText xml:space="preserve"> ADDIN REFMGR.CITE &lt;Refman&gt;&lt;Cite&gt;&lt;Author&gt;Petri&lt;/Author&gt;&lt;Year&gt;2005&lt;/Year&gt;&lt;RecNum&gt;1457&lt;/RecNum&gt;&lt;IDText&gt;Lupus in Baltimore: evidence-based &amp;apos;clinical pearls&amp;apos; from the Hopkins Lupus Cohort&lt;/IDText&gt;&lt;MDL Ref_Type="Journal"&gt;&lt;Ref_Type&gt;Journal&lt;/Ref_Type&gt;&lt;Ref_ID&gt;1457&lt;/Ref_ID&gt;&lt;Title_Primary&gt;Lupus in Baltimore: evidence-based &amp;apos;clinical pearls&amp;apos; from the Hopkins Lupus Cohort&lt;/Title_Primary&gt;&lt;Authors_Primary&gt;Petri,M.&lt;/Authors_Primary&gt;&lt;Date_Primary&gt;2005&lt;/Date_Primary&gt;&lt;Keywords&gt;African American&lt;/Keywords&gt;&lt;Keywords&gt;Baltimore&lt;/Keywords&gt;&lt;Keywords&gt;Evidence-Based Medicine&lt;/Keywords&gt;&lt;Keywords&gt;Humans&lt;/Keywords&gt;&lt;Keywords&gt;Life&lt;/Keywords&gt;&lt;Keywords&gt;Longitudinal Studies&lt;/Keywords&gt;&lt;Keywords&gt;longitudinal study&lt;/Keywords&gt;&lt;Keywords&gt;Lupus Erythematosus,Systemic&lt;/Keywords&gt;&lt;Keywords&gt;patient&lt;/Keywords&gt;&lt;Keywords&gt;Patients&lt;/Keywords&gt;&lt;Keywords&gt;Prospective Studies&lt;/Keywords&gt;&lt;Keywords&gt;Quality of Life&lt;/Keywords&gt;&lt;Keywords&gt;Rheumatology&lt;/Keywords&gt;&lt;Reprint&gt;Not in File&lt;/Reprint&gt;&lt;Start_Page&gt;970&lt;/Start_Page&gt;&lt;End_Page&gt;973&lt;/End_Page&gt;&lt;Periodical&gt;Lupus.&lt;/Periodical&gt;&lt;Volume&gt;14&lt;/Volume&gt;&lt;Issue&gt;12&lt;/Issue&gt;&lt;ZZ_JournalStdAbbrev&gt;&lt;f name="System"&gt;Lupus.&lt;/f&gt;&lt;/ZZ_JournalStdAbbrev&gt;&lt;ZZ_WorkformID&gt;1&lt;/ZZ_WorkformID&gt;&lt;/MDL&gt;&lt;/Cite&gt;&lt;/Refman&gt;</w:instrText>
      </w:r>
      <w:r w:rsidR="00E729BA">
        <w:fldChar w:fldCharType="separate"/>
      </w:r>
      <w:r w:rsidR="007C1767">
        <w:t>(36)</w:t>
      </w:r>
      <w:r w:rsidR="00E729BA">
        <w:fldChar w:fldCharType="end"/>
      </w:r>
      <w:r>
        <w:t xml:space="preserve">. The study measures disease activity using the Physicians Global Assessment and the SLEDAI, damage is measured by the SLICC/ACR </w:t>
      </w:r>
      <w:r w:rsidR="00E94D16">
        <w:t>Damage Index</w:t>
      </w:r>
      <w:r>
        <w:t xml:space="preserve">. Kasitanon et al. report analyses from the cohort with a sample size of 1378 </w:t>
      </w:r>
      <w:r w:rsidR="00E729BA">
        <w:fldChar w:fldCharType="begin"/>
      </w:r>
      <w:r w:rsidR="00FC61FD">
        <w:instrText xml:space="preserve"> ADDIN REFMGR.CITE &lt;Refman&gt;&lt;Cite&gt;&lt;Author&gt;Kasitanon&lt;/Author&gt;&lt;Year&gt;2006&lt;/Year&gt;&lt;RecNum&gt;451&lt;/RecNum&gt;&lt;IDText&gt;Predictors of survival in systemic lupus erythematosus&lt;/IDText&gt;&lt;MDL Ref_Type="Journal"&gt;&lt;Ref_Type&gt;Journal&lt;/Ref_Type&gt;&lt;Ref_ID&gt;451&lt;/Ref_ID&gt;&lt;Title_Primary&gt;Predictors of survival in systemic lupus erythematosus&lt;/Title_Primary&gt;&lt;Authors_Primary&gt;Kasitanon,N.&lt;/Authors_Primary&gt;&lt;Authors_Primary&gt;Magder,L.S.&lt;/Authors_Primary&gt;&lt;Authors_Primary&gt;Petri,M.&lt;/Authors_Primary&gt;&lt;Date_Primary&gt;2006/5&lt;/Date_Primary&gt;&lt;Keywords&gt;Adolescent&lt;/Keywords&gt;&lt;Keywords&gt;Adult&lt;/Keywords&gt;&lt;Keywords&gt;Age Factors&lt;/Keywords&gt;&lt;Keywords&gt;Aged&lt;/Keywords&gt;&lt;Keywords&gt;Anemia&lt;/Keywords&gt;&lt;Keywords&gt;Baltimore&lt;/Keywords&gt;&lt;Keywords&gt;Child&lt;/Keywords&gt;&lt;Keywords&gt;Child,Preschool&lt;/Keywords&gt;&lt;Keywords&gt;Demography&lt;/Keywords&gt;&lt;Keywords&gt;diagnosis&lt;/Keywords&gt;&lt;Keywords&gt;Disease&lt;/Keywords&gt;&lt;Keywords&gt;epidemiology&lt;/Keywords&gt;&lt;Keywords&gt;Female&lt;/Keywords&gt;&lt;Keywords&gt;Humans&lt;/Keywords&gt;&lt;Keywords&gt;Income&lt;/Keywords&gt;&lt;Keywords&gt;Lupus Erythematosus,Systemic&lt;/Keywords&gt;&lt;Keywords&gt;Male&lt;/Keywords&gt;&lt;Keywords&gt;Maryland&lt;/Keywords&gt;&lt;Keywords&gt;Middle Aged&lt;/Keywords&gt;&lt;Keywords&gt;mortality&lt;/Keywords&gt;&lt;Keywords&gt;physiopathology&lt;/Keywords&gt;&lt;Keywords&gt;Probability&lt;/Keywords&gt;&lt;Keywords&gt;Prognosis&lt;/Keywords&gt;&lt;Keywords&gt;Proportional Hazards Models&lt;/Keywords&gt;&lt;Keywords&gt;Prospective Studies&lt;/Keywords&gt;&lt;Keywords&gt;Risk&lt;/Keywords&gt;&lt;Keywords&gt;Risk Assessment&lt;/Keywords&gt;&lt;Keywords&gt;Serologic Tests&lt;/Keywords&gt;&lt;Keywords&gt;Sex Factors&lt;/Keywords&gt;&lt;Keywords&gt;Socioeconomic Factors&lt;/Keywords&gt;&lt;Keywords&gt;Survival Analysis&lt;/Keywords&gt;&lt;Keywords&gt;Time&lt;/Keywords&gt;&lt;Keywords&gt;Time Factors&lt;/Keywords&gt;&lt;Keywords&gt;United States&lt;/Keywords&gt;&lt;Reprint&gt;Not in File&lt;/Reprint&gt;&lt;Start_Page&gt;147&lt;/Start_Page&gt;&lt;End_Page&gt;156&lt;/End_Page&gt;&lt;Periodical&gt;Medicine (Baltimore).&lt;/Periodical&gt;&lt;Volume&gt;85&lt;/Volume&gt;&lt;Issue&gt;3&lt;/Issue&gt;&lt;User_Def_1&gt;y&lt;/User_Def_1&gt;&lt;ZZ_JournalStdAbbrev&gt;&lt;f name="System"&gt;Medicine (Baltimore).&lt;/f&gt;&lt;/ZZ_JournalStdAbbrev&gt;&lt;ZZ_WorkformID&gt;1&lt;/ZZ_WorkformID&gt;&lt;/MDL&gt;&lt;/Cite&gt;&lt;/Refman&gt;</w:instrText>
      </w:r>
      <w:r w:rsidR="00E729BA">
        <w:fldChar w:fldCharType="separate"/>
      </w:r>
      <w:r w:rsidR="004D7951">
        <w:t>(153)</w:t>
      </w:r>
      <w:r w:rsidR="00E729BA">
        <w:fldChar w:fldCharType="end"/>
      </w:r>
      <w:r>
        <w:t xml:space="preserve">. The cohort is large and a rich source of data on the natural history of lupus. </w:t>
      </w:r>
    </w:p>
    <w:p w:rsidR="002D772C" w:rsidRDefault="002D772C" w:rsidP="002D772C">
      <w:r>
        <w:t xml:space="preserve">Patients attending the University of Toronto Lupus Clinic are seen every 2 to 6 months. At each visit clinical and laboratory details are entered in a database. There are over 1000 patients registered at the clinic and data has been collected prospectively on patients since 1970. </w:t>
      </w:r>
    </w:p>
    <w:p w:rsidR="002D772C" w:rsidRDefault="0094270B" w:rsidP="00B56487">
      <w:r>
        <w:t xml:space="preserve">It was beneficial to access the data from at least one of these cohorts </w:t>
      </w:r>
      <w:r w:rsidR="002D772C">
        <w:t xml:space="preserve">that represent the diverse nature of SLE </w:t>
      </w:r>
      <w:r>
        <w:t xml:space="preserve">and are </w:t>
      </w:r>
      <w:r w:rsidR="002D772C">
        <w:t xml:space="preserve">followed at regular, frequent intervals followed over time. Soon after the literature review was completed an opportunity arose for the School of Health and Related Research (ScHARR) to collaborate with GlaxoSmithKline (GSK) in the development of their </w:t>
      </w:r>
      <w:r w:rsidR="00B0148C">
        <w:t>CE</w:t>
      </w:r>
      <w:r w:rsidR="002D772C">
        <w:t xml:space="preserve"> model for belimumab, a new treatment for SLE that had recently passed its Phase III endpoint. GSK had access to the Hopkins Lupus Cohort and were looking to run statistical analyses to use in their </w:t>
      </w:r>
      <w:r w:rsidR="00B0148C">
        <w:t>CE</w:t>
      </w:r>
      <w:r w:rsidR="002D772C">
        <w:t xml:space="preserve"> model. </w:t>
      </w:r>
      <w:r w:rsidR="00434C44">
        <w:t>I</w:t>
      </w:r>
      <w:r w:rsidR="002D772C">
        <w:t xml:space="preserve"> was responsible for the development of a natural history model for SLE</w:t>
      </w:r>
      <w:r w:rsidR="00434C44">
        <w:t xml:space="preserve"> on behalf of ScHARR</w:t>
      </w:r>
      <w:r w:rsidR="002D772C">
        <w:t xml:space="preserve">, and Pharmerit would execute the </w:t>
      </w:r>
      <w:r w:rsidR="00B0148C">
        <w:t>CE</w:t>
      </w:r>
      <w:r w:rsidR="002D772C">
        <w:t xml:space="preserve"> model</w:t>
      </w:r>
      <w:r w:rsidR="00B56487">
        <w:t xml:space="preserve"> using the natural history model for SLE</w:t>
      </w:r>
      <w:r w:rsidR="002D772C">
        <w:t xml:space="preserve">.  This arrangement enabled </w:t>
      </w:r>
      <w:r w:rsidR="00F7051B">
        <w:t>me</w:t>
      </w:r>
      <w:r w:rsidR="002D772C">
        <w:t xml:space="preserve"> to access a large observational cohort and develop a new set of statistical analyses as part </w:t>
      </w:r>
      <w:r w:rsidR="00F7051B">
        <w:t xml:space="preserve">of this </w:t>
      </w:r>
      <w:r w:rsidR="002D772C">
        <w:t>PhD</w:t>
      </w:r>
      <w:r w:rsidR="00F7051B">
        <w:t xml:space="preserve"> programme</w:t>
      </w:r>
      <w:r w:rsidR="002D772C">
        <w:t>.</w:t>
      </w:r>
    </w:p>
    <w:p w:rsidR="00B236E5" w:rsidRDefault="00B236E5" w:rsidP="00B236E5">
      <w:pPr>
        <w:pStyle w:val="Heading2"/>
      </w:pPr>
      <w:bookmarkStart w:id="233" w:name="_Ref354925126"/>
      <w:bookmarkStart w:id="234" w:name="_Toc379467606"/>
      <w:r>
        <w:t>Conclusion</w:t>
      </w:r>
      <w:bookmarkEnd w:id="233"/>
      <w:bookmarkEnd w:id="234"/>
    </w:p>
    <w:p w:rsidR="00983D2F" w:rsidRDefault="00983D2F" w:rsidP="00983D2F">
      <w:bookmarkStart w:id="235" w:name="_Toc335043530"/>
      <w:bookmarkStart w:id="236" w:name="_Toc278533944"/>
      <w:bookmarkStart w:id="237" w:name="_Toc278534004"/>
      <w:bookmarkStart w:id="238" w:name="_Toc279009281"/>
      <w:bookmarkEnd w:id="111"/>
      <w:bookmarkEnd w:id="121"/>
      <w:r>
        <w:t xml:space="preserve">The conceptual model </w:t>
      </w:r>
      <w:r w:rsidR="00327F97">
        <w:t xml:space="preserve">developed here has </w:t>
      </w:r>
      <w:r>
        <w:t>identified that disease activity, steroids, organ damage and mortality were important outcomes to include in a natural history model for SLE. Disease activity and steroid dose were associated with organ damage and mortality. These associations can be used to relate treatment effect</w:t>
      </w:r>
      <w:r w:rsidR="00F7051B">
        <w:t>s</w:t>
      </w:r>
      <w:r>
        <w:t xml:space="preserve"> in short term studies to long-term outcomes. </w:t>
      </w:r>
    </w:p>
    <w:p w:rsidR="006074C8" w:rsidRPr="00983D2F" w:rsidRDefault="00983D2F" w:rsidP="00327F97">
      <w:r>
        <w:t xml:space="preserve">The epidemiology studies did not report sufficient data to inform a detailed natural history model for SLE. The findings of the literature review of observational studies suggested that future statistical analyses should address the following data gaps. Firstly, that the statistical analyses would predict all disease outcomes included in the conceptual model. Secondly, the confounding effects of disease activity and steroid dose should be described in the statistical models where both factors are associated with the outcome. Thirdly, the statistical models should report sufficient </w:t>
      </w:r>
      <w:r w:rsidR="00327F97">
        <w:t>data to estimate the probability of organ damage in each system and mortality</w:t>
      </w:r>
      <w:r>
        <w:t>.</w:t>
      </w:r>
      <w:r w:rsidR="00F7051B" w:rsidRPr="00F7051B">
        <w:t xml:space="preserve"> </w:t>
      </w:r>
      <w:r w:rsidR="00F7051B">
        <w:t>The opportunity arose</w:t>
      </w:r>
      <w:r w:rsidR="00434C44">
        <w:t>, through collaboration with GSK,</w:t>
      </w:r>
      <w:r w:rsidR="00F7051B">
        <w:t xml:space="preserve"> to develop a new set of statistical analyses to estimate parameters for the BCTS and CE model with these data requirements in mind</w:t>
      </w:r>
      <w:r w:rsidR="00327F97">
        <w:t xml:space="preserve"> using the John Hopkins Cohort</w:t>
      </w:r>
      <w:r w:rsidR="00F7051B">
        <w:t xml:space="preserve">. </w:t>
      </w:r>
      <w:r w:rsidR="006074C8">
        <w:br w:type="page"/>
      </w:r>
    </w:p>
    <w:p w:rsidR="002367E4" w:rsidRDefault="006074C8" w:rsidP="002367E4">
      <w:pPr>
        <w:pStyle w:val="Heading1"/>
      </w:pPr>
      <w:bookmarkStart w:id="239" w:name="_Ref363379228"/>
      <w:bookmarkStart w:id="240" w:name="_Toc379467607"/>
      <w:r>
        <w:t xml:space="preserve">Chapter 5: </w:t>
      </w:r>
      <w:r w:rsidR="006425C6">
        <w:t xml:space="preserve">Developing A </w:t>
      </w:r>
      <w:r w:rsidR="00BD0277">
        <w:t xml:space="preserve">Model for the </w:t>
      </w:r>
      <w:r>
        <w:t>Natural History Of SLE</w:t>
      </w:r>
      <w:bookmarkEnd w:id="235"/>
      <w:bookmarkEnd w:id="239"/>
      <w:bookmarkEnd w:id="240"/>
    </w:p>
    <w:p w:rsidR="002367E4" w:rsidRPr="002367E4" w:rsidRDefault="002367E4" w:rsidP="00597CF5">
      <w:pPr>
        <w:pStyle w:val="ListParagraph"/>
        <w:numPr>
          <w:ilvl w:val="0"/>
          <w:numId w:val="30"/>
        </w:numPr>
        <w:rPr>
          <w:sz w:val="16"/>
          <w:szCs w:val="16"/>
        </w:rPr>
      </w:pPr>
    </w:p>
    <w:p w:rsidR="006074C8" w:rsidRDefault="006074C8" w:rsidP="00462E08">
      <w:r>
        <w:t xml:space="preserve">This chapter </w:t>
      </w:r>
      <w:r w:rsidR="00FB7552">
        <w:t xml:space="preserve">describes the statistical </w:t>
      </w:r>
      <w:r>
        <w:t xml:space="preserve">analysis </w:t>
      </w:r>
      <w:r w:rsidR="00FB7552">
        <w:t>of</w:t>
      </w:r>
      <w:r>
        <w:t xml:space="preserve"> the</w:t>
      </w:r>
      <w:r w:rsidRPr="004E6530">
        <w:t xml:space="preserve"> Hopkins Lupus Cohort</w:t>
      </w:r>
      <w:r>
        <w:t xml:space="preserve"> </w:t>
      </w:r>
      <w:r w:rsidRPr="004E6530">
        <w:t xml:space="preserve">to </w:t>
      </w:r>
      <w:r w:rsidR="00FB7552">
        <w:t xml:space="preserve">estimate </w:t>
      </w:r>
      <w:r w:rsidR="00605999">
        <w:t>SLE</w:t>
      </w:r>
      <w:r w:rsidR="00FB7552">
        <w:t xml:space="preserve"> natural history </w:t>
      </w:r>
      <w:r w:rsidR="00605999">
        <w:t>for</w:t>
      </w:r>
      <w:r w:rsidR="00FB7552">
        <w:t xml:space="preserve"> a </w:t>
      </w:r>
      <w:r w:rsidR="00462E08">
        <w:t>BCTS and CE model.</w:t>
      </w:r>
    </w:p>
    <w:p w:rsidR="00FA7199" w:rsidRDefault="00983D2F" w:rsidP="001F5F63">
      <w:r w:rsidRPr="00876C38">
        <w:t xml:space="preserve">The statistical analyses built upon </w:t>
      </w:r>
      <w:r>
        <w:t>the findings from the literature review described in Chapter 4. The conceptual model was used to design the statistical analysis. The conceptual model informed the choice of covariates and outcomes that were included in the analysis.</w:t>
      </w:r>
      <w:r w:rsidRPr="00876C38">
        <w:t xml:space="preserve"> </w:t>
      </w:r>
      <w:r>
        <w:t xml:space="preserve">The final analysis included </w:t>
      </w:r>
      <w:r w:rsidR="001F5F63">
        <w:t xml:space="preserve">forty </w:t>
      </w:r>
      <w:r>
        <w:t>independent statistical models that could be combined to predict disease outcomes in a BCTS or CE model</w:t>
      </w:r>
      <w:r w:rsidR="001F5F63">
        <w:t xml:space="preserve"> conditional of patient characteristics</w:t>
      </w:r>
      <w:r>
        <w:t xml:space="preserve">.  </w:t>
      </w:r>
    </w:p>
    <w:p w:rsidR="00983D2F" w:rsidRPr="004E6530" w:rsidRDefault="001F5F63" w:rsidP="001F5F63">
      <w:r>
        <w:t xml:space="preserve">The Hopkins Lupus Cohort has collected data on the SLEDAI, steroid dose, SLICC/ACR Damage Index and mortality since 1987. The dataset includes a measure of the Physicians Global Assessment, but no other measures of disease activity, such as the BILAG.  </w:t>
      </w:r>
    </w:p>
    <w:p w:rsidR="00983D2F" w:rsidRDefault="00983D2F" w:rsidP="00D36410">
      <w:r w:rsidRPr="004E6530">
        <w:t xml:space="preserve">Collaboration with </w:t>
      </w:r>
      <w:r>
        <w:t>GlaxoSmithKline (</w:t>
      </w:r>
      <w:r w:rsidRPr="004E6530">
        <w:t>GSK</w:t>
      </w:r>
      <w:r>
        <w:t>)</w:t>
      </w:r>
      <w:r w:rsidRPr="004E6530">
        <w:t xml:space="preserve"> was </w:t>
      </w:r>
      <w:r>
        <w:t>important</w:t>
      </w:r>
      <w:r w:rsidRPr="004E6530">
        <w:t xml:space="preserve"> to gaining access to the Hopkins Lupus Cohort. GSK wanted to use the dataset to develop a </w:t>
      </w:r>
      <w:r>
        <w:t>CE</w:t>
      </w:r>
      <w:r w:rsidRPr="004E6530">
        <w:t xml:space="preserve"> model for belimumab. An arrangement was made for </w:t>
      </w:r>
      <w:r>
        <w:t>The School of Health and Related Research</w:t>
      </w:r>
      <w:r w:rsidR="00FA7199">
        <w:t>, Sheffield University</w:t>
      </w:r>
      <w:r>
        <w:t xml:space="preserve"> (Sc</w:t>
      </w:r>
      <w:r w:rsidRPr="004E6530">
        <w:t>HARR</w:t>
      </w:r>
      <w:r>
        <w:t>)</w:t>
      </w:r>
      <w:r w:rsidRPr="004E6530">
        <w:t xml:space="preserve"> to take responsibility for the natural history modelling</w:t>
      </w:r>
      <w:r>
        <w:t>,</w:t>
      </w:r>
      <w:r w:rsidRPr="004E6530">
        <w:t xml:space="preserve"> and an external consultancy company were </w:t>
      </w:r>
      <w:r>
        <w:t>commissioned to build a</w:t>
      </w:r>
      <w:r w:rsidRPr="004E6530">
        <w:t xml:space="preserve"> </w:t>
      </w:r>
      <w:r>
        <w:t>CE</w:t>
      </w:r>
      <w:r w:rsidRPr="004E6530">
        <w:t xml:space="preserve"> model. </w:t>
      </w:r>
      <w:r>
        <w:t>I</w:t>
      </w:r>
      <w:r w:rsidRPr="004E6530">
        <w:t xml:space="preserve"> was the main researcher on the </w:t>
      </w:r>
      <w:r w:rsidR="00462E08">
        <w:t>n</w:t>
      </w:r>
      <w:r w:rsidRPr="004E6530">
        <w:t xml:space="preserve">atural </w:t>
      </w:r>
      <w:r w:rsidR="00462E08">
        <w:t>h</w:t>
      </w:r>
      <w:r w:rsidRPr="004E6530">
        <w:t xml:space="preserve">istory model project with advisory contributions from </w:t>
      </w:r>
      <w:r w:rsidR="001F5F63">
        <w:t>Professor Alan Brennan and Professor Mike Campbell</w:t>
      </w:r>
      <w:r w:rsidR="00FA7199">
        <w:t xml:space="preserve"> from ScHARR</w:t>
      </w:r>
      <w:r w:rsidR="001F5F63">
        <w:t>.</w:t>
      </w:r>
      <w:r w:rsidR="00D36410">
        <w:t xml:space="preserve"> I was responsible for the design and implementation of the analysis plan and undertook all the analysis described in this Chapter. </w:t>
      </w:r>
    </w:p>
    <w:p w:rsidR="006074C8" w:rsidRPr="004E6530" w:rsidRDefault="006074C8" w:rsidP="00D34A5E">
      <w:r>
        <w:t xml:space="preserve">In Section </w:t>
      </w:r>
      <w:r w:rsidR="00E729BA">
        <w:fldChar w:fldCharType="begin"/>
      </w:r>
      <w:r>
        <w:instrText xml:space="preserve"> REF _Ref332616584 \r \h </w:instrText>
      </w:r>
      <w:r w:rsidR="00E729BA">
        <w:fldChar w:fldCharType="separate"/>
      </w:r>
      <w:r w:rsidR="004911B7">
        <w:rPr>
          <w:cs/>
        </w:rPr>
        <w:t>‎</w:t>
      </w:r>
      <w:r w:rsidR="004911B7">
        <w:t>5.1</w:t>
      </w:r>
      <w:r w:rsidR="00E729BA">
        <w:fldChar w:fldCharType="end"/>
      </w:r>
      <w:r>
        <w:t xml:space="preserve"> the methods of data analysis are described with details on how the outcomes are specified, covariates selected and what statistical methods were used. Section </w:t>
      </w:r>
      <w:r w:rsidR="00E729BA">
        <w:fldChar w:fldCharType="begin"/>
      </w:r>
      <w:r>
        <w:instrText xml:space="preserve"> REF _Ref332616775 \r \h </w:instrText>
      </w:r>
      <w:r w:rsidR="00E729BA">
        <w:fldChar w:fldCharType="separate"/>
      </w:r>
      <w:r w:rsidR="004911B7">
        <w:rPr>
          <w:cs/>
        </w:rPr>
        <w:t>‎</w:t>
      </w:r>
      <w:r w:rsidR="004911B7">
        <w:t>5.2.1</w:t>
      </w:r>
      <w:r w:rsidR="00E729BA">
        <w:fldChar w:fldCharType="end"/>
      </w:r>
      <w:r>
        <w:t xml:space="preserve"> describes the characteristics of the Hopkins Lupus Cohort. Section</w:t>
      </w:r>
      <w:r w:rsidR="00680ED8">
        <w:t xml:space="preserve"> </w:t>
      </w:r>
      <w:r w:rsidR="00E729BA">
        <w:fldChar w:fldCharType="begin"/>
      </w:r>
      <w:r w:rsidR="00680ED8">
        <w:instrText xml:space="preserve"> REF _Ref354829531 \n \h </w:instrText>
      </w:r>
      <w:r w:rsidR="00E729BA">
        <w:fldChar w:fldCharType="separate"/>
      </w:r>
      <w:r w:rsidR="004911B7">
        <w:rPr>
          <w:cs/>
        </w:rPr>
        <w:t>‎</w:t>
      </w:r>
      <w:r w:rsidR="004911B7">
        <w:t>5.2.2</w:t>
      </w:r>
      <w:r w:rsidR="00E729BA">
        <w:fldChar w:fldCharType="end"/>
      </w:r>
      <w:r>
        <w:t xml:space="preserve"> describes the </w:t>
      </w:r>
      <w:r w:rsidR="00D34A5E">
        <w:t xml:space="preserve">models </w:t>
      </w:r>
      <w:r w:rsidR="001F5F63">
        <w:t>predicting SLEDAI and steroid dose conditional on patient and clinical characteristics</w:t>
      </w:r>
      <w:r>
        <w:t xml:space="preserve">. Section </w:t>
      </w:r>
      <w:r w:rsidR="00E729BA">
        <w:fldChar w:fldCharType="begin"/>
      </w:r>
      <w:r w:rsidR="00680ED8">
        <w:instrText xml:space="preserve"> REF _Ref354930145 \n \h </w:instrText>
      </w:r>
      <w:r w:rsidR="00E729BA">
        <w:fldChar w:fldCharType="separate"/>
      </w:r>
      <w:r w:rsidR="004911B7">
        <w:rPr>
          <w:cs/>
        </w:rPr>
        <w:t>‎</w:t>
      </w:r>
      <w:r w:rsidR="004911B7">
        <w:t>5.2.3</w:t>
      </w:r>
      <w:r w:rsidR="00E729BA">
        <w:fldChar w:fldCharType="end"/>
      </w:r>
      <w:r w:rsidR="00680ED8">
        <w:t xml:space="preserve"> </w:t>
      </w:r>
      <w:r>
        <w:t xml:space="preserve">describes the results of the </w:t>
      </w:r>
      <w:r w:rsidR="001F5F63">
        <w:t>models predicting</w:t>
      </w:r>
      <w:r>
        <w:t xml:space="preserve"> long term SLEDAI and steroid dose</w:t>
      </w:r>
      <w:r w:rsidR="001F5F63">
        <w:t xml:space="preserve"> conditional of patient and clinical characteristics</w:t>
      </w:r>
      <w:r>
        <w:t xml:space="preserve">. Section </w:t>
      </w:r>
      <w:r w:rsidR="00E729BA">
        <w:fldChar w:fldCharType="begin"/>
      </w:r>
      <w:r w:rsidR="00680ED8">
        <w:instrText xml:space="preserve"> REF _Ref354930159 \n \h </w:instrText>
      </w:r>
      <w:r w:rsidR="00E729BA">
        <w:fldChar w:fldCharType="separate"/>
      </w:r>
      <w:r w:rsidR="004911B7">
        <w:rPr>
          <w:cs/>
        </w:rPr>
        <w:t>‎</w:t>
      </w:r>
      <w:r w:rsidR="004911B7">
        <w:t>5.2.4</w:t>
      </w:r>
      <w:r w:rsidR="00E729BA">
        <w:fldChar w:fldCharType="end"/>
      </w:r>
      <w:r w:rsidR="00680ED8">
        <w:t xml:space="preserve"> </w:t>
      </w:r>
      <w:r>
        <w:t xml:space="preserve">describes the results of the </w:t>
      </w:r>
      <w:r w:rsidR="001F5F63">
        <w:t>models predicting</w:t>
      </w:r>
      <w:r>
        <w:t xml:space="preserve"> organ damage and mortality outcomes</w:t>
      </w:r>
      <w:r w:rsidR="001F5F63">
        <w:t xml:space="preserve"> conditional on patient and clinical characteristics</w:t>
      </w:r>
      <w:r>
        <w:t xml:space="preserve">. </w:t>
      </w:r>
      <w:r w:rsidR="00680ED8">
        <w:t xml:space="preserve">Section </w:t>
      </w:r>
      <w:r w:rsidR="00E729BA">
        <w:fldChar w:fldCharType="begin"/>
      </w:r>
      <w:r w:rsidR="00680ED8">
        <w:instrText xml:space="preserve"> REF _Ref354930177 \n \h </w:instrText>
      </w:r>
      <w:r w:rsidR="00E729BA">
        <w:fldChar w:fldCharType="separate"/>
      </w:r>
      <w:r w:rsidR="004911B7">
        <w:rPr>
          <w:cs/>
        </w:rPr>
        <w:t>‎</w:t>
      </w:r>
      <w:r w:rsidR="004911B7">
        <w:t>5.3</w:t>
      </w:r>
      <w:r w:rsidR="00E729BA">
        <w:fldChar w:fldCharType="end"/>
      </w:r>
      <w:r w:rsidR="00B4450B">
        <w:t xml:space="preserve"> summarises the results of a validation of short and long term simulated outcomes. Section </w:t>
      </w:r>
      <w:r w:rsidR="00E729BA">
        <w:fldChar w:fldCharType="begin"/>
      </w:r>
      <w:r w:rsidR="00B4450B">
        <w:instrText xml:space="preserve"> REF _Ref363308559 \r \h </w:instrText>
      </w:r>
      <w:r w:rsidR="00E729BA">
        <w:fldChar w:fldCharType="separate"/>
      </w:r>
      <w:r w:rsidR="004911B7">
        <w:rPr>
          <w:cs/>
        </w:rPr>
        <w:t>‎</w:t>
      </w:r>
      <w:r w:rsidR="004911B7">
        <w:t>5.4</w:t>
      </w:r>
      <w:r w:rsidR="00E729BA">
        <w:fldChar w:fldCharType="end"/>
      </w:r>
      <w:r w:rsidR="00680ED8">
        <w:t xml:space="preserve"> discusses the limitations of the statistical analyses and their validity to predict SLE disease outcomes. Section </w:t>
      </w:r>
      <w:r w:rsidR="00E729BA">
        <w:fldChar w:fldCharType="begin"/>
      </w:r>
      <w:r w:rsidR="00680ED8">
        <w:instrText xml:space="preserve"> REF _Ref354930345 \n \h </w:instrText>
      </w:r>
      <w:r w:rsidR="00E729BA">
        <w:fldChar w:fldCharType="separate"/>
      </w:r>
      <w:r w:rsidR="004911B7">
        <w:rPr>
          <w:cs/>
        </w:rPr>
        <w:t>‎</w:t>
      </w:r>
      <w:r w:rsidR="004911B7">
        <w:t>5.5</w:t>
      </w:r>
      <w:r w:rsidR="00E729BA">
        <w:fldChar w:fldCharType="end"/>
      </w:r>
      <w:r w:rsidR="00680ED8">
        <w:t xml:space="preserve"> conclude</w:t>
      </w:r>
      <w:r w:rsidR="00D34A5E">
        <w:t>d</w:t>
      </w:r>
      <w:r w:rsidR="00680ED8">
        <w:t xml:space="preserve"> that the statistical analyses are the best source of information to describe the natural history of SLE in the BCTS and CE models.</w:t>
      </w:r>
    </w:p>
    <w:p w:rsidR="006074C8" w:rsidRDefault="006074C8" w:rsidP="006074C8">
      <w:pPr>
        <w:pStyle w:val="Heading2"/>
      </w:pPr>
      <w:bookmarkStart w:id="241" w:name="_Toc277943635"/>
      <w:bookmarkStart w:id="242" w:name="_Toc278533917"/>
      <w:bookmarkStart w:id="243" w:name="_Toc278533977"/>
      <w:bookmarkStart w:id="244" w:name="_Toc279009248"/>
      <w:bookmarkStart w:id="245" w:name="_Ref332616584"/>
      <w:bookmarkStart w:id="246" w:name="_Toc335043531"/>
      <w:bookmarkStart w:id="247" w:name="_Toc379467608"/>
      <w:r>
        <w:t>Methods</w:t>
      </w:r>
      <w:bookmarkEnd w:id="241"/>
      <w:bookmarkEnd w:id="242"/>
      <w:bookmarkEnd w:id="243"/>
      <w:bookmarkEnd w:id="244"/>
      <w:bookmarkEnd w:id="245"/>
      <w:bookmarkEnd w:id="246"/>
      <w:bookmarkEnd w:id="247"/>
      <w:r>
        <w:t xml:space="preserve"> </w:t>
      </w:r>
    </w:p>
    <w:p w:rsidR="004928EB" w:rsidRPr="00DD3003" w:rsidRDefault="004928EB" w:rsidP="00DD3003">
      <w:pPr>
        <w:pStyle w:val="Heading3"/>
        <w:rPr>
          <w:rStyle w:val="Emphasis"/>
          <w:spacing w:val="15"/>
          <w:sz w:val="22"/>
        </w:rPr>
      </w:pPr>
      <w:bookmarkStart w:id="248" w:name="_Toc335043532"/>
      <w:bookmarkStart w:id="249" w:name="_Toc379467609"/>
      <w:r w:rsidRPr="00DD3003">
        <w:rPr>
          <w:rStyle w:val="Emphasis"/>
          <w:spacing w:val="15"/>
          <w:sz w:val="22"/>
        </w:rPr>
        <w:t>Patient Population</w:t>
      </w:r>
      <w:bookmarkEnd w:id="248"/>
      <w:bookmarkEnd w:id="249"/>
    </w:p>
    <w:p w:rsidR="00605999" w:rsidRDefault="004928EB" w:rsidP="00FA7199">
      <w:r>
        <w:t>The Hopkins Lupus C</w:t>
      </w:r>
      <w:r w:rsidRPr="00440615">
        <w:t xml:space="preserve">ohort </w:t>
      </w:r>
      <w:r>
        <w:t>contains</w:t>
      </w:r>
      <w:r w:rsidRPr="00440615">
        <w:t xml:space="preserve"> data on a large population of SLE patients from Baltimore, Maryland</w:t>
      </w:r>
      <w:r>
        <w:t>, USA</w:t>
      </w:r>
      <w:r w:rsidRPr="00440615">
        <w:t xml:space="preserve">. </w:t>
      </w:r>
      <w:r>
        <w:t xml:space="preserve">The Hopkins Lupus Cohort represents one of the largest SLE cohorts identified in the literature search with a substantial duration of follow-up of the patients. </w:t>
      </w:r>
      <w:r w:rsidRPr="00440615">
        <w:t xml:space="preserve">Patients in the Hopkins cohort visit the clinic every 3 months from cohort entry. The </w:t>
      </w:r>
      <w:r>
        <w:t xml:space="preserve">current </w:t>
      </w:r>
      <w:r w:rsidRPr="00440615">
        <w:t xml:space="preserve">analysis </w:t>
      </w:r>
      <w:r>
        <w:t>was</w:t>
      </w:r>
      <w:r w:rsidRPr="00440615">
        <w:t xml:space="preserve"> based on all data extracted from the database in early 2010 for a total of 2047 patients. </w:t>
      </w:r>
      <w:r>
        <w:t>Patients with more than two years of follow-up were included in the final analysis to isolate the analysis to patients with sufficient duration of follow-up to contribute to all of the</w:t>
      </w:r>
      <w:r w:rsidR="000004C3">
        <w:t xml:space="preserve"> </w:t>
      </w:r>
      <w:r w:rsidR="00FA7199">
        <w:t>statistical models</w:t>
      </w:r>
      <w:r w:rsidR="001F5F63">
        <w:t>.</w:t>
      </w:r>
      <w:r>
        <w:t xml:space="preserve"> All of the analyses were conducted on the same population to simplify the description of the population in submissions to </w:t>
      </w:r>
      <w:r w:rsidR="002C404F">
        <w:t>reimbursement authorities</w:t>
      </w:r>
      <w:r>
        <w:t>.</w:t>
      </w:r>
    </w:p>
    <w:p w:rsidR="00605999" w:rsidRDefault="00605999" w:rsidP="00605999">
      <w:r>
        <w:t xml:space="preserve">Some data cleaning was required to get the data in the correct form for the analyses. </w:t>
      </w:r>
      <w:r w:rsidR="004928EB">
        <w:t>There was a very small proportion of missing data in the cohort, approximately 0.5% for SLEDAI score items. Missing data from clinic visits was imputed using a last observation carried forward.</w:t>
      </w:r>
      <w:r w:rsidR="007B514D">
        <w:t xml:space="preserve"> Given the low proportion of missing data for SLEDAI score, this method is unlikely to have affected the model outcomes if compared with other imputation methods.</w:t>
      </w:r>
      <w:r w:rsidR="004928EB">
        <w:t xml:space="preserve"> </w:t>
      </w:r>
      <w:r>
        <w:t>If the precise date of an event were not recorded in the dataset, it was assumed that the event occurred on the 15</w:t>
      </w:r>
      <w:r w:rsidRPr="00605999">
        <w:rPr>
          <w:vertAlign w:val="superscript"/>
        </w:rPr>
        <w:t>th</w:t>
      </w:r>
      <w:r>
        <w:t xml:space="preserve"> day of the month. </w:t>
      </w:r>
    </w:p>
    <w:p w:rsidR="004928EB" w:rsidRPr="004928EB" w:rsidRDefault="004928EB" w:rsidP="004928EB">
      <w:pPr>
        <w:pStyle w:val="Heading3"/>
      </w:pPr>
      <w:bookmarkStart w:id="250" w:name="_Toc379467610"/>
      <w:r>
        <w:t>Analysis Plan</w:t>
      </w:r>
      <w:bookmarkEnd w:id="250"/>
    </w:p>
    <w:p w:rsidR="006074C8" w:rsidRDefault="007112D2" w:rsidP="007B514D">
      <w:r>
        <w:t xml:space="preserve">The analysis was designed to produce two complete natural history models for the BCTS and CE model. I decided that a more complex simulation model would be required for the BCTS to describe short term changes in disease activity. </w:t>
      </w:r>
      <w:r w:rsidR="007B514D">
        <w:t xml:space="preserve">In the BCTS it would be beneficial to monitor disease activity by organ system to enable simulation of interventions with differential effects across organ systems. </w:t>
      </w:r>
      <w:r w:rsidR="00FA7199">
        <w:t>T</w:t>
      </w:r>
      <w:r>
        <w:t>his level of detail would no</w:t>
      </w:r>
      <w:r w:rsidR="00FA7199">
        <w:t xml:space="preserve">t be necessary for the CE model </w:t>
      </w:r>
      <w:r w:rsidR="007B514D">
        <w:t>so a different</w:t>
      </w:r>
      <w:r>
        <w:t xml:space="preserve"> structure would be necessary to simulate patients.</w:t>
      </w:r>
      <w:r w:rsidR="007B514D">
        <w:t xml:space="preserve"> The CE model is required to simulate outcomes over the lifetime of a patient so disease activity was simplified to enable more efficient computation of patient outcomes. </w:t>
      </w:r>
      <w:r w:rsidR="006074C8" w:rsidRPr="00440615">
        <w:t xml:space="preserve">The analysis of the </w:t>
      </w:r>
      <w:r w:rsidR="006074C8">
        <w:t>Hopkins Lupus Cohort</w:t>
      </w:r>
      <w:r w:rsidR="006074C8" w:rsidRPr="00440615">
        <w:t xml:space="preserve"> </w:t>
      </w:r>
      <w:r w:rsidR="00FB7552">
        <w:t xml:space="preserve">can be grouped into three stages. The first </w:t>
      </w:r>
      <w:r w:rsidR="006074C8">
        <w:t>examine</w:t>
      </w:r>
      <w:r w:rsidR="00FB7552">
        <w:t xml:space="preserve">d SLEDAI score items and steroid dose at each </w:t>
      </w:r>
      <w:r w:rsidR="00016F0E">
        <w:t xml:space="preserve">quarterly </w:t>
      </w:r>
      <w:r w:rsidR="00FB7552">
        <w:t xml:space="preserve">clinic visit. The second estimated </w:t>
      </w:r>
      <w:r w:rsidR="00016F0E">
        <w:t xml:space="preserve">mean </w:t>
      </w:r>
      <w:r w:rsidR="00FB7552">
        <w:t xml:space="preserve">SLEDAI and steroid dose over annual periods. The third estimated the risk of organ damage. </w:t>
      </w:r>
      <w:r w:rsidR="00E729BA">
        <w:fldChar w:fldCharType="begin"/>
      </w:r>
      <w:r w:rsidR="006074C8">
        <w:instrText xml:space="preserve"> REF _Ref332097724 \h </w:instrText>
      </w:r>
      <w:r w:rsidR="00E729BA">
        <w:fldChar w:fldCharType="separate"/>
      </w:r>
      <w:r w:rsidR="004911B7">
        <w:t xml:space="preserve">Figure </w:t>
      </w:r>
      <w:r w:rsidR="004911B7">
        <w:rPr>
          <w:noProof/>
        </w:rPr>
        <w:t>10</w:t>
      </w:r>
      <w:r w:rsidR="00E729BA">
        <w:fldChar w:fldCharType="end"/>
      </w:r>
      <w:r w:rsidR="006074C8">
        <w:t xml:space="preserve"> illustrates the three types of </w:t>
      </w:r>
      <w:r w:rsidR="00462E08">
        <w:t>analysis that were used in the n</w:t>
      </w:r>
      <w:r w:rsidR="006074C8">
        <w:t xml:space="preserve">atural </w:t>
      </w:r>
      <w:r w:rsidR="00462E08">
        <w:t>h</w:t>
      </w:r>
      <w:r w:rsidR="006074C8">
        <w:t xml:space="preserve">istory models. </w:t>
      </w:r>
    </w:p>
    <w:p w:rsidR="006074C8" w:rsidRDefault="006074C8" w:rsidP="00234693">
      <w:pPr>
        <w:pStyle w:val="Caption"/>
      </w:pPr>
      <w:bookmarkStart w:id="251" w:name="_Ref332097724"/>
      <w:r>
        <w:t xml:space="preserve">Figure </w:t>
      </w:r>
      <w:r w:rsidR="00E729BA">
        <w:fldChar w:fldCharType="begin"/>
      </w:r>
      <w:r w:rsidR="000B0EDB">
        <w:instrText xml:space="preserve"> SEQ Figure \* ARABIC </w:instrText>
      </w:r>
      <w:r w:rsidR="00E729BA">
        <w:fldChar w:fldCharType="separate"/>
      </w:r>
      <w:r w:rsidR="004911B7">
        <w:rPr>
          <w:noProof/>
        </w:rPr>
        <w:t>10</w:t>
      </w:r>
      <w:r w:rsidR="00E729BA">
        <w:fldChar w:fldCharType="end"/>
      </w:r>
      <w:bookmarkEnd w:id="251"/>
      <w:r>
        <w:t>: Diagram illustrating the three sets of statistical models that were analyse</w:t>
      </w:r>
      <w:r w:rsidR="00D34A5E">
        <w:t>d</w:t>
      </w:r>
      <w:r>
        <w:t xml:space="preserve"> </w:t>
      </w:r>
    </w:p>
    <w:p w:rsidR="006074C8" w:rsidRDefault="001F5F63" w:rsidP="006074C8">
      <w:r w:rsidRPr="001F5F63">
        <w:rPr>
          <w:noProof/>
          <w:lang w:eastAsia="zh-CN" w:bidi="ar-SA"/>
        </w:rPr>
        <w:drawing>
          <wp:inline distT="0" distB="0" distL="0" distR="0">
            <wp:extent cx="5731510" cy="3409481"/>
            <wp:effectExtent l="19050" t="0" r="254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31510" cy="3409481"/>
                    </a:xfrm>
                    <a:prstGeom prst="rect">
                      <a:avLst/>
                    </a:prstGeom>
                    <a:noFill/>
                    <a:ln w="9525">
                      <a:noFill/>
                      <a:miter lim="800000"/>
                      <a:headEnd/>
                      <a:tailEnd/>
                    </a:ln>
                  </pic:spPr>
                </pic:pic>
              </a:graphicData>
            </a:graphic>
          </wp:inline>
        </w:drawing>
      </w:r>
    </w:p>
    <w:p w:rsidR="006074C8" w:rsidRPr="00440615" w:rsidRDefault="001F5F63" w:rsidP="00D34A5E">
      <w:r>
        <w:t xml:space="preserve">In </w:t>
      </w:r>
      <w:r w:rsidR="00E729BA">
        <w:fldChar w:fldCharType="begin"/>
      </w:r>
      <w:r>
        <w:instrText xml:space="preserve"> REF _Ref332097724 \h </w:instrText>
      </w:r>
      <w:r w:rsidR="00E729BA">
        <w:fldChar w:fldCharType="separate"/>
      </w:r>
      <w:r w:rsidR="004911B7">
        <w:t xml:space="preserve">Figure </w:t>
      </w:r>
      <w:r w:rsidR="004911B7">
        <w:rPr>
          <w:noProof/>
        </w:rPr>
        <w:t>10</w:t>
      </w:r>
      <w:r w:rsidR="00E729BA">
        <w:fldChar w:fldCharType="end"/>
      </w:r>
      <w:r>
        <w:t xml:space="preserve">, </w:t>
      </w:r>
      <w:r w:rsidR="00D34A5E">
        <w:t xml:space="preserve">Analysis </w:t>
      </w:r>
      <w:r w:rsidR="006074C8">
        <w:t>1 predict</w:t>
      </w:r>
      <w:r>
        <w:t xml:space="preserve">ed twenty-four </w:t>
      </w:r>
      <w:r w:rsidR="004928EB">
        <w:t>SLEDAI items</w:t>
      </w:r>
      <w:r w:rsidR="006074C8">
        <w:t xml:space="preserve"> and steroid dose in three month intervals. These models were used to predict outcomes in a </w:t>
      </w:r>
      <w:r w:rsidR="002C404F">
        <w:t>BCTS</w:t>
      </w:r>
      <w:r w:rsidR="006074C8">
        <w:t xml:space="preserve">. It was important </w:t>
      </w:r>
      <w:r w:rsidR="00605999">
        <w:t xml:space="preserve">to record </w:t>
      </w:r>
      <w:r w:rsidR="004734F7">
        <w:t>SLEDAI items</w:t>
      </w:r>
      <w:r w:rsidR="00605999">
        <w:t xml:space="preserve"> and discrete changes in SLEDAI score to estimate trial endpoints. </w:t>
      </w:r>
      <w:r w:rsidR="007B514D">
        <w:t>Analysis 1 is used to simulate disease activity and steroid dose in the BCTS model.</w:t>
      </w:r>
    </w:p>
    <w:p w:rsidR="006074C8" w:rsidRPr="00440615" w:rsidRDefault="006074C8" w:rsidP="00FA7199">
      <w:r>
        <w:t>Analysis 2 predict</w:t>
      </w:r>
      <w:r w:rsidR="006650D9">
        <w:t>ed</w:t>
      </w:r>
      <w:r>
        <w:t xml:space="preserve"> </w:t>
      </w:r>
      <w:r w:rsidR="004734F7">
        <w:t xml:space="preserve">annual mean </w:t>
      </w:r>
      <w:r>
        <w:t>SLEDAI scores</w:t>
      </w:r>
      <w:r w:rsidR="006650D9">
        <w:t xml:space="preserve"> and steroid doses</w:t>
      </w:r>
      <w:r>
        <w:t xml:space="preserve">. The </w:t>
      </w:r>
      <w:r w:rsidR="00016F0E">
        <w:t xml:space="preserve">composite </w:t>
      </w:r>
      <w:r>
        <w:t>SLEDAI scores observed at 3 monthly visit</w:t>
      </w:r>
      <w:r w:rsidR="006650D9">
        <w:t>s were averaged to reflect the</w:t>
      </w:r>
      <w:r>
        <w:t xml:space="preserve"> burden of the disease over </w:t>
      </w:r>
      <w:r w:rsidR="006650D9">
        <w:t>annual periods of observation</w:t>
      </w:r>
      <w:r>
        <w:t xml:space="preserve">. This analysis </w:t>
      </w:r>
      <w:r w:rsidRPr="00440615">
        <w:t>aims to investigate how disease activity evolves over</w:t>
      </w:r>
      <w:r>
        <w:t xml:space="preserve"> longer intervals</w:t>
      </w:r>
      <w:r w:rsidRPr="00440615">
        <w:t xml:space="preserve"> and what information can be used to predict </w:t>
      </w:r>
      <w:r>
        <w:t>the long term severity of the disease</w:t>
      </w:r>
      <w:r w:rsidRPr="00440615">
        <w:t>.</w:t>
      </w:r>
      <w:r>
        <w:t xml:space="preserve"> </w:t>
      </w:r>
      <w:r w:rsidR="006650D9">
        <w:t xml:space="preserve">These </w:t>
      </w:r>
      <w:r w:rsidR="004734F7">
        <w:t xml:space="preserve">two </w:t>
      </w:r>
      <w:r w:rsidR="0068656C">
        <w:t xml:space="preserve">regression </w:t>
      </w:r>
      <w:r w:rsidR="006650D9">
        <w:t xml:space="preserve">models would be used in the </w:t>
      </w:r>
      <w:r w:rsidR="00B0148C">
        <w:t>CE</w:t>
      </w:r>
      <w:r w:rsidR="006650D9">
        <w:t xml:space="preserve"> model to extrapolate average scores over the patient’s lifetime. </w:t>
      </w:r>
      <w:r w:rsidR="007B514D">
        <w:t>Analysis 2 is used to simulate disease activity and steroid dose in the CE model.</w:t>
      </w:r>
    </w:p>
    <w:p w:rsidR="006074C8" w:rsidRPr="004928EB" w:rsidRDefault="006074C8" w:rsidP="006650D9">
      <w:r>
        <w:t>Analysis 3</w:t>
      </w:r>
      <w:r w:rsidRPr="00440615">
        <w:t xml:space="preserve"> </w:t>
      </w:r>
      <w:r>
        <w:t>estimates</w:t>
      </w:r>
      <w:r w:rsidRPr="00440615">
        <w:t xml:space="preserve"> the time </w:t>
      </w:r>
      <w:r>
        <w:t>to</w:t>
      </w:r>
      <w:r w:rsidRPr="00440615">
        <w:t xml:space="preserve"> </w:t>
      </w:r>
      <w:r w:rsidR="00B96BBB">
        <w:t>organ damage and mortality</w:t>
      </w:r>
      <w:r w:rsidRPr="00440615">
        <w:t xml:space="preserve">. The analysis </w:t>
      </w:r>
      <w:r>
        <w:t>identified</w:t>
      </w:r>
      <w:r w:rsidRPr="00440615">
        <w:t xml:space="preserve"> risk factors for </w:t>
      </w:r>
      <w:r>
        <w:t>these outcomes and quantified</w:t>
      </w:r>
      <w:r w:rsidRPr="00440615">
        <w:t xml:space="preserve"> </w:t>
      </w:r>
      <w:r>
        <w:t>the effect they have on the probability</w:t>
      </w:r>
      <w:r w:rsidRPr="00440615">
        <w:t xml:space="preserve"> of the outcome occurring at any stage of the disease. </w:t>
      </w:r>
      <w:bookmarkStart w:id="252" w:name="_Toc278533919"/>
      <w:bookmarkStart w:id="253" w:name="_Toc278533979"/>
      <w:bookmarkStart w:id="254" w:name="_Toc279009250"/>
      <w:r w:rsidR="007B514D">
        <w:t>Analysis 3 is used to simulate organ damage in the BCTS and CE model.</w:t>
      </w:r>
    </w:p>
    <w:p w:rsidR="006074C8" w:rsidRDefault="00C8267F" w:rsidP="006074C8">
      <w:pPr>
        <w:pStyle w:val="Heading3"/>
      </w:pPr>
      <w:bookmarkStart w:id="255" w:name="_Toc379467611"/>
      <w:bookmarkEnd w:id="252"/>
      <w:bookmarkEnd w:id="253"/>
      <w:bookmarkEnd w:id="254"/>
      <w:r>
        <w:t>SPecification of the Dependent Variables</w:t>
      </w:r>
      <w:bookmarkEnd w:id="255"/>
    </w:p>
    <w:p w:rsidR="00CB2784" w:rsidRPr="00CB2784" w:rsidRDefault="00CB2784" w:rsidP="00CB2784">
      <w:pPr>
        <w:pStyle w:val="Heading4"/>
      </w:pPr>
      <w:r>
        <w:t xml:space="preserve">Dependent Variables </w:t>
      </w:r>
      <w:r w:rsidRPr="00183081">
        <w:t>for SLEDAI</w:t>
      </w:r>
      <w:r>
        <w:t xml:space="preserve"> </w:t>
      </w:r>
      <w:r w:rsidRPr="00183081">
        <w:t>items</w:t>
      </w:r>
      <w:r>
        <w:t xml:space="preserve"> and Steroid dose </w:t>
      </w:r>
    </w:p>
    <w:p w:rsidR="004734F7" w:rsidRDefault="006074C8" w:rsidP="006E7935">
      <w:r>
        <w:t xml:space="preserve">Disease activity was measured using the SLEDAI in all of the analyses. The SLEDAI </w:t>
      </w:r>
      <w:r w:rsidR="00B96BBB">
        <w:t xml:space="preserve">was used in the simulation because it is an objective assessment of disease activity and </w:t>
      </w:r>
      <w:r>
        <w:t xml:space="preserve">provides a good description of organ involvement. </w:t>
      </w:r>
      <w:r w:rsidR="00B96BBB">
        <w:t>T</w:t>
      </w:r>
      <w:r>
        <w:t xml:space="preserve">he 24 items of the SLEDAI were the outcome measures of the </w:t>
      </w:r>
      <w:r w:rsidR="00B96BBB">
        <w:t xml:space="preserve">first </w:t>
      </w:r>
      <w:r>
        <w:t>analysis. Each item is a binary variable taking the value of 1 if the symptom was present at that visit. The SLEDAI is a weighted measure of the 24 items of the SLEDAI</w:t>
      </w:r>
      <w:r w:rsidR="004734F7">
        <w:t xml:space="preserve"> (</w:t>
      </w:r>
      <w:r w:rsidR="00E729BA">
        <w:fldChar w:fldCharType="begin"/>
      </w:r>
      <w:r w:rsidR="004734F7">
        <w:instrText xml:space="preserve"> REF _Ref363214927 \h </w:instrText>
      </w:r>
      <w:r w:rsidR="00E729BA">
        <w:fldChar w:fldCharType="separate"/>
      </w:r>
      <w:r w:rsidR="004911B7">
        <w:t xml:space="preserve">Table </w:t>
      </w:r>
      <w:r w:rsidR="004911B7">
        <w:rPr>
          <w:noProof/>
        </w:rPr>
        <w:t>21</w:t>
      </w:r>
      <w:r w:rsidR="00E729BA">
        <w:fldChar w:fldCharType="end"/>
      </w:r>
      <w:r w:rsidR="004734F7">
        <w:t>).</w:t>
      </w:r>
    </w:p>
    <w:p w:rsidR="004734F7" w:rsidRDefault="004734F7" w:rsidP="00234693">
      <w:pPr>
        <w:pStyle w:val="Caption"/>
      </w:pPr>
      <w:bookmarkStart w:id="256" w:name="_Ref363214927"/>
      <w:r>
        <w:t xml:space="preserve">Table </w:t>
      </w:r>
      <w:fldSimple w:instr=" SEQ Table \* ARABIC ">
        <w:r w:rsidR="004911B7">
          <w:rPr>
            <w:noProof/>
          </w:rPr>
          <w:t>21</w:t>
        </w:r>
      </w:fldSimple>
      <w:bookmarkEnd w:id="256"/>
      <w:r>
        <w:t>: SLEDAI items and weighting system</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686"/>
        <w:gridCol w:w="1641"/>
        <w:gridCol w:w="825"/>
        <w:gridCol w:w="1633"/>
        <w:gridCol w:w="1789"/>
        <w:gridCol w:w="840"/>
      </w:tblGrid>
      <w:tr w:rsidR="004734F7" w:rsidRPr="00CB2784" w:rsidTr="00DD3003">
        <w:tc>
          <w:tcPr>
            <w:tcW w:w="1870"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Organ System</w:t>
            </w:r>
          </w:p>
        </w:tc>
        <w:tc>
          <w:tcPr>
            <w:tcW w:w="1866"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SLEDAI Item</w:t>
            </w:r>
          </w:p>
        </w:tc>
        <w:tc>
          <w:tcPr>
            <w:tcW w:w="864"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Weight</w:t>
            </w:r>
          </w:p>
        </w:tc>
        <w:tc>
          <w:tcPr>
            <w:tcW w:w="1843"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Organ System</w:t>
            </w:r>
          </w:p>
        </w:tc>
        <w:tc>
          <w:tcPr>
            <w:tcW w:w="1890"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SLEDAI Item</w:t>
            </w:r>
          </w:p>
        </w:tc>
        <w:tc>
          <w:tcPr>
            <w:tcW w:w="909" w:type="dxa"/>
            <w:tcBorders>
              <w:top w:val="single" w:sz="12" w:space="0" w:color="auto"/>
              <w:bottom w:val="single" w:sz="4" w:space="0" w:color="auto"/>
            </w:tcBorders>
          </w:tcPr>
          <w:p w:rsidR="004734F7" w:rsidRPr="00CB2784" w:rsidRDefault="004734F7" w:rsidP="004734F7">
            <w:pPr>
              <w:spacing w:after="0" w:afterAutospacing="0" w:line="240" w:lineRule="auto"/>
              <w:rPr>
                <w:sz w:val="20"/>
              </w:rPr>
            </w:pPr>
            <w:r w:rsidRPr="00CB2784">
              <w:rPr>
                <w:sz w:val="20"/>
              </w:rPr>
              <w:t>Weight</w:t>
            </w:r>
          </w:p>
        </w:tc>
      </w:tr>
      <w:tr w:rsidR="004734F7" w:rsidRPr="00CB2784" w:rsidTr="00DD3003">
        <w:tc>
          <w:tcPr>
            <w:tcW w:w="1870"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Neuropsychiatric</w:t>
            </w:r>
          </w:p>
        </w:tc>
        <w:tc>
          <w:tcPr>
            <w:tcW w:w="1866"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Seizure</w:t>
            </w:r>
          </w:p>
        </w:tc>
        <w:tc>
          <w:tcPr>
            <w:tcW w:w="864"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8</w:t>
            </w:r>
          </w:p>
        </w:tc>
        <w:tc>
          <w:tcPr>
            <w:tcW w:w="1843"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Musculoskeletal</w:t>
            </w:r>
          </w:p>
        </w:tc>
        <w:tc>
          <w:tcPr>
            <w:tcW w:w="1890"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Arthritis</w:t>
            </w:r>
          </w:p>
        </w:tc>
        <w:tc>
          <w:tcPr>
            <w:tcW w:w="909" w:type="dxa"/>
            <w:tcBorders>
              <w:top w:val="single" w:sz="4" w:space="0" w:color="auto"/>
            </w:tcBorders>
          </w:tcPr>
          <w:p w:rsidR="004734F7" w:rsidRPr="00CB2784" w:rsidRDefault="004734F7" w:rsidP="004734F7">
            <w:pPr>
              <w:spacing w:after="0" w:afterAutospacing="0" w:line="240" w:lineRule="auto"/>
              <w:rPr>
                <w:sz w:val="20"/>
              </w:rPr>
            </w:pPr>
            <w:r w:rsidRPr="00CB2784">
              <w:rPr>
                <w:sz w:val="20"/>
              </w:rPr>
              <w:t>4</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Psychosis</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Myositis</w:t>
            </w:r>
          </w:p>
        </w:tc>
        <w:tc>
          <w:tcPr>
            <w:tcW w:w="909" w:type="dxa"/>
          </w:tcPr>
          <w:p w:rsidR="004734F7" w:rsidRPr="00CB2784" w:rsidRDefault="004734F7" w:rsidP="004734F7">
            <w:pPr>
              <w:spacing w:after="0" w:afterAutospacing="0" w:line="240" w:lineRule="auto"/>
              <w:rPr>
                <w:sz w:val="20"/>
              </w:rPr>
            </w:pPr>
            <w:r w:rsidRPr="00CB2784">
              <w:rPr>
                <w:sz w:val="20"/>
              </w:rPr>
              <w:t>4</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Organic Brain Syndrome</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r w:rsidRPr="00CB2784">
              <w:rPr>
                <w:sz w:val="20"/>
              </w:rPr>
              <w:t>Skin</w:t>
            </w:r>
          </w:p>
        </w:tc>
        <w:tc>
          <w:tcPr>
            <w:tcW w:w="1890" w:type="dxa"/>
          </w:tcPr>
          <w:p w:rsidR="004734F7" w:rsidRPr="00CB2784" w:rsidRDefault="004734F7" w:rsidP="004734F7">
            <w:pPr>
              <w:spacing w:after="0" w:afterAutospacing="0" w:line="240" w:lineRule="auto"/>
              <w:rPr>
                <w:sz w:val="20"/>
              </w:rPr>
            </w:pPr>
            <w:r w:rsidRPr="00CB2784">
              <w:rPr>
                <w:sz w:val="20"/>
              </w:rPr>
              <w:t>Rash</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Visual Disturbance</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Alopecia</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Cranial Nerve Disorder</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Mucosal Ulcers</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Lupus Headache</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r w:rsidRPr="00CB2784">
              <w:rPr>
                <w:sz w:val="20"/>
              </w:rPr>
              <w:t>Serositis</w:t>
            </w:r>
          </w:p>
        </w:tc>
        <w:tc>
          <w:tcPr>
            <w:tcW w:w="1890" w:type="dxa"/>
          </w:tcPr>
          <w:p w:rsidR="004734F7" w:rsidRPr="00CB2784" w:rsidRDefault="004734F7" w:rsidP="004734F7">
            <w:pPr>
              <w:spacing w:after="0" w:afterAutospacing="0" w:line="240" w:lineRule="auto"/>
              <w:rPr>
                <w:sz w:val="20"/>
              </w:rPr>
            </w:pPr>
            <w:r w:rsidRPr="00CB2784">
              <w:rPr>
                <w:sz w:val="20"/>
              </w:rPr>
              <w:t>Pleurisy</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Cerebrovascular accident</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Pericarditis</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r w:rsidRPr="00CB2784">
              <w:rPr>
                <w:sz w:val="20"/>
              </w:rPr>
              <w:t>Vascular</w:t>
            </w:r>
          </w:p>
        </w:tc>
        <w:tc>
          <w:tcPr>
            <w:tcW w:w="1866" w:type="dxa"/>
          </w:tcPr>
          <w:p w:rsidR="004734F7" w:rsidRPr="00CB2784" w:rsidRDefault="004734F7" w:rsidP="004734F7">
            <w:pPr>
              <w:spacing w:after="0" w:afterAutospacing="0" w:line="240" w:lineRule="auto"/>
              <w:rPr>
                <w:sz w:val="20"/>
              </w:rPr>
            </w:pPr>
            <w:r w:rsidRPr="00CB2784">
              <w:rPr>
                <w:sz w:val="20"/>
              </w:rPr>
              <w:t>Vasculitis</w:t>
            </w:r>
          </w:p>
        </w:tc>
        <w:tc>
          <w:tcPr>
            <w:tcW w:w="864" w:type="dxa"/>
          </w:tcPr>
          <w:p w:rsidR="004734F7" w:rsidRPr="00CB2784" w:rsidRDefault="004734F7" w:rsidP="004734F7">
            <w:pPr>
              <w:spacing w:after="0" w:afterAutospacing="0" w:line="240" w:lineRule="auto"/>
              <w:rPr>
                <w:sz w:val="20"/>
              </w:rPr>
            </w:pPr>
            <w:r w:rsidRPr="00CB2784">
              <w:rPr>
                <w:sz w:val="20"/>
              </w:rPr>
              <w:t>8</w:t>
            </w:r>
          </w:p>
        </w:tc>
        <w:tc>
          <w:tcPr>
            <w:tcW w:w="1843" w:type="dxa"/>
          </w:tcPr>
          <w:p w:rsidR="004734F7" w:rsidRPr="00CB2784" w:rsidRDefault="004734F7" w:rsidP="004734F7">
            <w:pPr>
              <w:spacing w:after="0" w:afterAutospacing="0" w:line="240" w:lineRule="auto"/>
              <w:rPr>
                <w:sz w:val="20"/>
              </w:rPr>
            </w:pPr>
            <w:r w:rsidRPr="00CB2784">
              <w:rPr>
                <w:sz w:val="20"/>
              </w:rPr>
              <w:t>Immunological</w:t>
            </w:r>
          </w:p>
        </w:tc>
        <w:tc>
          <w:tcPr>
            <w:tcW w:w="1890" w:type="dxa"/>
          </w:tcPr>
          <w:p w:rsidR="004734F7" w:rsidRPr="00CB2784" w:rsidRDefault="004734F7" w:rsidP="004734F7">
            <w:pPr>
              <w:spacing w:after="0" w:afterAutospacing="0" w:line="240" w:lineRule="auto"/>
              <w:rPr>
                <w:sz w:val="20"/>
              </w:rPr>
            </w:pPr>
            <w:r w:rsidRPr="00CB2784">
              <w:rPr>
                <w:sz w:val="20"/>
              </w:rPr>
              <w:t>Low Complement</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r w:rsidRPr="00CB2784">
              <w:rPr>
                <w:sz w:val="20"/>
              </w:rPr>
              <w:t>Renal</w:t>
            </w:r>
          </w:p>
        </w:tc>
        <w:tc>
          <w:tcPr>
            <w:tcW w:w="1866" w:type="dxa"/>
          </w:tcPr>
          <w:p w:rsidR="004734F7" w:rsidRPr="00CB2784" w:rsidRDefault="004734F7" w:rsidP="004734F7">
            <w:pPr>
              <w:spacing w:after="0" w:afterAutospacing="0" w:line="240" w:lineRule="auto"/>
              <w:rPr>
                <w:sz w:val="20"/>
              </w:rPr>
            </w:pPr>
            <w:r w:rsidRPr="00CB2784">
              <w:rPr>
                <w:sz w:val="20"/>
              </w:rPr>
              <w:t>Urinary Casts</w:t>
            </w:r>
          </w:p>
        </w:tc>
        <w:tc>
          <w:tcPr>
            <w:tcW w:w="864" w:type="dxa"/>
          </w:tcPr>
          <w:p w:rsidR="004734F7" w:rsidRPr="00CB2784" w:rsidRDefault="004734F7" w:rsidP="004734F7">
            <w:pPr>
              <w:spacing w:after="0" w:afterAutospacing="0" w:line="240" w:lineRule="auto"/>
              <w:rPr>
                <w:sz w:val="20"/>
              </w:rPr>
            </w:pPr>
            <w:r w:rsidRPr="00CB2784">
              <w:rPr>
                <w:sz w:val="20"/>
              </w:rPr>
              <w:t>4</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Increased DNA binding</w:t>
            </w:r>
          </w:p>
        </w:tc>
        <w:tc>
          <w:tcPr>
            <w:tcW w:w="909" w:type="dxa"/>
          </w:tcPr>
          <w:p w:rsidR="004734F7" w:rsidRPr="00CB2784" w:rsidRDefault="004734F7" w:rsidP="004734F7">
            <w:pPr>
              <w:spacing w:after="0" w:afterAutospacing="0" w:line="240" w:lineRule="auto"/>
              <w:rPr>
                <w:sz w:val="20"/>
              </w:rPr>
            </w:pPr>
            <w:r w:rsidRPr="00CB2784">
              <w:rPr>
                <w:sz w:val="20"/>
              </w:rPr>
              <w:t>2</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Hematuria</w:t>
            </w:r>
          </w:p>
        </w:tc>
        <w:tc>
          <w:tcPr>
            <w:tcW w:w="864" w:type="dxa"/>
          </w:tcPr>
          <w:p w:rsidR="004734F7" w:rsidRPr="00CB2784" w:rsidRDefault="004734F7" w:rsidP="004734F7">
            <w:pPr>
              <w:spacing w:after="0" w:afterAutospacing="0" w:line="240" w:lineRule="auto"/>
              <w:rPr>
                <w:sz w:val="20"/>
              </w:rPr>
            </w:pPr>
            <w:r w:rsidRPr="00CB2784">
              <w:rPr>
                <w:sz w:val="20"/>
              </w:rPr>
              <w:t>4</w:t>
            </w:r>
          </w:p>
        </w:tc>
        <w:tc>
          <w:tcPr>
            <w:tcW w:w="1843" w:type="dxa"/>
          </w:tcPr>
          <w:p w:rsidR="004734F7" w:rsidRPr="00CB2784" w:rsidRDefault="004734F7" w:rsidP="004734F7">
            <w:pPr>
              <w:spacing w:after="0" w:afterAutospacing="0" w:line="240" w:lineRule="auto"/>
              <w:rPr>
                <w:sz w:val="20"/>
              </w:rPr>
            </w:pPr>
            <w:r w:rsidRPr="00CB2784">
              <w:rPr>
                <w:sz w:val="20"/>
              </w:rPr>
              <w:t>Haematological</w:t>
            </w:r>
          </w:p>
        </w:tc>
        <w:tc>
          <w:tcPr>
            <w:tcW w:w="1890" w:type="dxa"/>
          </w:tcPr>
          <w:p w:rsidR="004734F7" w:rsidRPr="00CB2784" w:rsidRDefault="004734F7" w:rsidP="004734F7">
            <w:pPr>
              <w:spacing w:after="0" w:afterAutospacing="0" w:line="240" w:lineRule="auto"/>
              <w:rPr>
                <w:sz w:val="20"/>
              </w:rPr>
            </w:pPr>
            <w:r w:rsidRPr="00CB2784">
              <w:rPr>
                <w:sz w:val="20"/>
              </w:rPr>
              <w:t>Thrombocytopenia</w:t>
            </w:r>
          </w:p>
        </w:tc>
        <w:tc>
          <w:tcPr>
            <w:tcW w:w="909" w:type="dxa"/>
          </w:tcPr>
          <w:p w:rsidR="004734F7" w:rsidRPr="00CB2784" w:rsidRDefault="004734F7" w:rsidP="004734F7">
            <w:pPr>
              <w:spacing w:after="0" w:afterAutospacing="0" w:line="240" w:lineRule="auto"/>
              <w:rPr>
                <w:sz w:val="20"/>
              </w:rPr>
            </w:pPr>
            <w:r w:rsidRPr="00CB2784">
              <w:rPr>
                <w:sz w:val="20"/>
              </w:rPr>
              <w:t>1</w:t>
            </w:r>
          </w:p>
        </w:tc>
      </w:tr>
      <w:tr w:rsidR="004734F7" w:rsidRPr="00CB2784" w:rsidTr="00DD3003">
        <w:tc>
          <w:tcPr>
            <w:tcW w:w="1870" w:type="dxa"/>
          </w:tcPr>
          <w:p w:rsidR="004734F7" w:rsidRPr="00CB2784" w:rsidRDefault="004734F7" w:rsidP="004734F7">
            <w:pPr>
              <w:spacing w:after="0" w:afterAutospacing="0" w:line="240" w:lineRule="auto"/>
              <w:rPr>
                <w:sz w:val="20"/>
              </w:rPr>
            </w:pPr>
          </w:p>
        </w:tc>
        <w:tc>
          <w:tcPr>
            <w:tcW w:w="1866" w:type="dxa"/>
          </w:tcPr>
          <w:p w:rsidR="004734F7" w:rsidRPr="00CB2784" w:rsidRDefault="004734F7" w:rsidP="004734F7">
            <w:pPr>
              <w:spacing w:after="0" w:afterAutospacing="0" w:line="240" w:lineRule="auto"/>
              <w:rPr>
                <w:sz w:val="20"/>
              </w:rPr>
            </w:pPr>
            <w:r w:rsidRPr="00CB2784">
              <w:rPr>
                <w:sz w:val="20"/>
              </w:rPr>
              <w:t>Proteinuria</w:t>
            </w:r>
          </w:p>
        </w:tc>
        <w:tc>
          <w:tcPr>
            <w:tcW w:w="864" w:type="dxa"/>
          </w:tcPr>
          <w:p w:rsidR="004734F7" w:rsidRPr="00CB2784" w:rsidRDefault="004734F7" w:rsidP="004734F7">
            <w:pPr>
              <w:spacing w:after="0" w:afterAutospacing="0" w:line="240" w:lineRule="auto"/>
              <w:rPr>
                <w:sz w:val="20"/>
              </w:rPr>
            </w:pPr>
            <w:r w:rsidRPr="00CB2784">
              <w:rPr>
                <w:sz w:val="20"/>
              </w:rPr>
              <w:t>4</w:t>
            </w:r>
          </w:p>
        </w:tc>
        <w:tc>
          <w:tcPr>
            <w:tcW w:w="1843" w:type="dxa"/>
          </w:tcPr>
          <w:p w:rsidR="004734F7" w:rsidRPr="00CB2784" w:rsidRDefault="004734F7" w:rsidP="004734F7">
            <w:pPr>
              <w:spacing w:after="0" w:afterAutospacing="0" w:line="240" w:lineRule="auto"/>
              <w:rPr>
                <w:sz w:val="20"/>
              </w:rPr>
            </w:pPr>
          </w:p>
        </w:tc>
        <w:tc>
          <w:tcPr>
            <w:tcW w:w="1890" w:type="dxa"/>
          </w:tcPr>
          <w:p w:rsidR="004734F7" w:rsidRPr="00CB2784" w:rsidRDefault="004734F7" w:rsidP="004734F7">
            <w:pPr>
              <w:spacing w:after="0" w:afterAutospacing="0" w:line="240" w:lineRule="auto"/>
              <w:rPr>
                <w:sz w:val="20"/>
              </w:rPr>
            </w:pPr>
            <w:r w:rsidRPr="00CB2784">
              <w:rPr>
                <w:sz w:val="20"/>
              </w:rPr>
              <w:t>Leukopenia</w:t>
            </w:r>
          </w:p>
        </w:tc>
        <w:tc>
          <w:tcPr>
            <w:tcW w:w="909" w:type="dxa"/>
          </w:tcPr>
          <w:p w:rsidR="004734F7" w:rsidRPr="00CB2784" w:rsidRDefault="004734F7" w:rsidP="004734F7">
            <w:pPr>
              <w:spacing w:after="0" w:afterAutospacing="0" w:line="240" w:lineRule="auto"/>
              <w:rPr>
                <w:sz w:val="20"/>
              </w:rPr>
            </w:pPr>
            <w:r w:rsidRPr="00CB2784">
              <w:rPr>
                <w:sz w:val="20"/>
              </w:rPr>
              <w:t>1</w:t>
            </w:r>
          </w:p>
        </w:tc>
      </w:tr>
      <w:tr w:rsidR="004734F7" w:rsidRPr="00CB2784" w:rsidTr="00DD3003">
        <w:tc>
          <w:tcPr>
            <w:tcW w:w="1870" w:type="dxa"/>
            <w:tcBorders>
              <w:bottom w:val="single" w:sz="12" w:space="0" w:color="auto"/>
            </w:tcBorders>
          </w:tcPr>
          <w:p w:rsidR="004734F7" w:rsidRPr="00CB2784" w:rsidRDefault="004734F7" w:rsidP="004734F7">
            <w:pPr>
              <w:spacing w:after="0" w:afterAutospacing="0" w:line="240" w:lineRule="auto"/>
              <w:rPr>
                <w:sz w:val="20"/>
              </w:rPr>
            </w:pPr>
          </w:p>
        </w:tc>
        <w:tc>
          <w:tcPr>
            <w:tcW w:w="1866" w:type="dxa"/>
            <w:tcBorders>
              <w:bottom w:val="single" w:sz="12" w:space="0" w:color="auto"/>
            </w:tcBorders>
          </w:tcPr>
          <w:p w:rsidR="004734F7" w:rsidRPr="00CB2784" w:rsidRDefault="004734F7" w:rsidP="004734F7">
            <w:pPr>
              <w:spacing w:after="0" w:afterAutospacing="0" w:line="240" w:lineRule="auto"/>
              <w:rPr>
                <w:sz w:val="20"/>
              </w:rPr>
            </w:pPr>
            <w:r w:rsidRPr="00CB2784">
              <w:rPr>
                <w:sz w:val="20"/>
              </w:rPr>
              <w:t>Pyuria</w:t>
            </w:r>
          </w:p>
        </w:tc>
        <w:tc>
          <w:tcPr>
            <w:tcW w:w="864" w:type="dxa"/>
            <w:tcBorders>
              <w:bottom w:val="single" w:sz="12" w:space="0" w:color="auto"/>
            </w:tcBorders>
          </w:tcPr>
          <w:p w:rsidR="004734F7" w:rsidRPr="00CB2784" w:rsidRDefault="004734F7" w:rsidP="004734F7">
            <w:pPr>
              <w:spacing w:after="0" w:afterAutospacing="0" w:line="240" w:lineRule="auto"/>
              <w:rPr>
                <w:sz w:val="20"/>
              </w:rPr>
            </w:pPr>
            <w:r w:rsidRPr="00CB2784">
              <w:rPr>
                <w:sz w:val="20"/>
              </w:rPr>
              <w:t>4</w:t>
            </w:r>
          </w:p>
        </w:tc>
        <w:tc>
          <w:tcPr>
            <w:tcW w:w="1843" w:type="dxa"/>
            <w:tcBorders>
              <w:bottom w:val="single" w:sz="12" w:space="0" w:color="auto"/>
            </w:tcBorders>
          </w:tcPr>
          <w:p w:rsidR="004734F7" w:rsidRPr="00CB2784" w:rsidRDefault="004734F7" w:rsidP="004734F7">
            <w:pPr>
              <w:spacing w:after="0" w:afterAutospacing="0" w:line="240" w:lineRule="auto"/>
              <w:rPr>
                <w:sz w:val="20"/>
              </w:rPr>
            </w:pPr>
            <w:r w:rsidRPr="00CB2784">
              <w:rPr>
                <w:sz w:val="20"/>
              </w:rPr>
              <w:t>Constitution</w:t>
            </w:r>
          </w:p>
        </w:tc>
        <w:tc>
          <w:tcPr>
            <w:tcW w:w="1890" w:type="dxa"/>
            <w:tcBorders>
              <w:bottom w:val="single" w:sz="12" w:space="0" w:color="auto"/>
            </w:tcBorders>
          </w:tcPr>
          <w:p w:rsidR="004734F7" w:rsidRPr="00CB2784" w:rsidRDefault="004734F7" w:rsidP="004734F7">
            <w:pPr>
              <w:spacing w:after="0" w:afterAutospacing="0" w:line="240" w:lineRule="auto"/>
              <w:rPr>
                <w:sz w:val="20"/>
              </w:rPr>
            </w:pPr>
            <w:r w:rsidRPr="00CB2784">
              <w:rPr>
                <w:sz w:val="20"/>
              </w:rPr>
              <w:t>Fever</w:t>
            </w:r>
          </w:p>
        </w:tc>
        <w:tc>
          <w:tcPr>
            <w:tcW w:w="909" w:type="dxa"/>
            <w:tcBorders>
              <w:bottom w:val="single" w:sz="12" w:space="0" w:color="auto"/>
            </w:tcBorders>
          </w:tcPr>
          <w:p w:rsidR="004734F7" w:rsidRPr="00CB2784" w:rsidRDefault="004734F7" w:rsidP="004734F7">
            <w:pPr>
              <w:spacing w:after="0" w:afterAutospacing="0" w:line="240" w:lineRule="auto"/>
              <w:rPr>
                <w:sz w:val="20"/>
              </w:rPr>
            </w:pPr>
            <w:r w:rsidRPr="00CB2784">
              <w:rPr>
                <w:sz w:val="20"/>
              </w:rPr>
              <w:t>1</w:t>
            </w:r>
          </w:p>
        </w:tc>
      </w:tr>
    </w:tbl>
    <w:p w:rsidR="004734F7" w:rsidRDefault="004734F7" w:rsidP="006E7935"/>
    <w:p w:rsidR="006074C8" w:rsidRDefault="00E729BA" w:rsidP="006E7935">
      <w:r>
        <w:fldChar w:fldCharType="begin"/>
      </w:r>
      <w:r w:rsidR="006074C8">
        <w:instrText xml:space="preserve"> REF _Ref332101123 \h </w:instrText>
      </w:r>
      <w:r>
        <w:fldChar w:fldCharType="separate"/>
      </w:r>
      <w:r w:rsidR="004911B7">
        <w:t xml:space="preserve">Figure </w:t>
      </w:r>
      <w:r w:rsidR="004911B7">
        <w:rPr>
          <w:noProof/>
        </w:rPr>
        <w:t>11</w:t>
      </w:r>
      <w:r>
        <w:fldChar w:fldCharType="end"/>
      </w:r>
      <w:r w:rsidR="006074C8">
        <w:t xml:space="preserve"> reports a histogram of SLEDAI scores taken from all visits in the Hopkins Lupus Cohort. There were a large number of observations where the SLEDAI score was zero, and the scores cluster around even numbers because of the weighting system. For this reason, and to enable organ involvement to be recorded in the simulation, the analysis of individual items of the SLEDAI was favoured.</w:t>
      </w:r>
    </w:p>
    <w:p w:rsidR="006074C8" w:rsidRDefault="006074C8" w:rsidP="00234693">
      <w:pPr>
        <w:pStyle w:val="Caption"/>
      </w:pPr>
      <w:bookmarkStart w:id="257" w:name="_Ref332101123"/>
      <w:r>
        <w:t xml:space="preserve">Figure </w:t>
      </w:r>
      <w:r w:rsidR="00E729BA">
        <w:fldChar w:fldCharType="begin"/>
      </w:r>
      <w:r w:rsidR="000B0EDB">
        <w:instrText xml:space="preserve"> SEQ Figure \* ARABIC </w:instrText>
      </w:r>
      <w:r w:rsidR="00E729BA">
        <w:fldChar w:fldCharType="separate"/>
      </w:r>
      <w:r w:rsidR="004911B7">
        <w:rPr>
          <w:noProof/>
        </w:rPr>
        <w:t>11</w:t>
      </w:r>
      <w:r w:rsidR="00E729BA">
        <w:fldChar w:fldCharType="end"/>
      </w:r>
      <w:bookmarkEnd w:id="257"/>
      <w:r>
        <w:t>: A histogram for SLEDAI scores from the Hopkins Lupus Cohort</w:t>
      </w:r>
    </w:p>
    <w:p w:rsidR="006074C8" w:rsidRDefault="006074C8" w:rsidP="006074C8">
      <w:r w:rsidRPr="008712C2">
        <w:rPr>
          <w:noProof/>
          <w:lang w:eastAsia="zh-CN" w:bidi="ar-SA"/>
        </w:rPr>
        <w:drawing>
          <wp:inline distT="0" distB="0" distL="0" distR="0">
            <wp:extent cx="3935267" cy="28800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3935267" cy="2880000"/>
                    </a:xfrm>
                    <a:prstGeom prst="rect">
                      <a:avLst/>
                    </a:prstGeom>
                    <a:noFill/>
                    <a:ln w="9525">
                      <a:noFill/>
                      <a:miter lim="800000"/>
                      <a:headEnd/>
                      <a:tailEnd/>
                    </a:ln>
                  </pic:spPr>
                </pic:pic>
              </a:graphicData>
            </a:graphic>
          </wp:inline>
        </w:drawing>
      </w:r>
    </w:p>
    <w:p w:rsidR="006074C8" w:rsidRDefault="002A2E3A" w:rsidP="006E7935">
      <w:r>
        <w:t>S</w:t>
      </w:r>
      <w:r w:rsidR="006074C8">
        <w:t>teroid dose was measured in</w:t>
      </w:r>
      <w:r>
        <w:t xml:space="preserve"> the Hopkins Lupus Cohort in</w:t>
      </w:r>
      <w:r w:rsidR="006074C8">
        <w:t xml:space="preserve"> mg/day. </w:t>
      </w:r>
      <w:r w:rsidR="00E729BA">
        <w:fldChar w:fldCharType="begin"/>
      </w:r>
      <w:r w:rsidR="006074C8">
        <w:instrText xml:space="preserve"> REF _Ref332101460 \h </w:instrText>
      </w:r>
      <w:r w:rsidR="00E729BA">
        <w:fldChar w:fldCharType="separate"/>
      </w:r>
      <w:r w:rsidR="004911B7">
        <w:t xml:space="preserve">Figure </w:t>
      </w:r>
      <w:r w:rsidR="004911B7">
        <w:rPr>
          <w:noProof/>
        </w:rPr>
        <w:t>12</w:t>
      </w:r>
      <w:r w:rsidR="00E729BA">
        <w:fldChar w:fldCharType="end"/>
      </w:r>
      <w:r w:rsidR="006074C8">
        <w:t xml:space="preserve"> reports a histogram of steroid doses</w:t>
      </w:r>
      <w:r w:rsidR="008C2992">
        <w:t xml:space="preserve"> (mg per day)</w:t>
      </w:r>
      <w:r w:rsidR="006074C8">
        <w:t>. The histogram illustrates that there were</w:t>
      </w:r>
      <w:r w:rsidR="00D34A5E">
        <w:t xml:space="preserve"> a</w:t>
      </w:r>
      <w:r w:rsidR="006074C8">
        <w:t xml:space="preserve"> large number of zero observations. The </w:t>
      </w:r>
      <w:r>
        <w:t>distribution of positive steroid doses clustered</w:t>
      </w:r>
      <w:r w:rsidR="006074C8">
        <w:t xml:space="preserve"> around certain doses. </w:t>
      </w:r>
    </w:p>
    <w:p w:rsidR="006074C8" w:rsidRDefault="006074C8" w:rsidP="00234693">
      <w:pPr>
        <w:pStyle w:val="Caption"/>
      </w:pPr>
      <w:bookmarkStart w:id="258" w:name="_Ref332101460"/>
      <w:r>
        <w:t xml:space="preserve">Figure </w:t>
      </w:r>
      <w:r w:rsidR="00E729BA">
        <w:fldChar w:fldCharType="begin"/>
      </w:r>
      <w:r w:rsidR="000B0EDB">
        <w:instrText xml:space="preserve"> SEQ Figure \* ARABIC </w:instrText>
      </w:r>
      <w:r w:rsidR="00E729BA">
        <w:fldChar w:fldCharType="separate"/>
      </w:r>
      <w:r w:rsidR="004911B7">
        <w:rPr>
          <w:noProof/>
        </w:rPr>
        <w:t>12</w:t>
      </w:r>
      <w:r w:rsidR="00E729BA">
        <w:fldChar w:fldCharType="end"/>
      </w:r>
      <w:bookmarkEnd w:id="258"/>
      <w:r>
        <w:t>:</w:t>
      </w:r>
      <w:r w:rsidRPr="008712C2">
        <w:t xml:space="preserve"> </w:t>
      </w:r>
      <w:r>
        <w:t>A histogram for Steroid dose from the Hopkins Lupus Cohort</w:t>
      </w:r>
    </w:p>
    <w:p w:rsidR="006074C8" w:rsidRPr="00440615" w:rsidRDefault="006074C8" w:rsidP="006074C8">
      <w:r w:rsidRPr="008712C2">
        <w:rPr>
          <w:noProof/>
          <w:lang w:eastAsia="zh-CN" w:bidi="ar-SA"/>
        </w:rPr>
        <w:drawing>
          <wp:inline distT="0" distB="0" distL="0" distR="0">
            <wp:extent cx="3935267" cy="2880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3935267" cy="2880000"/>
                    </a:xfrm>
                    <a:prstGeom prst="rect">
                      <a:avLst/>
                    </a:prstGeom>
                    <a:noFill/>
                    <a:ln w="9525">
                      <a:noFill/>
                      <a:miter lim="800000"/>
                      <a:headEnd/>
                      <a:tailEnd/>
                    </a:ln>
                  </pic:spPr>
                </pic:pic>
              </a:graphicData>
            </a:graphic>
          </wp:inline>
        </w:drawing>
      </w:r>
    </w:p>
    <w:p w:rsidR="00DD3003" w:rsidRDefault="00DD3003" w:rsidP="00DD3003">
      <w:pPr>
        <w:pStyle w:val="Heading4"/>
        <w:numPr>
          <w:ilvl w:val="0"/>
          <w:numId w:val="0"/>
        </w:numPr>
        <w:ind w:left="864" w:hanging="864"/>
      </w:pPr>
    </w:p>
    <w:p w:rsidR="00FF0168" w:rsidRDefault="00C8267F" w:rsidP="00C8267F">
      <w:pPr>
        <w:pStyle w:val="Heading4"/>
      </w:pPr>
      <w:r>
        <w:t xml:space="preserve">Dependent Variables </w:t>
      </w:r>
      <w:r w:rsidRPr="00183081">
        <w:t xml:space="preserve">for </w:t>
      </w:r>
      <w:r>
        <w:t xml:space="preserve">Average SLEDAI and Steroid dose </w:t>
      </w:r>
    </w:p>
    <w:p w:rsidR="006074C8" w:rsidRDefault="002A2E3A" w:rsidP="00690552">
      <w:r>
        <w:t>SLEDAI score</w:t>
      </w:r>
      <w:r w:rsidR="006074C8">
        <w:t xml:space="preserve"> and steroid dose were averaged over annual intervals</w:t>
      </w:r>
      <w:r>
        <w:t xml:space="preserve"> for the second analysis</w:t>
      </w:r>
      <w:r w:rsidR="006074C8">
        <w:t xml:space="preserve">. </w:t>
      </w:r>
      <w:r w:rsidR="006074C8" w:rsidRPr="00D55E20">
        <w:t xml:space="preserve">The </w:t>
      </w:r>
      <w:r>
        <w:t>annual mean SLEDAI and steroid dose</w:t>
      </w:r>
      <w:r w:rsidR="00690552">
        <w:t xml:space="preserve"> was adjusted for </w:t>
      </w:r>
      <w:r w:rsidR="006074C8" w:rsidRPr="00D55E20">
        <w:t xml:space="preserve">time between </w:t>
      </w:r>
      <w:r w:rsidR="006074C8">
        <w:t xml:space="preserve">visits </w:t>
      </w:r>
      <w:r w:rsidR="006074C8" w:rsidRPr="00D55E20">
        <w:t>using the Adjusted Mean SLEDAI (AMS) calculation</w:t>
      </w:r>
      <w:r w:rsidR="006074C8">
        <w:t xml:space="preserve"> </w:t>
      </w:r>
      <w:r w:rsidR="00E729BA">
        <w:fldChar w:fldCharType="begin"/>
      </w:r>
      <w:r w:rsidR="00FC61FD">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(142)</w:t>
      </w:r>
      <w:r w:rsidR="00E729BA">
        <w:fldChar w:fldCharType="end"/>
      </w:r>
      <w:r w:rsidR="006074C8" w:rsidRPr="00D55E20">
        <w:t xml:space="preserve">.  </w:t>
      </w: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7512"/>
        <w:gridCol w:w="1196"/>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i-1</m:t>
                                    </m:r>
                                  </m:sub>
                                </m:sSub>
                              </m:num>
                              <m:den>
                                <m:r>
                                  <w:rPr>
                                    <w:rFonts w:ascii="Cambria Math" w:hAnsi="Cambria Math"/>
                                  </w:rPr>
                                  <m:t>2</m:t>
                                </m:r>
                              </m:den>
                            </m:f>
                          </m:e>
                        </m:d>
                      </m:e>
                    </m:nary>
                    <m:sSub>
                      <m:sSubPr>
                        <m:ctrlPr>
                          <w:rPr>
                            <w:rFonts w:ascii="Cambria Math" w:hAnsi="Cambria Math"/>
                            <w:i/>
                          </w:rPr>
                        </m:ctrlPr>
                      </m:sSubPr>
                      <m:e>
                        <m:r>
                          <w:rPr>
                            <w:rFonts w:ascii="Cambria Math" w:hAnsi="Cambria Math"/>
                          </w:rPr>
                          <m:t>t</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i</m:t>
                            </m:r>
                          </m:sub>
                        </m:sSub>
                      </m:e>
                    </m:nary>
                  </m:den>
                </m:f>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8C2992">
      <w:r w:rsidRPr="00D55E20">
        <w:t>where X</w:t>
      </w:r>
      <w:r w:rsidRPr="00D55E20">
        <w:rPr>
          <w:vertAlign w:val="subscript"/>
        </w:rPr>
        <w:t>i</w:t>
      </w:r>
      <w:r w:rsidRPr="00D55E20">
        <w:t xml:space="preserve"> is the </w:t>
      </w:r>
      <w:r>
        <w:t>measure of interest</w:t>
      </w:r>
      <w:r w:rsidRPr="00D55E20">
        <w:t xml:space="preserve">, </w:t>
      </w:r>
      <m:oMath>
        <m:sSub>
          <m:sSubPr>
            <m:ctrlPr>
              <w:rPr>
                <w:rFonts w:ascii="Cambria Math" w:hAnsi="Cambria Math"/>
                <w:i/>
                <w:iCs/>
              </w:rPr>
            </m:ctrlPr>
          </m:sSubPr>
          <m:e>
            <m:r>
              <w:rPr>
                <w:rFonts w:ascii="Cambria Math" w:hAnsi="Cambria Math"/>
              </w:rPr>
              <m:t>t</m:t>
            </m:r>
          </m:e>
          <m:sub>
            <m:r>
              <w:rPr>
                <w:rFonts w:ascii="Cambria Math" w:hAnsi="Cambria Math"/>
              </w:rPr>
              <m:t>i</m:t>
            </m:r>
          </m:sub>
        </m:sSub>
      </m:oMath>
      <w:r w:rsidRPr="00D55E20">
        <w:t xml:space="preserve"> is the time interval between visit </w:t>
      </w:r>
      <w:r w:rsidRPr="00EB1182">
        <w:rPr>
          <w:i/>
          <w:iCs/>
        </w:rPr>
        <w:t>i</w:t>
      </w:r>
      <w:r w:rsidRPr="00D55E20">
        <w:t>-</w:t>
      </w:r>
      <w:r w:rsidR="008C2992" w:rsidRPr="008C2992">
        <w:t xml:space="preserve"> </w:t>
      </w:r>
      <w:r w:rsidRPr="00D55E20">
        <w:t>1</w:t>
      </w:r>
      <w:r w:rsidR="008C2992" w:rsidRPr="008C2992">
        <w:rPr>
          <w:i/>
          <w:iCs/>
        </w:rPr>
        <w:t xml:space="preserve"> </w:t>
      </w:r>
      <w:r w:rsidR="008C2992" w:rsidRPr="00D55E20">
        <w:t xml:space="preserve">and </w:t>
      </w:r>
      <w:r w:rsidR="008C2992" w:rsidRPr="00EB1182">
        <w:rPr>
          <w:i/>
          <w:iCs/>
        </w:rPr>
        <w:t>i</w:t>
      </w:r>
      <w:r w:rsidRPr="00D55E20">
        <w:t>.</w:t>
      </w:r>
      <w:r>
        <w:t xml:space="preserve"> The </w:t>
      </w:r>
      <w:r w:rsidR="00690552">
        <w:t>long term disease activity</w:t>
      </w:r>
      <w:r w:rsidR="0068656C">
        <w:t xml:space="preserve"> regression</w:t>
      </w:r>
      <w:r w:rsidR="00690552">
        <w:t xml:space="preserve"> model estimated</w:t>
      </w:r>
      <w:r>
        <w:t xml:space="preserve"> the change in </w:t>
      </w:r>
      <w:r w:rsidR="008C2992">
        <w:t xml:space="preserve">mean </w:t>
      </w:r>
      <w:r>
        <w:t xml:space="preserve">SLEDAI score between annual intervals of observation. </w:t>
      </w:r>
      <w:r w:rsidR="00690552">
        <w:t xml:space="preserve">Change in average SLEDAI score </w:t>
      </w:r>
      <w:r w:rsidR="008C2992">
        <w:t>appears</w:t>
      </w:r>
      <w:r w:rsidR="00690552">
        <w:t xml:space="preserve"> normally distributed (</w:t>
      </w:r>
      <w:r w:rsidR="00E729BA">
        <w:fldChar w:fldCharType="begin"/>
      </w:r>
      <w:r w:rsidR="00690552">
        <w:instrText xml:space="preserve"> REF _Ref332103190 \h </w:instrText>
      </w:r>
      <w:r w:rsidR="00E729BA">
        <w:fldChar w:fldCharType="separate"/>
      </w:r>
      <w:r w:rsidR="004911B7">
        <w:t xml:space="preserve">Figure </w:t>
      </w:r>
      <w:r w:rsidR="004911B7">
        <w:rPr>
          <w:noProof/>
        </w:rPr>
        <w:t>13</w:t>
      </w:r>
      <w:r w:rsidR="00E729BA">
        <w:fldChar w:fldCharType="end"/>
      </w:r>
      <w:r w:rsidR="008C2992">
        <w:t>)</w:t>
      </w:r>
      <w:r w:rsidR="00690552">
        <w:t>.</w:t>
      </w:r>
      <w:r w:rsidR="00CA7E56" w:rsidRPr="00CA7E56">
        <w:t xml:space="preserve"> </w:t>
      </w:r>
      <w:r w:rsidR="00CA7E56">
        <w:t xml:space="preserve">Steroid dose </w:t>
      </w:r>
      <w:r w:rsidR="004734F7">
        <w:t>(mg</w:t>
      </w:r>
      <w:r w:rsidR="008C2992">
        <w:t xml:space="preserve"> per day) </w:t>
      </w:r>
      <w:r w:rsidR="00CA7E56">
        <w:t>was estimated as a total score rather than a change in dose becaus</w:t>
      </w:r>
      <w:r w:rsidR="00051BDD">
        <w:t xml:space="preserve">e it was found to have a better </w:t>
      </w:r>
      <w:r w:rsidR="00CA7E56">
        <w:t xml:space="preserve">fit to the data. A histogram for steroid dose is reported in </w:t>
      </w:r>
      <w:r w:rsidR="00E729BA">
        <w:fldChar w:fldCharType="begin"/>
      </w:r>
      <w:r w:rsidR="00CA7E56">
        <w:instrText xml:space="preserve"> REF _Ref332103794 \h </w:instrText>
      </w:r>
      <w:r w:rsidR="00E729BA">
        <w:fldChar w:fldCharType="separate"/>
      </w:r>
      <w:r w:rsidR="004911B7">
        <w:t xml:space="preserve">Figure </w:t>
      </w:r>
      <w:r w:rsidR="004911B7">
        <w:rPr>
          <w:noProof/>
        </w:rPr>
        <w:t>14</w:t>
      </w:r>
      <w:r w:rsidR="00E729BA">
        <w:fldChar w:fldCharType="end"/>
      </w:r>
      <w:r w:rsidR="00CA7E56">
        <w:t xml:space="preserve">. </w:t>
      </w:r>
    </w:p>
    <w:p w:rsidR="006074C8" w:rsidRDefault="006074C8" w:rsidP="00234693">
      <w:pPr>
        <w:pStyle w:val="Caption"/>
      </w:pPr>
      <w:bookmarkStart w:id="259" w:name="_Ref332103190"/>
      <w:r>
        <w:t xml:space="preserve">Figure </w:t>
      </w:r>
      <w:r w:rsidR="00E729BA">
        <w:fldChar w:fldCharType="begin"/>
      </w:r>
      <w:r w:rsidR="000B0EDB">
        <w:instrText xml:space="preserve"> SEQ Figure \* ARABIC </w:instrText>
      </w:r>
      <w:r w:rsidR="00E729BA">
        <w:fldChar w:fldCharType="separate"/>
      </w:r>
      <w:r w:rsidR="004911B7">
        <w:rPr>
          <w:noProof/>
        </w:rPr>
        <w:t>13</w:t>
      </w:r>
      <w:r w:rsidR="00E729BA">
        <w:fldChar w:fldCharType="end"/>
      </w:r>
      <w:bookmarkEnd w:id="259"/>
      <w:r>
        <w:t xml:space="preserve">: A histogram for change in </w:t>
      </w:r>
      <w:r w:rsidR="008C2992">
        <w:t>mean</w:t>
      </w:r>
      <w:r>
        <w:t xml:space="preserve"> SLEDAI score from the Hopkins Lupus Cohort</w:t>
      </w:r>
    </w:p>
    <w:p w:rsidR="006074C8" w:rsidRDefault="006074C8" w:rsidP="006074C8">
      <w:r w:rsidRPr="003F563B">
        <w:rPr>
          <w:noProof/>
          <w:lang w:eastAsia="zh-CN" w:bidi="ar-SA"/>
        </w:rPr>
        <w:drawing>
          <wp:inline distT="0" distB="0" distL="0" distR="0">
            <wp:extent cx="3935267" cy="28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srcRect/>
                    <a:stretch>
                      <a:fillRect/>
                    </a:stretch>
                  </pic:blipFill>
                  <pic:spPr bwMode="auto">
                    <a:xfrm>
                      <a:off x="0" y="0"/>
                      <a:ext cx="3935267" cy="2880000"/>
                    </a:xfrm>
                    <a:prstGeom prst="rect">
                      <a:avLst/>
                    </a:prstGeom>
                    <a:noFill/>
                    <a:ln w="9525">
                      <a:noFill/>
                      <a:miter lim="800000"/>
                      <a:headEnd/>
                      <a:tailEnd/>
                    </a:ln>
                  </pic:spPr>
                </pic:pic>
              </a:graphicData>
            </a:graphic>
          </wp:inline>
        </w:drawing>
      </w:r>
    </w:p>
    <w:p w:rsidR="006074C8" w:rsidRDefault="006074C8" w:rsidP="00234693">
      <w:pPr>
        <w:pStyle w:val="Caption"/>
      </w:pPr>
      <w:bookmarkStart w:id="260" w:name="_Ref332103794"/>
      <w:r>
        <w:t xml:space="preserve">Figure </w:t>
      </w:r>
      <w:r w:rsidR="00E729BA">
        <w:fldChar w:fldCharType="begin"/>
      </w:r>
      <w:r w:rsidR="000B0EDB">
        <w:instrText xml:space="preserve"> SEQ Figure \* ARABIC </w:instrText>
      </w:r>
      <w:r w:rsidR="00E729BA">
        <w:fldChar w:fldCharType="separate"/>
      </w:r>
      <w:r w:rsidR="004911B7">
        <w:rPr>
          <w:noProof/>
        </w:rPr>
        <w:t>14</w:t>
      </w:r>
      <w:r w:rsidR="00E729BA">
        <w:fldChar w:fldCharType="end"/>
      </w:r>
      <w:bookmarkEnd w:id="260"/>
      <w:r>
        <w:t>:</w:t>
      </w:r>
      <w:r w:rsidRPr="00222480">
        <w:t xml:space="preserve"> </w:t>
      </w:r>
      <w:r>
        <w:t>A histogram for average steroid dose from the Hopkins Lupus Cohort</w:t>
      </w:r>
    </w:p>
    <w:p w:rsidR="006074C8" w:rsidRDefault="006074C8" w:rsidP="006074C8">
      <w:r>
        <w:rPr>
          <w:noProof/>
          <w:lang w:eastAsia="zh-CN" w:bidi="ar-SA"/>
        </w:rPr>
        <w:drawing>
          <wp:inline distT="0" distB="0" distL="0" distR="0">
            <wp:extent cx="3935267" cy="288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srcRect/>
                    <a:stretch>
                      <a:fillRect/>
                    </a:stretch>
                  </pic:blipFill>
                  <pic:spPr bwMode="auto">
                    <a:xfrm>
                      <a:off x="0" y="0"/>
                      <a:ext cx="3935267" cy="2880000"/>
                    </a:xfrm>
                    <a:prstGeom prst="rect">
                      <a:avLst/>
                    </a:prstGeom>
                    <a:noFill/>
                    <a:ln w="9525">
                      <a:noFill/>
                      <a:miter lim="800000"/>
                      <a:headEnd/>
                      <a:tailEnd/>
                    </a:ln>
                  </pic:spPr>
                </pic:pic>
              </a:graphicData>
            </a:graphic>
          </wp:inline>
        </w:drawing>
      </w:r>
    </w:p>
    <w:p w:rsidR="00C8267F" w:rsidRDefault="00C8267F" w:rsidP="00C8267F">
      <w:pPr>
        <w:pStyle w:val="Heading4"/>
      </w:pPr>
      <w:r>
        <w:t xml:space="preserve">Dependent Variables </w:t>
      </w:r>
      <w:r w:rsidRPr="00183081">
        <w:t xml:space="preserve">for </w:t>
      </w:r>
      <w:r>
        <w:t xml:space="preserve">Organ Damage and Mortality </w:t>
      </w:r>
    </w:p>
    <w:p w:rsidR="006074C8" w:rsidRDefault="00CA7E56" w:rsidP="00CB2784">
      <w:r>
        <w:t>The SLICC/ACR Damage Index was</w:t>
      </w:r>
      <w:r w:rsidR="006074C8">
        <w:t xml:space="preserve"> used </w:t>
      </w:r>
      <w:r w:rsidR="006074C8" w:rsidRPr="00440615">
        <w:t xml:space="preserve">to measure irreversible damage. </w:t>
      </w:r>
      <w:r w:rsidR="006074C8">
        <w:t xml:space="preserve">The items of the SLICC/ACR </w:t>
      </w:r>
      <w:r w:rsidR="00E94D16">
        <w:t>Damage Index</w:t>
      </w:r>
      <w:r w:rsidR="006074C8">
        <w:t xml:space="preserve"> were grouped i</w:t>
      </w:r>
      <w:r w:rsidR="006C292C">
        <w:t xml:space="preserve">nto </w:t>
      </w:r>
      <w:r w:rsidR="00CB2784">
        <w:t xml:space="preserve">twelve categories as follows: </w:t>
      </w:r>
      <w:r w:rsidR="006C292C">
        <w:t>nine organ systems:</w:t>
      </w:r>
      <w:r w:rsidR="006074C8" w:rsidRPr="001669F9">
        <w:t xml:space="preserve"> cardiovascular, renal, musculoskeletal, pulmonary, peripheral vascular, gastrointestinal, oc</w:t>
      </w:r>
      <w:r w:rsidR="006C292C">
        <w:t>ular, skin and neuropsychiatric,</w:t>
      </w:r>
      <w:r w:rsidR="006074C8" w:rsidRPr="001669F9">
        <w:t xml:space="preserve"> and three </w:t>
      </w:r>
      <w:r w:rsidR="006C292C">
        <w:t>co-morbidities;</w:t>
      </w:r>
      <w:r w:rsidR="006074C8" w:rsidRPr="001669F9">
        <w:t xml:space="preserve"> diabetes, gonadal failure and malignancy.</w:t>
      </w:r>
      <w:r w:rsidR="006074C8">
        <w:t xml:space="preserve"> </w:t>
      </w:r>
      <w:r>
        <w:t>Mortality and organ damage e</w:t>
      </w:r>
      <w:r w:rsidR="006074C8">
        <w:t>vents were only included in the analysis if the patient had a clinic visit with</w:t>
      </w:r>
      <w:r>
        <w:t>in</w:t>
      </w:r>
      <w:r w:rsidR="006074C8">
        <w:t xml:space="preserve"> </w:t>
      </w:r>
      <w:r w:rsidR="00CB2784">
        <w:t xml:space="preserve">2 years </w:t>
      </w:r>
      <w:r w:rsidR="006074C8">
        <w:t>of the event. If the gap in the data were greater than this the event would not be able to reliably contribute to the relationship between disease activity and the long term events</w:t>
      </w:r>
      <w:r w:rsidR="00CB2784">
        <w:t xml:space="preserve"> because the most recent periods of activity or remission would not be described in the AMS</w:t>
      </w:r>
      <w:r w:rsidR="006074C8">
        <w:t>.</w:t>
      </w:r>
    </w:p>
    <w:p w:rsidR="006074C8" w:rsidRDefault="006074C8" w:rsidP="006074C8">
      <w:pPr>
        <w:pStyle w:val="Heading3"/>
      </w:pPr>
      <w:bookmarkStart w:id="261" w:name="_Toc278533920"/>
      <w:bookmarkStart w:id="262" w:name="_Toc278533980"/>
      <w:bookmarkStart w:id="263" w:name="_Toc279009251"/>
      <w:bookmarkStart w:id="264" w:name="_Toc335043534"/>
      <w:bookmarkStart w:id="265" w:name="_Toc379467612"/>
      <w:r>
        <w:t xml:space="preserve">Covariate </w:t>
      </w:r>
      <w:bookmarkEnd w:id="261"/>
      <w:bookmarkEnd w:id="262"/>
      <w:bookmarkEnd w:id="263"/>
      <w:r>
        <w:t>Measures</w:t>
      </w:r>
      <w:bookmarkEnd w:id="264"/>
      <w:bookmarkEnd w:id="265"/>
    </w:p>
    <w:p w:rsidR="006074C8" w:rsidRPr="00183081" w:rsidRDefault="006C292C" w:rsidP="00183081">
      <w:pPr>
        <w:pStyle w:val="Heading4"/>
      </w:pPr>
      <w:r w:rsidRPr="00183081">
        <w:t>Covariate Selection for SLEDAI</w:t>
      </w:r>
      <w:r w:rsidR="00183081">
        <w:t xml:space="preserve"> </w:t>
      </w:r>
      <w:r w:rsidRPr="00183081">
        <w:t>items</w:t>
      </w:r>
      <w:r w:rsidR="00183081">
        <w:t xml:space="preserve"> and Steroid dose</w:t>
      </w:r>
    </w:p>
    <w:p w:rsidR="006074C8" w:rsidRDefault="00183081" w:rsidP="00C8267F">
      <w:r>
        <w:t>D</w:t>
      </w:r>
      <w:r w:rsidR="006074C8">
        <w:t xml:space="preserve">emographic </w:t>
      </w:r>
      <w:r>
        <w:t>characteristic</w:t>
      </w:r>
      <w:r w:rsidR="00D34A5E">
        <w:t>s</w:t>
      </w:r>
      <w:r w:rsidR="006074C8">
        <w:t xml:space="preserve"> were included in the analyses because ethnicity and gender have previously been associated with disease severity. </w:t>
      </w:r>
      <w:r>
        <w:t>D</w:t>
      </w:r>
      <w:r w:rsidR="006074C8">
        <w:t xml:space="preserve">isease activity </w:t>
      </w:r>
      <w:r>
        <w:t>declines</w:t>
      </w:r>
      <w:r w:rsidR="006074C8">
        <w:t xml:space="preserve"> in older patients so a covariate for log of age was included. The logged transformation was used because a non-linear relationship between age and disease outcomes was preferred so that older patients’ outcomes were not dominated by the age coefficient.  </w:t>
      </w:r>
      <w:r>
        <w:t>H</w:t>
      </w:r>
      <w:r w:rsidR="006074C8">
        <w:t xml:space="preserve">ypertension </w:t>
      </w:r>
      <w:r w:rsidR="00C8267F">
        <w:t>was</w:t>
      </w:r>
      <w:r>
        <w:t xml:space="preserve"> </w:t>
      </w:r>
      <w:r w:rsidR="006074C8">
        <w:t xml:space="preserve">included in the </w:t>
      </w:r>
      <w:r>
        <w:t>vasculitis</w:t>
      </w:r>
      <w:r w:rsidR="0068656C">
        <w:t xml:space="preserve"> regression</w:t>
      </w:r>
      <w:r>
        <w:t xml:space="preserve"> models</w:t>
      </w:r>
      <w:r w:rsidR="00C8267F">
        <w:t xml:space="preserve"> following a discussion with an SLE clinical expert, Dr Ian Bruce</w:t>
      </w:r>
      <w:r w:rsidR="00FA7199">
        <w:t xml:space="preserve"> from the University of Manchester</w:t>
      </w:r>
      <w:r w:rsidR="006074C8">
        <w:t xml:space="preserve">. </w:t>
      </w:r>
      <w:r w:rsidR="00C8267F">
        <w:t>It was shown to have good statistical fit to the data.</w:t>
      </w:r>
    </w:p>
    <w:p w:rsidR="006074C8" w:rsidRDefault="006074C8" w:rsidP="007B514D">
      <w:r>
        <w:t>Disease activity can be persistent</w:t>
      </w:r>
      <w:r w:rsidR="00FA7199">
        <w:t>,</w:t>
      </w:r>
      <w:r>
        <w:t xml:space="preserve"> </w:t>
      </w:r>
      <w:r w:rsidR="00183081">
        <w:t>so</w:t>
      </w:r>
      <w:r w:rsidR="00C8267F">
        <w:t xml:space="preserve"> previous disease activity will predict subsequent activity. A</w:t>
      </w:r>
      <w:r w:rsidR="00183081">
        <w:t xml:space="preserve"> lagged dependent variable</w:t>
      </w:r>
      <w:r w:rsidR="00C8267F">
        <w:t xml:space="preserve"> </w:t>
      </w:r>
      <w:r w:rsidR="00183081">
        <w:t xml:space="preserve">was included in the SLEDAI item regression models. </w:t>
      </w:r>
      <w:r w:rsidR="007B514D">
        <w:t xml:space="preserve">The lagged dependent variable described whether the SLEDAI item was present at the previous clinic visit. </w:t>
      </w:r>
      <w:r w:rsidR="00C8267F">
        <w:t>The lagged dependent variable was not included in the</w:t>
      </w:r>
      <w:r>
        <w:t xml:space="preserve"> cerebrovascular accident and urinary casts </w:t>
      </w:r>
      <w:r w:rsidR="00C8267F">
        <w:t xml:space="preserve">models </w:t>
      </w:r>
      <w:r>
        <w:t xml:space="preserve">where </w:t>
      </w:r>
      <w:r w:rsidR="006E7935">
        <w:t>symptoms were present in fewer than 5 observations</w:t>
      </w:r>
      <w:r>
        <w:t xml:space="preserve">. Research from other authors suggests </w:t>
      </w:r>
      <w:r w:rsidR="00183081">
        <w:t>that there are</w:t>
      </w:r>
      <w:r>
        <w:t xml:space="preserve"> correlations between </w:t>
      </w:r>
      <w:r w:rsidR="00183081">
        <w:t xml:space="preserve">disease activity </w:t>
      </w:r>
      <w:r w:rsidR="00C8267F">
        <w:t xml:space="preserve">items </w:t>
      </w:r>
      <w:r w:rsidR="006E7935">
        <w:t>across</w:t>
      </w:r>
      <w:r w:rsidR="00183081">
        <w:t xml:space="preserve"> </w:t>
      </w:r>
      <w:r>
        <w:t xml:space="preserve">organ systems </w:t>
      </w:r>
      <w:r w:rsidR="00E729BA">
        <w:fldChar w:fldCharType="begin"/>
      </w:r>
      <w:r w:rsidR="00FC61FD">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fldChar w:fldCharType="separate"/>
      </w:r>
      <w:r w:rsidR="004D7951">
        <w:t>(138)</w:t>
      </w:r>
      <w:r w:rsidR="00E729BA">
        <w:fldChar w:fldCharType="end"/>
      </w:r>
      <w:r>
        <w:t xml:space="preserve">. </w:t>
      </w:r>
    </w:p>
    <w:p w:rsidR="006074C8" w:rsidRDefault="00485D30" w:rsidP="00016F0E">
      <w:r>
        <w:t>In total twenty-seven covariates were considered for inclusion in each SLEDAI item model. Relationships between lagged variables across SLEDAI items were examined using univariate logistic regressions. Statistically significant associations (p&lt;0.05) were carried into the multi</w:t>
      </w:r>
      <w:r w:rsidR="00016F0E">
        <w:t>ple covariate</w:t>
      </w:r>
      <w:r>
        <w:t xml:space="preserve"> analyses.  In the multi</w:t>
      </w:r>
      <w:r w:rsidR="00016F0E">
        <w:t>ple covariate</w:t>
      </w:r>
      <w:r>
        <w:t xml:space="preserve"> model </w:t>
      </w:r>
      <w:r w:rsidR="006074C8" w:rsidRPr="00553AF0">
        <w:t xml:space="preserve">patient characteristics and </w:t>
      </w:r>
      <w:r w:rsidR="00051BDD">
        <w:t>lagged SLEDAI items</w:t>
      </w:r>
      <w:r w:rsidR="006074C8" w:rsidRPr="00553AF0">
        <w:t xml:space="preserve"> were </w:t>
      </w:r>
      <w:r w:rsidR="00051BDD">
        <w:t>selected</w:t>
      </w:r>
      <w:r w:rsidR="006074C8" w:rsidRPr="00553AF0">
        <w:t xml:space="preserve"> by backward stepwise elimination.</w:t>
      </w:r>
      <w:r w:rsidR="00C8267F">
        <w:t xml:space="preserve"> A full model specification was estimated and the covariate with the highest p-value was eliminated until all covariates were statistically significant.</w:t>
      </w:r>
      <w:r w:rsidR="006074C8">
        <w:t xml:space="preserve"> </w:t>
      </w:r>
      <w:r w:rsidR="00D34A5E">
        <w:t>Therefore, the method of model selection did not take a Bayesian approach in order that the methods were consistent with previous epidemiology studies.</w:t>
      </w:r>
    </w:p>
    <w:p w:rsidR="006074C8" w:rsidRDefault="003C12AA" w:rsidP="006E7935">
      <w:r>
        <w:t xml:space="preserve">The SLEDAI items were assumed to determine steroid dose. </w:t>
      </w:r>
      <w:r w:rsidR="00051BDD">
        <w:t xml:space="preserve">A simple description of steroid dose was used in the statistical analyses so that the estimates could be easily validated or amended by clinical experts at a later date. </w:t>
      </w:r>
      <w:r w:rsidR="006074C8">
        <w:t xml:space="preserve">The use of steroid </w:t>
      </w:r>
      <w:r>
        <w:t>is</w:t>
      </w:r>
      <w:r w:rsidR="006074C8">
        <w:t xml:space="preserve"> variable between clinicians and geographical regions</w:t>
      </w:r>
      <w:r>
        <w:t xml:space="preserve"> so the </w:t>
      </w:r>
      <w:r w:rsidR="0068656C">
        <w:t xml:space="preserve">regression </w:t>
      </w:r>
      <w:r>
        <w:t xml:space="preserve">model </w:t>
      </w:r>
      <w:r w:rsidR="006E7935">
        <w:t>would be difficult to generalise to other settings</w:t>
      </w:r>
      <w:r w:rsidR="006074C8">
        <w:t xml:space="preserve">. Two-way tables were used to identify SLEDAI items that were associated with the use of steroid. The Fishers Exact test was employed to test the significance of the association. </w:t>
      </w:r>
      <w:r w:rsidR="00FA7199">
        <w:t>Fisher's E</w:t>
      </w:r>
      <w:r w:rsidR="00485D30">
        <w:t>xact test</w:t>
      </w:r>
      <w:r w:rsidR="00C8267F" w:rsidRPr="00C8267F">
        <w:t xml:space="preserve"> is a statistical significance test used in the analysis of contingency tables</w:t>
      </w:r>
      <w:r w:rsidR="00485D30">
        <w:t xml:space="preserve"> </w:t>
      </w:r>
      <w:r w:rsidR="00E729BA">
        <w:fldChar w:fldCharType="begin"/>
      </w:r>
      <w:r w:rsidR="00FC61FD">
        <w:instrText xml:space="preserve"> ADDIN REFMGR.CITE &lt;Refman&gt;&lt;Cite&gt;&lt;Author&gt;Fisher&lt;/Author&gt;&lt;Year&gt;1922&lt;/Year&gt;&lt;RecNum&gt;1668&lt;/RecNum&gt;&lt;IDText&gt;On the interpretation of ?2 from contingency tables, and the calculation of P&lt;/IDText&gt;&lt;MDL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fldChar w:fldCharType="separate"/>
      </w:r>
      <w:r w:rsidR="004D7951">
        <w:t>(211)</w:t>
      </w:r>
      <w:r w:rsidR="00E729BA">
        <w:fldChar w:fldCharType="end"/>
      </w:r>
      <w:r w:rsidR="00C8267F" w:rsidRPr="00C8267F">
        <w:t>.</w:t>
      </w:r>
      <w:r w:rsidR="006074C8">
        <w:t xml:space="preserve">The mean steroid dose was also estimated for all visits with each SLEDAI item and without to identify a univariate statistically significant relationship. </w:t>
      </w:r>
      <w:r>
        <w:t>SLEDAI items</w:t>
      </w:r>
      <w:r w:rsidRPr="00553AF0">
        <w:t xml:space="preserve"> were </w:t>
      </w:r>
      <w:r>
        <w:t>selected</w:t>
      </w:r>
      <w:r w:rsidRPr="00553AF0">
        <w:t xml:space="preserve"> by backward stepwise elimination</w:t>
      </w:r>
      <w:r>
        <w:t xml:space="preserve"> for the final </w:t>
      </w:r>
      <w:r w:rsidR="0068656C">
        <w:t xml:space="preserve">regression </w:t>
      </w:r>
      <w:r>
        <w:t>model specification.</w:t>
      </w:r>
    </w:p>
    <w:p w:rsidR="006074C8" w:rsidRPr="00DD3003" w:rsidRDefault="006C292C" w:rsidP="00DD3003">
      <w:pPr>
        <w:pStyle w:val="Heading4"/>
        <w:rPr>
          <w:rStyle w:val="Emphasis"/>
          <w:spacing w:val="10"/>
          <w:sz w:val="22"/>
        </w:rPr>
      </w:pPr>
      <w:r w:rsidRPr="00DD3003">
        <w:rPr>
          <w:rStyle w:val="Emphasis"/>
          <w:spacing w:val="10"/>
          <w:sz w:val="22"/>
        </w:rPr>
        <w:t>Covariate Selection for Average SLEDAI and Steroid</w:t>
      </w:r>
      <w:r w:rsidR="00183081" w:rsidRPr="00DD3003">
        <w:rPr>
          <w:rStyle w:val="Emphasis"/>
          <w:spacing w:val="10"/>
          <w:sz w:val="22"/>
        </w:rPr>
        <w:t>s</w:t>
      </w:r>
    </w:p>
    <w:p w:rsidR="005C19B4" w:rsidRDefault="003C12AA" w:rsidP="0040291B">
      <w:r>
        <w:t>The change in average SLEDAI</w:t>
      </w:r>
      <w:r w:rsidR="0068656C">
        <w:t xml:space="preserve"> regression</w:t>
      </w:r>
      <w:r>
        <w:t xml:space="preserve"> model included covariates for patient characteristics and medical history. Patient characteristics included</w:t>
      </w:r>
      <w:r w:rsidR="006074C8">
        <w:t xml:space="preserve"> gender, </w:t>
      </w:r>
      <w:r>
        <w:t xml:space="preserve">age, </w:t>
      </w:r>
      <w:r w:rsidR="006074C8">
        <w:t xml:space="preserve">and </w:t>
      </w:r>
      <w:r w:rsidR="004B1A14">
        <w:t xml:space="preserve">African American </w:t>
      </w:r>
      <w:r w:rsidR="006074C8">
        <w:t xml:space="preserve">ethnicity. </w:t>
      </w:r>
      <w:r>
        <w:t>Haematological, renal, neurological</w:t>
      </w:r>
      <w:r w:rsidR="0040291B">
        <w:t>,</w:t>
      </w:r>
      <w:r>
        <w:t xml:space="preserve"> skin involvement</w:t>
      </w:r>
      <w:r w:rsidR="0040291B">
        <w:t xml:space="preserve"> and anaemia</w:t>
      </w:r>
      <w:r>
        <w:t xml:space="preserve"> have been</w:t>
      </w:r>
      <w:r w:rsidR="006074C8">
        <w:t xml:space="preserve"> associated with disease activity</w:t>
      </w:r>
      <w:r>
        <w:t xml:space="preserve"> </w:t>
      </w:r>
      <w:r w:rsidR="00E729BA">
        <w:fldChar w:fldCharType="begin"/>
      </w:r>
      <w:r w:rsidR="00FC61FD">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name="System"&gt;Rheumatology.(Oxford).&lt;/f&gt;&lt;/ZZ_JournalStdAbbrev&gt;&lt;ZZ_WorkformID&gt;1&lt;/ZZ_WorkformID&gt;&lt;/MDL&gt;&lt;/Cite&gt;&lt;Cite&gt;&lt;Author&gt;Bujan&lt;/Author&gt;&lt;Year&gt;2003&lt;/Year&gt;&lt;RecNum&gt;756&lt;/RecNum&gt;&lt;IDText&gt;Contribution of the initial features of systemic lupus erythematosus to the clinical evolution and survival of a cohort of Mediterranean patients&lt;/IDText&gt;&lt;MDL Ref_Type="Journal"&gt;&lt;Ref_Type&gt;Journal&lt;/Ref_Type&gt;&lt;Ref_ID&gt;756&lt;/Ref_ID&gt;&lt;Title_Primary&gt;Contribution of the initial features of systemic lupus erythematosus to the clinical evolution and survival of a cohort of Mediterranean patients&lt;/Title_Primary&gt;&lt;Authors_Primary&gt;Bujan,S.&lt;/Authors_Primary&gt;&lt;Authors_Primary&gt;Ordi-Ros,J.&lt;/Authors_Primary&gt;&lt;Authors_Primary&gt;Paredes,J.&lt;/Authors_Primary&gt;&lt;Authors_Primary&gt;Mauri,M.&lt;/Authors_Primary&gt;&lt;Authors_Primary&gt;Matas,L.&lt;/Authors_Primary&gt;&lt;Authors_Primary&gt;Cortes,J.&lt;/Authors_Primary&gt;&lt;Authors_Primary&gt;Vilardell,M.&lt;/Authors_Primary&gt;&lt;Date_Primary&gt;2003/9&lt;/Date_Primary&gt;&lt;Keywords&gt;Adult&lt;/Keywords&gt;&lt;Keywords&gt;age&lt;/Keywords&gt;&lt;Keywords&gt;Age Factors&lt;/Keywords&gt;&lt;Keywords&gt;Age of Onset&lt;/Keywords&gt;&lt;Keywords&gt;Aged&lt;/Keywords&gt;&lt;Keywords&gt;Antibodies&lt;/Keywords&gt;&lt;Keywords&gt;Antibodies,Anticardiolipin&lt;/Keywords&gt;&lt;Keywords&gt;Biological Markers&lt;/Keywords&gt;&lt;Keywords&gt;blood&lt;/Keywords&gt;&lt;Keywords&gt;complications&lt;/Keywords&gt;&lt;Keywords&gt;diagnosis&lt;/Keywords&gt;&lt;Keywords&gt;Disease&lt;/Keywords&gt;&lt;Keywords&gt;epidemiology&lt;/Keywords&gt;&lt;Keywords&gt;erythematosus&lt;/Keywords&gt;&lt;Keywords&gt;etiology&lt;/Keywords&gt;&lt;Keywords&gt;Female&lt;/Keywords&gt;&lt;Keywords&gt;Follow-Up Studies&lt;/Keywords&gt;&lt;Keywords&gt;Heart Diseases&lt;/Keywords&gt;&lt;Keywords&gt;hospital&lt;/Keywords&gt;&lt;Keywords&gt;Humans&lt;/Keywords&gt;&lt;Keywords&gt;Lupus Coagulation Inhibitor&lt;/Keywords&gt;&lt;Keywords&gt;lupus erythematosus&lt;/Keywords&gt;&lt;Keywords&gt;Lupus Erythematosus,Systemic&lt;/Keywords&gt;&lt;Keywords&gt;Lupus Nephritis&lt;/Keywords&gt;&lt;Keywords&gt;Male&lt;/Keywords&gt;&lt;Keywords&gt;methods&lt;/Keywords&gt;&lt;Keywords&gt;Middle Aged&lt;/Keywords&gt;&lt;Keywords&gt;Morbidity&lt;/Keywords&gt;&lt;Keywords&gt;mortality&lt;/Keywords&gt;&lt;Keywords&gt;patient&lt;/Keywords&gt;&lt;Keywords&gt;Patients&lt;/Keywords&gt;&lt;Keywords&gt;Probability&lt;/Keywords&gt;&lt;Keywords&gt;Prognosis&lt;/Keywords&gt;&lt;Keywords&gt;Retrospective Studies&lt;/Keywords&gt;&lt;Keywords&gt;Sex Factors&lt;/Keywords&gt;&lt;Keywords&gt;Spain&lt;/Keywords&gt;&lt;Keywords&gt;Stroke&lt;/Keywords&gt;&lt;Keywords&gt;Survival Analysis&lt;/Keywords&gt;&lt;Keywords&gt;systemic lupus erythematosus&lt;/Keywords&gt;&lt;Keywords&gt;Time&lt;/Keywords&gt;&lt;Reprint&gt;Not in File&lt;/Reprint&gt;&lt;Start_Page&gt;859&lt;/Start_Page&gt;&lt;End_Page&gt;865&lt;/End_Page&gt;&lt;Periodical&gt;Ann.Rheum.Dis.&lt;/Periodical&gt;&lt;Volume&gt;62&lt;/Volume&gt;&lt;Issue&gt;9&lt;/Issue&gt;&lt;User_Def_1&gt;y&lt;/User_Def_1&gt;&lt;ZZ_JournalStdAbbrev&gt;&lt;f name="System"&gt;Ann.Rheum.Dis.&lt;/f&gt;&lt;/ZZ_JournalStdAbbrev&gt;&lt;ZZ_WorkformID&gt;1&lt;/ZZ_WorkformID&gt;&lt;/MDL&gt;&lt;/Cite&gt;&lt;Cite&gt;&lt;Author&gt;Nikpour&lt;/Author&gt;&lt;Year&gt;2009&lt;/Year&gt;&lt;RecNum&gt;1430&lt;/RecNum&gt;&lt;IDText&gt;Frequency and determinants of flare and persistently active disease in systemic lupus erythematosus&lt;/IDText&gt;&lt;MDL Ref_Type="Journal"&gt;&lt;Ref_Type&gt;Journal&lt;/Ref_Type&gt;&lt;Ref_ID&gt;1430&lt;/Ref_ID&gt;&lt;Title_Primary&gt;Frequency and determinants of flare and persistently active disease in systemic lupus erythematosus&lt;/Title_Primary&gt;&lt;Authors_Primary&gt;Nikpour,M.&lt;/Authors_Primary&gt;&lt;Authors_Primary&gt;Urowitz,M.B.&lt;/Authors_Primary&gt;&lt;Authors_Primary&gt;Ibanez,D.&lt;/Authors_Primary&gt;&lt;Authors_Primary&gt;Gladman,D.D.&lt;/Authors_Primary&gt;&lt;Date_Primary&gt;2009/9/15&lt;/Date_Primary&gt;&lt;Keywords&gt;Adult&lt;/Keywords&gt;&lt;Keywords&gt;Cohort Studies&lt;/Keywords&gt;&lt;Keywords&gt;diagnosis&lt;/Keywords&gt;&lt;Keywords&gt;Disease&lt;/Keywords&gt;&lt;Keywords&gt;Disease Progression&lt;/Keywords&gt;&lt;Keywords&gt;erythematosus&lt;/Keywords&gt;&lt;Keywords&gt;Female&lt;/Keywords&gt;&lt;Keywords&gt;hospital&lt;/Keywords&gt;&lt;Keywords&gt;Humans&lt;/Keywords&gt;&lt;Keywords&gt;Incidence&lt;/Keywords&gt;&lt;Keywords&gt;lupus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Models,Biological&lt;/Keywords&gt;&lt;Keywords&gt;Ontario&lt;/Keywords&gt;&lt;Keywords&gt;patient&lt;/Keywords&gt;&lt;Keywords&gt;Patients&lt;/Keywords&gt;&lt;Keywords&gt;physiopathology&lt;/Keywords&gt;&lt;Keywords&gt;Prognosis&lt;/Keywords&gt;&lt;Keywords&gt;Prospective Studies&lt;/Keywords&gt;&lt;Keywords&gt;Rheumatic Diseases&lt;/Keywords&gt;&lt;Keywords&gt;Severity of Illness Index&lt;/Keywords&gt;&lt;Keywords&gt;systemic lupus erythematosus&lt;/Keywords&gt;&lt;Reprint&gt;Not in File&lt;/Reprint&gt;&lt;Start_Page&gt;1152&lt;/Start_Page&gt;&lt;End_Page&gt;1158&lt;/End_Page&gt;&lt;Periodical&gt;Arthritis Rheum.&lt;/Periodical&gt;&lt;Volume&gt;61&lt;/Volume&gt;&lt;Issue&gt;9&lt;/Issue&gt;&lt;User_Def_1&gt;y&lt;/User_Def_1&gt;&lt;ZZ_JournalStdAbbrev&gt;&lt;f name="System"&gt;Arthritis Rheum.&lt;/f&gt;&lt;/ZZ_JournalStdAbbrev&gt;&lt;ZZ_WorkformID&gt;1&lt;/ZZ_WorkformID&gt;&lt;/MDL&gt;&lt;/Cite&gt;&lt;/Refman&gt;</w:instrText>
      </w:r>
      <w:r w:rsidR="00E729BA">
        <w:fldChar w:fldCharType="separate"/>
      </w:r>
      <w:r w:rsidR="004D7951">
        <w:t>(137;138;140)</w:t>
      </w:r>
      <w:r w:rsidR="00E729BA">
        <w:fldChar w:fldCharType="end"/>
      </w:r>
      <w:r w:rsidR="006074C8">
        <w:t xml:space="preserve">. </w:t>
      </w:r>
      <w:r>
        <w:t xml:space="preserve">Disease </w:t>
      </w:r>
      <w:r w:rsidR="005C19B4">
        <w:t>activity in each of these systems in the previous year was</w:t>
      </w:r>
      <w:r>
        <w:t xml:space="preserve"> included in the </w:t>
      </w:r>
      <w:r w:rsidR="0068656C">
        <w:t xml:space="preserve">regression </w:t>
      </w:r>
      <w:r>
        <w:t>model as binary variables. Increased a</w:t>
      </w:r>
      <w:r w:rsidR="006074C8">
        <w:t>nti-dsDNA and low complement</w:t>
      </w:r>
      <w:r w:rsidR="00EE3395">
        <w:t>, important antibodies in SLE,</w:t>
      </w:r>
      <w:r w:rsidR="006074C8">
        <w:t xml:space="preserve"> </w:t>
      </w:r>
      <w:r>
        <w:t>were included in the</w:t>
      </w:r>
      <w:r w:rsidR="0068656C">
        <w:t xml:space="preserve"> regression</w:t>
      </w:r>
      <w:r>
        <w:t xml:space="preserve"> model to identify serologically active patients</w:t>
      </w:r>
      <w:r w:rsidR="006074C8">
        <w:t xml:space="preserve">. </w:t>
      </w:r>
      <w:r w:rsidR="004B1A14">
        <w:t xml:space="preserve">Previous SLEDAI score was included into the </w:t>
      </w:r>
      <w:r w:rsidR="0068656C">
        <w:t xml:space="preserve">regression </w:t>
      </w:r>
      <w:r w:rsidR="004B1A14">
        <w:t>model to reflect the observation that higher scores will have a larger magnitude of change than low scores.</w:t>
      </w:r>
    </w:p>
    <w:p w:rsidR="006074C8" w:rsidRDefault="006074C8" w:rsidP="00AD1F34">
      <w:r>
        <w:t>A</w:t>
      </w:r>
      <w:r w:rsidR="00AD1F34">
        <w:t>n</w:t>
      </w:r>
      <w:r>
        <w:t xml:space="preserve"> </w:t>
      </w:r>
      <w:r w:rsidR="00485D30">
        <w:t>alternative</w:t>
      </w:r>
      <w:r w:rsidR="0068656C">
        <w:t xml:space="preserve"> </w:t>
      </w:r>
      <w:r>
        <w:t xml:space="preserve">model specification </w:t>
      </w:r>
      <w:r w:rsidR="00485D30">
        <w:t>was</w:t>
      </w:r>
      <w:r>
        <w:t xml:space="preserve"> tested to observe the impact of treatment on change in SLEDAI score. In these</w:t>
      </w:r>
      <w:r w:rsidR="0068656C">
        <w:t xml:space="preserve"> regression</w:t>
      </w:r>
      <w:r>
        <w:t xml:space="preserve"> models</w:t>
      </w:r>
      <w:r w:rsidR="0068656C">
        <w:t>,</w:t>
      </w:r>
      <w:r>
        <w:t xml:space="preserve"> covariates for steroid dose, a binary variable for treatment with immunosuppressants, and a binary variable for treatment with </w:t>
      </w:r>
      <w:r w:rsidR="005C19B4">
        <w:t>anti-malarials</w:t>
      </w:r>
      <w:r>
        <w:t xml:space="preserve"> </w:t>
      </w:r>
      <w:r w:rsidR="00AD1F34">
        <w:t>were also</w:t>
      </w:r>
      <w:r>
        <w:t xml:space="preserve"> </w:t>
      </w:r>
      <w:r w:rsidR="005C19B4">
        <w:t>included in the analysis.</w:t>
      </w:r>
      <w:r>
        <w:t xml:space="preserve"> </w:t>
      </w:r>
    </w:p>
    <w:p w:rsidR="006074C8" w:rsidRPr="007D3CEB" w:rsidRDefault="004B1A14" w:rsidP="00AD1F34">
      <w:r>
        <w:t xml:space="preserve">The steroid </w:t>
      </w:r>
      <w:r w:rsidR="0068656C">
        <w:t xml:space="preserve">dose regression </w:t>
      </w:r>
      <w:r>
        <w:t>model included avera</w:t>
      </w:r>
      <w:r w:rsidR="006074C8">
        <w:t xml:space="preserve">ge SLEDAI score observed in the corresponding annual period. </w:t>
      </w:r>
      <w:r w:rsidR="005C19B4">
        <w:t>D</w:t>
      </w:r>
      <w:r w:rsidR="006074C8">
        <w:t>emographic characteristics</w:t>
      </w:r>
      <w:r w:rsidR="005C19B4">
        <w:t>,</w:t>
      </w:r>
      <w:r w:rsidR="006074C8">
        <w:t xml:space="preserve"> such as age, gender, and African American ethnicity</w:t>
      </w:r>
      <w:r w:rsidR="005C19B4">
        <w:t xml:space="preserve">, were included in the </w:t>
      </w:r>
      <w:r w:rsidR="0068656C">
        <w:t xml:space="preserve">regression </w:t>
      </w:r>
      <w:r w:rsidR="005C19B4">
        <w:t>model</w:t>
      </w:r>
      <w:r w:rsidR="006074C8">
        <w:t xml:space="preserve">. </w:t>
      </w:r>
    </w:p>
    <w:p w:rsidR="006074C8" w:rsidRDefault="005C19B4" w:rsidP="006074C8">
      <w:pPr>
        <w:pStyle w:val="Heading4"/>
      </w:pPr>
      <w:r>
        <w:t>Covariate Selection for Organ damage and Mortality</w:t>
      </w:r>
    </w:p>
    <w:p w:rsidR="006074C8" w:rsidRDefault="006074C8" w:rsidP="00D34A5E">
      <w:r>
        <w:t xml:space="preserve">Baseline patient characteristics included gender, African American ethnicity, obesity, age at diagnosis, and whether the patient was a smoker at cohort entry or in the past. Age at diagnosis was an important covariate to include in the </w:t>
      </w:r>
      <w:r w:rsidR="0068656C">
        <w:t xml:space="preserve">regression </w:t>
      </w:r>
      <w:r>
        <w:t xml:space="preserve">model because the </w:t>
      </w:r>
      <w:r w:rsidR="00AD1F34">
        <w:t xml:space="preserve">organ’s affected by damage </w:t>
      </w:r>
      <w:r>
        <w:t xml:space="preserve">with late onset SLE has been observed to be different </w:t>
      </w:r>
      <w:r w:rsidR="00D34A5E">
        <w:t>to the organs affected by damage in</w:t>
      </w:r>
      <w:r>
        <w:t xml:space="preserve"> younger cohorts </w:t>
      </w:r>
      <w:r w:rsidR="00E729BA">
        <w:fldChar w:fldCharType="begin"/>
      </w:r>
      <w:r w:rsidR="00FC61FD">
        <w:instrText xml:space="preserve"> ADDIN REFMGR.CITE &lt;Refman&gt;&lt;Cite&gt;&lt;Author&gt;Bertoli&lt;/Author&gt;&lt;Year&gt;2006&lt;/Year&gt;&lt;RecNum&gt;446&lt;/RecNum&gt;&lt;IDText&gt;Systemic lupus erythematosus in a multiethnic US cohort. XXXIII. Clinical [corrected] features, course, and outcome in patients with late-onset disease&lt;/IDText&gt;&lt;MDL Ref_Type="Journal"&gt;&lt;Ref_Type&gt;Journal&lt;/Ref_Type&gt;&lt;Ref_ID&gt;446&lt;/Ref_ID&gt;&lt;Title_Primary&gt;Systemic lupus erythematosus in a multiethnic US cohort. XXXIII. Clinical [corrected] features, course, and outcome in patients with late-onset disease&lt;/Title_Primary&gt;&lt;Authors_Primary&gt;Bertoli,A.M.&lt;/Authors_Primary&gt;&lt;Authors_Primary&gt;Alarcon,G.S.&lt;/Authors_Primary&gt;&lt;Authors_Primary&gt;Calvo-Alen,J.&lt;/Authors_Primary&gt;&lt;Authors_Primary&gt;Fernandez,M.&lt;/Authors_Primary&gt;&lt;Authors_Primary&gt;Vila,L.M.&lt;/Authors_Primary&gt;&lt;Authors_Primary&gt;Reveille,J.D.&lt;/Authors_Primary&gt;&lt;Date_Primary&gt;2006/5&lt;/Date_Primary&gt;&lt;Keywords&gt;Adolescent&lt;/Keywords&gt;&lt;Keywords&gt;Adult&lt;/Keywords&gt;&lt;Keywords&gt;age&lt;/Keywords&gt;&lt;Keywords&gt;Age of Onset&lt;/Keywords&gt;&lt;Keywords&gt;Aged&lt;/Keywords&gt;&lt;Keywords&gt;Alabama&lt;/Keywords&gt;&lt;Keywords&gt;Antibodies&lt;/Keywords&gt;&lt;Keywords&gt;Case-Control Studies&lt;/Keywords&gt;&lt;Keywords&gt;confidence interval&lt;/Keywords&gt;&lt;Keywords&gt;diagnosis&lt;/Keywords&gt;&lt;Keywords&gt;Disease&lt;/Keywords&gt;&lt;Keywords&gt;disease activity&lt;/Keywords&gt;&lt;Keywords&gt;disease duration&lt;/Keywords&gt;&lt;Keywords&gt;erythematosus&lt;/Keywords&gt;&lt;Keywords&gt;ethnology&lt;/Keywords&gt;&lt;Keywords&gt;Female&lt;/Keywords&gt;&lt;Keywords&gt;Humans&lt;/Keywords&gt;&lt;Keywords&gt;Life&lt;/Keywords&gt;&lt;Keywords&gt;lupus erythematosus&lt;/Keywords&gt;&lt;Keywords&gt;Lupus Erythematosus,Systemic&lt;/Keywords&gt;&lt;Keywords&gt;Male&lt;/Keywords&gt;&lt;Keywords&gt;methods&lt;/Keywords&gt;&lt;Keywords&gt;Middle Aged&lt;/Keywords&gt;&lt;Keywords&gt;mortality&lt;/Keywords&gt;&lt;Keywords&gt;Multivariate Analysis&lt;/Keywords&gt;&lt;Keywords&gt;Odds Ratio&lt;/Keywords&gt;&lt;Keywords&gt;Osteoporosis&lt;/Keywords&gt;&lt;Keywords&gt;patient&lt;/Keywords&gt;&lt;Keywords&gt;Patients&lt;/Keywords&gt;&lt;Keywords&gt;Quality of Life&lt;/Keywords&gt;&lt;Keywords&gt;sex&lt;/Keywords&gt;&lt;Keywords&gt;systemic lupus erythematosus&lt;/Keywords&gt;&lt;Keywords&gt;therapy&lt;/Keywords&gt;&lt;Keywords&gt;United States&lt;/Keywords&gt;&lt;Reprint&gt;Not in File&lt;/Reprint&gt;&lt;Start_Page&gt;1580&lt;/Start_Page&gt;&lt;End_Page&gt;1587&lt;/End_Page&gt;&lt;Periodical&gt;Arthritis Rheum.&lt;/Periodical&gt;&lt;Volume&gt;54&lt;/Volume&gt;&lt;Issue&gt;5&lt;/Issue&gt;&lt;User_Def_1&gt;y&lt;/User_Def_1&gt;&lt;ZZ_JournalStdAbbrev&gt;&lt;f name="System"&gt;Arthritis Rheum.&lt;/f&gt;&lt;/ZZ_JournalStdAbbrev&gt;&lt;ZZ_WorkformID&gt;1&lt;/ZZ_WorkformID&gt;&lt;/MDL&gt;&lt;/Cite&gt;&lt;/Refman&gt;</w:instrText>
      </w:r>
      <w:r w:rsidR="00E729BA">
        <w:fldChar w:fldCharType="separate"/>
      </w:r>
      <w:r w:rsidR="004D7951">
        <w:t>(212)</w:t>
      </w:r>
      <w:r w:rsidR="00E729BA">
        <w:fldChar w:fldCharType="end"/>
      </w:r>
      <w:r>
        <w:t>.</w:t>
      </w:r>
      <w:r w:rsidR="00FB70D5" w:rsidRPr="00FB70D5">
        <w:t xml:space="preserve"> </w:t>
      </w:r>
      <w:r w:rsidR="00FB70D5">
        <w:t xml:space="preserve">The analyses controlled for non-lupus risk factors </w:t>
      </w:r>
      <w:r w:rsidR="00AD1F34">
        <w:t>including</w:t>
      </w:r>
      <w:r w:rsidR="00FB70D5">
        <w:t>, cholesterol, hypertension, smoking, and obesity. Antiphospholipid syndrome</w:t>
      </w:r>
      <w:r w:rsidR="00AD1F34">
        <w:t>,</w:t>
      </w:r>
      <w:r w:rsidR="00AD1F34" w:rsidRPr="00AD1F34">
        <w:t xml:space="preserve"> </w:t>
      </w:r>
      <w:r w:rsidR="00AD1F34">
        <w:t>measured by three anticardiolipin antibodies, and lupus anticoagulant, measured by the Russels Viper Venom test, are</w:t>
      </w:r>
      <w:r w:rsidR="00FB70D5">
        <w:t xml:space="preserve"> associated with SLE and may be an important cause of some damage events and mortality </w:t>
      </w:r>
      <w:r w:rsidR="00E729BA">
        <w:fldChar w:fldCharType="begin"/>
      </w:r>
      <w:r w:rsidR="00FC61FD">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name="System"&gt;J.Rheumatol.&lt;/f&gt;&lt;/ZZ_JournalStdAbbrev&gt;&lt;ZZ_WorkformID&gt;1&lt;/ZZ_WorkformID&gt;&lt;/MDL&gt;&lt;/Cite&gt;&lt;Cite&gt;&lt;Author&gt;Santos&lt;/Author&gt;&lt;Year&gt;2009&lt;/Year&gt;&lt;RecNum&gt;1422&lt;/RecNum&gt;&lt;IDText&gt;Predictors of damage progression in Portuguese patients with systemic lupus erythematosus&lt;/IDText&gt;&lt;MDL Ref_Type="Journal"&gt;&lt;Ref_Type&gt;Journal&lt;/Ref_Type&gt;&lt;Ref_ID&gt;1422&lt;/Ref_ID&gt;&lt;Title_Primary&gt;Predictors of damage progression in Portuguese patients with systemic lupus erythematosus&lt;/Title_Primary&gt;&lt;Authors_Primary&gt;Santos,M.J.&lt;/Authors_Primary&gt;&lt;Authors_Primary&gt;Vinagre,F.&lt;/Authors_Primary&gt;&lt;Authors_Primary&gt;Nero,P.&lt;/Authors_Primary&gt;&lt;Authors_Primary&gt;Barcelos,F.&lt;/Authors_Primary&gt;&lt;Authors_Primary&gt;Barcelos,A.&lt;/Authors_Primary&gt;&lt;Authors_Primary&gt;Rodrigues,A.M.&lt;/Authors_Primary&gt;&lt;Authors_Primary&gt;de Matos,A.A.&lt;/Authors_Primary&gt;&lt;Authors_Primary&gt;Silva,C.&lt;/Authors_Primary&gt;&lt;Authors_Primary&gt;Miranda,L.&lt;/Authors_Primary&gt;&lt;Authors_Primary&gt;Capela,S.&lt;/Authors_Primary&gt;&lt;Authors_Primary&gt;Marques,A.&lt;/Authors_Primary&gt;&lt;Authors_Primary&gt;Branco,J.&lt;/Authors_Primary&gt;&lt;Authors_Primary&gt;da Silva,J.C.&lt;/Authors_Primary&gt;&lt;Date_Primary&gt;2009/9&lt;/Date_Primary&gt;&lt;Keywords&gt;Adult&lt;/Keywords&gt;&lt;Keywords&gt;age&lt;/Keywords&gt;&lt;Keywords&gt;Aged&lt;/Keywords&gt;&lt;Keywords&gt;analysis&lt;/Keywords&gt;&lt;Keywords&gt;Antibodies&lt;/Keywords&gt;&lt;Keywords&gt;Antibodies,Antiphospholipid&lt;/Keywords&gt;&lt;Keywords&gt;Azathioprine&lt;/Keywords&gt;&lt;Keywords&gt;Comorbidity&lt;/Keywords&gt;&lt;Keywords&gt;confidence interval&lt;/Keywords&gt;&lt;Keywords&gt;Disease Progression&lt;/Keywords&gt;&lt;Keywords&gt;epidemiology&lt;/Keywords&gt;&lt;Keywords&gt;erythematosus&lt;/Keywords&gt;&lt;Keywords&gt;Female&lt;/Keywords&gt;&lt;Keywords&gt;Follow-Up Studies&lt;/Keywords&gt;&lt;Keywords&gt;hospital&lt;/Keywords&gt;&lt;Keywords&gt;Humans&lt;/Keywords&gt;&lt;Keywords&gt;Hypertension&lt;/Keywords&gt;&lt;Keywords&gt;immunology&lt;/Keywords&gt;&lt;Keywords&gt;Life&lt;/Keywords&gt;&lt;Keywords&gt;Life Expectancy&lt;/Keywords&gt;&lt;Keywords&gt;lupus erythematosus&lt;/Keywords&gt;&lt;Keywords&gt;Lupus Erythematosus,Systemic&lt;/Keywords&gt;&lt;Keywords&gt;Male&lt;/Keywords&gt;&lt;Keywords&gt;Middle Aged&lt;/Keywords&gt;&lt;Keywords&gt;Multivariate Analysis&lt;/Keywords&gt;&lt;Keywords&gt;Musculoskeletal System&lt;/Keywords&gt;&lt;Keywords&gt;Osteoporosis&lt;/Keywords&gt;&lt;Keywords&gt;pathology&lt;/Keywords&gt;&lt;Keywords&gt;patient&lt;/Keywords&gt;&lt;Keywords&gt;Patients&lt;/Keywords&gt;&lt;Keywords&gt;Portugal&lt;/Keywords&gt;&lt;Keywords&gt;Predictive Value of Tests&lt;/Keywords&gt;&lt;Keywords&gt;Prognosis&lt;/Keywords&gt;&lt;Keywords&gt;Prospective Studies&lt;/Keywords&gt;&lt;Keywords&gt;Rheumatology&lt;/Keywords&gt;&lt;Keywords&gt;systemic lupus erythematosus&lt;/Keywords&gt;&lt;Keywords&gt;Time&lt;/Keywords&gt;&lt;Keywords&gt;Young Adult&lt;/Keywords&gt;&lt;Reprint&gt;Not in File&lt;/Reprint&gt;&lt;Start_Page&gt;822&lt;/Start_Page&gt;&lt;End_Page&gt;828&lt;/End_Page&gt;&lt;Periodical&gt;Ann.N.Y.Acad.Sci.&lt;/Periodical&gt;&lt;Volume&gt;1173:822-8.&lt;/Volume&gt;&lt;User_Def_1&gt;y&lt;/User_Def_1&gt;&lt;ZZ_JournalStdAbbrev&gt;&lt;f name="System"&gt;Ann.N.Y.Acad.Sci.&lt;/f&gt;&lt;/ZZ_JournalStdAbbrev&gt;&lt;ZZ_WorkformID&gt;1&lt;/ZZ_WorkformID&gt;&lt;/MDL&gt;&lt;/Cite&gt;&lt;Cite&gt;&lt;Author&gt;Stoll&lt;/Author&gt;&lt;Year&gt;2004&lt;/Year&gt;&lt;RecNum&gt;667&lt;/RecNum&gt;&lt;IDText&gt;Analysis of the relationship between disease activity and damage in patients with systemic lupus erythematosus--a 5-yr prospective study&lt;/IDText&gt;&lt;MDL Ref_Type="Journal"&gt;&lt;Ref_Type&gt;Journal&lt;/Ref_Type&gt;&lt;Ref_ID&gt;667&lt;/Ref_ID&gt;&lt;Title_Primary&gt;Analysis of the relationship between disease activity and damage in patients with systemic lupus erythematosus--a 5-yr prospective study&lt;/Title_Primary&gt;&lt;Authors_Primary&gt;Stoll,T.&lt;/Authors_Primary&gt;&lt;Authors_Primary&gt;Sutcliffe,N.&lt;/Authors_Primary&gt;&lt;Authors_Primary&gt;Mach,J.&lt;/Authors_Primary&gt;&lt;Authors_Primary&gt;Klaghofer,R.&lt;/Authors_Primary&gt;&lt;Authors_Primary&gt;Isenberg,D.A.&lt;/Authors_Primary&gt;&lt;Date_Primary&gt;2004/8&lt;/Date_Primary&gt;&lt;Keywords&gt;Adult&lt;/Keywords&gt;&lt;Keywords&gt;age&lt;/Keywords&gt;&lt;Keywords&gt;analysis&lt;/Keywords&gt;&lt;Keywords&gt;Anti-Inflammatory Agents&lt;/Keywords&gt;&lt;Keywords&gt;complications&lt;/Keywords&gt;&lt;Keywords&gt;death&lt;/Keywords&gt;&lt;Keywords&gt;Disease&lt;/Keywords&gt;&lt;Keywords&gt;drug therapy&lt;/Keywords&gt;&lt;Keywords&gt;erythematosus&lt;/Keywords&gt;&lt;Keywords&gt;etiology&lt;/Keywords&gt;&lt;Keywords&gt;Fatigue&lt;/Keywords&gt;&lt;Keywords&gt;Female&lt;/Keywords&gt;&lt;Keywords&gt;Health&lt;/Keywords&gt;&lt;Keywords&gt;Health Status&lt;/Keywords&gt;&lt;Keywords&gt;Humans&lt;/Keywords&gt;&lt;Keywords&gt;Immunosuppressive Agents&lt;/Keywords&gt;&lt;Keywords&gt;London&lt;/Keywords&gt;&lt;Keywords&gt;Longitudinal Studies&lt;/Keywords&gt;&lt;Keywords&gt;lupus erythematosus&lt;/Keywords&gt;&lt;Keywords&gt;Lupus Erythematosus,Systemic&lt;/Keywords&gt;&lt;Keywords&gt;Male&lt;/Keywords&gt;&lt;Keywords&gt;methods&lt;/Keywords&gt;&lt;Keywords&gt;Musculoskeletal Diseases&lt;/Keywords&gt;&lt;Keywords&gt;patient&lt;/Keywords&gt;&lt;Keywords&gt;Patients&lt;/Keywords&gt;&lt;Keywords&gt;Prednisone&lt;/Keywords&gt;&lt;Keywords&gt;Prospective Studies&lt;/Keywords&gt;&lt;Keywords&gt;Regression Analysis&lt;/Keywords&gt;&lt;Keywords&gt;Severity of Illness Index&lt;/Keywords&gt;&lt;Keywords&gt;systemic lupus erythematosus&lt;/Keywords&gt;&lt;Keywords&gt;therapeutic use&lt;/Keywords&gt;&lt;Keywords&gt;Time Factors&lt;/Keywords&gt;&lt;Reprint&gt;Not in File&lt;/Reprint&gt;&lt;Start_Page&gt;1039&lt;/Start_Page&gt;&lt;End_Page&gt;1044&lt;/End_Page&gt;&lt;Periodical&gt;Rheumatology.(Oxford).&lt;/Periodical&gt;&lt;Volume&gt;43&lt;/Volume&gt;&lt;Issue&gt;8&lt;/Issue&gt;&lt;User_Def_1&gt;y&lt;/User_Def_1&gt;&lt;ZZ_JournalStdAbbrev&gt;&lt;f name="System"&gt;Rheumatology.(Oxford).&lt;/f&gt;&lt;/ZZ_JournalStdAbbrev&gt;&lt;ZZ_WorkformID&gt;1&lt;/ZZ_WorkformID&gt;&lt;/MDL&gt;&lt;/Cite&gt;&lt;/Refman&gt;</w:instrText>
      </w:r>
      <w:r w:rsidR="00E729BA">
        <w:fldChar w:fldCharType="separate"/>
      </w:r>
      <w:r w:rsidR="004D7951">
        <w:t>(172;174;176)</w:t>
      </w:r>
      <w:r w:rsidR="00E729BA">
        <w:fldChar w:fldCharType="end"/>
      </w:r>
      <w:r w:rsidR="00FB70D5">
        <w:t xml:space="preserve">. </w:t>
      </w:r>
    </w:p>
    <w:p w:rsidR="006074C8" w:rsidRPr="00877C83" w:rsidRDefault="006074C8" w:rsidP="005C19B4">
      <w:r>
        <w:t xml:space="preserve">Age and disease duration have important relationships with organ damage and mortality. Mortality and some damage events were associated with older age, so a covariate for age should be included to adjust for the aging effect on baseline risk. However, in some cases disease duration was a more appropriate covariate if </w:t>
      </w:r>
      <w:r w:rsidR="005C19B4">
        <w:t>combined with age at diagnosis</w:t>
      </w:r>
      <w:r>
        <w:t xml:space="preserve">. Age and disease duration were both implemented into the </w:t>
      </w:r>
      <w:r w:rsidR="0068656C">
        <w:t xml:space="preserve">regression </w:t>
      </w:r>
      <w:r>
        <w:t xml:space="preserve">models as log-transformations. This transformation allows the </w:t>
      </w:r>
      <w:r w:rsidR="0068656C">
        <w:t xml:space="preserve">regression </w:t>
      </w:r>
      <w:r>
        <w:t xml:space="preserve">model to estimate a non-linear relationship between the time trend and the outcome of interest. This was done for pragmatic reasons to induce a diminishing impact of time trends on the hazard of outcome. </w:t>
      </w:r>
    </w:p>
    <w:p w:rsidR="006074C8" w:rsidRDefault="006074C8" w:rsidP="006074C8">
      <w:r>
        <w:t>AMS is a measure of long term burden of the disease</w:t>
      </w:r>
      <w:r w:rsidR="00FB7FA6">
        <w:t xml:space="preserve"> </w:t>
      </w:r>
      <w:r w:rsidR="00E729BA">
        <w:fldChar w:fldCharType="begin"/>
      </w:r>
      <w:r w:rsidR="00FC61FD">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4D7951">
        <w:t>(142)</w:t>
      </w:r>
      <w:r w:rsidR="00E729BA">
        <w:fldChar w:fldCharType="end"/>
      </w:r>
      <w:r>
        <w:t>. It was calculated as the sum of the average score observed between two visits weighted by time.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4"/>
        <w:gridCol w:w="6849"/>
        <w:gridCol w:w="618"/>
        <w:gridCol w:w="453"/>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AD1F34">
            <m:oMathPara>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baseline</m:t>
                                    </m:r>
                                  </m:sub>
                                </m:sSub>
                              </m:num>
                              <m:den>
                                <m:r>
                                  <w:rPr>
                                    <w:rFonts w:ascii="Cambria Math" w:hAnsi="Cambria Math"/>
                                  </w:rPr>
                                  <m:t>2</m:t>
                                </m:r>
                              </m:den>
                            </m:f>
                          </m:e>
                        </m:d>
                      </m:e>
                    </m:nary>
                    <m:sSub>
                      <m:sSubPr>
                        <m:ctrlPr>
                          <w:rPr>
                            <w:rFonts w:ascii="Cambria Math" w:hAnsi="Cambria Math"/>
                            <w:i/>
                          </w:rPr>
                        </m:ctrlPr>
                      </m:sSubPr>
                      <m:e>
                        <m:r>
                          <w:rPr>
                            <w:rFonts w:ascii="Cambria Math" w:hAnsi="Cambria Math"/>
                          </w:rPr>
                          <m:t>t</m:t>
                        </m:r>
                      </m:e>
                      <m:sub>
                        <m:r>
                          <w:rPr>
                            <w:rFonts w:ascii="Cambria Math" w:hAnsi="Cambria Math"/>
                          </w:rPr>
                          <m:t>i</m:t>
                        </m:r>
                      </m:sub>
                    </m:sSub>
                  </m:num>
                  <m:den>
                    <m:nary>
                      <m:naryPr>
                        <m:chr m:val="∑"/>
                        <m:limLoc m:val="undOvr"/>
                        <m:ctrlPr>
                          <w:rPr>
                            <w:rFonts w:ascii="Cambria Math" w:hAnsi="Cambria Math"/>
                            <w:i/>
                          </w:rPr>
                        </m:ctrlPr>
                      </m:naryPr>
                      <m:sub>
                        <m:r>
                          <w:rPr>
                            <w:rFonts w:ascii="Cambria Math" w:hAnsi="Cambria Math"/>
                          </w:rPr>
                          <m:t>i=2</m:t>
                        </m:r>
                      </m:sub>
                      <m:sup>
                        <m:r>
                          <w:rPr>
                            <w:rFonts w:ascii="Cambria Math" w:hAnsi="Cambria Math"/>
                          </w:rPr>
                          <m:t>n</m:t>
                        </m:r>
                      </m:sup>
                      <m:e>
                        <m:sSub>
                          <m:sSubPr>
                            <m:ctrlPr>
                              <w:rPr>
                                <w:rFonts w:ascii="Cambria Math" w:hAnsi="Cambria Math"/>
                                <w:i/>
                              </w:rPr>
                            </m:ctrlPr>
                          </m:sSubPr>
                          <m:e>
                            <m:r>
                              <w:rPr>
                                <w:rFonts w:ascii="Cambria Math" w:hAnsi="Cambria Math"/>
                              </w:rPr>
                              <m:t>t</m:t>
                            </m:r>
                          </m:e>
                          <m:sub>
                            <m:r>
                              <w:rPr>
                                <w:rFonts w:ascii="Cambria Math" w:hAnsi="Cambria Math"/>
                              </w:rPr>
                              <m:t>i</m:t>
                            </m:r>
                          </m:sub>
                        </m:sSub>
                      </m:e>
                    </m:nary>
                  </m:den>
                </m:f>
              </m:oMath>
            </m:oMathPara>
          </w:p>
        </w:tc>
        <w:tc>
          <w:tcPr>
            <w:tcW w:w="1196" w:type="dxa"/>
            <w:gridSpan w:val="2"/>
          </w:tcPr>
          <w:p w:rsidR="002737EE" w:rsidRDefault="002737EE" w:rsidP="009914C2">
            <w:pPr>
              <w:pStyle w:val="ListParagraph"/>
              <w:numPr>
                <w:ilvl w:val="1"/>
                <w:numId w:val="30"/>
              </w:numPr>
              <w:ind w:right="220"/>
              <w:jc w:val="right"/>
            </w:pPr>
            <w:bookmarkStart w:id="266" w:name="AMS_5"/>
            <w:bookmarkEnd w:id="266"/>
          </w:p>
        </w:tc>
      </w:tr>
      <w:tr w:rsidR="006074C8" w:rsidTr="00A14ADC">
        <w:tblPrEx>
          <w:tblCellMar>
            <w:top w:w="28" w:type="dxa"/>
          </w:tblCellMar>
        </w:tblPrEx>
        <w:tc>
          <w:tcPr>
            <w:tcW w:w="8755" w:type="dxa"/>
            <w:gridSpan w:val="3"/>
          </w:tcPr>
          <w:p w:rsidR="006074C8" w:rsidRPr="006534E4" w:rsidRDefault="006074C8" w:rsidP="00A14ADC"/>
        </w:tc>
        <w:tc>
          <w:tcPr>
            <w:tcW w:w="487" w:type="dxa"/>
          </w:tcPr>
          <w:p w:rsidR="006074C8" w:rsidRPr="006534E4" w:rsidRDefault="006074C8" w:rsidP="00A14ADC"/>
        </w:tc>
      </w:tr>
    </w:tbl>
    <w:p w:rsidR="006074C8" w:rsidRDefault="006074C8" w:rsidP="000E0AEC">
      <w:r>
        <w:t>AMS</w:t>
      </w:r>
      <w:r w:rsidRPr="00F65390">
        <w:t xml:space="preserve"> was included as a time-varying measure of disease act</w:t>
      </w:r>
      <w:r>
        <w:t xml:space="preserve">ivity and was calculated using </w:t>
      </w:r>
      <w:r w:rsidRPr="00F65390">
        <w:t>equation</w:t>
      </w:r>
      <w:r w:rsidR="000E0AEC">
        <w:t xml:space="preserve"> </w:t>
      </w:r>
      <w:r w:rsidR="00E729BA">
        <w:fldChar w:fldCharType="begin"/>
      </w:r>
      <w:r w:rsidR="000E0AEC">
        <w:instrText xml:space="preserve"> REF AMS_5 \w \h </w:instrText>
      </w:r>
      <w:r w:rsidR="00E729BA">
        <w:fldChar w:fldCharType="separate"/>
      </w:r>
      <w:r w:rsidR="004911B7">
        <w:rPr>
          <w:cs/>
        </w:rPr>
        <w:t>‎</w:t>
      </w:r>
      <w:r w:rsidR="004911B7">
        <w:t>(5.2)</w:t>
      </w:r>
      <w:r w:rsidR="00E729BA">
        <w:fldChar w:fldCharType="end"/>
      </w:r>
      <w:r w:rsidR="000E0AEC">
        <w:t xml:space="preserve"> f</w:t>
      </w:r>
      <w:r>
        <w:t>rom cohort entry to each clinic visit</w:t>
      </w:r>
      <w:r w:rsidRPr="00F65390">
        <w:t xml:space="preserve">. </w:t>
      </w:r>
    </w:p>
    <w:p w:rsidR="006074C8" w:rsidRDefault="006074C8" w:rsidP="00D34A5E">
      <w:r w:rsidRPr="00F65390">
        <w:t xml:space="preserve">Binary variables to </w:t>
      </w:r>
      <w:r w:rsidR="00AD1F34">
        <w:t>SLEDAI items in</w:t>
      </w:r>
      <w:r w:rsidRPr="00F65390">
        <w:t xml:space="preserve"> </w:t>
      </w:r>
      <w:r w:rsidR="00A12528">
        <w:t>organ</w:t>
      </w:r>
      <w:r w:rsidRPr="00F65390">
        <w:t xml:space="preserve"> systems at </w:t>
      </w:r>
      <w:r w:rsidR="00A12528">
        <w:t>each clinic visit</w:t>
      </w:r>
      <w:r w:rsidRPr="00F65390">
        <w:t xml:space="preserve"> were included in the </w:t>
      </w:r>
      <w:r w:rsidR="0068656C">
        <w:t xml:space="preserve">regression </w:t>
      </w:r>
      <w:r w:rsidRPr="00F65390">
        <w:t>models to identify relationships between activity in a particular system and organ damage or mortality. Neuropsychiatric involvement in</w:t>
      </w:r>
      <w:r>
        <w:t xml:space="preserve"> disease activity was defined by</w:t>
      </w:r>
      <w:r w:rsidRPr="00F65390">
        <w:t xml:space="preserve"> seizure, psychosis, organic brain syndrome, visual disturbance, cranial nerve disorder, lupus headache, or cerebrovascular a</w:t>
      </w:r>
      <w:r>
        <w:t>ccidents</w:t>
      </w:r>
      <w:r w:rsidRPr="00F65390">
        <w:t xml:space="preserve"> reported on the SLEDAI. Renal involvement in disease activity was defined by urinary casts, h</w:t>
      </w:r>
      <w:r>
        <w:t>a</w:t>
      </w:r>
      <w:r w:rsidRPr="00F65390">
        <w:t>ematuria, proteinuria, pyuria on the SLEDAI</w:t>
      </w:r>
      <w:r>
        <w:t>,</w:t>
      </w:r>
      <w:r w:rsidRPr="00CB7357">
        <w:t xml:space="preserve"> </w:t>
      </w:r>
      <w:r>
        <w:t>or if the 24 hour urine protein or urine protein</w:t>
      </w:r>
      <w:r w:rsidR="00FA7199">
        <w:t>:</w:t>
      </w:r>
      <w:r>
        <w:t xml:space="preserve"> creatinine ratio was greater than 0.5g/24 hours, or urinalysis protein greater than or equal to 3+</w:t>
      </w:r>
      <w:r w:rsidRPr="00F65390">
        <w:t xml:space="preserve">. Skin involvement in disease activity was defined by new rash, alopecia, or mucosal ulcers on the SLEDAI. Serositis in disease activity was defined by pleurisy or pericarditis on the SLEDAI. Haematological involvement in disease activity was defined by thrombocytopenia or leukopenia on the SLEDAI. </w:t>
      </w:r>
    </w:p>
    <w:p w:rsidR="006074C8" w:rsidRDefault="006074C8" w:rsidP="00FA7199">
      <w:r w:rsidRPr="00F65390">
        <w:t>The</w:t>
      </w:r>
      <w:r w:rsidR="00FA7199">
        <w:t xml:space="preserve"> variable</w:t>
      </w:r>
      <w:r w:rsidRPr="00F65390">
        <w:t xml:space="preserve"> cumulative average </w:t>
      </w:r>
      <w:r w:rsidR="00B54AD9">
        <w:t xml:space="preserve">monthly </w:t>
      </w:r>
      <w:r>
        <w:t>steroid</w:t>
      </w:r>
      <w:r w:rsidRPr="00F65390">
        <w:t xml:space="preserve"> dose was calculated by dividing the cumulative </w:t>
      </w:r>
      <w:r>
        <w:t>steroid</w:t>
      </w:r>
      <w:r w:rsidRPr="00F65390">
        <w:t xml:space="preserve"> dose by the months of follow-up to get a monthly average score in mg/month to measure </w:t>
      </w:r>
      <w:r>
        <w:t>steroid</w:t>
      </w:r>
      <w:r w:rsidRPr="00F65390">
        <w:t xml:space="preserve"> exposure. </w:t>
      </w:r>
      <w:r>
        <w:t xml:space="preserve">History of immunosuppressive treatment and </w:t>
      </w:r>
      <w:r w:rsidR="00FB70D5">
        <w:t>antimalarials</w:t>
      </w:r>
      <w:r>
        <w:t xml:space="preserve"> were included as binary indicators</w:t>
      </w:r>
      <w:r w:rsidR="00A12528">
        <w:t xml:space="preserve"> based on whether they were prescribed at any given clinic visit</w:t>
      </w:r>
      <w:r>
        <w:t xml:space="preserve">. </w:t>
      </w:r>
    </w:p>
    <w:p w:rsidR="006074C8" w:rsidRDefault="006074C8" w:rsidP="00B54AD9">
      <w:r>
        <w:t xml:space="preserve">Previous organ damage has been shown to be a predictor of further damage. As such, the SLICC/ACR </w:t>
      </w:r>
      <w:r w:rsidR="00FB70D5">
        <w:t>Damage Index</w:t>
      </w:r>
      <w:r>
        <w:t xml:space="preserve"> </w:t>
      </w:r>
      <w:r w:rsidR="00B54AD9">
        <w:t>was</w:t>
      </w:r>
      <w:r>
        <w:t xml:space="preserve"> tested as a covariate in organ damage </w:t>
      </w:r>
      <w:r w:rsidR="0068656C">
        <w:t xml:space="preserve">regression </w:t>
      </w:r>
      <w:r>
        <w:t>models. The</w:t>
      </w:r>
      <w:r w:rsidR="00B54AD9">
        <w:t xml:space="preserve"> twelve</w:t>
      </w:r>
      <w:r>
        <w:t xml:space="preserve"> individual organ system scores were included in the mortality</w:t>
      </w:r>
      <w:r w:rsidR="0068656C">
        <w:t xml:space="preserve"> regression</w:t>
      </w:r>
      <w:r>
        <w:t xml:space="preserve"> model to identify the specific organ systems that increase the mortality risk in SLE patients. </w:t>
      </w:r>
    </w:p>
    <w:p w:rsidR="004C0BF9" w:rsidRDefault="004C0BF9" w:rsidP="00B54AD9">
      <w:r>
        <w:t xml:space="preserve">Two model specifications were generated for each of the organ damage and mortality models. The first included all covariates described above that were considered eligible for inclusion in the model. The second model specification excluded the binary organ involvement parameters, and non-steroid treatment parameters from the model specification. The second model specification was intended for use in the CE model, in which organ involvement and other treatments would not be included in the natural history model to reduce model complexity and the number of parameter inputs. </w:t>
      </w:r>
    </w:p>
    <w:p w:rsidR="006074C8" w:rsidRDefault="006074C8" w:rsidP="00B54AD9">
      <w:pPr>
        <w:pStyle w:val="Heading3"/>
      </w:pPr>
      <w:bookmarkStart w:id="267" w:name="_Toc278533921"/>
      <w:bookmarkStart w:id="268" w:name="_Toc278533981"/>
      <w:bookmarkStart w:id="269" w:name="_Toc279009252"/>
      <w:bookmarkStart w:id="270" w:name="_Toc335043535"/>
      <w:bookmarkStart w:id="271" w:name="_Toc379467613"/>
      <w:r>
        <w:t>Statistical</w:t>
      </w:r>
      <w:bookmarkEnd w:id="267"/>
      <w:bookmarkEnd w:id="268"/>
      <w:bookmarkEnd w:id="269"/>
      <w:bookmarkEnd w:id="270"/>
      <w:r w:rsidR="00B54AD9">
        <w:t xml:space="preserve"> Models</w:t>
      </w:r>
      <w:bookmarkEnd w:id="271"/>
    </w:p>
    <w:p w:rsidR="00FB70D5" w:rsidRPr="00183081" w:rsidRDefault="00FB70D5" w:rsidP="00FB70D5">
      <w:pPr>
        <w:pStyle w:val="Heading4"/>
      </w:pPr>
      <w:r>
        <w:t>Statistical Analysis</w:t>
      </w:r>
      <w:r w:rsidRPr="00183081">
        <w:t xml:space="preserve"> for SLEDAI</w:t>
      </w:r>
      <w:r>
        <w:t xml:space="preserve"> </w:t>
      </w:r>
      <w:r w:rsidRPr="00183081">
        <w:t>items</w:t>
      </w:r>
      <w:r>
        <w:t xml:space="preserve"> and Steroid dose</w:t>
      </w:r>
    </w:p>
    <w:p w:rsidR="006074C8" w:rsidRDefault="006074C8" w:rsidP="00EE3395">
      <w:r w:rsidRPr="00553AF0">
        <w:t>Logistic regression is used in statistical analyses of binary outcomes to estimate the probability of an ev</w:t>
      </w:r>
      <w:r w:rsidR="00FB70D5">
        <w:t>ent occurring as a function of relevant</w:t>
      </w:r>
      <w:r w:rsidRPr="00553AF0">
        <w:t xml:space="preserve"> risk factor</w:t>
      </w:r>
      <w:r w:rsidR="00FB70D5">
        <w:t>s</w:t>
      </w:r>
      <w:r w:rsidRPr="00553AF0">
        <w:t xml:space="preserve"> </w:t>
      </w:r>
      <w:r w:rsidR="00E729BA" w:rsidRPr="00553AF0">
        <w:fldChar w:fldCharType="begin"/>
      </w:r>
      <w:r w:rsidR="00FC61FD">
        <w:instrText xml:space="preserve"> ADDIN REFMGR.CITE &lt;Refman&gt;&lt;Cite&gt;&lt;Author&gt;McCullagh P&lt;/Author&gt;&lt;Year&gt;1989&lt;/Year&gt;&lt;RecNum&gt;1505&lt;/RecNum&gt;&lt;IDText&gt;Generalized Linear Models&lt;/IDText&gt;&lt;MDL Ref_Type="Book, Whole"&gt;&lt;Ref_Type&gt;Book, Whole&lt;/Ref_Type&gt;&lt;Ref_ID&gt;1505&lt;/Ref_ID&gt;&lt;Title_Primary&gt;Generalized Linear Models&lt;/Title_Primary&gt;&lt;Authors_Primary&gt;McCullagh P&lt;/Authors_Primary&gt;&lt;Authors_Primary&gt;Nelder J.&lt;/Authors_Primary&gt;&lt;Date_Primary&gt;1989&lt;/Date_Primary&gt;&lt;Keywords&gt;Linear Models&lt;/Keywords&gt;&lt;Reprint&gt;In File&lt;/Reprint&gt;&lt;Pub_Place&gt;London&lt;/Pub_Place&gt;&lt;Publisher&gt;Chapman and Hall&lt;/Publisher&gt;&lt;User_Def_1&gt;Methods&lt;/User_Def_1&gt;&lt;ZZ_WorkformID&gt;2&lt;/ZZ_WorkformID&gt;&lt;/MDL&gt;&lt;/Cite&gt;&lt;/Refman&gt;</w:instrText>
      </w:r>
      <w:r w:rsidR="00E729BA" w:rsidRPr="00553AF0">
        <w:fldChar w:fldCharType="separate"/>
      </w:r>
      <w:r w:rsidR="004D7951">
        <w:t>(213)</w:t>
      </w:r>
      <w:r w:rsidR="00E729BA" w:rsidRPr="00553AF0">
        <w:fldChar w:fldCharType="end"/>
      </w:r>
      <w:r w:rsidRPr="00553AF0">
        <w:t xml:space="preserve">. </w:t>
      </w:r>
      <w:r>
        <w:t xml:space="preserve">The logistic </w:t>
      </w:r>
      <w:r w:rsidRPr="00553AF0">
        <w:t>analyses were performed with patient specific random intercept</w:t>
      </w:r>
      <w:r w:rsidR="00EE3395" w:rsidRPr="00EE3395">
        <w:t xml:space="preserve"> </w:t>
      </w:r>
      <w:r w:rsidR="00EE3395">
        <w:t>to account for within patient correlation</w:t>
      </w:r>
      <w:r w:rsidR="00B54AD9">
        <w:t>,</w:t>
      </w:r>
      <m:oMath>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j</m:t>
            </m:r>
          </m:sub>
        </m:sSub>
      </m:oMath>
      <w:r w:rsidRPr="00553AF0">
        <w:t>.</w:t>
      </w:r>
      <w:r w:rsidR="00FB70D5" w:rsidRPr="00FB70D5">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
        <w:gridCol w:w="6846"/>
        <w:gridCol w:w="1073"/>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B54AD9">
            <m:oMathPara>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i</m:t>
                            </m:r>
                          </m:sub>
                        </m:sSub>
                      </m:e>
                    </m:d>
                    <m:ctrlPr>
                      <w:rPr>
                        <w:rFonts w:ascii="Cambria Math" w:hAnsi="Cambria Math"/>
                        <w:i/>
                      </w:rPr>
                    </m:ctrlPr>
                  </m:e>
                </m:func>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it</m:t>
                        </m:r>
                      </m:sub>
                    </m:sSub>
                    <m:r>
                      <m:rPr>
                        <m:sty m:val="bi"/>
                      </m:rPr>
                      <w:rPr>
                        <w:rFonts w:ascii="Cambria Math" w:hAnsi="Cambria Math"/>
                      </w:rPr>
                      <m:t>β+</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num>
                  <m:den>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it</m:t>
                        </m:r>
                      </m:sub>
                    </m:sSub>
                    <m:r>
                      <m:rPr>
                        <m:sty m:val="bi"/>
                      </m:rPr>
                      <w:rPr>
                        <w:rFonts w:ascii="Cambria Math" w:hAnsi="Cambria Math"/>
                      </w:rPr>
                      <m:t>β+</m:t>
                    </m:r>
                    <m:sSub>
                      <m:sSubPr>
                        <m:ctrlPr>
                          <w:rPr>
                            <w:rFonts w:ascii="Cambria Math" w:hAnsi="Cambria Math"/>
                            <w:i/>
                          </w:rPr>
                        </m:ctrlPr>
                      </m:sSubPr>
                      <m:e>
                        <m:r>
                          <w:rPr>
                            <w:rFonts w:ascii="Cambria Math" w:hAnsi="Cambria Math"/>
                          </w:rPr>
                          <m:t>ζ</m:t>
                        </m:r>
                      </m:e>
                      <m:sub>
                        <m:r>
                          <w:rPr>
                            <w:rFonts w:ascii="Cambria Math" w:hAnsi="Cambria Math"/>
                          </w:rPr>
                          <m:t>i</m:t>
                        </m:r>
                      </m:sub>
                    </m:sSub>
                    <m:r>
                      <m:rPr>
                        <m:sty m:val="bi"/>
                      </m:rPr>
                      <w:rPr>
                        <w:rFonts w:ascii="Cambria Math" w:hAnsi="Cambria Math"/>
                      </w:rPr>
                      <m:t>)</m:t>
                    </m:r>
                  </m:den>
                </m:f>
              </m:oMath>
            </m:oMathPara>
          </w:p>
        </w:tc>
        <w:tc>
          <w:tcPr>
            <w:tcW w:w="1196" w:type="dxa"/>
          </w:tcPr>
          <w:p w:rsidR="002737EE" w:rsidRDefault="002737EE" w:rsidP="00597CF5">
            <w:pPr>
              <w:pStyle w:val="ListParagraph"/>
              <w:numPr>
                <w:ilvl w:val="1"/>
                <w:numId w:val="30"/>
              </w:numPr>
              <w:bidi/>
              <w:ind w:right="220"/>
              <w:jc w:val="right"/>
            </w:pPr>
          </w:p>
        </w:tc>
      </w:tr>
    </w:tbl>
    <w:p w:rsidR="00B54AD9" w:rsidRDefault="006074C8" w:rsidP="00B54AD9">
      <w:r w:rsidRPr="00553AF0">
        <w:t>with</w:t>
      </w:r>
      <w:r>
        <w:t xml:space="preserve"> </w:t>
      </w:r>
      <w:r w:rsidR="00B54AD9">
        <w:rPr>
          <w:i/>
          <w:iCs/>
        </w:rPr>
        <w:t>t</w:t>
      </w:r>
      <w:r>
        <w:t xml:space="preserve"> indicating clinic visit and </w:t>
      </w:r>
      <w:r w:rsidR="00B54AD9">
        <w:rPr>
          <w:i/>
          <w:iCs/>
        </w:rPr>
        <w:t>i</w:t>
      </w:r>
      <w:r>
        <w:t xml:space="preserve"> the patient.</w:t>
      </w:r>
      <w:r w:rsidRPr="00924C36">
        <w:t xml:space="preserve"> </w:t>
      </w:r>
      <w:r>
        <w:t>The equation uses (</w:t>
      </w:r>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it</m:t>
            </m:r>
          </m:sub>
        </m:sSub>
        <m:r>
          <w:rPr>
            <w:rFonts w:ascii="Cambria Math" w:hAnsi="Cambria Math"/>
          </w:rPr>
          <m:t>)</m:t>
        </m:r>
      </m:oMath>
      <w:r>
        <w:t xml:space="preserve">, which were observed in the data and </w:t>
      </w:r>
      <m:oMath>
        <m:r>
          <m:rPr>
            <m:sty m:val="bi"/>
          </m:rPr>
          <w:rPr>
            <w:rFonts w:ascii="Cambria Math" w:hAnsi="Cambria Math"/>
          </w:rPr>
          <m:t>β</m:t>
        </m:r>
      </m:oMath>
      <w:r>
        <w:t xml:space="preserve"> were parameters estimated from the data where</w:t>
      </w:r>
      <w:r w:rsidRPr="00553AF0">
        <w:t xml:space="preserve">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vertAlign w:val="subscript"/>
              </w:rPr>
              <m:t>i</m:t>
            </m:r>
          </m:sub>
        </m:sSub>
        <m:r>
          <m:rPr>
            <m:sty m:val="p"/>
          </m:rPr>
          <w:rPr>
            <w:rFonts w:ascii="Cambria Math" w:hAnsi="Cambria Math"/>
          </w:rPr>
          <m:t xml:space="preserve">~N(0,ψ) </m:t>
        </m:r>
      </m:oMath>
      <w:r w:rsidRPr="00553AF0">
        <w:t xml:space="preserve">and </w:t>
      </w:r>
      <m:oMath>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 xml:space="preserve"> </m:t>
        </m:r>
      </m:oMath>
      <w:r w:rsidR="00A12528">
        <w:t xml:space="preserve">were </w:t>
      </w:r>
      <w:r w:rsidRPr="00553AF0">
        <w:t>independent across patients</w:t>
      </w:r>
      <w:r w:rsidRPr="002D7EE0">
        <w:rPr>
          <w:i/>
          <w:iCs/>
        </w:rPr>
        <w:t xml:space="preserve"> </w:t>
      </w:r>
      <w:r w:rsidR="00B54AD9">
        <w:rPr>
          <w:i/>
          <w:iCs/>
        </w:rPr>
        <w:t>i</w:t>
      </w:r>
      <w:r w:rsidRPr="00553AF0">
        <w:t xml:space="preserve">. The random intercept acts to capture the combined effect of patient specific </w:t>
      </w:r>
      <w:r w:rsidR="00A12528">
        <w:t>time constant effects</w:t>
      </w:r>
      <w:r w:rsidRPr="00553AF0">
        <w:t xml:space="preserve">. </w:t>
      </w:r>
    </w:p>
    <w:p w:rsidR="006074C8" w:rsidRDefault="006074C8" w:rsidP="00B54AD9">
      <w:r>
        <w:t xml:space="preserve">For each </w:t>
      </w:r>
      <w:r w:rsidR="0068656C">
        <w:t xml:space="preserve">regression </w:t>
      </w:r>
      <w:r>
        <w:t xml:space="preserve">model the Wald Chi-squared statistic and the interclass correlation coefficient were reported.  The Wald test assesses the overall fit of a </w:t>
      </w:r>
      <w:r w:rsidR="0068656C">
        <w:t xml:space="preserve">regression </w:t>
      </w:r>
      <w:r>
        <w:t xml:space="preserve">model. The intraclass correlation coefficient was measured on a scale between 0 and 1 to describe the percentage of variation in the </w:t>
      </w:r>
      <w:r w:rsidR="00375DFB">
        <w:t>dependent variable</w:t>
      </w:r>
      <w:r>
        <w:t xml:space="preserve"> that can be attributed to </w:t>
      </w:r>
      <w:r w:rsidR="00B54AD9">
        <w:t xml:space="preserve">the </w:t>
      </w:r>
      <w:r w:rsidR="00B54AD9" w:rsidRPr="00553AF0">
        <w:t>patient specific random intercept</w:t>
      </w:r>
      <w:r w:rsidR="00B54AD9">
        <w:t xml:space="preserve"> </w:t>
      </w:r>
      <w:r>
        <w:t xml:space="preserve">and can be used to assess whether the random effects was necessary. </w:t>
      </w:r>
    </w:p>
    <w:p w:rsidR="006074C8" w:rsidRDefault="006074C8" w:rsidP="00AB5BAB">
      <w:r>
        <w:t xml:space="preserve">Steroid dose was </w:t>
      </w:r>
      <w:r w:rsidR="00AB5BAB">
        <w:t>analysed</w:t>
      </w:r>
      <w:r>
        <w:t xml:space="preserve"> as count</w:t>
      </w:r>
      <w:r w:rsidR="00AB5BAB">
        <w:t xml:space="preserve"> data to impose restrictions against negative outcomes</w:t>
      </w:r>
      <w:r>
        <w:t xml:space="preserve">. Steroid is mainly prescribed in SLE patients when patients have a severe flare in disease activity that threatens organ function. </w:t>
      </w:r>
      <w:r w:rsidR="001E7D3A">
        <w:t>The</w:t>
      </w:r>
      <w:r>
        <w:t xml:space="preserve"> data included a large proportion of observation</w:t>
      </w:r>
      <w:r w:rsidR="00B54AD9">
        <w:t>s</w:t>
      </w:r>
      <w:r>
        <w:t xml:space="preserve"> with zero steroid dose. Consequently, standard approaches to count data such as Poisson or Negative Binomial </w:t>
      </w:r>
      <w:r w:rsidR="0068656C">
        <w:t xml:space="preserve">regression </w:t>
      </w:r>
      <w:r>
        <w:t xml:space="preserve">model did not fit well with the distribution of the data. Two part extensions to standard count data </w:t>
      </w:r>
      <w:r w:rsidR="0068656C">
        <w:t xml:space="preserve">regression </w:t>
      </w:r>
      <w:r>
        <w:t xml:space="preserve">models can be used to model participation and count in separate stages </w:t>
      </w:r>
      <w:r w:rsidR="00E729BA">
        <w:fldChar w:fldCharType="begin"/>
      </w:r>
      <w:r w:rsidR="00FC61FD">
        <w:instrText xml:space="preserve"> ADDIN REFMGR.CITE &lt;Refman&gt;&lt;Cite&gt;&lt;Author&gt;McDowell&lt;/Author&gt;&lt;Year&gt;2003&lt;/Year&gt;&lt;RecNum&gt;1528&lt;/RecNum&gt;&lt;IDText&gt;From the help desk: Hurdle models&lt;/IDText&gt;&lt;MDL Ref_Type="Journal"&gt;&lt;Ref_Type&gt;Journal&lt;/Ref_Type&gt;&lt;Ref_ID&gt;1528&lt;/Ref_ID&gt;&lt;Title_Primary&gt;From the help desk: Hurdle models&lt;/Title_Primary&gt;&lt;Authors_Primary&gt;McDowell,A&lt;/Authors_Primary&gt;&lt;Date_Primary&gt;2003&lt;/Date_Primary&gt;&lt;Reprint&gt;In File&lt;/Reprint&gt;&lt;Start_Page&gt;178&lt;/Start_Page&gt;&lt;End_Page&gt;184&lt;/End_Page&gt;&lt;Periodical&gt;The STATA Journal&lt;/Periodical&gt;&lt;Volume&gt;3&lt;/Volume&gt;&lt;Issue&gt;2&lt;/Issue&gt;&lt;ZZ_JournalFull&gt;&lt;f name="System"&gt;The STATA Journal&lt;/f&gt;&lt;/ZZ_JournalFull&gt;&lt;ZZ_WorkformID&gt;1&lt;/ZZ_WorkformID&gt;&lt;/MDL&gt;&lt;/Cite&gt;&lt;/Refman&gt;</w:instrText>
      </w:r>
      <w:r w:rsidR="00E729BA">
        <w:fldChar w:fldCharType="separate"/>
      </w:r>
      <w:r w:rsidR="004D7951">
        <w:t>(214)</w:t>
      </w:r>
      <w:r w:rsidR="00E729BA">
        <w:fldChar w:fldCharType="end"/>
      </w:r>
      <w:r>
        <w:t>. Zero inflated Poisson</w:t>
      </w:r>
      <w:r w:rsidR="0068656C">
        <w:t xml:space="preserve"> regression</w:t>
      </w:r>
      <w:r>
        <w:t xml:space="preserve"> model, zero inflated Negative Binomial</w:t>
      </w:r>
      <w:r w:rsidR="0068656C">
        <w:t xml:space="preserve"> regression</w:t>
      </w:r>
      <w:r>
        <w:t xml:space="preserve"> model, and Hurdle Models are all two stage models that could be applied in this setting. </w:t>
      </w:r>
    </w:p>
    <w:p w:rsidR="006074C8" w:rsidRDefault="006074C8" w:rsidP="006074C8">
      <w:r>
        <w:t xml:space="preserve">A Hurdle Model was selected because it employs a zero-truncated form of the Poisson and Negative Binomial </w:t>
      </w:r>
      <w:r w:rsidR="0068656C">
        <w:t xml:space="preserve">regression </w:t>
      </w:r>
      <w:r>
        <w:t>models so that if participation was positive the Poisson or Negative Binomial function cannot take the value of zero. The two step process starts with a binomial process to determine whether the patient receives steroids or not.</w:t>
      </w:r>
      <w:r w:rsidRPr="00110B6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
        <w:gridCol w:w="6832"/>
        <w:gridCol w:w="1084"/>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Y=y</m:t>
                        </m:r>
                      </m:e>
                    </m:d>
                    <m:ctrlPr>
                      <w:rPr>
                        <w:rFonts w:ascii="Cambria Math" w:hAnsi="Cambria Math"/>
                        <w:i/>
                      </w:rPr>
                    </m:ctrlPr>
                  </m:e>
                </m:func>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 xml:space="preserve">π </m:t>
                      </m:r>
                    </m:e>
                  </m:mr>
                  <m:mr>
                    <m:e>
                      <m:r>
                        <w:rPr>
                          <w:rFonts w:ascii="Cambria Math" w:hAnsi="Cambria Math"/>
                        </w:rPr>
                        <m:t>1-π</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y=0</m:t>
                      </m:r>
                    </m:e>
                  </m:mr>
                  <m:mr>
                    <m:e>
                      <m:r>
                        <w:rPr>
                          <w:rFonts w:ascii="Cambria Math" w:hAnsi="Cambria Math"/>
                        </w:rPr>
                        <m:t>y&gt;0</m:t>
                      </m:r>
                    </m:e>
                  </m:mr>
                </m:m>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6074C8">
      <w:r>
        <w:t>The zero-truncated Poisson process has a probability mass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
        <w:gridCol w:w="6857"/>
        <w:gridCol w:w="1065"/>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m:rPr>
                    <m:sty m:val="p"/>
                  </m:rPr>
                  <w:rPr>
                    <w:rFonts w:ascii="Cambria Math" w:hAnsi="Cambria Math"/>
                  </w:rPr>
                  <m:t>Pr⁡</m:t>
                </m:r>
                <m:r>
                  <w:rPr>
                    <w:rFonts w:ascii="Cambria Math" w:hAnsi="Cambria Math"/>
                  </w:rPr>
                  <m:t>(Y=y|Y≠0) =</m:t>
                </m:r>
                <m:m>
                  <m:mPr>
                    <m:mcs>
                      <m:mc>
                        <m:mcPr>
                          <m:count m:val="1"/>
                          <m:mcJc m:val="center"/>
                        </m:mcPr>
                      </m:mc>
                    </m:mcs>
                    <m:ctrlPr>
                      <w:rPr>
                        <w:rFonts w:ascii="Cambria Math" w:hAnsi="Cambria Math"/>
                        <w:i/>
                      </w:rPr>
                    </m:ctrlPr>
                  </m:mPr>
                  <m:mr>
                    <m:e>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y</m:t>
                              </m:r>
                            </m:sup>
                          </m:sSup>
                          <m:sSup>
                            <m:sSupPr>
                              <m:ctrlPr>
                                <w:rPr>
                                  <w:rFonts w:ascii="Cambria Math" w:hAnsi="Cambria Math"/>
                                  <w:i/>
                                </w:rPr>
                              </m:ctrlPr>
                            </m:sSupPr>
                            <m:e>
                              <m:r>
                                <w:rPr>
                                  <w:rFonts w:ascii="Cambria Math" w:hAnsi="Cambria Math"/>
                                </w:rPr>
                                <m:t>e</m:t>
                              </m:r>
                            </m:e>
                            <m:sup>
                              <m:r>
                                <w:rPr>
                                  <w:rFonts w:ascii="Cambria Math" w:hAnsi="Cambria Math"/>
                                </w:rPr>
                                <m:t>-λ</m:t>
                              </m:r>
                            </m:sup>
                          </m:sSup>
                        </m:num>
                        <m:den>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-λ</m:t>
                                  </m:r>
                                </m:sup>
                              </m:sSup>
                            </m:e>
                          </m:d>
                          <m:r>
                            <w:rPr>
                              <w:rFonts w:ascii="Cambria Math" w:hAnsi="Cambria Math"/>
                            </w:rPr>
                            <m:t>y!</m:t>
                          </m:r>
                        </m:den>
                      </m:f>
                      <m:r>
                        <w:rPr>
                          <w:rFonts w:ascii="Cambria Math" w:hAnsi="Cambria Math"/>
                        </w:rPr>
                        <m:t xml:space="preserve">, </m:t>
                      </m:r>
                    </m:e>
                  </m:mr>
                  <m:mr>
                    <m:e>
                      <m:r>
                        <w:rPr>
                          <w:rFonts w:ascii="Cambria Math" w:hAnsi="Cambria Math"/>
                        </w:rPr>
                        <m:t>0,</m:t>
                      </m:r>
                    </m:e>
                  </m:mr>
                </m:m>
                <m:r>
                  <w:rPr>
                    <w:rFonts w:ascii="Cambria Math" w:hAnsi="Cambria Math"/>
                  </w:rPr>
                  <m:t xml:space="preserve"> </m:t>
                </m:r>
                <m:m>
                  <m:mPr>
                    <m:mcs>
                      <m:mc>
                        <m:mcPr>
                          <m:count m:val="1"/>
                          <m:mcJc m:val="center"/>
                        </m:mcPr>
                      </m:mc>
                    </m:mcs>
                    <m:ctrlPr>
                      <w:rPr>
                        <w:rFonts w:ascii="Cambria Math" w:hAnsi="Cambria Math"/>
                        <w:i/>
                      </w:rPr>
                    </m:ctrlPr>
                  </m:mPr>
                  <m:mr>
                    <m:e>
                      <m:r>
                        <w:rPr>
                          <w:rFonts w:ascii="Cambria Math" w:hAnsi="Cambria Math"/>
                        </w:rPr>
                        <m:t>y&gt;0</m:t>
                      </m:r>
                    </m:e>
                  </m:mr>
                  <m:mr>
                    <m:e>
                      <m:r>
                        <w:rPr>
                          <w:rFonts w:ascii="Cambria Math" w:hAnsi="Cambria Math"/>
                          <w:color w:val="FFFFFF" w:themeColor="background1"/>
                        </w:rPr>
                        <m:t>,</m:t>
                      </m:r>
                    </m:e>
                  </m:mr>
                  <m:mr>
                    <m:e>
                      <m:r>
                        <w:rPr>
                          <w:rFonts w:ascii="Cambria Math" w:hAnsi="Cambria Math"/>
                        </w:rPr>
                        <m:t>otherwise</m:t>
                      </m:r>
                    </m:e>
                  </m:mr>
                </m:m>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6074C8">
      <w:r>
        <w:t>The unconditional probability mass function for Y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
        <w:gridCol w:w="6875"/>
        <w:gridCol w:w="1051"/>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B5C9D">
            <m:oMathPara>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r>
                          <w:rPr>
                            <w:rFonts w:ascii="Cambria Math" w:hAnsi="Cambria Math"/>
                          </w:rPr>
                          <m:t>Y=y</m:t>
                        </m:r>
                      </m:e>
                    </m:d>
                    <m:ctrlPr>
                      <w:rPr>
                        <w:rFonts w:ascii="Cambria Math" w:hAnsi="Cambria Math"/>
                        <w:i/>
                      </w:rPr>
                    </m:ctrlPr>
                  </m:e>
                </m:func>
                <m:r>
                  <w:rPr>
                    <w:rFonts w:ascii="Cambria Math" w:hAnsi="Cambria Math"/>
                  </w:rPr>
                  <m:t xml:space="preserve">=  </m:t>
                </m:r>
                <m:m>
                  <m:mPr>
                    <m:mcs>
                      <m:mc>
                        <m:mcPr>
                          <m:count m:val="1"/>
                          <m:mcJc m:val="center"/>
                        </m:mcPr>
                      </m:mc>
                    </m:mcs>
                    <m:ctrlPr>
                      <w:rPr>
                        <w:rFonts w:ascii="Cambria Math" w:hAnsi="Cambria Math"/>
                        <w:i/>
                      </w:rPr>
                    </m:ctrlPr>
                  </m:mPr>
                  <m:mr>
                    <m:e/>
                  </m:mr>
                  <m:mr>
                    <m:e>
                      <m:r>
                        <w:rPr>
                          <w:rFonts w:ascii="Cambria Math" w:hAnsi="Cambria Math"/>
                          <w:color w:val="FFFFFF" w:themeColor="background1"/>
                        </w:rPr>
                        <m:t>,</m:t>
                      </m:r>
                    </m:e>
                  </m:mr>
                  <m:mr>
                    <m:e/>
                  </m:mr>
                </m:m>
                <m:m>
                  <m:mPr>
                    <m:mcs>
                      <m:mc>
                        <m:mcPr>
                          <m:count m:val="2"/>
                          <m:mcJc m:val="center"/>
                        </m:mcPr>
                      </m:mc>
                    </m:mcs>
                    <m:ctrlPr>
                      <w:rPr>
                        <w:rFonts w:ascii="Cambria Math" w:hAnsi="Cambria Math"/>
                        <w:i/>
                      </w:rPr>
                    </m:ctrlPr>
                  </m:mPr>
                  <m:mr>
                    <m:e>
                      <m:r>
                        <w:rPr>
                          <w:rFonts w:ascii="Cambria Math" w:hAnsi="Cambria Math"/>
                        </w:rPr>
                        <m:t xml:space="preserve">π </m:t>
                      </m:r>
                    </m:e>
                    <m:e>
                      <m:r>
                        <w:rPr>
                          <w:rFonts w:ascii="Cambria Math" w:hAnsi="Cambria Math"/>
                        </w:rPr>
                        <m:t>y=0</m:t>
                      </m:r>
                    </m:e>
                  </m:mr>
                  <m:mr>
                    <m:e/>
                    <m:e>
                      <m:r>
                        <w:rPr>
                          <w:rFonts w:ascii="Cambria Math" w:hAnsi="Cambria Math"/>
                        </w:rPr>
                        <m:t>,</m:t>
                      </m:r>
                    </m:e>
                  </m:mr>
                  <m:mr>
                    <m:e>
                      <m:r>
                        <w:rPr>
                          <w:rFonts w:ascii="Cambria Math" w:hAnsi="Cambria Math"/>
                        </w:rPr>
                        <m:t>(1-π)</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y</m:t>
                              </m:r>
                            </m:sup>
                          </m:sSup>
                        </m:num>
                        <m:den>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λ</m:t>
                                  </m:r>
                                </m:sup>
                              </m:sSup>
                              <m:r>
                                <w:rPr>
                                  <w:rFonts w:ascii="Cambria Math" w:hAnsi="Cambria Math"/>
                                </w:rPr>
                                <m:t>-1</m:t>
                              </m:r>
                            </m:e>
                          </m:d>
                          <m:r>
                            <w:rPr>
                              <w:rFonts w:ascii="Cambria Math" w:hAnsi="Cambria Math"/>
                            </w:rPr>
                            <m:t>y!</m:t>
                          </m:r>
                        </m:den>
                      </m:f>
                    </m:e>
                    <m:e>
                      <m:r>
                        <w:rPr>
                          <w:rFonts w:ascii="Cambria Math" w:hAnsi="Cambria Math"/>
                        </w:rPr>
                        <m:t>y&gt;0</m:t>
                      </m:r>
                    </m:e>
                  </m:mr>
                </m:m>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416C98">
      <w:r>
        <w:t>The two</w:t>
      </w:r>
      <w:r w:rsidR="0068656C">
        <w:t xml:space="preserve"> regression</w:t>
      </w:r>
      <w:r>
        <w:t xml:space="preserve"> models </w:t>
      </w:r>
      <w:r w:rsidR="0068656C">
        <w:t xml:space="preserve">that comprise the Hurdle model </w:t>
      </w:r>
      <w:r>
        <w:t>can be estimated independently.</w:t>
      </w:r>
      <w:r w:rsidR="001E7D3A">
        <w:t xml:space="preserve"> </w:t>
      </w:r>
      <w:r>
        <w:t xml:space="preserve">The logit function was used for the first stage of the </w:t>
      </w:r>
      <w:r w:rsidR="0068656C">
        <w:t xml:space="preserve">regression </w:t>
      </w:r>
      <w:r>
        <w:t xml:space="preserve">model and both poisson and negative binomial </w:t>
      </w:r>
      <w:r w:rsidR="0068656C">
        <w:t xml:space="preserve">regression </w:t>
      </w:r>
      <w:r>
        <w:t xml:space="preserve">models were tested for the second stage. </w:t>
      </w:r>
    </w:p>
    <w:p w:rsidR="006074C8" w:rsidRDefault="00416C98" w:rsidP="006074C8">
      <w:r>
        <w:t xml:space="preserve">The likelihood ratio test for over dispersion was used to choose between the Poisson and Negative Binomial models. </w:t>
      </w:r>
      <w:r w:rsidR="006074C8">
        <w:t>The pseudo R</w:t>
      </w:r>
      <w:r w:rsidR="006074C8">
        <w:rPr>
          <w:vertAlign w:val="superscript"/>
        </w:rPr>
        <w:t>2</w:t>
      </w:r>
      <w:r w:rsidR="006074C8">
        <w:t xml:space="preserve"> was reported to indicate the goodness of fit of the </w:t>
      </w:r>
      <w:r w:rsidR="0068656C">
        <w:t xml:space="preserve">regression </w:t>
      </w:r>
      <w:r w:rsidR="006074C8">
        <w:t xml:space="preserve">models. </w:t>
      </w:r>
      <w:r w:rsidR="00230E6B">
        <w:t xml:space="preserve">Goodness of fit was assessed in all models with a single measure or test statistics to avoid conflicting guidance for the inclusion or exclusion of covariates. The Hosmer-Lemehsow test was not used to assess goodness of fit for the logistic models. </w:t>
      </w:r>
      <w:r w:rsidR="006074C8">
        <w:t xml:space="preserve">Simulated outcomes were compared with the Hopkins Lupus Cohort data to observe the fit of the </w:t>
      </w:r>
      <w:r w:rsidR="0068656C">
        <w:t xml:space="preserve">regression </w:t>
      </w:r>
      <w:r w:rsidR="006074C8">
        <w:t>models to the data.</w:t>
      </w:r>
    </w:p>
    <w:p w:rsidR="00EB0286" w:rsidRDefault="00EB0286" w:rsidP="00EB0286">
      <w:pPr>
        <w:pStyle w:val="Heading4"/>
      </w:pPr>
      <w:r>
        <w:t>Statistical Analysis for Average SLEDAI and Steroids</w:t>
      </w:r>
    </w:p>
    <w:p w:rsidR="006074C8" w:rsidRDefault="006074C8" w:rsidP="001E7D3A">
      <w:r>
        <w:t xml:space="preserve">The regression for change in average SLEDAI score and average steroid dose were </w:t>
      </w:r>
      <w:r w:rsidR="00AB5BAB">
        <w:t xml:space="preserve">assumed to be normally distributed and </w:t>
      </w:r>
      <w:r>
        <w:t xml:space="preserve">estimated as linear </w:t>
      </w:r>
      <w:r w:rsidR="0068656C">
        <w:t xml:space="preserve">regression </w:t>
      </w:r>
      <w:r>
        <w:t xml:space="preserve">models. </w:t>
      </w:r>
      <w:r w:rsidR="001E7D3A">
        <w:t>Ordinary Least Squares</w:t>
      </w:r>
      <w:r w:rsidR="007B514D">
        <w:t xml:space="preserve"> (OLS)</w:t>
      </w:r>
      <w:r w:rsidR="001E7D3A">
        <w:t xml:space="preserve"> and p</w:t>
      </w:r>
      <w:r>
        <w:t xml:space="preserve">anel data regression techniques were considered to estimate the population average to adjust for individual patient characteristics. Random intercept </w:t>
      </w:r>
      <w:r w:rsidR="0068656C">
        <w:t xml:space="preserve">regression </w:t>
      </w:r>
      <w:r>
        <w:t xml:space="preserve">models were adopted to allow for dependence among within patient observations in the cohort. The random effects </w:t>
      </w:r>
      <w:r w:rsidR="0068656C">
        <w:t xml:space="preserve">regression </w:t>
      </w:r>
      <w:r>
        <w:t xml:space="preserve">model controls for repeated measures of patients and provides estimates of within–patient effects of covariates. </w:t>
      </w:r>
      <w:r w:rsidR="007B514D">
        <w:t>Whereas the OLS assumes that all observations are uncorrelated.</w:t>
      </w:r>
    </w:p>
    <w:p w:rsidR="006074C8" w:rsidRDefault="006074C8" w:rsidP="006074C8">
      <w:r>
        <w:t xml:space="preserve">The one-way random effects </w:t>
      </w:r>
      <w:r w:rsidR="0068656C">
        <w:t xml:space="preserve">regression </w:t>
      </w:r>
      <w:r>
        <w:t>model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
        <w:gridCol w:w="6914"/>
        <w:gridCol w:w="1022"/>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sSub>
                  <m:sSubPr>
                    <m:ctrlPr>
                      <w:rPr>
                        <w:rFonts w:ascii="Cambria Math" w:hAnsi="Cambria Math"/>
                        <w:i/>
                      </w:rPr>
                    </m:ctrlPr>
                  </m:sSubPr>
                  <m:e>
                    <m:r>
                      <w:rPr>
                        <w:rFonts w:ascii="Cambria Math" w:hAnsi="Cambria Math"/>
                      </w:rPr>
                      <m:t>y</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it</m:t>
                    </m:r>
                  </m:sub>
                </m:sSub>
                <m:sSub>
                  <m:sSubPr>
                    <m:ctrlPr>
                      <w:rPr>
                        <w:rFonts w:ascii="Cambria Math" w:hAnsi="Cambria Math"/>
                        <w:i/>
                      </w:rPr>
                    </m:ctrlPr>
                  </m:sSubPr>
                  <m:e>
                    <m:r>
                      <w:rPr>
                        <w:rFonts w:ascii="Cambria Math" w:hAnsi="Cambria Math"/>
                      </w:rPr>
                      <m:t>β</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ϵ</m:t>
                    </m:r>
                  </m:e>
                  <m:sub>
                    <m:r>
                      <w:rPr>
                        <w:rFonts w:ascii="Cambria Math" w:hAnsi="Cambria Math"/>
                      </w:rPr>
                      <m:t>it</m:t>
                    </m:r>
                  </m:sub>
                </m:sSub>
                <m:r>
                  <w:rPr>
                    <w:rFonts w:ascii="Cambria Math" w:hAnsi="Cambria Math"/>
                  </w:rPr>
                  <m:t xml:space="preserve">,                  </m:t>
                </m:r>
                <m:sSub>
                  <m:sSubPr>
                    <m:ctrlPr>
                      <w:rPr>
                        <w:rFonts w:ascii="Cambria Math" w:hAnsi="Cambria Math"/>
                        <w:i/>
                      </w:rPr>
                    </m:ctrlPr>
                  </m:sSubPr>
                  <m:e>
                    <m:r>
                      <w:rPr>
                        <w:rFonts w:ascii="Cambria Math" w:hAnsi="Cambria Math"/>
                      </w:rPr>
                      <m:t>ϵ</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~N</m:t>
                </m:r>
                <m:d>
                  <m:dPr>
                    <m:ctrlPr>
                      <w:rPr>
                        <w:rFonts w:ascii="Cambria Math" w:hAnsi="Cambria Math"/>
                        <w:i/>
                      </w:rPr>
                    </m:ctrlPr>
                  </m:dPr>
                  <m:e>
                    <m:r>
                      <w:rPr>
                        <w:rFonts w:ascii="Cambria Math" w:hAnsi="Cambria Math"/>
                      </w:rPr>
                      <m:t>0,θ</m:t>
                    </m:r>
                  </m:e>
                </m:d>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~N(0,φ)</m:t>
                </m:r>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EE3395">
      <w:r>
        <w:t xml:space="preserve">where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rPr>
          <w:vertAlign w:val="subscript"/>
        </w:rPr>
        <w:t xml:space="preserve"> </w:t>
      </w:r>
      <w:r>
        <w:t xml:space="preserve">is a 1xk vector of variables that vary over individual and time, and </w:t>
      </w:r>
      <m:oMath>
        <m:sSub>
          <m:sSubPr>
            <m:ctrlPr>
              <w:rPr>
                <w:rFonts w:ascii="Cambria Math" w:hAnsi="Cambria Math"/>
                <w:i/>
              </w:rPr>
            </m:ctrlPr>
          </m:sSubPr>
          <m:e>
            <m:r>
              <w:rPr>
                <w:rFonts w:ascii="Cambria Math" w:hAnsi="Cambria Math"/>
              </w:rPr>
              <m:t>β</m:t>
            </m:r>
          </m:e>
          <m:sub>
            <m:r>
              <w:rPr>
                <w:rFonts w:ascii="Cambria Math" w:hAnsi="Cambria Math"/>
              </w:rPr>
              <m:t>k</m:t>
            </m:r>
          </m:sub>
        </m:sSub>
      </m:oMath>
      <w:r>
        <w:t xml:space="preserve"> is the </w:t>
      </w:r>
      <m:oMath>
        <m:r>
          <w:rPr>
            <w:rFonts w:ascii="Cambria Math" w:hAnsi="Cambria Math"/>
          </w:rPr>
          <m:t>k×1</m:t>
        </m:r>
      </m:oMath>
      <w:r>
        <w:t xml:space="preserve"> vector of coefficients on </w:t>
      </w:r>
      <m:oMath>
        <m:sSub>
          <m:sSubPr>
            <m:ctrlPr>
              <w:rPr>
                <w:rFonts w:ascii="Cambria Math" w:hAnsi="Cambria Math"/>
                <w:i/>
              </w:rPr>
            </m:ctrlPr>
          </m:sSubPr>
          <m:e>
            <m:r>
              <w:rPr>
                <w:rFonts w:ascii="Cambria Math" w:hAnsi="Cambria Math"/>
              </w:rPr>
              <m:t>x</m:t>
            </m:r>
          </m:e>
          <m:sub>
            <m:r>
              <w:rPr>
                <w:rFonts w:ascii="Cambria Math" w:hAnsi="Cambria Math"/>
              </w:rPr>
              <m:t>it</m:t>
            </m:r>
          </m:sub>
        </m:sSub>
      </m:oMath>
      <w:r>
        <w:t xml:space="preserve">,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t xml:space="preserve"> </w:t>
      </w:r>
      <w:r w:rsidR="00320846">
        <w:t>are realisations of the random effects parameter</w:t>
      </w:r>
      <w:r>
        <w:t>, and</w:t>
      </w:r>
      <w:r w:rsidRPr="00690B6D">
        <w:t xml:space="preserve"> </w:t>
      </w:r>
      <w:r>
        <w:t xml:space="preserve">є is the disturbance term </w:t>
      </w:r>
      <w:r w:rsidR="00E729BA">
        <w:fldChar w:fldCharType="begin"/>
      </w:r>
      <w:r w:rsidR="00FC61FD">
        <w:instrText xml:space="preserve"> ADDIN REFMGR.CITE &lt;Refman&gt;&lt;Cite&gt;&lt;Author&gt;Baum&lt;/Author&gt;&lt;Year&gt;2006&lt;/Year&gt;&lt;RecNum&gt;1488&lt;/RecNum&gt;&lt;IDText&gt;An introduction to Modern Econometrics using STATA&lt;/IDText&gt;&lt;MDL Ref_Type="Book, Whole"&gt;&lt;Ref_Type&gt;Book, Whole&lt;/Ref_Type&gt;&lt;Ref_ID&gt;1488&lt;/Ref_ID&gt;&lt;Title_Primary&gt;An introduction to Modern Econometrics using STATA&lt;/Title_Primary&gt;&lt;Authors_Primary&gt;Baum,C&lt;/Authors_Primary&gt;&lt;Date_Primary&gt;2006&lt;/Date_Primary&gt;&lt;Reprint&gt;Not in File&lt;/Reprint&gt;&lt;Pub_Place&gt;College Station&lt;/Pub_Place&gt;&lt;Publisher&gt;Stata press&lt;/Publisher&gt;&lt;ZZ_WorkformID&gt;2&lt;/ZZ_WorkformID&gt;&lt;/MDL&gt;&lt;/Cite&gt;&lt;/Refman&gt;</w:instrText>
      </w:r>
      <w:r w:rsidR="00E729BA">
        <w:fldChar w:fldCharType="separate"/>
      </w:r>
      <w:r w:rsidR="004D7951">
        <w:t>(215)</w:t>
      </w:r>
      <w:r w:rsidR="00E729BA">
        <w:fldChar w:fldCharType="end"/>
      </w:r>
      <w:r>
        <w:t xml:space="preserve">. The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t xml:space="preserve"> are uncorrelated with the regressors in </w:t>
      </w:r>
      <w:r w:rsidRPr="0060354D">
        <w:t>x</w:t>
      </w:r>
      <w:r>
        <w:rPr>
          <w:vertAlign w:val="subscript"/>
        </w:rPr>
        <w:t>i</w:t>
      </w:r>
      <w:r>
        <w:t xml:space="preserve">. </w:t>
      </w:r>
      <w:r w:rsidRPr="0060354D">
        <w:t>The</w:t>
      </w:r>
      <w:r>
        <w:t xml:space="preserve"> combined </w:t>
      </w:r>
      <m:oMath>
        <m:sSub>
          <m:sSubPr>
            <m:ctrlPr>
              <w:rPr>
                <w:rFonts w:ascii="Cambria Math" w:hAnsi="Cambria Math"/>
                <w:i/>
              </w:rPr>
            </m:ctrlPr>
          </m:sSubPr>
          <m:e>
            <m:r>
              <w:rPr>
                <w:rFonts w:ascii="Cambria Math" w:hAnsi="Cambria Math"/>
              </w:rPr>
              <m:t>ζ</m:t>
            </m:r>
          </m:e>
          <m:sub>
            <m:r>
              <w:rPr>
                <w:rFonts w:ascii="Cambria Math" w:hAnsi="Cambria Math"/>
              </w:rPr>
              <m:t>i</m:t>
            </m:r>
          </m:sub>
        </m:sSub>
        <m:r>
          <m:rPr>
            <m:sty m:val="p"/>
          </m:rPr>
          <w:rPr>
            <w:rFonts w:ascii="Cambria Math" w:hAnsi="Cambria Math"/>
          </w:rPr>
          <m:t>+</m:t>
        </m:r>
        <m:sSub>
          <m:sSubPr>
            <m:ctrlPr>
              <w:rPr>
                <w:rFonts w:ascii="Cambria Math" w:hAnsi="Cambria Math"/>
                <w:vertAlign w:val="subscript"/>
              </w:rPr>
            </m:ctrlPr>
          </m:sSubPr>
          <m:e>
            <m:r>
              <m:rPr>
                <m:sty m:val="p"/>
              </m:rPr>
              <w:rPr>
                <w:rFonts w:ascii="Cambria Math" w:hAnsi="Cambria Math"/>
              </w:rPr>
              <m:t>є</m:t>
            </m:r>
          </m:e>
          <m:sub>
            <m:r>
              <m:rPr>
                <m:sty m:val="p"/>
              </m:rPr>
              <w:rPr>
                <w:rFonts w:ascii="Cambria Math" w:hAnsi="Cambria Math"/>
                <w:vertAlign w:val="subscript"/>
              </w:rPr>
              <m:t>it</m:t>
            </m:r>
          </m:sub>
        </m:sSub>
      </m:oMath>
      <w:r>
        <w:t xml:space="preserve"> are often referred to as the composite-error term. As such, the individual effect was equivalent to a random draw. The random effects </w:t>
      </w:r>
      <w:r w:rsidR="0068656C">
        <w:t xml:space="preserve">regression </w:t>
      </w:r>
      <w:r>
        <w:t xml:space="preserve">model identifies the population parameter that describes the individual level heterogeneity </w:t>
      </w:r>
      <w:r w:rsidR="00320846">
        <w:t>in disease severity</w:t>
      </w:r>
      <w:r>
        <w:t xml:space="preserve">. </w:t>
      </w:r>
    </w:p>
    <w:p w:rsidR="006074C8" w:rsidRPr="00DF270D" w:rsidRDefault="006074C8" w:rsidP="00320846">
      <w:r>
        <w:t>R</w:t>
      </w:r>
      <w:r>
        <w:rPr>
          <w:vertAlign w:val="superscript"/>
        </w:rPr>
        <w:t xml:space="preserve">2 </w:t>
      </w:r>
      <w:r>
        <w:t>was used to describe the goodness of fit of the</w:t>
      </w:r>
      <w:r w:rsidR="0068656C">
        <w:t xml:space="preserve"> regression</w:t>
      </w:r>
      <w:r>
        <w:t xml:space="preserve"> model by expressing the variation in the outcome of the </w:t>
      </w:r>
      <w:r w:rsidR="0068656C">
        <w:t xml:space="preserve">regression </w:t>
      </w:r>
      <w:r>
        <w:t>model that was described by the covariates in the Ordinary Least Squares (OLS) regression model. Overall R</w:t>
      </w:r>
      <w:r>
        <w:rPr>
          <w:vertAlign w:val="superscript"/>
        </w:rPr>
        <w:t>2</w:t>
      </w:r>
      <w:r>
        <w:t xml:space="preserve"> was reported for the random effects </w:t>
      </w:r>
      <w:r w:rsidR="0068656C">
        <w:t xml:space="preserve">regression </w:t>
      </w:r>
      <w:r>
        <w:t>model to express the variation in outcome that was described by the covariate and random effects parameter. These statistics can be used to assess the relative merit of alternative</w:t>
      </w:r>
      <w:r w:rsidR="0068656C">
        <w:t xml:space="preserve"> </w:t>
      </w:r>
      <w:r w:rsidR="00320846">
        <w:t>covariate</w:t>
      </w:r>
      <w:r>
        <w:t xml:space="preserve"> specifications. </w:t>
      </w:r>
    </w:p>
    <w:p w:rsidR="001E7D3A" w:rsidRDefault="001E7D3A" w:rsidP="001E7D3A">
      <w:pPr>
        <w:pStyle w:val="Heading4"/>
      </w:pPr>
      <w:r>
        <w:t>Statistical Analysis for Organ damage and Mortality</w:t>
      </w:r>
    </w:p>
    <w:p w:rsidR="006074C8" w:rsidRDefault="006074C8" w:rsidP="00320846">
      <w:r>
        <w:t xml:space="preserve">Organ damage and mortality were analysed using parametric survival regression with time-dependent covariates. </w:t>
      </w:r>
      <w:bookmarkStart w:id="272" w:name="_Toc277943636"/>
      <w:bookmarkStart w:id="273" w:name="_Toc278533922"/>
      <w:bookmarkStart w:id="274" w:name="_Toc278533982"/>
      <w:bookmarkStart w:id="275" w:name="_Toc279009253"/>
      <w:r>
        <w:t xml:space="preserve">The exponential, Weibull, Gompertz and Loglogistic parametric </w:t>
      </w:r>
      <w:r w:rsidR="0068656C">
        <w:t xml:space="preserve">regression </w:t>
      </w:r>
      <w:r>
        <w:t xml:space="preserve">models were considered to describe the parametric form for these analyses. </w:t>
      </w:r>
      <w:r w:rsidR="00EE3395">
        <w:t xml:space="preserve">The Log-Normal and Gamma were not considered for the analysis at the request of GlaxoSmithKline to avoid added complexity in simulating the events. </w:t>
      </w:r>
    </w:p>
    <w:p w:rsidR="006074C8" w:rsidRDefault="006074C8" w:rsidP="006074C8">
      <w:r>
        <w:t>The likelihood function for all of the parametric</w:t>
      </w:r>
      <w:r w:rsidR="00441C08">
        <w:t xml:space="preserve"> survival</w:t>
      </w:r>
      <w:r>
        <w:t xml:space="preserve"> </w:t>
      </w:r>
      <w:r w:rsidR="0068656C">
        <w:t xml:space="preserve">regression </w:t>
      </w:r>
      <w:r>
        <w:t>models can be written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
        <w:gridCol w:w="6876"/>
        <w:gridCol w:w="1050"/>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320846">
            <m:oMathPara>
              <m:oMath>
                <m:r>
                  <w:rPr>
                    <w:rFonts w:ascii="Cambria Math" w:hAnsi="Cambria Math"/>
                  </w:rPr>
                  <m:t>L(</m:t>
                </m:r>
                <m:sSub>
                  <m:sSubPr>
                    <m:ctrlPr>
                      <w:rPr>
                        <w:rFonts w:ascii="Cambria Math" w:hAnsi="Cambria Math"/>
                        <w:i/>
                      </w:rPr>
                    </m:ctrlPr>
                  </m:sSubPr>
                  <m:e>
                    <m:r>
                      <w:rPr>
                        <w:rFonts w:ascii="Cambria Math" w:hAnsi="Cambria Math"/>
                      </w:rPr>
                      <m:t>β</m:t>
                    </m:r>
                  </m:e>
                  <m:sub>
                    <m:r>
                      <w:rPr>
                        <w:rFonts w:ascii="Cambria Math" w:hAnsi="Cambria Math"/>
                      </w:rPr>
                      <m:t>x</m:t>
                    </m:r>
                  </m:sub>
                </m:sSub>
                <m:r>
                  <w:rPr>
                    <w:rFonts w:ascii="Cambria Math" w:hAnsi="Cambria Math"/>
                  </w:rPr>
                  <m:t>,Θ)=</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f>
                      <m:fPr>
                        <m:ctrlPr>
                          <w:rPr>
                            <w:rFonts w:ascii="Cambria Math" w:hAnsi="Cambria Math"/>
                            <w:i/>
                          </w:rPr>
                        </m:ctrlPr>
                      </m:fPr>
                      <m:num>
                        <m:r>
                          <w:rPr>
                            <w:rFonts w:ascii="Cambria Math" w:hAnsi="Cambria Math"/>
                          </w:rPr>
                          <m:t>S(</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x</m:t>
                            </m:r>
                          </m:sub>
                        </m:sSub>
                        <m:r>
                          <w:rPr>
                            <w:rFonts w:ascii="Cambria Math" w:hAnsi="Cambria Math"/>
                          </w:rPr>
                          <m:t>,Θ)</m:t>
                        </m:r>
                      </m:num>
                      <m:den>
                        <m:r>
                          <w:rPr>
                            <w:rFonts w:ascii="Cambria Math" w:hAnsi="Cambria Math"/>
                          </w:rPr>
                          <m:t>S(</m:t>
                        </m:r>
                        <m:sSub>
                          <m:sSubPr>
                            <m:ctrlPr>
                              <w:rPr>
                                <w:rFonts w:ascii="Cambria Math" w:hAnsi="Cambria Math"/>
                                <w:i/>
                              </w:rPr>
                            </m:ctrlPr>
                          </m:sSubPr>
                          <m:e>
                            <m:r>
                              <w:rPr>
                                <w:rFonts w:ascii="Cambria Math" w:hAnsi="Cambria Math"/>
                              </w:rPr>
                              <m:t>t</m:t>
                            </m:r>
                          </m:e>
                          <m:sub>
                            <m:r>
                              <w:rPr>
                                <w:rFonts w:ascii="Cambria Math" w:hAnsi="Cambria Math"/>
                              </w:rPr>
                              <m:t>0i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x</m:t>
                            </m:r>
                          </m:sub>
                        </m:sSub>
                        <m:r>
                          <w:rPr>
                            <w:rFonts w:ascii="Cambria Math" w:hAnsi="Cambria Math"/>
                          </w:rPr>
                          <m:t>,Θ)</m:t>
                        </m:r>
                      </m:den>
                    </m:f>
                  </m:e>
                </m:nary>
                <m:r>
                  <w:rPr>
                    <w:rFonts w:ascii="Cambria Math" w:hAnsi="Cambria Math"/>
                  </w:rPr>
                  <m:t>h</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β</m:t>
                            </m:r>
                          </m:e>
                          <m:sub>
                            <m:r>
                              <w:rPr>
                                <w:rFonts w:ascii="Cambria Math" w:hAnsi="Cambria Math"/>
                              </w:rPr>
                              <m:t>x</m:t>
                            </m:r>
                          </m:sub>
                        </m:sSub>
                        <m:r>
                          <w:rPr>
                            <w:rFonts w:ascii="Cambria Math" w:hAnsi="Cambria Math"/>
                          </w:rPr>
                          <m:t>,Θ</m:t>
                        </m:r>
                      </m:e>
                    </m:d>
                  </m:e>
                  <m:sup>
                    <m:sSub>
                      <m:sSubPr>
                        <m:ctrlPr>
                          <w:rPr>
                            <w:rFonts w:ascii="Cambria Math" w:hAnsi="Cambria Math"/>
                            <w:i/>
                          </w:rPr>
                        </m:ctrlPr>
                      </m:sSubPr>
                      <m:e>
                        <m:r>
                          <w:rPr>
                            <w:rFonts w:ascii="Cambria Math" w:hAnsi="Cambria Math"/>
                          </w:rPr>
                          <m:t>δ</m:t>
                        </m:r>
                      </m:e>
                      <m:sub>
                        <m:r>
                          <w:rPr>
                            <w:rFonts w:ascii="Cambria Math" w:hAnsi="Cambria Math"/>
                          </w:rPr>
                          <m:t>i</m:t>
                        </m:r>
                      </m:sub>
                    </m:sSub>
                  </m:sup>
                </m:sSup>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320846">
      <m:oMath>
        <m:r>
          <w:rPr>
            <w:rFonts w:ascii="Cambria Math" w:hAnsi="Cambria Math"/>
          </w:rPr>
          <m:t>S</m:t>
        </m:r>
        <m:r>
          <m:rPr>
            <m:sty m:val="p"/>
          </m:rPr>
          <w:rPr>
            <w:rFonts w:ascii="Cambria Math" w:hAnsi="Cambria Math"/>
          </w:rPr>
          <m:t>()</m:t>
        </m:r>
      </m:oMath>
      <w:r>
        <w:t xml:space="preserve"> describes the survival function for the model and </w:t>
      </w:r>
      <m:oMath>
        <m:r>
          <w:rPr>
            <w:rFonts w:ascii="Cambria Math" w:hAnsi="Cambria Math"/>
          </w:rPr>
          <m:t>h</m:t>
        </m:r>
        <m:r>
          <m:rPr>
            <m:sty m:val="p"/>
          </m:rPr>
          <w:rPr>
            <w:rFonts w:ascii="Cambria Math" w:hAnsi="Cambria Math"/>
          </w:rPr>
          <m:t>()</m:t>
        </m:r>
      </m:oMath>
      <w:r>
        <w:t xml:space="preserve"> is the hazard</w:t>
      </w:r>
      <w:r w:rsidR="00320846">
        <w:t xml:space="preserve"> function</w:t>
      </w:r>
      <w:r w:rsidR="00320846" w:rsidRPr="00320846">
        <w:t xml:space="preserve"> </w:t>
      </w:r>
      <w:r w:rsidR="00320846" w:rsidRPr="00553AF0">
        <w:t>with</w:t>
      </w:r>
      <w:r w:rsidR="00320846" w:rsidRPr="00320846">
        <w:rPr>
          <w:i/>
          <w:iCs/>
        </w:rPr>
        <w:t xml:space="preserve"> i</w:t>
      </w:r>
      <w:r w:rsidR="00320846">
        <w:t xml:space="preserve"> the patient. The likelihood uses time in the current period </w:t>
      </w:r>
      <m:oMath>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oMath>
      <w:r w:rsidR="00320846">
        <w:t xml:space="preserve"> time in the previous period </w:t>
      </w:r>
      <m:oMath>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i</m:t>
            </m:r>
          </m:sub>
        </m:sSub>
        <m:r>
          <m:rPr>
            <m:sty m:val="p"/>
          </m:rPr>
          <w:rPr>
            <w:rFonts w:ascii="Cambria Math" w:hAnsi="Cambria Math"/>
          </w:rPr>
          <m:t>,</m:t>
        </m:r>
      </m:oMath>
      <w:r w:rsidR="00320846">
        <w:t xml:space="preserve"> covariates </w:t>
      </w:r>
      <m:oMath>
        <m:sSub>
          <m:sSubPr>
            <m:ctrlPr>
              <w:rPr>
                <w:rFonts w:ascii="Cambria Math" w:hAnsi="Cambria Math"/>
              </w:rPr>
            </m:ctrlPr>
          </m:sSubPr>
          <m:e>
            <m:r>
              <w:rPr>
                <w:rFonts w:ascii="Cambria Math" w:hAnsi="Cambria Math"/>
              </w:rPr>
              <m:t>x</m:t>
            </m:r>
          </m:e>
          <m:sub>
            <m:r>
              <w:rPr>
                <w:rFonts w:ascii="Cambria Math" w:hAnsi="Cambria Math"/>
              </w:rPr>
              <m:t>i</m:t>
            </m:r>
          </m:sub>
        </m:sSub>
      </m:oMath>
      <w:r w:rsidR="00320846">
        <w:t xml:space="preserve">, and an indicator variable for censoring </w:t>
      </w:r>
      <m:oMath>
        <m:sSub>
          <m:sSubPr>
            <m:ctrlPr>
              <w:rPr>
                <w:rFonts w:ascii="Cambria Math" w:hAnsi="Cambria Math"/>
              </w:rPr>
            </m:ctrlPr>
          </m:sSubPr>
          <m:e>
            <m:r>
              <w:rPr>
                <w:rFonts w:ascii="Cambria Math" w:hAnsi="Cambria Math"/>
              </w:rPr>
              <m:t>δ</m:t>
            </m:r>
          </m:e>
          <m:sub>
            <m:r>
              <w:rPr>
                <w:rFonts w:ascii="Cambria Math" w:hAnsi="Cambria Math"/>
              </w:rPr>
              <m:t>i</m:t>
            </m:r>
          </m:sub>
        </m:sSub>
      </m:oMath>
      <w:r w:rsidR="00320846">
        <w:t xml:space="preserve">, </w:t>
      </w:r>
      <w:r>
        <w:t>which were observed in the data</w:t>
      </w:r>
      <w:r w:rsidR="00320846">
        <w:t xml:space="preserve">. The baseline hazard </w:t>
      </w:r>
      <m:oMath>
        <m:sSub>
          <m:sSubPr>
            <m:ctrlPr>
              <w:rPr>
                <w:rFonts w:ascii="Cambria Math" w:hAnsi="Cambria Math"/>
              </w:rPr>
            </m:ctrlPr>
          </m:sSubPr>
          <m:e>
            <m:r>
              <w:rPr>
                <w:rFonts w:ascii="Cambria Math" w:hAnsi="Cambria Math"/>
              </w:rPr>
              <m:t>β</m:t>
            </m:r>
          </m:e>
          <m:sub>
            <m:r>
              <m:rPr>
                <m:sty m:val="p"/>
              </m:rPr>
              <w:rPr>
                <w:rFonts w:ascii="Cambria Math" w:hAnsi="Cambria Math"/>
              </w:rPr>
              <m:t>0</m:t>
            </m:r>
          </m:sub>
        </m:sSub>
      </m:oMath>
      <w:r w:rsidR="00320846">
        <w:t xml:space="preserve">, log-hazard ratios, </w:t>
      </w:r>
      <m:oMath>
        <m:sSub>
          <m:sSubPr>
            <m:ctrlPr>
              <w:rPr>
                <w:rFonts w:ascii="Cambria Math" w:hAnsi="Cambria Math"/>
              </w:rPr>
            </m:ctrlPr>
          </m:sSubPr>
          <m:e>
            <m:r>
              <w:rPr>
                <w:rFonts w:ascii="Cambria Math" w:hAnsi="Cambria Math"/>
              </w:rPr>
              <m:t>β</m:t>
            </m:r>
          </m:e>
          <m:sub>
            <m:r>
              <w:rPr>
                <w:rFonts w:ascii="Cambria Math" w:hAnsi="Cambria Math"/>
              </w:rPr>
              <m:t>x</m:t>
            </m:r>
          </m:sub>
        </m:sSub>
      </m:oMath>
      <w:r w:rsidR="00320846">
        <w:t xml:space="preserve">, and additional shape parameters required for some functional forms </w:t>
      </w:r>
      <m:oMath>
        <m:r>
          <m:rPr>
            <m:sty m:val="p"/>
          </m:rPr>
          <w:rPr>
            <w:rFonts w:ascii="Cambria Math" w:hAnsi="Cambria Math"/>
          </w:rPr>
          <m:t>,</m:t>
        </m:r>
        <m:r>
          <w:rPr>
            <w:rFonts w:ascii="Cambria Math" w:hAnsi="Cambria Math"/>
          </w:rPr>
          <m:t>Θ,</m:t>
        </m:r>
      </m:oMath>
      <w:r>
        <w:t xml:space="preserve"> were parameters estimated from the data. The first part of the likelihood expresses the probability of survival from </w:t>
      </w:r>
      <m:oMath>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i</m:t>
            </m:r>
          </m:sub>
        </m:sSub>
      </m:oMath>
      <w:r>
        <w:t xml:space="preserve"> until</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i</m:t>
            </m:r>
          </m:sub>
        </m:sSub>
      </m:oMath>
      <w:r>
        <w:t xml:space="preserve">. It should be noted that when </w:t>
      </w:r>
      <m:oMath>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i</m:t>
            </m:r>
          </m:sub>
        </m:sSub>
        <m:r>
          <m:rPr>
            <m:sty m:val="p"/>
          </m:rPr>
          <w:rPr>
            <w:rFonts w:ascii="Cambria Math" w:hAnsi="Cambria Math"/>
          </w:rPr>
          <m:t>=0,</m:t>
        </m:r>
        <m:r>
          <w:rPr>
            <w:rFonts w:ascii="Cambria Math" w:hAnsi="Cambria Math"/>
          </w:rPr>
          <m:t>S</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i</m:t>
                </m:r>
              </m:sub>
            </m:sSub>
            <m:sSub>
              <m:sSubPr>
                <m:ctrlPr>
                  <w:rPr>
                    <w:rFonts w:ascii="Cambria Math" w:hAnsi="Cambria Math"/>
                  </w:rPr>
                </m:ctrlPr>
              </m:sSubPr>
              <m:e>
                <m:r>
                  <w:rPr>
                    <w:rFonts w:ascii="Cambria Math" w:hAnsi="Cambria Math"/>
                  </w:rPr>
                  <m:t>β</m:t>
                </m:r>
              </m:e>
              <m:sub>
                <m:r>
                  <w:rPr>
                    <w:rFonts w:ascii="Cambria Math" w:hAnsi="Cambria Math"/>
                  </w:rPr>
                  <m:t>x</m:t>
                </m:r>
              </m:sub>
            </m:sSub>
            <m:r>
              <m:rPr>
                <m:sty m:val="p"/>
              </m:rPr>
              <w:rPr>
                <w:rFonts w:ascii="Cambria Math" w:hAnsi="Cambria Math"/>
              </w:rPr>
              <m:t>,</m:t>
            </m:r>
            <m:r>
              <w:rPr>
                <w:rFonts w:ascii="Cambria Math" w:hAnsi="Cambria Math"/>
              </w:rPr>
              <m:t>Θ</m:t>
            </m:r>
          </m:e>
        </m:d>
        <m:r>
          <m:rPr>
            <m:sty m:val="p"/>
          </m:rPr>
          <w:rPr>
            <w:rFonts w:ascii="Cambria Math" w:hAnsi="Cambria Math"/>
          </w:rPr>
          <m:t>=1</m:t>
        </m:r>
      </m:oMath>
      <w:r>
        <w:t xml:space="preserve"> the likelihood corresponds to the time-constant covariate form. The last part contributes the hazard if the time span </w:t>
      </w:r>
      <m:oMath>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i</m:t>
            </m:r>
          </m:sub>
        </m:sSub>
      </m:oMath>
      <w:r>
        <w:t xml:space="preserve"> to</w:t>
      </w: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w:rPr>
                <w:rFonts w:ascii="Cambria Math" w:hAnsi="Cambria Math"/>
              </w:rPr>
              <m:t>i</m:t>
            </m:r>
          </m:sub>
        </m:sSub>
      </m:oMath>
      <w:r>
        <w:t xml:space="preserve"> ends in a failure, </w:t>
      </w:r>
      <m:oMath>
        <m:sSub>
          <m:sSubPr>
            <m:ctrlPr>
              <w:rPr>
                <w:rFonts w:ascii="Cambria Math" w:hAnsi="Cambria Math"/>
              </w:rPr>
            </m:ctrlPr>
          </m:sSubPr>
          <m:e>
            <m:r>
              <w:rPr>
                <w:rFonts w:ascii="Cambria Math" w:hAnsi="Cambria Math"/>
              </w:rPr>
              <m:t>δ</m:t>
            </m:r>
          </m:e>
          <m:sub>
            <m:r>
              <w:rPr>
                <w:rFonts w:ascii="Cambria Math" w:hAnsi="Cambria Math"/>
              </w:rPr>
              <m:t>i</m:t>
            </m:r>
          </m:sub>
        </m:sSub>
        <m:r>
          <m:rPr>
            <m:sty m:val="p"/>
          </m:rPr>
          <w:rPr>
            <w:rFonts w:ascii="Cambria Math" w:hAnsi="Cambria Math"/>
          </w:rPr>
          <m:t>=1</m:t>
        </m:r>
      </m:oMath>
      <w:r>
        <w:t xml:space="preserve">, and one if the span was </w:t>
      </w:r>
      <w:r w:rsidR="0016510D">
        <w:t>censored. Table</w:t>
      </w:r>
      <w:r w:rsidR="005E31CE">
        <w:t xml:space="preserve"> </w:t>
      </w:r>
      <w:r>
        <w:t>details the forms of the hazard and survivor functions for each of the parametric models.</w:t>
      </w:r>
    </w:p>
    <w:p w:rsidR="007B514D" w:rsidRDefault="007802D7" w:rsidP="00CD4E0C">
      <w:r>
        <w:t>Frailty models can be employed in survival analysis to describe heterogeneity in individual’s propensity for organ damage</w:t>
      </w:r>
      <w:r w:rsidR="00CD4E0C">
        <w:t xml:space="preserve"> </w:t>
      </w:r>
      <w:r w:rsidR="00E729BA">
        <w:fldChar w:fldCharType="begin"/>
      </w:r>
      <w:r w:rsidR="00FC61FD">
        <w:instrText xml:space="preserve"> ADDIN REFMGR.CITE &lt;Refman&gt;&lt;Cite&gt;&lt;Author&gt;Cleves&lt;/Author&gt;&lt;Year&gt;2008&lt;/Year&gt;&lt;RecNum&gt;1489&lt;/RecNum&gt;&lt;IDText&gt;An Introduction to Surival Analysis using Stata&lt;/IDText&gt;&lt;MDL Ref_Type="Book, Whole"&gt;&lt;Ref_Type&gt;Book, Whole&lt;/Ref_Type&gt;&lt;Ref_ID&gt;1489&lt;/Ref_ID&gt;&lt;Title_Primary&gt;An Introduction to Surival Analysis using Stata&lt;/Title_Primary&gt;&lt;Authors_Primary&gt;Cleves,M&lt;/Authors_Primary&gt;&lt;Authors_Primary&gt;Gould,W&lt;/Authors_Primary&gt;&lt;Authors_Primary&gt;Gutierrez,R&lt;/Authors_Primary&gt;&lt;Authors_Primary&gt;Marachenko,Y&lt;/Authors_Primary&gt;&lt;Date_Primary&gt;2008&lt;/Date_Primary&gt;&lt;Keywords&gt;analysis&lt;/Keywords&gt;&lt;Reprint&gt;Not in File&lt;/Reprint&gt;&lt;Volume&gt;Second Edition&lt;/Volume&gt;&lt;Pub_Place&gt;College Station&lt;/Pub_Place&gt;&lt;Publisher&gt;Stata press&lt;/Publisher&gt;&lt;ZZ_WorkformID&gt;2&lt;/ZZ_WorkformID&gt;&lt;/MDL&gt;&lt;/Cite&gt;&lt;/Refman&gt;</w:instrText>
      </w:r>
      <w:r w:rsidR="00E729BA">
        <w:fldChar w:fldCharType="separate"/>
      </w:r>
      <w:r w:rsidR="004D7951">
        <w:t>(216)</w:t>
      </w:r>
      <w:r w:rsidR="00E729BA">
        <w:fldChar w:fldCharType="end"/>
      </w:r>
      <w:r w:rsidR="00CD4E0C">
        <w:t>. This method was tested but not included in the final model specification. Details on the results of these analyses can be found in Appendix 8.</w:t>
      </w:r>
      <w:bookmarkStart w:id="276" w:name="_Ref331169422"/>
    </w:p>
    <w:p w:rsidR="007B514D" w:rsidRDefault="007B514D" w:rsidP="007B514D">
      <w:r>
        <w:t>All covariates, other than age and disease duration, are assumed to be linearly related to the risk of the event. For most outcomes this assumption was considered reasonable, although very little information was available from the literature. The linear relationship between Adjusted Mean SLEDAI and mortality fit better than a logged transformation. However, given the weights of the SLEDAI it is possible that a non-linear association exists between Adjusted Mean SLEDAI and mortality, however it was challenging to specify a clinically relevant functional form.</w:t>
      </w:r>
    </w:p>
    <w:p w:rsidR="006074C8" w:rsidRDefault="006074C8" w:rsidP="002B5C9D">
      <w:bookmarkStart w:id="277" w:name="_Ref355287857"/>
      <w:r>
        <w:t xml:space="preserve">Table </w:t>
      </w:r>
      <w:fldSimple w:instr=" SEQ Table \* ARABIC ">
        <w:r w:rsidR="004911B7">
          <w:rPr>
            <w:noProof/>
          </w:rPr>
          <w:t>22</w:t>
        </w:r>
      </w:fldSimple>
      <w:bookmarkEnd w:id="276"/>
      <w:bookmarkEnd w:id="277"/>
      <w:r>
        <w:t xml:space="preserve">: The functional form of the parametric models </w:t>
      </w:r>
      <w:r w:rsidR="00E729BA">
        <w:fldChar w:fldCharType="begin"/>
      </w:r>
      <w:r w:rsidR="00FC61FD">
        <w:instrText xml:space="preserve"> ADDIN REFMGR.CITE &lt;Refman&gt;&lt;Cite&gt;&lt;Author&gt;Cleves&lt;/Author&gt;&lt;Year&gt;2008&lt;/Year&gt;&lt;RecNum&gt;1489&lt;/RecNum&gt;&lt;IDText&gt;An Introduction to Surival Analysis using Stata&lt;/IDText&gt;&lt;MDL Ref_Type="Book, Whole"&gt;&lt;Ref_Type&gt;Book, Whole&lt;/Ref_Type&gt;&lt;Ref_ID&gt;1489&lt;/Ref_ID&gt;&lt;Title_Primary&gt;An Introduction to Surival Analysis using Stata&lt;/Title_Primary&gt;&lt;Authors_Primary&gt;Cleves,M&lt;/Authors_Primary&gt;&lt;Authors_Primary&gt;Gould,W&lt;/Authors_Primary&gt;&lt;Authors_Primary&gt;Gutierrez,R&lt;/Authors_Primary&gt;&lt;Authors_Primary&gt;Marachenko,Y&lt;/Authors_Primary&gt;&lt;Date_Primary&gt;2008&lt;/Date_Primary&gt;&lt;Keywords&gt;analysis&lt;/Keywords&gt;&lt;Reprint&gt;Not in File&lt;/Reprint&gt;&lt;Volume&gt;Second Edition&lt;/Volume&gt;&lt;Pub_Place&gt;College Station&lt;/Pub_Place&gt;&lt;Publisher&gt;Stata press&lt;/Publisher&gt;&lt;ZZ_WorkformID&gt;2&lt;/ZZ_WorkformID&gt;&lt;/MDL&gt;&lt;/Cite&gt;&lt;/Refman&gt;</w:instrText>
      </w:r>
      <w:r w:rsidR="00E729BA">
        <w:fldChar w:fldCharType="separate"/>
      </w:r>
      <w:r w:rsidR="004D7951">
        <w:t>(216)</w:t>
      </w:r>
      <w:r w:rsidR="00E729BA">
        <w:fldChar w:fldCharType="end"/>
      </w:r>
    </w:p>
    <w:tbl>
      <w:tblPr>
        <w:tblW w:w="8313" w:type="dxa"/>
        <w:tblInd w:w="108" w:type="dxa"/>
        <w:tblBorders>
          <w:top w:val="single" w:sz="8" w:space="0" w:color="auto"/>
          <w:bottom w:val="single" w:sz="8" w:space="0" w:color="auto"/>
        </w:tblBorders>
        <w:tblCellMar>
          <w:left w:w="57" w:type="dxa"/>
          <w:right w:w="57" w:type="dxa"/>
        </w:tblCellMar>
        <w:tblLook w:val="04A0"/>
      </w:tblPr>
      <w:tblGrid>
        <w:gridCol w:w="1312"/>
        <w:gridCol w:w="2090"/>
        <w:gridCol w:w="2076"/>
        <w:gridCol w:w="1417"/>
        <w:gridCol w:w="1418"/>
      </w:tblGrid>
      <w:tr w:rsidR="006074C8" w:rsidTr="00DD3003">
        <w:tc>
          <w:tcPr>
            <w:tcW w:w="1312" w:type="dxa"/>
            <w:tcBorders>
              <w:top w:val="single" w:sz="12" w:space="0" w:color="auto"/>
              <w:bottom w:val="single" w:sz="4" w:space="0" w:color="auto"/>
            </w:tcBorders>
          </w:tcPr>
          <w:p w:rsidR="006074C8" w:rsidRPr="006C410E" w:rsidRDefault="006074C8" w:rsidP="00A14ADC">
            <w:pPr>
              <w:rPr>
                <w:sz w:val="20"/>
                <w:lang w:eastAsia="nl-NL"/>
              </w:rPr>
            </w:pPr>
            <w:r w:rsidRPr="006C410E">
              <w:rPr>
                <w:sz w:val="20"/>
                <w:lang w:eastAsia="nl-NL"/>
              </w:rPr>
              <w:t>Survival curve</w:t>
            </w:r>
          </w:p>
        </w:tc>
        <w:tc>
          <w:tcPr>
            <w:tcW w:w="2090" w:type="dxa"/>
            <w:tcBorders>
              <w:top w:val="single" w:sz="12" w:space="0" w:color="auto"/>
              <w:bottom w:val="single" w:sz="4" w:space="0" w:color="auto"/>
            </w:tcBorders>
          </w:tcPr>
          <w:p w:rsidR="006074C8" w:rsidRPr="006C410E" w:rsidRDefault="006074C8" w:rsidP="00A14ADC">
            <w:pPr>
              <w:rPr>
                <w:sz w:val="20"/>
                <w:lang w:eastAsia="nl-NL"/>
              </w:rPr>
            </w:pPr>
            <w:r>
              <w:rPr>
                <w:sz w:val="20"/>
                <w:lang w:eastAsia="nl-NL"/>
              </w:rPr>
              <w:t>Survivor function</w:t>
            </w:r>
          </w:p>
        </w:tc>
        <w:tc>
          <w:tcPr>
            <w:tcW w:w="2076" w:type="dxa"/>
            <w:tcBorders>
              <w:top w:val="single" w:sz="12" w:space="0" w:color="auto"/>
              <w:bottom w:val="single" w:sz="4" w:space="0" w:color="auto"/>
            </w:tcBorders>
          </w:tcPr>
          <w:p w:rsidR="006074C8" w:rsidRPr="006C410E" w:rsidRDefault="006074C8" w:rsidP="00A14ADC">
            <w:pPr>
              <w:rPr>
                <w:sz w:val="20"/>
                <w:lang w:eastAsia="nl-NL"/>
              </w:rPr>
            </w:pPr>
            <w:r>
              <w:rPr>
                <w:sz w:val="20"/>
                <w:lang w:eastAsia="nl-NL"/>
              </w:rPr>
              <w:t>Hazard function</w:t>
            </w:r>
          </w:p>
        </w:tc>
        <w:tc>
          <w:tcPr>
            <w:tcW w:w="1417" w:type="dxa"/>
            <w:tcBorders>
              <w:top w:val="single" w:sz="12" w:space="0" w:color="auto"/>
              <w:bottom w:val="single" w:sz="4" w:space="0" w:color="auto"/>
            </w:tcBorders>
          </w:tcPr>
          <w:p w:rsidR="006074C8" w:rsidRPr="006C410E" w:rsidRDefault="006074C8" w:rsidP="00A14ADC">
            <w:pPr>
              <w:rPr>
                <w:sz w:val="20"/>
                <w:lang w:eastAsia="nl-NL"/>
              </w:rPr>
            </w:pPr>
            <w:r w:rsidRPr="006C410E">
              <w:rPr>
                <w:sz w:val="20"/>
                <w:lang w:eastAsia="nl-NL"/>
              </w:rPr>
              <w:t>Par</w:t>
            </w:r>
            <w:r>
              <w:rPr>
                <w:sz w:val="20"/>
                <w:lang w:eastAsia="nl-NL"/>
              </w:rPr>
              <w:t>ameter</w:t>
            </w:r>
            <w:r w:rsidRPr="006C410E">
              <w:rPr>
                <w:sz w:val="20"/>
                <w:lang w:eastAsia="nl-NL"/>
              </w:rPr>
              <w:t xml:space="preserve"> 1</w:t>
            </w:r>
          </w:p>
        </w:tc>
        <w:tc>
          <w:tcPr>
            <w:tcW w:w="1418" w:type="dxa"/>
            <w:tcBorders>
              <w:top w:val="single" w:sz="12" w:space="0" w:color="auto"/>
              <w:bottom w:val="single" w:sz="4" w:space="0" w:color="auto"/>
            </w:tcBorders>
          </w:tcPr>
          <w:p w:rsidR="006074C8" w:rsidRPr="006C410E" w:rsidRDefault="006074C8" w:rsidP="00A14ADC">
            <w:pPr>
              <w:rPr>
                <w:sz w:val="20"/>
                <w:lang w:eastAsia="nl-NL"/>
              </w:rPr>
            </w:pPr>
            <w:r w:rsidRPr="006C410E">
              <w:rPr>
                <w:sz w:val="20"/>
                <w:lang w:eastAsia="nl-NL"/>
              </w:rPr>
              <w:t>Par</w:t>
            </w:r>
            <w:r>
              <w:rPr>
                <w:sz w:val="20"/>
                <w:lang w:eastAsia="nl-NL"/>
              </w:rPr>
              <w:t>ameter</w:t>
            </w:r>
            <w:r w:rsidRPr="006C410E">
              <w:rPr>
                <w:sz w:val="20"/>
                <w:lang w:eastAsia="nl-NL"/>
              </w:rPr>
              <w:t xml:space="preserve"> 2</w:t>
            </w:r>
          </w:p>
        </w:tc>
      </w:tr>
      <w:tr w:rsidR="006074C8" w:rsidTr="00DD3003">
        <w:tc>
          <w:tcPr>
            <w:tcW w:w="1312" w:type="dxa"/>
            <w:tcBorders>
              <w:top w:val="single" w:sz="4" w:space="0" w:color="auto"/>
            </w:tcBorders>
          </w:tcPr>
          <w:p w:rsidR="006074C8" w:rsidRPr="006C410E" w:rsidRDefault="006074C8" w:rsidP="00A14ADC">
            <w:pPr>
              <w:rPr>
                <w:sz w:val="20"/>
                <w:lang w:eastAsia="nl-NL"/>
              </w:rPr>
            </w:pPr>
            <w:r w:rsidRPr="006C410E">
              <w:rPr>
                <w:sz w:val="20"/>
                <w:lang w:eastAsia="nl-NL"/>
              </w:rPr>
              <w:t>Exponential</w:t>
            </w:r>
          </w:p>
        </w:tc>
        <w:tc>
          <w:tcPr>
            <w:tcW w:w="2090" w:type="dxa"/>
            <w:tcBorders>
              <w:top w:val="single" w:sz="4" w:space="0" w:color="auto"/>
            </w:tcBorders>
          </w:tcPr>
          <w:p w:rsidR="006074C8" w:rsidRPr="006C410E" w:rsidRDefault="006074C8" w:rsidP="00A14ADC">
            <w:pPr>
              <w:rPr>
                <w:sz w:val="20"/>
                <w:lang w:eastAsia="nl-NL"/>
              </w:rPr>
            </w:pPr>
            <m:oMathPara>
              <m:oMath>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-λt</m:t>
                    </m:r>
                  </m:e>
                </m:d>
              </m:oMath>
            </m:oMathPara>
          </w:p>
        </w:tc>
        <w:tc>
          <w:tcPr>
            <w:tcW w:w="2076" w:type="dxa"/>
            <w:tcBorders>
              <w:top w:val="single" w:sz="4" w:space="0" w:color="auto"/>
            </w:tcBorders>
          </w:tcPr>
          <w:p w:rsidR="006074C8" w:rsidRPr="006C410E" w:rsidRDefault="006074C8" w:rsidP="00A14ADC">
            <w:pPr>
              <w:rPr>
                <w:sz w:val="20"/>
                <w:lang w:eastAsia="nl-NL"/>
              </w:rPr>
            </w:pPr>
            <m:oMathPara>
              <m:oMath>
                <m:r>
                  <w:rPr>
                    <w:rFonts w:ascii="Cambria Math" w:hAnsi="Cambria Math"/>
                    <w:sz w:val="20"/>
                    <w:lang w:eastAsia="nl-NL"/>
                  </w:rPr>
                  <m:t>λ</m:t>
                </m:r>
              </m:oMath>
            </m:oMathPara>
          </w:p>
        </w:tc>
        <w:tc>
          <w:tcPr>
            <w:tcW w:w="1417" w:type="dxa"/>
            <w:tcBorders>
              <w:top w:val="single" w:sz="4" w:space="0" w:color="auto"/>
            </w:tcBorders>
          </w:tcPr>
          <w:p w:rsidR="006074C8" w:rsidRPr="006C410E" w:rsidRDefault="006074C8" w:rsidP="00A14ADC">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X'β</m:t>
                    </m:r>
                  </m:e>
                </m:d>
              </m:oMath>
            </m:oMathPara>
          </w:p>
        </w:tc>
        <w:tc>
          <w:tcPr>
            <w:tcW w:w="1418" w:type="dxa"/>
            <w:tcBorders>
              <w:top w:val="single" w:sz="4" w:space="0" w:color="auto"/>
            </w:tcBorders>
          </w:tcPr>
          <w:p w:rsidR="006074C8" w:rsidRPr="006C410E" w:rsidRDefault="006074C8" w:rsidP="00A14ADC">
            <w:pPr>
              <w:jc w:val="center"/>
              <w:rPr>
                <w:sz w:val="20"/>
                <w:lang w:eastAsia="nl-NL"/>
              </w:rPr>
            </w:pPr>
            <w:r w:rsidRPr="006C410E">
              <w:rPr>
                <w:sz w:val="20"/>
                <w:lang w:eastAsia="nl-NL"/>
              </w:rPr>
              <w:t>n/a</w:t>
            </w:r>
          </w:p>
        </w:tc>
      </w:tr>
      <w:tr w:rsidR="006074C8" w:rsidTr="00DD3003">
        <w:tc>
          <w:tcPr>
            <w:tcW w:w="1312" w:type="dxa"/>
          </w:tcPr>
          <w:p w:rsidR="006074C8" w:rsidRPr="006C410E" w:rsidRDefault="006074C8" w:rsidP="00A14ADC">
            <w:pPr>
              <w:rPr>
                <w:sz w:val="20"/>
                <w:lang w:eastAsia="nl-NL"/>
              </w:rPr>
            </w:pPr>
            <w:r w:rsidRPr="006C410E">
              <w:rPr>
                <w:sz w:val="20"/>
                <w:lang w:eastAsia="nl-NL"/>
              </w:rPr>
              <w:t>Weibull</w:t>
            </w:r>
          </w:p>
        </w:tc>
        <w:tc>
          <w:tcPr>
            <w:tcW w:w="2090" w:type="dxa"/>
          </w:tcPr>
          <w:p w:rsidR="006074C8" w:rsidRPr="006C410E" w:rsidRDefault="006074C8" w:rsidP="00A14ADC">
            <w:pPr>
              <w:rPr>
                <w:sz w:val="20"/>
                <w:lang w:eastAsia="nl-NL"/>
              </w:rPr>
            </w:pPr>
            <m:oMathPara>
              <m:oMath>
                <m:r>
                  <w:rPr>
                    <w:rFonts w:ascii="Cambria Math" w:hAnsi="Cambria Math"/>
                    <w:sz w:val="20"/>
                    <w:lang w:eastAsia="nl-NL"/>
                  </w:rPr>
                  <m:t>exp</m:t>
                </m:r>
                <m:d>
                  <m:dPr>
                    <m:ctrlPr>
                      <w:rPr>
                        <w:rFonts w:ascii="Cambria Math" w:hAnsi="Cambria Math"/>
                        <w:i/>
                        <w:sz w:val="20"/>
                        <w:lang w:eastAsia="nl-NL"/>
                      </w:rPr>
                    </m:ctrlPr>
                  </m:dPr>
                  <m:e>
                    <m:r>
                      <w:rPr>
                        <w:rFonts w:ascii="Cambria Math"/>
                        <w:sz w:val="20"/>
                        <w:lang w:eastAsia="nl-NL"/>
                      </w:rPr>
                      <m:t>-</m:t>
                    </m:r>
                    <m:r>
                      <w:rPr>
                        <w:rFonts w:ascii="Cambria Math" w:hAnsi="Cambria Math"/>
                        <w:sz w:val="20"/>
                        <w:lang w:eastAsia="nl-NL"/>
                      </w:rPr>
                      <m:t>λ</m:t>
                    </m:r>
                    <m:sSup>
                      <m:sSupPr>
                        <m:ctrlPr>
                          <w:rPr>
                            <w:rFonts w:ascii="Cambria Math" w:hAnsi="Cambria Math"/>
                            <w:i/>
                            <w:sz w:val="20"/>
                            <w:lang w:eastAsia="nl-NL"/>
                          </w:rPr>
                        </m:ctrlPr>
                      </m:sSupPr>
                      <m:e>
                        <m:r>
                          <w:rPr>
                            <w:rFonts w:ascii="Cambria Math" w:hAnsi="Cambria Math"/>
                            <w:sz w:val="20"/>
                            <w:lang w:eastAsia="nl-NL"/>
                          </w:rPr>
                          <m:t>t</m:t>
                        </m:r>
                      </m:e>
                      <m:sup>
                        <m:r>
                          <w:rPr>
                            <w:rFonts w:ascii="Cambria Math" w:hAnsi="Cambria Math"/>
                            <w:sz w:val="20"/>
                            <w:lang w:eastAsia="nl-NL"/>
                          </w:rPr>
                          <m:t>γ</m:t>
                        </m:r>
                      </m:sup>
                    </m:sSup>
                  </m:e>
                </m:d>
              </m:oMath>
            </m:oMathPara>
          </w:p>
        </w:tc>
        <w:tc>
          <w:tcPr>
            <w:tcW w:w="2076" w:type="dxa"/>
          </w:tcPr>
          <w:p w:rsidR="006074C8" w:rsidRPr="006C410E" w:rsidRDefault="006074C8" w:rsidP="00A14ADC">
            <w:pPr>
              <w:rPr>
                <w:sz w:val="20"/>
                <w:lang w:eastAsia="nl-NL"/>
              </w:rPr>
            </w:pPr>
            <m:oMathPara>
              <m:oMath>
                <m:r>
                  <w:rPr>
                    <w:rFonts w:ascii="Cambria Math"/>
                    <w:sz w:val="20"/>
                    <w:lang w:eastAsia="nl-NL"/>
                  </w:rPr>
                  <m:t xml:space="preserve"> </m:t>
                </m:r>
                <m:r>
                  <w:rPr>
                    <w:rFonts w:ascii="Cambria Math" w:hAnsi="Cambria Math"/>
                    <w:sz w:val="20"/>
                    <w:lang w:eastAsia="nl-NL"/>
                  </w:rPr>
                  <m:t>λγ</m:t>
                </m:r>
                <m:sSup>
                  <m:sSupPr>
                    <m:ctrlPr>
                      <w:rPr>
                        <w:rFonts w:ascii="Cambria Math" w:hAnsi="Cambria Math"/>
                        <w:i/>
                        <w:sz w:val="20"/>
                        <w:lang w:eastAsia="nl-NL"/>
                      </w:rPr>
                    </m:ctrlPr>
                  </m:sSupPr>
                  <m:e>
                    <m:r>
                      <w:rPr>
                        <w:rFonts w:ascii="Cambria Math" w:hAnsi="Cambria Math"/>
                        <w:sz w:val="20"/>
                        <w:lang w:eastAsia="nl-NL"/>
                      </w:rPr>
                      <m:t>t</m:t>
                    </m:r>
                  </m:e>
                  <m:sup>
                    <m:r>
                      <w:rPr>
                        <w:rFonts w:ascii="Cambria Math" w:hAnsi="Cambria Math"/>
                        <w:sz w:val="20"/>
                        <w:lang w:eastAsia="nl-NL"/>
                      </w:rPr>
                      <m:t>γ-1</m:t>
                    </m:r>
                  </m:sup>
                </m:sSup>
              </m:oMath>
            </m:oMathPara>
          </w:p>
        </w:tc>
        <w:tc>
          <w:tcPr>
            <w:tcW w:w="1417" w:type="dxa"/>
          </w:tcPr>
          <w:p w:rsidR="006074C8" w:rsidRPr="006C410E" w:rsidRDefault="006074C8" w:rsidP="00A14ADC">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X'β</m:t>
                    </m:r>
                  </m:e>
                </m:d>
              </m:oMath>
            </m:oMathPara>
          </w:p>
        </w:tc>
        <w:tc>
          <w:tcPr>
            <w:tcW w:w="1418" w:type="dxa"/>
          </w:tcPr>
          <w:p w:rsidR="006074C8" w:rsidRPr="006C410E" w:rsidRDefault="006074C8" w:rsidP="00A14ADC">
            <w:pPr>
              <w:rPr>
                <w:sz w:val="20"/>
                <w:lang w:eastAsia="nl-NL"/>
              </w:rPr>
            </w:pPr>
            <m:oMathPara>
              <m:oMath>
                <m:r>
                  <w:rPr>
                    <w:rFonts w:ascii="Cambria Math" w:hAnsi="Cambria Math"/>
                    <w:sz w:val="20"/>
                    <w:lang w:eastAsia="nl-NL"/>
                  </w:rPr>
                  <m:t>γ</m:t>
                </m:r>
              </m:oMath>
            </m:oMathPara>
          </w:p>
        </w:tc>
      </w:tr>
      <w:tr w:rsidR="006074C8" w:rsidTr="00DD3003">
        <w:tc>
          <w:tcPr>
            <w:tcW w:w="1312" w:type="dxa"/>
          </w:tcPr>
          <w:p w:rsidR="006074C8" w:rsidRPr="006C410E" w:rsidRDefault="006074C8" w:rsidP="00A14ADC">
            <w:pPr>
              <w:rPr>
                <w:sz w:val="20"/>
                <w:lang w:eastAsia="nl-NL"/>
              </w:rPr>
            </w:pPr>
            <w:r w:rsidRPr="006C410E">
              <w:rPr>
                <w:sz w:val="20"/>
                <w:lang w:eastAsia="nl-NL"/>
              </w:rPr>
              <w:t>Gompertz</w:t>
            </w:r>
          </w:p>
        </w:tc>
        <w:tc>
          <w:tcPr>
            <w:tcW w:w="2090" w:type="dxa"/>
          </w:tcPr>
          <w:p w:rsidR="006074C8" w:rsidRPr="006C410E" w:rsidRDefault="006074C8" w:rsidP="00A14ADC">
            <w:pPr>
              <w:rPr>
                <w:sz w:val="20"/>
                <w:lang w:eastAsia="nl-NL"/>
              </w:rPr>
            </w:pPr>
            <m:oMathPara>
              <m:oMath>
                <m:r>
                  <w:rPr>
                    <w:rFonts w:ascii="Cambria Math" w:hAnsi="Cambria Math"/>
                    <w:sz w:val="20"/>
                    <w:lang w:eastAsia="nl-NL"/>
                  </w:rPr>
                  <m:t>exp</m:t>
                </m:r>
                <m:d>
                  <m:dPr>
                    <m:ctrlPr>
                      <w:rPr>
                        <w:rFonts w:ascii="Cambria Math" w:hAnsi="Cambria Math"/>
                        <w:i/>
                        <w:sz w:val="20"/>
                        <w:lang w:eastAsia="nl-NL"/>
                      </w:rPr>
                    </m:ctrlPr>
                  </m:dPr>
                  <m:e>
                    <m:f>
                      <m:fPr>
                        <m:ctrlPr>
                          <w:rPr>
                            <w:rFonts w:ascii="Cambria Math" w:hAnsi="Cambria Math"/>
                            <w:i/>
                            <w:sz w:val="20"/>
                            <w:lang w:eastAsia="nl-NL"/>
                          </w:rPr>
                        </m:ctrlPr>
                      </m:fPr>
                      <m:num>
                        <m:r>
                          <w:rPr>
                            <w:rFonts w:ascii="Cambria Math" w:hAnsi="Cambria Math"/>
                            <w:sz w:val="20"/>
                            <w:lang w:eastAsia="nl-NL"/>
                          </w:rPr>
                          <m:t>λ</m:t>
                        </m:r>
                      </m:num>
                      <m:den>
                        <m:r>
                          <w:rPr>
                            <w:rFonts w:ascii="Cambria Math" w:hAnsi="Cambria Math"/>
                            <w:sz w:val="20"/>
                            <w:lang w:eastAsia="nl-NL"/>
                          </w:rPr>
                          <m:t>γ</m:t>
                        </m:r>
                      </m:den>
                    </m:f>
                    <m:r>
                      <w:rPr>
                        <w:rFonts w:ascii="Cambria Math" w:hAnsi="Cambria Math"/>
                        <w:sz w:val="20"/>
                        <w:lang w:eastAsia="nl-NL"/>
                      </w:rPr>
                      <m:t>(1-</m:t>
                    </m:r>
                    <m:sSup>
                      <m:sSupPr>
                        <m:ctrlPr>
                          <w:rPr>
                            <w:rFonts w:ascii="Cambria Math" w:hAnsi="Cambria Math"/>
                            <w:i/>
                            <w:sz w:val="20"/>
                            <w:lang w:eastAsia="nl-NL"/>
                          </w:rPr>
                        </m:ctrlPr>
                      </m:sSupPr>
                      <m:e>
                        <m:r>
                          <w:rPr>
                            <w:rFonts w:ascii="Cambria Math" w:hAnsi="Cambria Math"/>
                            <w:sz w:val="20"/>
                            <w:lang w:eastAsia="nl-NL"/>
                          </w:rPr>
                          <m:t>e</m:t>
                        </m:r>
                      </m:e>
                      <m:sup>
                        <m:r>
                          <w:rPr>
                            <w:rFonts w:ascii="Cambria Math" w:hAnsi="Cambria Math"/>
                            <w:sz w:val="20"/>
                            <w:lang w:eastAsia="nl-NL"/>
                          </w:rPr>
                          <m:t>γt</m:t>
                        </m:r>
                      </m:sup>
                    </m:sSup>
                    <m:r>
                      <w:rPr>
                        <w:rFonts w:ascii="Cambria Math" w:hAnsi="Cambria Math"/>
                        <w:sz w:val="20"/>
                        <w:lang w:eastAsia="nl-NL"/>
                      </w:rPr>
                      <m:t>)</m:t>
                    </m:r>
                  </m:e>
                </m:d>
              </m:oMath>
            </m:oMathPara>
          </w:p>
        </w:tc>
        <w:tc>
          <w:tcPr>
            <w:tcW w:w="2076" w:type="dxa"/>
          </w:tcPr>
          <w:p w:rsidR="006074C8" w:rsidRPr="006C410E" w:rsidRDefault="006074C8" w:rsidP="00A14ADC">
            <w:pPr>
              <w:rPr>
                <w:sz w:val="20"/>
                <w:lang w:eastAsia="nl-NL"/>
              </w:rPr>
            </w:pPr>
            <m:oMathPara>
              <m:oMath>
                <m:r>
                  <w:rPr>
                    <w:rFonts w:ascii="Cambria Math" w:hAnsi="Cambria Math"/>
                    <w:sz w:val="20"/>
                    <w:lang w:eastAsia="nl-NL"/>
                  </w:rPr>
                  <m:t>λ</m:t>
                </m:r>
                <m:sSup>
                  <m:sSupPr>
                    <m:ctrlPr>
                      <w:rPr>
                        <w:rFonts w:ascii="Cambria Math" w:hAnsi="Cambria Math"/>
                        <w:i/>
                        <w:sz w:val="20"/>
                        <w:lang w:eastAsia="nl-NL"/>
                      </w:rPr>
                    </m:ctrlPr>
                  </m:sSupPr>
                  <m:e>
                    <m:r>
                      <w:rPr>
                        <w:rFonts w:ascii="Cambria Math" w:hAnsi="Cambria Math"/>
                        <w:sz w:val="20"/>
                        <w:lang w:eastAsia="nl-NL"/>
                      </w:rPr>
                      <m:t>e</m:t>
                    </m:r>
                  </m:e>
                  <m:sup>
                    <m:r>
                      <w:rPr>
                        <w:rFonts w:ascii="Cambria Math" w:hAnsi="Cambria Math"/>
                        <w:sz w:val="20"/>
                        <w:lang w:eastAsia="nl-NL"/>
                      </w:rPr>
                      <m:t>γt</m:t>
                    </m:r>
                  </m:sup>
                </m:sSup>
              </m:oMath>
            </m:oMathPara>
          </w:p>
        </w:tc>
        <w:tc>
          <w:tcPr>
            <w:tcW w:w="1417" w:type="dxa"/>
          </w:tcPr>
          <w:p w:rsidR="006074C8" w:rsidRPr="006C410E" w:rsidRDefault="006074C8" w:rsidP="00A14ADC">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X'β</m:t>
                    </m:r>
                  </m:e>
                </m:d>
              </m:oMath>
            </m:oMathPara>
          </w:p>
        </w:tc>
        <w:tc>
          <w:tcPr>
            <w:tcW w:w="1418" w:type="dxa"/>
          </w:tcPr>
          <w:p w:rsidR="006074C8" w:rsidRPr="006C410E" w:rsidRDefault="006074C8" w:rsidP="00A14ADC">
            <w:pPr>
              <w:rPr>
                <w:sz w:val="20"/>
                <w:lang w:eastAsia="nl-NL"/>
              </w:rPr>
            </w:pPr>
            <m:oMathPara>
              <m:oMath>
                <m:r>
                  <w:rPr>
                    <w:rFonts w:ascii="Cambria Math" w:hAnsi="Cambria Math"/>
                    <w:sz w:val="20"/>
                    <w:lang w:eastAsia="nl-NL"/>
                  </w:rPr>
                  <m:t>γ</m:t>
                </m:r>
              </m:oMath>
            </m:oMathPara>
          </w:p>
        </w:tc>
      </w:tr>
      <w:tr w:rsidR="006074C8" w:rsidTr="00DD3003">
        <w:tc>
          <w:tcPr>
            <w:tcW w:w="1312" w:type="dxa"/>
            <w:tcBorders>
              <w:bottom w:val="single" w:sz="12" w:space="0" w:color="auto"/>
            </w:tcBorders>
          </w:tcPr>
          <w:p w:rsidR="006074C8" w:rsidRPr="006C410E" w:rsidRDefault="006074C8" w:rsidP="00A14ADC">
            <w:pPr>
              <w:rPr>
                <w:sz w:val="20"/>
                <w:lang w:eastAsia="nl-NL"/>
              </w:rPr>
            </w:pPr>
            <w:r w:rsidRPr="006C410E">
              <w:rPr>
                <w:sz w:val="20"/>
                <w:lang w:eastAsia="nl-NL"/>
              </w:rPr>
              <w:t>LogLogistic</w:t>
            </w:r>
          </w:p>
        </w:tc>
        <w:tc>
          <w:tcPr>
            <w:tcW w:w="2090" w:type="dxa"/>
            <w:tcBorders>
              <w:bottom w:val="single" w:sz="12" w:space="0" w:color="auto"/>
            </w:tcBorders>
          </w:tcPr>
          <w:p w:rsidR="006074C8" w:rsidRPr="006C410E" w:rsidRDefault="00E729BA" w:rsidP="00A14ADC">
            <w:pPr>
              <w:rPr>
                <w:sz w:val="20"/>
                <w:lang w:eastAsia="nl-NL"/>
              </w:rPr>
            </w:pPr>
            <m:oMathPara>
              <m:oMath>
                <m:f>
                  <m:fPr>
                    <m:ctrlPr>
                      <w:rPr>
                        <w:rFonts w:ascii="Cambria Math" w:hAnsi="Cambria Math"/>
                        <w:i/>
                        <w:sz w:val="20"/>
                        <w:lang w:eastAsia="nl-NL"/>
                      </w:rPr>
                    </m:ctrlPr>
                  </m:fPr>
                  <m:num>
                    <m:r>
                      <w:rPr>
                        <w:rFonts w:ascii="Cambria Math"/>
                        <w:sz w:val="20"/>
                        <w:lang w:eastAsia="nl-NL"/>
                      </w:rPr>
                      <m:t>1</m:t>
                    </m:r>
                  </m:num>
                  <m:den>
                    <m:r>
                      <w:rPr>
                        <w:rFonts w:ascii="Cambria Math"/>
                        <w:sz w:val="20"/>
                        <w:lang w:eastAsia="nl-NL"/>
                      </w:rPr>
                      <m:t>1+</m:t>
                    </m:r>
                    <m:sSup>
                      <m:sSupPr>
                        <m:ctrlPr>
                          <w:rPr>
                            <w:rFonts w:ascii="Cambria Math" w:hAnsi="Cambria Math"/>
                            <w:i/>
                            <w:sz w:val="20"/>
                            <w:lang w:eastAsia="nl-NL"/>
                          </w:rPr>
                        </m:ctrlPr>
                      </m:sSupPr>
                      <m:e>
                        <m:r>
                          <w:rPr>
                            <w:rFonts w:ascii="Cambria Math" w:hAnsi="Cambria Math"/>
                            <w:sz w:val="20"/>
                            <w:lang w:eastAsia="nl-NL"/>
                          </w:rPr>
                          <m:t>λt</m:t>
                        </m:r>
                      </m:e>
                      <m:sup>
                        <m:r>
                          <w:rPr>
                            <w:rFonts w:ascii="Cambria Math" w:hAnsi="Cambria Math"/>
                            <w:sz w:val="20"/>
                            <w:lang w:eastAsia="nl-NL"/>
                          </w:rPr>
                          <m:t>θ</m:t>
                        </m:r>
                      </m:sup>
                    </m:sSup>
                  </m:den>
                </m:f>
              </m:oMath>
            </m:oMathPara>
          </w:p>
        </w:tc>
        <w:tc>
          <w:tcPr>
            <w:tcW w:w="2076" w:type="dxa"/>
            <w:tcBorders>
              <w:bottom w:val="single" w:sz="12" w:space="0" w:color="auto"/>
            </w:tcBorders>
          </w:tcPr>
          <w:p w:rsidR="006074C8" w:rsidRPr="006C410E" w:rsidRDefault="00E729BA" w:rsidP="00A14ADC">
            <w:pPr>
              <w:rPr>
                <w:sz w:val="20"/>
                <w:lang w:eastAsia="nl-NL"/>
              </w:rPr>
            </w:pPr>
            <m:oMathPara>
              <m:oMath>
                <m:f>
                  <m:fPr>
                    <m:ctrlPr>
                      <w:rPr>
                        <w:rFonts w:ascii="Cambria Math" w:hAnsi="Cambria Math"/>
                        <w:i/>
                        <w:sz w:val="20"/>
                        <w:lang w:eastAsia="nl-NL"/>
                      </w:rPr>
                    </m:ctrlPr>
                  </m:fPr>
                  <m:num>
                    <m:r>
                      <w:rPr>
                        <w:rFonts w:ascii="Cambria Math" w:hAnsi="Cambria Math"/>
                        <w:sz w:val="20"/>
                        <w:lang w:eastAsia="nl-NL"/>
                      </w:rPr>
                      <m:t>λθ</m:t>
                    </m:r>
                    <m:sSup>
                      <m:sSupPr>
                        <m:ctrlPr>
                          <w:rPr>
                            <w:rFonts w:ascii="Cambria Math" w:hAnsi="Cambria Math"/>
                            <w:i/>
                            <w:sz w:val="20"/>
                            <w:lang w:eastAsia="nl-NL"/>
                          </w:rPr>
                        </m:ctrlPr>
                      </m:sSupPr>
                      <m:e>
                        <m:r>
                          <w:rPr>
                            <w:rFonts w:ascii="Cambria Math" w:hAnsi="Cambria Math"/>
                            <w:sz w:val="20"/>
                            <w:lang w:eastAsia="nl-NL"/>
                          </w:rPr>
                          <m:t>t</m:t>
                        </m:r>
                      </m:e>
                      <m:sup>
                        <m:r>
                          <w:rPr>
                            <w:rFonts w:ascii="Cambria Math" w:hAnsi="Cambria Math"/>
                            <w:sz w:val="20"/>
                            <w:lang w:eastAsia="nl-NL"/>
                          </w:rPr>
                          <m:t>θ-1</m:t>
                        </m:r>
                      </m:sup>
                    </m:sSup>
                  </m:num>
                  <m:den>
                    <m:r>
                      <w:rPr>
                        <w:rFonts w:ascii="Cambria Math" w:hAnsi="Cambria Math"/>
                        <w:sz w:val="20"/>
                        <w:lang w:eastAsia="nl-NL"/>
                      </w:rPr>
                      <m:t>1+λ</m:t>
                    </m:r>
                    <m:sSup>
                      <m:sSupPr>
                        <m:ctrlPr>
                          <w:rPr>
                            <w:rFonts w:ascii="Cambria Math" w:hAnsi="Cambria Math"/>
                            <w:i/>
                            <w:sz w:val="20"/>
                            <w:lang w:eastAsia="nl-NL"/>
                          </w:rPr>
                        </m:ctrlPr>
                      </m:sSupPr>
                      <m:e>
                        <m:r>
                          <w:rPr>
                            <w:rFonts w:ascii="Cambria Math" w:hAnsi="Cambria Math"/>
                            <w:sz w:val="20"/>
                            <w:lang w:eastAsia="nl-NL"/>
                          </w:rPr>
                          <m:t>t</m:t>
                        </m:r>
                      </m:e>
                      <m:sup>
                        <m:r>
                          <w:rPr>
                            <w:rFonts w:ascii="Cambria Math" w:hAnsi="Cambria Math"/>
                            <w:sz w:val="20"/>
                            <w:lang w:eastAsia="nl-NL"/>
                          </w:rPr>
                          <m:t>θ</m:t>
                        </m:r>
                      </m:sup>
                    </m:sSup>
                  </m:den>
                </m:f>
              </m:oMath>
            </m:oMathPara>
          </w:p>
        </w:tc>
        <w:tc>
          <w:tcPr>
            <w:tcW w:w="1417" w:type="dxa"/>
            <w:tcBorders>
              <w:bottom w:val="single" w:sz="12" w:space="0" w:color="auto"/>
            </w:tcBorders>
          </w:tcPr>
          <w:p w:rsidR="006074C8" w:rsidRPr="006C410E" w:rsidRDefault="006074C8" w:rsidP="00A14ADC">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-X'β</m:t>
                    </m:r>
                  </m:e>
                </m:d>
              </m:oMath>
            </m:oMathPara>
          </w:p>
        </w:tc>
        <w:tc>
          <w:tcPr>
            <w:tcW w:w="1418" w:type="dxa"/>
            <w:tcBorders>
              <w:bottom w:val="single" w:sz="12" w:space="0" w:color="auto"/>
            </w:tcBorders>
          </w:tcPr>
          <w:p w:rsidR="006074C8" w:rsidRPr="006C410E" w:rsidRDefault="006074C8" w:rsidP="00A14ADC">
            <w:pPr>
              <w:rPr>
                <w:sz w:val="20"/>
                <w:lang w:eastAsia="nl-NL"/>
              </w:rPr>
            </w:pPr>
            <m:oMathPara>
              <m:oMath>
                <m:r>
                  <w:rPr>
                    <w:rFonts w:ascii="Cambria Math" w:hAnsi="Cambria Math"/>
                    <w:sz w:val="20"/>
                    <w:lang w:eastAsia="nl-NL"/>
                  </w:rPr>
                  <m:t>θ</m:t>
                </m:r>
                <m:r>
                  <w:rPr>
                    <w:rFonts w:ascii="Cambria Math"/>
                    <w:sz w:val="20"/>
                    <w:lang w:eastAsia="nl-NL"/>
                  </w:rPr>
                  <m:t>=</m:t>
                </m:r>
                <m:f>
                  <m:fPr>
                    <m:type m:val="skw"/>
                    <m:ctrlPr>
                      <w:rPr>
                        <w:rFonts w:ascii="Cambria Math" w:hAnsi="Cambria Math"/>
                        <w:i/>
                        <w:sz w:val="20"/>
                        <w:lang w:eastAsia="nl-NL"/>
                      </w:rPr>
                    </m:ctrlPr>
                  </m:fPr>
                  <m:num>
                    <m:r>
                      <w:rPr>
                        <w:rFonts w:ascii="Cambria Math"/>
                        <w:sz w:val="20"/>
                        <w:lang w:eastAsia="nl-NL"/>
                      </w:rPr>
                      <m:t>1</m:t>
                    </m:r>
                  </m:num>
                  <m:den>
                    <m:r>
                      <w:rPr>
                        <w:rFonts w:ascii="Cambria Math" w:hAnsi="Cambria Math"/>
                        <w:sz w:val="20"/>
                        <w:lang w:eastAsia="nl-NL"/>
                      </w:rPr>
                      <m:t>γ</m:t>
                    </m:r>
                  </m:den>
                </m:f>
              </m:oMath>
            </m:oMathPara>
          </w:p>
        </w:tc>
      </w:tr>
    </w:tbl>
    <w:p w:rsidR="006074C8" w:rsidRDefault="006074C8" w:rsidP="006074C8"/>
    <w:p w:rsidR="006074C8" w:rsidRDefault="00441C08" w:rsidP="006074C8">
      <w:r>
        <w:t xml:space="preserve">Two methods were used to evaluate the alternative specification of the </w:t>
      </w:r>
      <w:r w:rsidR="0068656C">
        <w:t xml:space="preserve">parametric </w:t>
      </w:r>
      <w:r>
        <w:t>model</w:t>
      </w:r>
      <w:r w:rsidR="001E3503">
        <w:t>, Akaike Information Criterion and Cos-Snell Residuals</w:t>
      </w:r>
      <w:r>
        <w:t xml:space="preserve">. </w:t>
      </w:r>
      <w:r w:rsidR="006074C8">
        <w:t xml:space="preserve">The parametric form of each </w:t>
      </w:r>
      <w:r w:rsidR="0068656C">
        <w:t xml:space="preserve">regression </w:t>
      </w:r>
      <w:r w:rsidR="006074C8">
        <w:t>model was</w:t>
      </w:r>
      <w:r w:rsidR="006074C8" w:rsidRPr="00440615">
        <w:t xml:space="preserve"> selected using the Akaike Informat</w:t>
      </w:r>
      <w:r w:rsidR="006074C8">
        <w:t xml:space="preserve">ion Criterion (AIC), which identifies the best </w:t>
      </w:r>
      <w:r w:rsidR="0068656C">
        <w:t xml:space="preserve">regression </w:t>
      </w:r>
      <w:r w:rsidR="006074C8">
        <w:t xml:space="preserve">model as that with the lowest value of AIC </w:t>
      </w:r>
      <w:r w:rsidR="00E729BA">
        <w:fldChar w:fldCharType="begin"/>
      </w:r>
      <w:r w:rsidR="00FC61FD">
        <w:instrText xml:space="preserve"> ADDIN REFMGR.CITE &lt;Refman&gt;&lt;Cite&gt;&lt;Author&gt;Akaike&lt;/Author&gt;&lt;Year&gt;1974&lt;/Year&gt;&lt;RecNum&gt;1529&lt;/RecNum&gt;&lt;IDText&gt;A new look at the statistical model identification&lt;/IDText&gt;&lt;MDL Ref_Type="Journal"&gt;&lt;Ref_Type&gt;Journal&lt;/Ref_Type&gt;&lt;Ref_ID&gt;1529&lt;/Ref_ID&gt;&lt;Title_Primary&gt;A new look at the statistical model identification&lt;/Title_Primary&gt;&lt;Authors_Primary&gt;Akaike,H.&lt;/Authors_Primary&gt;&lt;Date_Primary&gt;1974&lt;/Date_Primary&gt;&lt;Reprint&gt;In File&lt;/Reprint&gt;&lt;Start_Page&gt;716&lt;/Start_Page&gt;&lt;End_Page&gt;723&lt;/End_Page&gt;&lt;Periodical&gt;IEEE Transaction on Automated Control&lt;/Periodical&gt;&lt;Volume&gt;19&lt;/Volume&gt;&lt;ZZ_JournalFull&gt;&lt;f name="System"&gt;IEEE Transaction on Automated Control&lt;/f&gt;&lt;/ZZ_JournalFull&gt;&lt;ZZ_WorkformID&gt;1&lt;/ZZ_WorkformID&gt;&lt;/MDL&gt;&lt;/Cite&gt;&lt;/Refman&gt;</w:instrText>
      </w:r>
      <w:r w:rsidR="00E729BA">
        <w:fldChar w:fldCharType="separate"/>
      </w:r>
      <w:r w:rsidR="004D7951">
        <w:t>(217)</w:t>
      </w:r>
      <w:r w:rsidR="00E729BA">
        <w:fldChar w:fldCharType="end"/>
      </w:r>
      <w:r w:rsidR="006074C8">
        <w:t>. The AIC is defined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
        <w:gridCol w:w="6825"/>
        <w:gridCol w:w="1089"/>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rPr>
                  <m:t>AIC=-2</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L</m:t>
                        </m:r>
                      </m:e>
                    </m:d>
                    <m:ctrlPr>
                      <w:rPr>
                        <w:rFonts w:ascii="Cambria Math" w:hAnsi="Cambria Math"/>
                        <w:i/>
                      </w:rPr>
                    </m:ctrlPr>
                  </m:e>
                </m:func>
                <m:r>
                  <w:rPr>
                    <w:rFonts w:ascii="Cambria Math" w:hAnsi="Cambria Math"/>
                  </w:rPr>
                  <m:t>+2(k+c)</m:t>
                </m:r>
              </m:oMath>
            </m:oMathPara>
          </w:p>
        </w:tc>
        <w:tc>
          <w:tcPr>
            <w:tcW w:w="1196" w:type="dxa"/>
          </w:tcPr>
          <w:p w:rsidR="002737EE" w:rsidRDefault="002737EE" w:rsidP="00597CF5">
            <w:pPr>
              <w:pStyle w:val="ListParagraph"/>
              <w:numPr>
                <w:ilvl w:val="1"/>
                <w:numId w:val="30"/>
              </w:numPr>
              <w:bidi/>
              <w:ind w:right="220"/>
              <w:jc w:val="right"/>
            </w:pPr>
          </w:p>
        </w:tc>
      </w:tr>
    </w:tbl>
    <w:p w:rsidR="006074C8" w:rsidRDefault="006074C8" w:rsidP="00441C08">
      <w:pPr>
        <w:rPr>
          <w:rFonts w:asciiTheme="majorBidi" w:hAnsiTheme="majorBidi"/>
        </w:rPr>
      </w:pPr>
      <w:r>
        <w:t xml:space="preserve">where </w:t>
      </w:r>
      <m:oMath>
        <m:r>
          <w:rPr>
            <w:rFonts w:ascii="Cambria Math" w:hAnsi="Cambria Math"/>
          </w:rPr>
          <m:t>k</m:t>
        </m:r>
      </m:oMath>
      <w:r>
        <w:t xml:space="preserve"> is the number of </w:t>
      </w:r>
      <w:r w:rsidR="0068656C">
        <w:t xml:space="preserve">regression </w:t>
      </w:r>
      <w:r>
        <w:t xml:space="preserve">model covariates, c is number of </w:t>
      </w:r>
      <w:r w:rsidR="0068656C">
        <w:t xml:space="preserve">regression </w:t>
      </w:r>
      <w:r>
        <w:t xml:space="preserve">model specific distributional parameters and </w:t>
      </w:r>
      <w:r w:rsidRPr="002D7EE0">
        <w:rPr>
          <w:i/>
          <w:iCs/>
        </w:rPr>
        <w:t>L</w:t>
      </w:r>
      <w:r>
        <w:t xml:space="preserve"> is the likelihood. </w:t>
      </w:r>
      <w:r w:rsidR="001E3503">
        <w:t xml:space="preserve">The Bayesian Information Criterion was not used to avoid conflicting guidance regarding model specification during the model selection. The AIC was favoured because it applies a lower penalty to multiple parameters. </w:t>
      </w:r>
      <w:r>
        <w:rPr>
          <w:rFonts w:asciiTheme="majorBidi" w:hAnsiTheme="majorBidi"/>
        </w:rPr>
        <w:t xml:space="preserve">The overall </w:t>
      </w:r>
      <w:r w:rsidR="0068656C">
        <w:rPr>
          <w:rFonts w:asciiTheme="majorBidi" w:hAnsiTheme="majorBidi"/>
        </w:rPr>
        <w:t xml:space="preserve">regression </w:t>
      </w:r>
      <w:r>
        <w:rPr>
          <w:rFonts w:asciiTheme="majorBidi" w:hAnsiTheme="majorBidi"/>
        </w:rPr>
        <w:t xml:space="preserve">model fit was assessed using Cox-Snell residuals. </w:t>
      </w:r>
      <w:r w:rsidR="00EE3395">
        <w:rPr>
          <w:rFonts w:asciiTheme="majorBidi" w:hAnsiTheme="majorBidi"/>
        </w:rPr>
        <w:t>The analysis was conducted in STATA 11.</w:t>
      </w:r>
    </w:p>
    <w:p w:rsidR="007802D7" w:rsidRDefault="007802D7" w:rsidP="007802D7">
      <w:pPr>
        <w:pStyle w:val="Heading3"/>
      </w:pPr>
      <w:bookmarkStart w:id="278" w:name="_Toc379467614"/>
      <w:r>
        <w:t>Statistical Model Validation</w:t>
      </w:r>
      <w:bookmarkEnd w:id="278"/>
    </w:p>
    <w:p w:rsidR="007802D7" w:rsidRDefault="007802D7" w:rsidP="007802D7">
      <w:r>
        <w:t>Two simulation models were developed to evaluate whether the statistical models could re-produce the data from the Hopkins Lupus Cohort. These analyses were used to test the internal validity of the statistical models. In each simulation baseline characteristics from the Hopkins Lupus Cohort were sampled in the simulation model to produce a large cohort of individuals. The statistical models were used to estimate the longitudinal changes in disease outcomes over time. The aggregated statistics for the simulated cohorts were compared with the Hopkins Lupus Cohort.</w:t>
      </w:r>
    </w:p>
    <w:p w:rsidR="00DD3003" w:rsidRPr="007802D7" w:rsidRDefault="007802D7" w:rsidP="002B5C9D">
      <w:r>
        <w:t xml:space="preserve">I obtained limited access to summary statistics of organ damage mortality in the Toronto cohort. This enabled an evaluation of the external validity of the organ damage simulation model. </w:t>
      </w:r>
    </w:p>
    <w:p w:rsidR="006074C8" w:rsidRDefault="006074C8" w:rsidP="006074C8">
      <w:pPr>
        <w:pStyle w:val="Heading2"/>
      </w:pPr>
      <w:bookmarkStart w:id="279" w:name="_Toc335043536"/>
      <w:bookmarkStart w:id="280" w:name="_Ref354934820"/>
      <w:bookmarkStart w:id="281" w:name="_Toc379467615"/>
      <w:r>
        <w:t>Results</w:t>
      </w:r>
      <w:bookmarkEnd w:id="272"/>
      <w:bookmarkEnd w:id="273"/>
      <w:bookmarkEnd w:id="274"/>
      <w:bookmarkEnd w:id="275"/>
      <w:bookmarkEnd w:id="279"/>
      <w:bookmarkEnd w:id="280"/>
      <w:bookmarkEnd w:id="281"/>
    </w:p>
    <w:p w:rsidR="006074C8" w:rsidRPr="00C534A9" w:rsidRDefault="006074C8" w:rsidP="006074C8">
      <w:pPr>
        <w:pStyle w:val="Heading3"/>
      </w:pPr>
      <w:bookmarkStart w:id="282" w:name="_Toc278533923"/>
      <w:bookmarkStart w:id="283" w:name="_Toc278533983"/>
      <w:bookmarkStart w:id="284" w:name="_Toc279009254"/>
      <w:bookmarkStart w:id="285" w:name="_Ref332616775"/>
      <w:bookmarkStart w:id="286" w:name="_Ref332616776"/>
      <w:bookmarkStart w:id="287" w:name="_Toc335043537"/>
      <w:bookmarkStart w:id="288" w:name="_Toc379467616"/>
      <w:r w:rsidRPr="00C534A9">
        <w:t>Baseline characteristics</w:t>
      </w:r>
      <w:bookmarkEnd w:id="282"/>
      <w:bookmarkEnd w:id="283"/>
      <w:bookmarkEnd w:id="284"/>
      <w:bookmarkEnd w:id="285"/>
      <w:bookmarkEnd w:id="286"/>
      <w:bookmarkEnd w:id="287"/>
      <w:bookmarkEnd w:id="288"/>
    </w:p>
    <w:p w:rsidR="00320846" w:rsidRDefault="006074C8" w:rsidP="00C419FD">
      <w:pPr>
        <w:rPr>
          <w:b/>
          <w:bCs/>
          <w:sz w:val="18"/>
          <w:szCs w:val="16"/>
        </w:rPr>
      </w:pPr>
      <w:r w:rsidRPr="00440615">
        <w:t>A total of 1</w:t>
      </w:r>
      <w:r>
        <w:t>354</w:t>
      </w:r>
      <w:r w:rsidRPr="00440615">
        <w:t xml:space="preserve"> patients were included in the analysis. The baseline characteristics of this cohort of patients are described i</w:t>
      </w:r>
      <w:r w:rsidR="008731E8">
        <w:t>n</w:t>
      </w:r>
      <w:r w:rsidR="00C419FD">
        <w:t xml:space="preserve"> </w:t>
      </w:r>
      <w:fldSimple w:instr=" REF _Ref379468393 \h  \* MERGEFORMAT ">
        <w:r w:rsidR="004911B7">
          <w:t xml:space="preserve">Table </w:t>
        </w:r>
        <w:r w:rsidR="004911B7">
          <w:rPr>
            <w:noProof/>
          </w:rPr>
          <w:t>23</w:t>
        </w:r>
      </w:fldSimple>
      <w:r w:rsidRPr="00440615">
        <w:t xml:space="preserve">. </w:t>
      </w:r>
      <w:bookmarkStart w:id="289" w:name="_Ref271042091"/>
      <w:bookmarkStart w:id="290" w:name="_Ref278527971"/>
      <w:bookmarkStart w:id="291" w:name="_Toc279009292"/>
      <w:r w:rsidR="001F5F63">
        <w:t>The characteristics of these 639 patients that were not included in the analysis are reported in Appendix 6.</w:t>
      </w:r>
      <w:bookmarkStart w:id="292" w:name="_Ref279046720"/>
    </w:p>
    <w:p w:rsidR="002B5C9D" w:rsidRDefault="002B5C9D">
      <w:pPr>
        <w:spacing w:after="0" w:afterAutospacing="0" w:line="240" w:lineRule="auto"/>
        <w:rPr>
          <w:b/>
          <w:bCs/>
          <w:sz w:val="18"/>
          <w:szCs w:val="16"/>
        </w:rPr>
      </w:pPr>
      <w:bookmarkStart w:id="293" w:name="_Ref363308808"/>
      <w:r>
        <w:br w:type="page"/>
      </w:r>
    </w:p>
    <w:p w:rsidR="006074C8" w:rsidRDefault="006074C8" w:rsidP="00234693">
      <w:pPr>
        <w:pStyle w:val="Caption"/>
      </w:pPr>
      <w:bookmarkStart w:id="294" w:name="_Ref379468393"/>
      <w:r>
        <w:t xml:space="preserve">Table </w:t>
      </w:r>
      <w:fldSimple w:instr=" SEQ Table \* ARABIC ">
        <w:r w:rsidR="004911B7">
          <w:rPr>
            <w:noProof/>
          </w:rPr>
          <w:t>23</w:t>
        </w:r>
      </w:fldSimple>
      <w:bookmarkEnd w:id="289"/>
      <w:bookmarkEnd w:id="290"/>
      <w:bookmarkEnd w:id="292"/>
      <w:bookmarkEnd w:id="293"/>
      <w:bookmarkEnd w:id="294"/>
      <w:r>
        <w:t xml:space="preserve">: </w:t>
      </w:r>
      <w:bookmarkStart w:id="295" w:name="_Toc278533924"/>
      <w:bookmarkStart w:id="296" w:name="_Toc278533984"/>
      <w:bookmarkStart w:id="297" w:name="_Toc279009255"/>
      <w:bookmarkEnd w:id="291"/>
      <w:r w:rsidRPr="00937E5B">
        <w:t xml:space="preserve">Summary data for </w:t>
      </w:r>
      <w:r>
        <w:t xml:space="preserve">patients in the Hopkins cohort with &gt;24 months follow-up and clinic visits between 1987-2010 </w:t>
      </w:r>
      <w:r w:rsidRPr="00937E5B">
        <w:t>(N=1</w:t>
      </w:r>
      <w:r>
        <w:t>354</w:t>
      </w:r>
      <w:r w:rsidRPr="00937E5B">
        <w:t>)</w:t>
      </w:r>
    </w:p>
    <w:tbl>
      <w:tblPr>
        <w:tblW w:w="0" w:type="auto"/>
        <w:tblInd w:w="2" w:type="dxa"/>
        <w:tblBorders>
          <w:top w:val="single" w:sz="8" w:space="0" w:color="auto"/>
          <w:bottom w:val="single" w:sz="8" w:space="0" w:color="auto"/>
        </w:tblBorders>
        <w:tblLook w:val="00A0"/>
      </w:tblPr>
      <w:tblGrid>
        <w:gridCol w:w="4110"/>
        <w:gridCol w:w="959"/>
        <w:gridCol w:w="457"/>
        <w:gridCol w:w="699"/>
        <w:gridCol w:w="775"/>
        <w:gridCol w:w="210"/>
        <w:gridCol w:w="1202"/>
      </w:tblGrid>
      <w:tr w:rsidR="006074C8" w:rsidRPr="00EE66AF" w:rsidTr="00DD3003">
        <w:tc>
          <w:tcPr>
            <w:tcW w:w="4501" w:type="dxa"/>
            <w:tcBorders>
              <w:top w:val="single" w:sz="12" w:space="0" w:color="auto"/>
              <w:bottom w:val="single" w:sz="4" w:space="0" w:color="auto"/>
            </w:tcBorders>
          </w:tcPr>
          <w:p w:rsidR="006074C8" w:rsidRPr="00EE66AF" w:rsidRDefault="006074C8" w:rsidP="00A14ADC">
            <w:pPr>
              <w:pStyle w:val="NoSpacing"/>
              <w:rPr>
                <w:rFonts w:asciiTheme="majorBidi" w:hAnsiTheme="majorBidi" w:cstheme="majorBidi"/>
                <w:sz w:val="18"/>
                <w:szCs w:val="18"/>
              </w:rPr>
            </w:pPr>
          </w:p>
        </w:tc>
        <w:tc>
          <w:tcPr>
            <w:tcW w:w="1512" w:type="dxa"/>
            <w:gridSpan w:val="2"/>
            <w:tcBorders>
              <w:top w:val="single" w:sz="12" w:space="0" w:color="auto"/>
              <w:bottom w:val="single" w:sz="4" w:space="0" w:color="auto"/>
            </w:tcBorders>
          </w:tcPr>
          <w:p w:rsidR="006074C8" w:rsidRPr="00EE66AF" w:rsidRDefault="006074C8" w:rsidP="00A14ADC">
            <w:pPr>
              <w:pStyle w:val="NoSpacing"/>
              <w:spacing w:after="0" w:afterAutospacing="0"/>
              <w:jc w:val="center"/>
              <w:rPr>
                <w:rFonts w:asciiTheme="majorBidi" w:hAnsiTheme="majorBidi" w:cstheme="majorBidi"/>
                <w:sz w:val="18"/>
                <w:szCs w:val="18"/>
              </w:rPr>
            </w:pPr>
            <w:r w:rsidRPr="00EE66AF">
              <w:rPr>
                <w:rFonts w:asciiTheme="majorBidi" w:hAnsiTheme="majorBidi" w:cstheme="majorBidi"/>
                <w:sz w:val="18"/>
                <w:szCs w:val="18"/>
              </w:rPr>
              <w:t>Mean/</w:t>
            </w:r>
          </w:p>
          <w:p w:rsidR="006074C8" w:rsidRPr="00EE66AF" w:rsidRDefault="006074C8" w:rsidP="00A14ADC">
            <w:pPr>
              <w:pStyle w:val="NoSpacing"/>
              <w:spacing w:after="0" w:afterAutospacing="0"/>
              <w:jc w:val="center"/>
              <w:rPr>
                <w:rFonts w:asciiTheme="majorBidi" w:hAnsiTheme="majorBidi" w:cstheme="majorBidi"/>
                <w:sz w:val="18"/>
                <w:szCs w:val="18"/>
              </w:rPr>
            </w:pPr>
            <w:r w:rsidRPr="00EE66AF">
              <w:rPr>
                <w:rFonts w:asciiTheme="majorBidi" w:hAnsiTheme="majorBidi" w:cstheme="majorBidi"/>
                <w:sz w:val="18"/>
                <w:szCs w:val="18"/>
              </w:rPr>
              <w:t>% of cohort</w:t>
            </w:r>
          </w:p>
        </w:tc>
        <w:tc>
          <w:tcPr>
            <w:tcW w:w="1512" w:type="dxa"/>
            <w:gridSpan w:val="2"/>
            <w:tcBorders>
              <w:top w:val="single" w:sz="12" w:space="0" w:color="auto"/>
              <w:bottom w:val="single" w:sz="4" w:space="0" w:color="auto"/>
            </w:tcBorders>
          </w:tcPr>
          <w:p w:rsidR="006074C8" w:rsidRPr="00EE66AF" w:rsidRDefault="006074C8" w:rsidP="00A14ADC">
            <w:pPr>
              <w:pStyle w:val="NoSpacing"/>
              <w:spacing w:after="0" w:afterAutospacing="0"/>
              <w:jc w:val="center"/>
              <w:rPr>
                <w:rFonts w:asciiTheme="majorBidi" w:hAnsiTheme="majorBidi" w:cstheme="majorBidi"/>
                <w:sz w:val="18"/>
                <w:szCs w:val="18"/>
              </w:rPr>
            </w:pPr>
            <w:r w:rsidRPr="00EE66AF">
              <w:rPr>
                <w:rFonts w:asciiTheme="majorBidi" w:hAnsiTheme="majorBidi" w:cstheme="majorBidi"/>
                <w:sz w:val="18"/>
                <w:szCs w:val="18"/>
              </w:rPr>
              <w:t>Standard deviation</w:t>
            </w:r>
          </w:p>
        </w:tc>
        <w:tc>
          <w:tcPr>
            <w:tcW w:w="1512" w:type="dxa"/>
            <w:gridSpan w:val="2"/>
            <w:tcBorders>
              <w:top w:val="single" w:sz="12" w:space="0" w:color="auto"/>
              <w:bottom w:val="single" w:sz="4" w:space="0" w:color="auto"/>
            </w:tcBorders>
          </w:tcPr>
          <w:p w:rsidR="006074C8" w:rsidRPr="00EE66AF" w:rsidRDefault="006074C8" w:rsidP="00A14ADC">
            <w:pPr>
              <w:pStyle w:val="NoSpacing"/>
              <w:spacing w:after="0" w:afterAutospacing="0"/>
              <w:jc w:val="center"/>
              <w:rPr>
                <w:rFonts w:asciiTheme="majorBidi" w:hAnsiTheme="majorBidi" w:cstheme="majorBidi"/>
                <w:sz w:val="18"/>
                <w:szCs w:val="18"/>
              </w:rPr>
            </w:pPr>
            <w:r w:rsidRPr="00EE66AF">
              <w:rPr>
                <w:rFonts w:asciiTheme="majorBidi" w:hAnsiTheme="majorBidi" w:cstheme="majorBidi"/>
                <w:sz w:val="18"/>
                <w:szCs w:val="18"/>
              </w:rPr>
              <w:t>Median</w:t>
            </w:r>
          </w:p>
        </w:tc>
      </w:tr>
      <w:tr w:rsidR="006074C8" w:rsidRPr="00EE66AF" w:rsidTr="00A14ADC">
        <w:tc>
          <w:tcPr>
            <w:tcW w:w="4501" w:type="dxa"/>
            <w:tcBorders>
              <w:top w:val="single" w:sz="4" w:space="0" w:color="auto"/>
            </w:tcBorders>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Female </w:t>
            </w:r>
          </w:p>
        </w:tc>
        <w:tc>
          <w:tcPr>
            <w:tcW w:w="1512" w:type="dxa"/>
            <w:gridSpan w:val="2"/>
            <w:tcBorders>
              <w:top w:val="single" w:sz="4" w:space="0" w:color="auto"/>
            </w:tcBorders>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92.91%</w:t>
            </w:r>
          </w:p>
        </w:tc>
        <w:tc>
          <w:tcPr>
            <w:tcW w:w="1512" w:type="dxa"/>
            <w:gridSpan w:val="2"/>
            <w:tcBorders>
              <w:top w:val="single" w:sz="4" w:space="0" w:color="auto"/>
            </w:tcBorders>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Borders>
              <w:top w:val="single" w:sz="4" w:space="0" w:color="auto"/>
            </w:tcBorders>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African American</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38.77%</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Caucasian</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52.44%</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Age at diagnosis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 xml:space="preserve">32.93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13.05</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30.69</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Age at cohort entry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37.76</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12.85</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35.90</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Disease duration at cohort entry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 xml:space="preserve">4.83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6.30</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2.61</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Disease duration &lt;1 year at cohort entry</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39.88%</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SLEDAI score at first visit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 xml:space="preserve">3.71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4.06</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2.00</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Mean SLEDAI in first year</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3.01</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2.59</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2.48</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Mean SLEDAI in last year of follow-up</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2.15</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2.59</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1.57</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Pr>
                <w:rFonts w:asciiTheme="majorBidi" w:hAnsiTheme="majorBidi" w:cstheme="majorBidi"/>
                <w:sz w:val="18"/>
                <w:szCs w:val="18"/>
              </w:rPr>
              <w:t>Steroid</w:t>
            </w:r>
            <w:r w:rsidRPr="00EE66AF">
              <w:rPr>
                <w:rFonts w:asciiTheme="majorBidi" w:hAnsiTheme="majorBidi" w:cstheme="majorBidi"/>
                <w:sz w:val="18"/>
                <w:szCs w:val="18"/>
              </w:rPr>
              <w:t xml:space="preserve"> dose at first visit (mg per day)</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 xml:space="preserve">10.49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16.19</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5.00</w:t>
            </w:r>
          </w:p>
        </w:tc>
      </w:tr>
      <w:tr w:rsidR="006074C8" w:rsidRPr="00EE66AF" w:rsidTr="00A14ADC">
        <w:tc>
          <w:tcPr>
            <w:tcW w:w="4501" w:type="dxa"/>
          </w:tcPr>
          <w:p w:rsidR="006074C8" w:rsidRPr="00E951FC" w:rsidRDefault="006074C8" w:rsidP="00A14ADC">
            <w:pPr>
              <w:pStyle w:val="NoSpacing"/>
              <w:rPr>
                <w:rFonts w:asciiTheme="majorBidi" w:hAnsiTheme="majorBidi" w:cstheme="majorBidi"/>
                <w:sz w:val="18"/>
                <w:szCs w:val="18"/>
                <w:lang w:val="fr-CA"/>
              </w:rPr>
            </w:pPr>
            <w:r w:rsidRPr="00E951FC">
              <w:rPr>
                <w:rFonts w:asciiTheme="majorBidi" w:hAnsiTheme="majorBidi" w:cstheme="majorBidi"/>
                <w:sz w:val="18"/>
                <w:szCs w:val="18"/>
                <w:lang w:val="fr-CA"/>
              </w:rPr>
              <w:t>Patient visits with immunosuppressants pr</w:t>
            </w:r>
            <w:r>
              <w:rPr>
                <w:rFonts w:asciiTheme="majorBidi" w:hAnsiTheme="majorBidi" w:cstheme="majorBidi"/>
                <w:sz w:val="18"/>
                <w:szCs w:val="18"/>
                <w:lang w:val="fr-CA"/>
              </w:rPr>
              <w:t>escribed</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Pr>
                <w:rFonts w:asciiTheme="majorBidi" w:hAnsiTheme="majorBidi" w:cstheme="majorBidi"/>
                <w:sz w:val="18"/>
                <w:szCs w:val="18"/>
              </w:rPr>
              <w:t>43.23%</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Default="006074C8" w:rsidP="00A14ADC">
            <w:pPr>
              <w:pStyle w:val="NoSpacing"/>
              <w:rPr>
                <w:rFonts w:asciiTheme="majorBidi" w:hAnsiTheme="majorBidi" w:cstheme="majorBidi"/>
                <w:sz w:val="18"/>
                <w:szCs w:val="18"/>
              </w:rPr>
            </w:pPr>
            <w:r>
              <w:rPr>
                <w:rFonts w:asciiTheme="majorBidi" w:hAnsiTheme="majorBidi" w:cstheme="majorBidi"/>
                <w:sz w:val="18"/>
                <w:szCs w:val="18"/>
              </w:rPr>
              <w:t>Patient visits with anti-malarials prescribed</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Pr>
                <w:rFonts w:asciiTheme="majorBidi" w:hAnsiTheme="majorBidi" w:cstheme="majorBidi"/>
                <w:sz w:val="18"/>
                <w:szCs w:val="18"/>
              </w:rPr>
              <w:t>62.06%</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 xml:space="preserve">Duration of follow-up in years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 xml:space="preserve">8.13 </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5.02</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6.93</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Days between clinic visits</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98.40</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164.11</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91</w:t>
            </w:r>
          </w:p>
        </w:tc>
      </w:tr>
      <w:tr w:rsidR="006074C8" w:rsidRPr="00EE66AF" w:rsidTr="00A14ADC">
        <w:tc>
          <w:tcPr>
            <w:tcW w:w="4501" w:type="dxa"/>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Days between clinic visits greater than 93 days</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36.82%</w:t>
            </w: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Borders>
              <w:bottom w:val="single" w:sz="4" w:space="0" w:color="auto"/>
            </w:tcBorders>
          </w:tcPr>
          <w:p w:rsidR="006074C8" w:rsidRPr="00EE66AF" w:rsidRDefault="006074C8" w:rsidP="00A14ADC">
            <w:pPr>
              <w:pStyle w:val="NoSpacing"/>
              <w:rPr>
                <w:rFonts w:asciiTheme="majorBidi" w:hAnsiTheme="majorBidi" w:cstheme="majorBidi"/>
                <w:sz w:val="18"/>
                <w:szCs w:val="18"/>
              </w:rPr>
            </w:pPr>
            <w:r w:rsidRPr="00EE66AF">
              <w:rPr>
                <w:rFonts w:asciiTheme="majorBidi" w:hAnsiTheme="majorBidi" w:cstheme="majorBidi"/>
                <w:sz w:val="18"/>
                <w:szCs w:val="18"/>
              </w:rPr>
              <w:t>Days between clinic visits greater than 365 days</w:t>
            </w:r>
          </w:p>
        </w:tc>
        <w:tc>
          <w:tcPr>
            <w:tcW w:w="1512" w:type="dxa"/>
            <w:gridSpan w:val="2"/>
            <w:tcBorders>
              <w:bottom w:val="single" w:sz="4" w:space="0" w:color="auto"/>
            </w:tcBorders>
          </w:tcPr>
          <w:p w:rsidR="006074C8" w:rsidRPr="00EE66AF" w:rsidRDefault="006074C8" w:rsidP="00A14ADC">
            <w:pPr>
              <w:pStyle w:val="NoSpacing"/>
              <w:jc w:val="right"/>
              <w:rPr>
                <w:rFonts w:asciiTheme="majorBidi" w:hAnsiTheme="majorBidi" w:cstheme="majorBidi"/>
                <w:sz w:val="18"/>
                <w:szCs w:val="18"/>
              </w:rPr>
            </w:pPr>
            <w:r w:rsidRPr="00EE66AF">
              <w:rPr>
                <w:rFonts w:asciiTheme="majorBidi" w:hAnsiTheme="majorBidi" w:cstheme="majorBidi"/>
                <w:sz w:val="18"/>
                <w:szCs w:val="18"/>
              </w:rPr>
              <w:t>2.09%</w:t>
            </w:r>
          </w:p>
        </w:tc>
        <w:tc>
          <w:tcPr>
            <w:tcW w:w="1512" w:type="dxa"/>
            <w:gridSpan w:val="2"/>
            <w:tcBorders>
              <w:bottom w:val="single" w:sz="4" w:space="0" w:color="auto"/>
            </w:tcBorders>
          </w:tcPr>
          <w:p w:rsidR="006074C8" w:rsidRPr="00EE66AF" w:rsidRDefault="006074C8" w:rsidP="00A14ADC">
            <w:pPr>
              <w:pStyle w:val="NoSpacing"/>
              <w:jc w:val="right"/>
              <w:rPr>
                <w:rFonts w:asciiTheme="majorBidi" w:hAnsiTheme="majorBidi" w:cstheme="majorBidi"/>
                <w:sz w:val="18"/>
                <w:szCs w:val="18"/>
              </w:rPr>
            </w:pPr>
          </w:p>
        </w:tc>
        <w:tc>
          <w:tcPr>
            <w:tcW w:w="1512" w:type="dxa"/>
            <w:gridSpan w:val="2"/>
            <w:tcBorders>
              <w:bottom w:val="single" w:sz="4" w:space="0" w:color="auto"/>
            </w:tcBorders>
          </w:tcPr>
          <w:p w:rsidR="006074C8" w:rsidRPr="00EE66AF" w:rsidRDefault="006074C8" w:rsidP="00A14ADC">
            <w:pPr>
              <w:pStyle w:val="NoSpacing"/>
              <w:jc w:val="right"/>
              <w:rPr>
                <w:rFonts w:asciiTheme="majorBidi" w:hAnsiTheme="majorBidi" w:cstheme="majorBidi"/>
                <w:sz w:val="18"/>
                <w:szCs w:val="18"/>
              </w:rPr>
            </w:pPr>
          </w:p>
        </w:tc>
      </w:tr>
      <w:tr w:rsidR="006074C8" w:rsidRPr="00EE66AF" w:rsidTr="00A14ADC">
        <w:tc>
          <w:tcPr>
            <w:tcW w:w="4501" w:type="dxa"/>
            <w:tcBorders>
              <w:top w:val="single" w:sz="4" w:space="0" w:color="auto"/>
              <w:bottom w:val="nil"/>
            </w:tcBorders>
          </w:tcPr>
          <w:p w:rsidR="006074C8" w:rsidRPr="00EE66AF" w:rsidRDefault="006074C8" w:rsidP="00A14ADC">
            <w:pPr>
              <w:pStyle w:val="NoSpacing"/>
              <w:rPr>
                <w:rFonts w:asciiTheme="majorBidi" w:hAnsiTheme="majorBidi" w:cstheme="majorBidi"/>
                <w:sz w:val="18"/>
                <w:szCs w:val="18"/>
              </w:rPr>
            </w:pPr>
          </w:p>
        </w:tc>
        <w:tc>
          <w:tcPr>
            <w:tcW w:w="4536" w:type="dxa"/>
            <w:gridSpan w:val="6"/>
            <w:tcBorders>
              <w:top w:val="single" w:sz="4" w:space="0" w:color="auto"/>
              <w:bottom w:val="nil"/>
            </w:tcBorders>
          </w:tcPr>
          <w:p w:rsidR="006074C8" w:rsidRPr="00EE66AF" w:rsidRDefault="006074C8" w:rsidP="00A14ADC">
            <w:pPr>
              <w:pStyle w:val="NoSpacing"/>
              <w:jc w:val="center"/>
              <w:rPr>
                <w:rFonts w:asciiTheme="majorBidi" w:hAnsiTheme="majorBidi" w:cstheme="majorBidi"/>
                <w:sz w:val="18"/>
                <w:szCs w:val="18"/>
              </w:rPr>
            </w:pPr>
            <w:r w:rsidRPr="00EE66AF">
              <w:rPr>
                <w:rFonts w:asciiTheme="majorBidi" w:hAnsiTheme="majorBidi" w:cstheme="majorBidi"/>
                <w:sz w:val="18"/>
                <w:szCs w:val="18"/>
              </w:rPr>
              <w:t>% of patients with organ damage over time</w:t>
            </w:r>
          </w:p>
        </w:tc>
      </w:tr>
      <w:tr w:rsidR="00320846" w:rsidRPr="00EE66AF" w:rsidTr="00A14ADC">
        <w:tc>
          <w:tcPr>
            <w:tcW w:w="4501" w:type="dxa"/>
            <w:tcBorders>
              <w:top w:val="nil"/>
              <w:bottom w:val="single" w:sz="4" w:space="0" w:color="auto"/>
            </w:tcBorders>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Organ damage accrual</w:t>
            </w:r>
          </w:p>
        </w:tc>
        <w:tc>
          <w:tcPr>
            <w:tcW w:w="992" w:type="dxa"/>
            <w:tcBorders>
              <w:top w:val="nil"/>
              <w:bottom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Cohort entry</w:t>
            </w:r>
          </w:p>
        </w:tc>
        <w:tc>
          <w:tcPr>
            <w:tcW w:w="1233" w:type="dxa"/>
            <w:gridSpan w:val="2"/>
            <w:tcBorders>
              <w:top w:val="nil"/>
              <w:bottom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5 year</w:t>
            </w:r>
          </w:p>
        </w:tc>
        <w:tc>
          <w:tcPr>
            <w:tcW w:w="1035" w:type="dxa"/>
            <w:gridSpan w:val="2"/>
            <w:tcBorders>
              <w:top w:val="nil"/>
              <w:bottom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 year</w:t>
            </w:r>
          </w:p>
        </w:tc>
        <w:tc>
          <w:tcPr>
            <w:tcW w:w="1276" w:type="dxa"/>
            <w:tcBorders>
              <w:top w:val="nil"/>
              <w:bottom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15 year</w:t>
            </w:r>
          </w:p>
        </w:tc>
      </w:tr>
      <w:tr w:rsidR="00320846" w:rsidRPr="00EE66AF" w:rsidTr="00A14ADC">
        <w:tc>
          <w:tcPr>
            <w:tcW w:w="4501" w:type="dxa"/>
            <w:tcBorders>
              <w:top w:val="single" w:sz="4" w:space="0" w:color="auto"/>
            </w:tcBorders>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n</w:t>
            </w:r>
          </w:p>
        </w:tc>
        <w:tc>
          <w:tcPr>
            <w:tcW w:w="992" w:type="dxa"/>
            <w:tcBorders>
              <w:top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1354</w:t>
            </w:r>
          </w:p>
        </w:tc>
        <w:tc>
          <w:tcPr>
            <w:tcW w:w="1233" w:type="dxa"/>
            <w:gridSpan w:val="2"/>
            <w:tcBorders>
              <w:top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938</w:t>
            </w:r>
          </w:p>
        </w:tc>
        <w:tc>
          <w:tcPr>
            <w:tcW w:w="1035" w:type="dxa"/>
            <w:gridSpan w:val="2"/>
            <w:tcBorders>
              <w:top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459</w:t>
            </w:r>
          </w:p>
        </w:tc>
        <w:tc>
          <w:tcPr>
            <w:tcW w:w="1276" w:type="dxa"/>
            <w:tcBorders>
              <w:top w:val="single" w:sz="4" w:space="0" w:color="auto"/>
            </w:tcBorders>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175</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Cardiovascular damage</w:t>
            </w:r>
          </w:p>
        </w:tc>
        <w:tc>
          <w:tcPr>
            <w:tcW w:w="992" w:type="dxa"/>
          </w:tcPr>
          <w:p w:rsidR="00320846" w:rsidRPr="00320846" w:rsidRDefault="00320846" w:rsidP="00320846">
            <w:pPr>
              <w:pStyle w:val="NoSpacing"/>
              <w:ind w:right="90"/>
              <w:jc w:val="right"/>
              <w:rPr>
                <w:rFonts w:asciiTheme="majorBidi" w:hAnsiTheme="majorBidi" w:cstheme="majorBidi"/>
                <w:sz w:val="18"/>
                <w:szCs w:val="18"/>
              </w:rPr>
            </w:pPr>
            <w:r w:rsidRPr="00320846">
              <w:rPr>
                <w:rFonts w:asciiTheme="majorBidi" w:hAnsiTheme="majorBidi" w:cstheme="majorBidi"/>
                <w:sz w:val="18"/>
                <w:szCs w:val="18"/>
              </w:rPr>
              <w:t>1.16</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1.71</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2.10</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2.51</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Renal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6.4%</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10.5%</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13.7%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16.0%</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Musculoskeletal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7.9%</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10.2%</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10.3%</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CNS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15.2%</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23.5%</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31.8%</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40.6%</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Pulmonary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16.8%</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21.8%</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25.7%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28.0%</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Peripheral Vascular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7.5%</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11.7%</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16.6%</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17.1%</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Gastrointestinal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4.3%</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5.6%</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6.5%</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7.4%</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Ocular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11.4%</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15.4%</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13.5%</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12.6%</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Skin damage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10.0%</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14.7%</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18.7%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24.0%</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Diabetes</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6.3%</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7.4%</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9.4%</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14.9%</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Malignancy</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4.5%</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6.8%</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8.7%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9.1%</w:t>
            </w:r>
          </w:p>
        </w:tc>
      </w:tr>
      <w:tr w:rsidR="00320846" w:rsidRPr="00EE66AF" w:rsidTr="00A14ADC">
        <w:tc>
          <w:tcPr>
            <w:tcW w:w="4501" w:type="dxa"/>
          </w:tcPr>
          <w:p w:rsidR="00320846" w:rsidRPr="00EE66AF" w:rsidRDefault="00320846" w:rsidP="00A14ADC">
            <w:pPr>
              <w:pStyle w:val="NoSpacing"/>
              <w:rPr>
                <w:rFonts w:asciiTheme="majorBidi" w:hAnsiTheme="majorBidi" w:cstheme="majorBidi"/>
                <w:sz w:val="18"/>
                <w:szCs w:val="18"/>
              </w:rPr>
            </w:pPr>
            <w:r w:rsidRPr="00EE66AF">
              <w:rPr>
                <w:rFonts w:asciiTheme="majorBidi" w:hAnsiTheme="majorBidi" w:cstheme="majorBidi"/>
                <w:sz w:val="18"/>
                <w:szCs w:val="18"/>
              </w:rPr>
              <w:t>Gonadal failure</w:t>
            </w:r>
          </w:p>
        </w:tc>
        <w:tc>
          <w:tcPr>
            <w:tcW w:w="992"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4.4%</w:t>
            </w:r>
          </w:p>
        </w:tc>
        <w:tc>
          <w:tcPr>
            <w:tcW w:w="1233"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7.0%</w:t>
            </w:r>
          </w:p>
        </w:tc>
        <w:tc>
          <w:tcPr>
            <w:tcW w:w="1035" w:type="dxa"/>
            <w:gridSpan w:val="2"/>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8.7%</w:t>
            </w:r>
          </w:p>
        </w:tc>
        <w:tc>
          <w:tcPr>
            <w:tcW w:w="1276" w:type="dxa"/>
          </w:tcPr>
          <w:p w:rsidR="00320846" w:rsidRPr="00320846" w:rsidRDefault="00320846" w:rsidP="00320846">
            <w:pPr>
              <w:pStyle w:val="NoSpacing"/>
              <w:jc w:val="right"/>
              <w:rPr>
                <w:rFonts w:asciiTheme="majorBidi" w:hAnsiTheme="majorBidi" w:cstheme="majorBidi"/>
                <w:sz w:val="18"/>
                <w:szCs w:val="18"/>
              </w:rPr>
            </w:pPr>
            <w:r w:rsidRPr="00320846">
              <w:rPr>
                <w:rFonts w:asciiTheme="majorBidi" w:hAnsiTheme="majorBidi" w:cstheme="majorBidi"/>
                <w:sz w:val="18"/>
                <w:szCs w:val="18"/>
              </w:rPr>
              <w:t>13.7%</w:t>
            </w:r>
          </w:p>
        </w:tc>
      </w:tr>
      <w:tr w:rsidR="00320846" w:rsidRPr="00EE66AF" w:rsidTr="00DD3003">
        <w:tc>
          <w:tcPr>
            <w:tcW w:w="4501" w:type="dxa"/>
            <w:tcBorders>
              <w:bottom w:val="single" w:sz="12" w:space="0" w:color="auto"/>
            </w:tcBorders>
          </w:tcPr>
          <w:p w:rsidR="00320846" w:rsidRPr="00EE66AF" w:rsidRDefault="00320846" w:rsidP="00A14ADC">
            <w:pPr>
              <w:pStyle w:val="NoSpacing"/>
              <w:rPr>
                <w:rFonts w:asciiTheme="majorBidi" w:hAnsiTheme="majorBidi" w:cstheme="majorBidi"/>
                <w:sz w:val="18"/>
                <w:szCs w:val="18"/>
              </w:rPr>
            </w:pPr>
            <w:r>
              <w:rPr>
                <w:rFonts w:asciiTheme="majorBidi" w:hAnsiTheme="majorBidi" w:cstheme="majorBidi"/>
                <w:sz w:val="18"/>
                <w:szCs w:val="18"/>
              </w:rPr>
              <w:t>Mortality</w:t>
            </w:r>
          </w:p>
        </w:tc>
        <w:tc>
          <w:tcPr>
            <w:tcW w:w="992" w:type="dxa"/>
            <w:tcBorders>
              <w:bottom w:val="single" w:sz="12" w:space="0" w:color="auto"/>
            </w:tcBorders>
          </w:tcPr>
          <w:p w:rsidR="00320846" w:rsidRPr="00320846" w:rsidRDefault="00320846" w:rsidP="00320846">
            <w:pPr>
              <w:pStyle w:val="NoSpacing"/>
              <w:jc w:val="right"/>
              <w:rPr>
                <w:rFonts w:asciiTheme="majorBidi" w:hAnsiTheme="majorBidi" w:cstheme="majorBidi"/>
                <w:sz w:val="18"/>
                <w:szCs w:val="18"/>
              </w:rPr>
            </w:pPr>
            <w:r>
              <w:rPr>
                <w:rFonts w:asciiTheme="majorBidi" w:hAnsiTheme="majorBidi" w:cstheme="majorBidi"/>
                <w:sz w:val="18"/>
                <w:szCs w:val="18"/>
              </w:rPr>
              <w:t>0.0%</w:t>
            </w:r>
          </w:p>
        </w:tc>
        <w:tc>
          <w:tcPr>
            <w:tcW w:w="1233" w:type="dxa"/>
            <w:gridSpan w:val="2"/>
            <w:tcBorders>
              <w:bottom w:val="single" w:sz="12" w:space="0" w:color="auto"/>
            </w:tcBorders>
          </w:tcPr>
          <w:p w:rsidR="00320846" w:rsidRPr="00320846" w:rsidRDefault="0088677E" w:rsidP="00320846">
            <w:pPr>
              <w:pStyle w:val="NoSpacing"/>
              <w:jc w:val="right"/>
              <w:rPr>
                <w:rFonts w:asciiTheme="majorBidi" w:hAnsiTheme="majorBidi" w:cstheme="majorBidi"/>
                <w:sz w:val="18"/>
                <w:szCs w:val="18"/>
              </w:rPr>
            </w:pPr>
            <w:r>
              <w:rPr>
                <w:rFonts w:asciiTheme="majorBidi" w:hAnsiTheme="majorBidi" w:cstheme="majorBidi"/>
                <w:sz w:val="18"/>
                <w:szCs w:val="18"/>
              </w:rPr>
              <w:t>2.5%</w:t>
            </w:r>
          </w:p>
        </w:tc>
        <w:tc>
          <w:tcPr>
            <w:tcW w:w="1035" w:type="dxa"/>
            <w:gridSpan w:val="2"/>
            <w:tcBorders>
              <w:bottom w:val="single" w:sz="12" w:space="0" w:color="auto"/>
            </w:tcBorders>
          </w:tcPr>
          <w:p w:rsidR="00320846" w:rsidRPr="00320846" w:rsidRDefault="0088677E" w:rsidP="00320846">
            <w:pPr>
              <w:pStyle w:val="NoSpacing"/>
              <w:jc w:val="right"/>
              <w:rPr>
                <w:rFonts w:asciiTheme="majorBidi" w:hAnsiTheme="majorBidi" w:cstheme="majorBidi"/>
                <w:sz w:val="18"/>
                <w:szCs w:val="18"/>
              </w:rPr>
            </w:pPr>
            <w:r>
              <w:rPr>
                <w:rFonts w:asciiTheme="majorBidi" w:hAnsiTheme="majorBidi" w:cstheme="majorBidi"/>
                <w:sz w:val="18"/>
                <w:szCs w:val="18"/>
              </w:rPr>
              <w:t>5.0%</w:t>
            </w:r>
          </w:p>
        </w:tc>
        <w:tc>
          <w:tcPr>
            <w:tcW w:w="1276" w:type="dxa"/>
            <w:tcBorders>
              <w:bottom w:val="single" w:sz="12" w:space="0" w:color="auto"/>
            </w:tcBorders>
          </w:tcPr>
          <w:p w:rsidR="00320846" w:rsidRPr="00320846" w:rsidRDefault="0088677E" w:rsidP="00320846">
            <w:pPr>
              <w:pStyle w:val="NoSpacing"/>
              <w:jc w:val="right"/>
              <w:rPr>
                <w:rFonts w:asciiTheme="majorBidi" w:hAnsiTheme="majorBidi" w:cstheme="majorBidi"/>
                <w:sz w:val="18"/>
                <w:szCs w:val="18"/>
              </w:rPr>
            </w:pPr>
            <w:r>
              <w:rPr>
                <w:rFonts w:asciiTheme="majorBidi" w:hAnsiTheme="majorBidi" w:cstheme="majorBidi"/>
                <w:sz w:val="18"/>
                <w:szCs w:val="18"/>
              </w:rPr>
              <w:t>6.4%</w:t>
            </w:r>
          </w:p>
        </w:tc>
      </w:tr>
    </w:tbl>
    <w:p w:rsidR="006074C8" w:rsidRPr="00DD3003" w:rsidRDefault="00641AAD" w:rsidP="00DD3003">
      <w:pPr>
        <w:pStyle w:val="Heading3"/>
        <w:rPr>
          <w:rStyle w:val="Emphasis"/>
          <w:spacing w:val="15"/>
          <w:sz w:val="22"/>
        </w:rPr>
      </w:pPr>
      <w:bookmarkStart w:id="298" w:name="_Ref354829531"/>
      <w:bookmarkStart w:id="299" w:name="_Toc379467617"/>
      <w:bookmarkEnd w:id="295"/>
      <w:bookmarkEnd w:id="296"/>
      <w:bookmarkEnd w:id="297"/>
      <w:r w:rsidRPr="00DD3003">
        <w:rPr>
          <w:rStyle w:val="Emphasis"/>
          <w:spacing w:val="15"/>
          <w:sz w:val="22"/>
        </w:rPr>
        <w:t>Results of A</w:t>
      </w:r>
      <w:r w:rsidR="00062477" w:rsidRPr="00DD3003">
        <w:rPr>
          <w:rStyle w:val="Emphasis"/>
          <w:spacing w:val="15"/>
          <w:sz w:val="22"/>
        </w:rPr>
        <w:t>n</w:t>
      </w:r>
      <w:r w:rsidRPr="00DD3003">
        <w:rPr>
          <w:rStyle w:val="Emphasis"/>
          <w:spacing w:val="15"/>
          <w:sz w:val="22"/>
        </w:rPr>
        <w:t>alysis of SLEDAI Items and Steroid dose</w:t>
      </w:r>
      <w:bookmarkEnd w:id="298"/>
      <w:bookmarkEnd w:id="299"/>
    </w:p>
    <w:p w:rsidR="0088677E" w:rsidRDefault="0088677E" w:rsidP="005E31CE">
      <w:r>
        <w:t>In the following section each logistic regression for the twenty-four items of the SLEDAI are reported, grouped by organ system. In all tables the coefficients are reported in which a positive coefficient indicates that the covariate increases the risk of disease activity and a negative is associated with lower risk of activity.</w:t>
      </w:r>
    </w:p>
    <w:p w:rsidR="00584E81" w:rsidRDefault="006074C8" w:rsidP="0088677E">
      <w:pPr>
        <w:rPr>
          <w:b/>
          <w:bCs/>
          <w:sz w:val="18"/>
          <w:szCs w:val="16"/>
        </w:rPr>
      </w:pPr>
      <w:r>
        <w:t xml:space="preserve">The analysis of </w:t>
      </w:r>
      <w:r w:rsidR="0088677E">
        <w:t xml:space="preserve">seven </w:t>
      </w:r>
      <w:r>
        <w:t>neuropsychiatric items of the SLEDAI is reported in</w:t>
      </w:r>
      <w:r w:rsidR="005E31CE">
        <w:t xml:space="preserve"> </w:t>
      </w:r>
      <w:fldSimple w:instr=" REF _Ref355287894 \h  \* MERGEFORMAT ">
        <w:r w:rsidR="004911B7" w:rsidRPr="00C867F8">
          <w:t xml:space="preserve">Table </w:t>
        </w:r>
        <w:r w:rsidR="004911B7">
          <w:rPr>
            <w:noProof/>
          </w:rPr>
          <w:t>24</w:t>
        </w:r>
      </w:fldSimple>
      <w:r w:rsidR="005E31CE">
        <w:t xml:space="preserve">. </w:t>
      </w:r>
      <w:r>
        <w:t xml:space="preserve">In all </w:t>
      </w:r>
      <w:r w:rsidR="0068656C">
        <w:t xml:space="preserve">regression </w:t>
      </w:r>
      <w:r>
        <w:t xml:space="preserve">models, except </w:t>
      </w:r>
      <w:r w:rsidR="00A03F95" w:rsidRPr="00A03F95">
        <w:t>cerebrovascular accident</w:t>
      </w:r>
      <w:r>
        <w:t xml:space="preserve">, the presence of the symptom in the previous period was significantly associated with current status of the symptom. African American ethnicity was significantly associated with seizure. Lupus headache was negatively associated with age. No covariates were </w:t>
      </w:r>
      <w:r w:rsidR="00831D29">
        <w:t>included</w:t>
      </w:r>
      <w:r>
        <w:t xml:space="preserve"> in the</w:t>
      </w:r>
      <w:r w:rsidR="00A03F95">
        <w:t xml:space="preserve"> final c</w:t>
      </w:r>
      <w:r>
        <w:t xml:space="preserve">erebrovascular </w:t>
      </w:r>
      <w:r w:rsidR="0068656C">
        <w:t xml:space="preserve">regression </w:t>
      </w:r>
      <w:r>
        <w:t xml:space="preserve">model. </w:t>
      </w:r>
      <w:r w:rsidR="00831D29">
        <w:t xml:space="preserve">The </w:t>
      </w:r>
      <w:r w:rsidR="0068656C">
        <w:t xml:space="preserve">regression </w:t>
      </w:r>
      <w:r w:rsidR="00831D29">
        <w:t xml:space="preserve">models identified </w:t>
      </w:r>
      <w:r w:rsidR="0088677E">
        <w:t>statistically significant cross-item lagged variables from</w:t>
      </w:r>
      <w:r>
        <w:t xml:space="preserve"> renal, musculoskeletal, haematological involvement and immunological </w:t>
      </w:r>
      <w:r w:rsidR="0088677E">
        <w:t>items</w:t>
      </w:r>
      <w:r>
        <w:t xml:space="preserve">. The Wald Chi-squared statistics were statistically significant in all analyses suggesting that the overall fit of the </w:t>
      </w:r>
      <w:r w:rsidR="0068656C">
        <w:t xml:space="preserve">regression </w:t>
      </w:r>
      <w:r>
        <w:t>model</w:t>
      </w:r>
      <w:r w:rsidR="0068656C">
        <w:t>s</w:t>
      </w:r>
      <w:r>
        <w:t xml:space="preserve"> was good. The intraclass correlation was high</w:t>
      </w:r>
      <w:r w:rsidR="00C2646F">
        <w:t xml:space="preserve"> (&gt;0.1) in</w:t>
      </w:r>
      <w:r>
        <w:t xml:space="preserve"> all </w:t>
      </w:r>
      <w:r w:rsidR="0068656C">
        <w:t xml:space="preserve">regression </w:t>
      </w:r>
      <w:r>
        <w:t>models.</w:t>
      </w:r>
      <w:bookmarkStart w:id="300" w:name="_Ref295745763"/>
    </w:p>
    <w:p w:rsidR="006074C8" w:rsidRPr="00C867F8" w:rsidRDefault="006074C8" w:rsidP="00234693">
      <w:pPr>
        <w:pStyle w:val="Caption"/>
      </w:pPr>
      <w:bookmarkStart w:id="301" w:name="_Ref355287894"/>
      <w:r w:rsidRPr="00C867F8">
        <w:t xml:space="preserve">Table </w:t>
      </w:r>
      <w:fldSimple w:instr=" SEQ Table \* ARABIC ">
        <w:r w:rsidR="004911B7">
          <w:rPr>
            <w:noProof/>
          </w:rPr>
          <w:t>24</w:t>
        </w:r>
      </w:fldSimple>
      <w:bookmarkEnd w:id="300"/>
      <w:bookmarkEnd w:id="301"/>
      <w:r w:rsidRPr="00C867F8">
        <w:t xml:space="preserve">: </w:t>
      </w:r>
      <w:r>
        <w:t>Coefficient estimates from r</w:t>
      </w:r>
      <w:r w:rsidRPr="00C867F8">
        <w:t xml:space="preserve">andom effects logistic regression for neuropsychiatric </w:t>
      </w:r>
      <w:r>
        <w:t>items</w:t>
      </w:r>
    </w:p>
    <w:tbl>
      <w:tblPr>
        <w:tblStyle w:val="TableGrid"/>
        <w:tblW w:w="832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900"/>
        <w:gridCol w:w="918"/>
        <w:gridCol w:w="918"/>
        <w:gridCol w:w="918"/>
        <w:gridCol w:w="1073"/>
        <w:gridCol w:w="763"/>
        <w:gridCol w:w="918"/>
        <w:gridCol w:w="919"/>
      </w:tblGrid>
      <w:tr w:rsidR="00C2646F" w:rsidRPr="00DA0BB0" w:rsidTr="00DD3003">
        <w:tc>
          <w:tcPr>
            <w:tcW w:w="1900" w:type="dxa"/>
            <w:tcBorders>
              <w:top w:val="single" w:sz="12" w:space="0" w:color="auto"/>
              <w:bottom w:val="single" w:sz="4" w:space="0" w:color="auto"/>
            </w:tcBorders>
          </w:tcPr>
          <w:p w:rsidR="00C2646F" w:rsidRPr="00DA0BB0" w:rsidRDefault="00C2646F" w:rsidP="00DD3003">
            <w:pPr>
              <w:spacing w:line="240" w:lineRule="auto"/>
              <w:rPr>
                <w:sz w:val="18"/>
                <w:szCs w:val="18"/>
              </w:rPr>
            </w:pPr>
          </w:p>
        </w:tc>
        <w:tc>
          <w:tcPr>
            <w:tcW w:w="6427" w:type="dxa"/>
            <w:gridSpan w:val="7"/>
            <w:tcBorders>
              <w:top w:val="single" w:sz="12" w:space="0" w:color="auto"/>
              <w:bottom w:val="single" w:sz="4" w:space="0" w:color="auto"/>
            </w:tcBorders>
          </w:tcPr>
          <w:p w:rsidR="00C2646F" w:rsidRPr="00DA0BB0" w:rsidRDefault="00C2646F" w:rsidP="00DD3003">
            <w:pPr>
              <w:spacing w:line="240" w:lineRule="auto"/>
              <w:jc w:val="center"/>
              <w:rPr>
                <w:sz w:val="18"/>
                <w:szCs w:val="18"/>
              </w:rPr>
            </w:pPr>
            <w:r>
              <w:rPr>
                <w:sz w:val="18"/>
                <w:szCs w:val="18"/>
              </w:rPr>
              <w:t>Neuropsychiatric involvement</w:t>
            </w:r>
          </w:p>
        </w:tc>
      </w:tr>
      <w:tr w:rsidR="006074C8" w:rsidRPr="00DA0BB0" w:rsidTr="00DD3003">
        <w:tc>
          <w:tcPr>
            <w:tcW w:w="1900" w:type="dxa"/>
            <w:tcBorders>
              <w:top w:val="single" w:sz="8" w:space="0" w:color="auto"/>
              <w:bottom w:val="single" w:sz="4" w:space="0" w:color="auto"/>
            </w:tcBorders>
          </w:tcPr>
          <w:p w:rsidR="006074C8" w:rsidRPr="00DA0BB0" w:rsidRDefault="006074C8" w:rsidP="00DD3003">
            <w:pPr>
              <w:spacing w:line="240" w:lineRule="auto"/>
              <w:rPr>
                <w:sz w:val="18"/>
                <w:szCs w:val="18"/>
              </w:rPr>
            </w:pPr>
          </w:p>
        </w:tc>
        <w:tc>
          <w:tcPr>
            <w:tcW w:w="918"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Seizure</w:t>
            </w:r>
          </w:p>
        </w:tc>
        <w:tc>
          <w:tcPr>
            <w:tcW w:w="918"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Psychosis</w:t>
            </w:r>
          </w:p>
        </w:tc>
        <w:tc>
          <w:tcPr>
            <w:tcW w:w="918"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OBS</w:t>
            </w:r>
          </w:p>
        </w:tc>
        <w:tc>
          <w:tcPr>
            <w:tcW w:w="1073"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Visual Disturbance</w:t>
            </w:r>
          </w:p>
        </w:tc>
        <w:tc>
          <w:tcPr>
            <w:tcW w:w="763"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Cranial nerve disorder</w:t>
            </w:r>
          </w:p>
        </w:tc>
        <w:tc>
          <w:tcPr>
            <w:tcW w:w="918"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Lupus Headache</w:t>
            </w:r>
          </w:p>
        </w:tc>
        <w:tc>
          <w:tcPr>
            <w:tcW w:w="919" w:type="dxa"/>
            <w:tcBorders>
              <w:top w:val="single" w:sz="8" w:space="0" w:color="auto"/>
              <w:bottom w:val="single" w:sz="4" w:space="0" w:color="auto"/>
            </w:tcBorders>
          </w:tcPr>
          <w:p w:rsidR="006074C8" w:rsidRPr="00DA0BB0" w:rsidRDefault="006074C8" w:rsidP="00DD3003">
            <w:pPr>
              <w:spacing w:line="240" w:lineRule="auto"/>
              <w:rPr>
                <w:sz w:val="18"/>
                <w:szCs w:val="18"/>
              </w:rPr>
            </w:pPr>
            <w:r w:rsidRPr="00DA0BB0">
              <w:rPr>
                <w:sz w:val="18"/>
                <w:szCs w:val="18"/>
              </w:rPr>
              <w:t xml:space="preserve">CVA </w:t>
            </w:r>
          </w:p>
        </w:tc>
      </w:tr>
      <w:tr w:rsidR="006074C8" w:rsidRPr="00DA0BB0" w:rsidTr="00DD3003">
        <w:tc>
          <w:tcPr>
            <w:tcW w:w="1900" w:type="dxa"/>
            <w:tcBorders>
              <w:top w:val="single" w:sz="4" w:space="0" w:color="auto"/>
            </w:tcBorders>
          </w:tcPr>
          <w:p w:rsidR="006074C8" w:rsidRPr="00DA0BB0" w:rsidRDefault="006074C8" w:rsidP="00DD3003">
            <w:pPr>
              <w:spacing w:line="240" w:lineRule="auto"/>
              <w:rPr>
                <w:sz w:val="18"/>
                <w:szCs w:val="18"/>
              </w:rPr>
            </w:pPr>
            <w:r>
              <w:rPr>
                <w:sz w:val="18"/>
                <w:szCs w:val="18"/>
              </w:rPr>
              <w:t>African American</w:t>
            </w:r>
            <w:r w:rsidRPr="00DA0BB0">
              <w:rPr>
                <w:sz w:val="18"/>
                <w:szCs w:val="18"/>
              </w:rPr>
              <w:t xml:space="preserve"> ethnicity</w:t>
            </w:r>
          </w:p>
        </w:tc>
        <w:tc>
          <w:tcPr>
            <w:tcW w:w="918" w:type="dxa"/>
            <w:tcBorders>
              <w:top w:val="single" w:sz="4" w:space="0" w:color="auto"/>
            </w:tcBorders>
            <w:vAlign w:val="bottom"/>
          </w:tcPr>
          <w:p w:rsidR="006074C8" w:rsidRPr="00DA0BB0" w:rsidRDefault="006074C8" w:rsidP="00DD3003">
            <w:pPr>
              <w:spacing w:line="240" w:lineRule="auto"/>
              <w:rPr>
                <w:sz w:val="18"/>
                <w:szCs w:val="18"/>
              </w:rPr>
            </w:pPr>
            <w:r>
              <w:rPr>
                <w:sz w:val="18"/>
                <w:szCs w:val="18"/>
              </w:rPr>
              <w:t>0.9866 (0.4917)</w:t>
            </w:r>
          </w:p>
        </w:tc>
        <w:tc>
          <w:tcPr>
            <w:tcW w:w="918" w:type="dxa"/>
            <w:tcBorders>
              <w:top w:val="single" w:sz="4" w:space="0" w:color="auto"/>
            </w:tcBorders>
            <w:vAlign w:val="bottom"/>
          </w:tcPr>
          <w:p w:rsidR="006074C8" w:rsidRPr="00DA0BB0" w:rsidRDefault="006074C8" w:rsidP="00DD3003">
            <w:pPr>
              <w:spacing w:line="240" w:lineRule="auto"/>
              <w:rPr>
                <w:sz w:val="18"/>
                <w:szCs w:val="18"/>
              </w:rPr>
            </w:pPr>
          </w:p>
        </w:tc>
        <w:tc>
          <w:tcPr>
            <w:tcW w:w="918" w:type="dxa"/>
            <w:tcBorders>
              <w:top w:val="single" w:sz="4" w:space="0" w:color="auto"/>
            </w:tcBorders>
            <w:vAlign w:val="bottom"/>
          </w:tcPr>
          <w:p w:rsidR="006074C8" w:rsidRPr="00DA0BB0" w:rsidRDefault="006074C8" w:rsidP="00DD3003">
            <w:pPr>
              <w:spacing w:line="240" w:lineRule="auto"/>
              <w:rPr>
                <w:sz w:val="18"/>
                <w:szCs w:val="18"/>
              </w:rPr>
            </w:pPr>
          </w:p>
        </w:tc>
        <w:tc>
          <w:tcPr>
            <w:tcW w:w="1073" w:type="dxa"/>
            <w:tcBorders>
              <w:top w:val="single" w:sz="4" w:space="0" w:color="auto"/>
            </w:tcBorders>
            <w:vAlign w:val="bottom"/>
          </w:tcPr>
          <w:p w:rsidR="006074C8" w:rsidRPr="00DA0BB0" w:rsidRDefault="006074C8" w:rsidP="00DD3003">
            <w:pPr>
              <w:spacing w:line="240" w:lineRule="auto"/>
              <w:rPr>
                <w:sz w:val="18"/>
                <w:szCs w:val="18"/>
              </w:rPr>
            </w:pPr>
          </w:p>
        </w:tc>
        <w:tc>
          <w:tcPr>
            <w:tcW w:w="763" w:type="dxa"/>
            <w:tcBorders>
              <w:top w:val="single" w:sz="4" w:space="0" w:color="auto"/>
            </w:tcBorders>
            <w:vAlign w:val="bottom"/>
          </w:tcPr>
          <w:p w:rsidR="006074C8" w:rsidRPr="00DA0BB0" w:rsidRDefault="006074C8" w:rsidP="00DD3003">
            <w:pPr>
              <w:spacing w:line="240" w:lineRule="auto"/>
              <w:rPr>
                <w:sz w:val="18"/>
                <w:szCs w:val="18"/>
              </w:rPr>
            </w:pPr>
          </w:p>
        </w:tc>
        <w:tc>
          <w:tcPr>
            <w:tcW w:w="918" w:type="dxa"/>
            <w:tcBorders>
              <w:top w:val="single" w:sz="4" w:space="0" w:color="auto"/>
            </w:tcBorders>
            <w:vAlign w:val="bottom"/>
          </w:tcPr>
          <w:p w:rsidR="006074C8" w:rsidRPr="00DA0BB0" w:rsidRDefault="006074C8" w:rsidP="00DD3003">
            <w:pPr>
              <w:spacing w:line="240" w:lineRule="auto"/>
              <w:rPr>
                <w:sz w:val="18"/>
                <w:szCs w:val="18"/>
              </w:rPr>
            </w:pPr>
          </w:p>
        </w:tc>
        <w:tc>
          <w:tcPr>
            <w:tcW w:w="919" w:type="dxa"/>
            <w:tcBorders>
              <w:top w:val="single" w:sz="4" w:space="0" w:color="auto"/>
            </w:tcBorders>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Log of age</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-1.7834 (0.5030)</w:t>
            </w: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Seizure in last period</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1.8503 (0.4870)</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Psychosis in last period</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r w:rsidRPr="00564F5E">
              <w:rPr>
                <w:rFonts w:asciiTheme="majorBidi" w:hAnsiTheme="majorBidi" w:cstheme="majorBidi"/>
                <w:sz w:val="18"/>
                <w:szCs w:val="18"/>
              </w:rPr>
              <w:t>5.1913</w:t>
            </w:r>
            <w:r>
              <w:rPr>
                <w:rFonts w:asciiTheme="majorBidi" w:hAnsiTheme="majorBidi" w:cstheme="majorBidi"/>
                <w:sz w:val="18"/>
                <w:szCs w:val="18"/>
              </w:rPr>
              <w:t xml:space="preserve"> (0.9328)</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OBS in last period</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r w:rsidRPr="00564F5E">
              <w:rPr>
                <w:rFonts w:asciiTheme="majorBidi" w:hAnsiTheme="majorBidi" w:cstheme="majorBidi"/>
                <w:sz w:val="18"/>
                <w:szCs w:val="18"/>
              </w:rPr>
              <w:t>2.0323</w:t>
            </w:r>
            <w:r>
              <w:rPr>
                <w:rFonts w:asciiTheme="majorBidi" w:hAnsiTheme="majorBidi" w:cstheme="majorBidi"/>
                <w:sz w:val="18"/>
                <w:szCs w:val="18"/>
              </w:rPr>
              <w:t xml:space="preserve"> (0.8917)</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1.8502 (0.3341)</w:t>
            </w: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Visual disturbance</w:t>
            </w: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918" w:type="dxa"/>
            <w:vAlign w:val="bottom"/>
          </w:tcPr>
          <w:p w:rsidR="006074C8" w:rsidRPr="00DA0BB0" w:rsidRDefault="006074C8" w:rsidP="00DD3003">
            <w:pPr>
              <w:spacing w:line="240" w:lineRule="auto"/>
              <w:rPr>
                <w:rFonts w:asciiTheme="majorBidi" w:hAnsiTheme="majorBidi" w:cstheme="majorBidi"/>
                <w:sz w:val="18"/>
                <w:szCs w:val="18"/>
              </w:rPr>
            </w:pPr>
          </w:p>
        </w:tc>
        <w:tc>
          <w:tcPr>
            <w:tcW w:w="1073" w:type="dxa"/>
            <w:vAlign w:val="bottom"/>
          </w:tcPr>
          <w:p w:rsidR="006074C8" w:rsidRPr="00DA0BB0" w:rsidRDefault="006074C8" w:rsidP="00DD3003">
            <w:pPr>
              <w:spacing w:line="240" w:lineRule="auto"/>
              <w:rPr>
                <w:sz w:val="18"/>
                <w:szCs w:val="18"/>
              </w:rPr>
            </w:pPr>
            <w:r>
              <w:rPr>
                <w:sz w:val="18"/>
                <w:szCs w:val="18"/>
              </w:rPr>
              <w:t>3.0167 (0.3618)</w:t>
            </w: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Cranial nerve disorder</w:t>
            </w:r>
          </w:p>
        </w:tc>
        <w:tc>
          <w:tcPr>
            <w:tcW w:w="918" w:type="dxa"/>
            <w:vAlign w:val="bottom"/>
          </w:tcPr>
          <w:p w:rsidR="006074C8" w:rsidRPr="00DA0BB0" w:rsidRDefault="006074C8" w:rsidP="00DD3003">
            <w:pPr>
              <w:spacing w:line="240" w:lineRule="auto"/>
              <w:rPr>
                <w:rFonts w:asciiTheme="minorHAnsi" w:hAnsiTheme="minorHAnsi"/>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r>
              <w:rPr>
                <w:sz w:val="18"/>
                <w:szCs w:val="18"/>
              </w:rPr>
              <w:t>1.1543 (0.3786)</w:t>
            </w: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Lupus Headache</w:t>
            </w:r>
          </w:p>
        </w:tc>
        <w:tc>
          <w:tcPr>
            <w:tcW w:w="918" w:type="dxa"/>
            <w:vAlign w:val="bottom"/>
          </w:tcPr>
          <w:p w:rsidR="006074C8" w:rsidRPr="00DA0BB0" w:rsidRDefault="006074C8" w:rsidP="00DD3003">
            <w:pPr>
              <w:spacing w:line="240" w:lineRule="auto"/>
              <w:rPr>
                <w:rFonts w:asciiTheme="minorHAnsi" w:hAnsiTheme="minorHAnsi"/>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2.2125 (0.9146)</w:t>
            </w: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2.4789 (0.3307)</w:t>
            </w: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Proteinuria</w:t>
            </w: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1.0859 (0.3136)</w:t>
            </w: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tabs>
                <w:tab w:val="right" w:pos="1786"/>
              </w:tabs>
              <w:spacing w:line="240" w:lineRule="auto"/>
              <w:rPr>
                <w:sz w:val="18"/>
                <w:szCs w:val="18"/>
              </w:rPr>
            </w:pPr>
            <w:r>
              <w:rPr>
                <w:sz w:val="18"/>
                <w:szCs w:val="18"/>
              </w:rPr>
              <w:t>Hematuria</w:t>
            </w: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r>
              <w:rPr>
                <w:sz w:val="18"/>
                <w:szCs w:val="18"/>
              </w:rPr>
              <w:t>0.9151 (0.3737)</w:t>
            </w: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tabs>
                <w:tab w:val="right" w:pos="1786"/>
              </w:tabs>
              <w:spacing w:line="240" w:lineRule="auto"/>
              <w:rPr>
                <w:sz w:val="18"/>
                <w:szCs w:val="18"/>
              </w:rPr>
            </w:pPr>
            <w:r>
              <w:rPr>
                <w:sz w:val="18"/>
                <w:szCs w:val="18"/>
              </w:rPr>
              <w:t>Myositis</w:t>
            </w:r>
          </w:p>
        </w:tc>
        <w:tc>
          <w:tcPr>
            <w:tcW w:w="918" w:type="dxa"/>
            <w:vAlign w:val="bottom"/>
          </w:tcPr>
          <w:p w:rsidR="006074C8"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1.4969 (0.7632)</w:t>
            </w: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Pr>
                <w:sz w:val="18"/>
                <w:szCs w:val="18"/>
              </w:rPr>
              <w:t>Low complement</w:t>
            </w:r>
          </w:p>
        </w:tc>
        <w:tc>
          <w:tcPr>
            <w:tcW w:w="918" w:type="dxa"/>
            <w:vAlign w:val="bottom"/>
          </w:tcPr>
          <w:p w:rsidR="006074C8" w:rsidRPr="00DA0BB0" w:rsidRDefault="006074C8" w:rsidP="00DD3003">
            <w:pPr>
              <w:spacing w:line="240" w:lineRule="auto"/>
              <w:rPr>
                <w:sz w:val="18"/>
                <w:szCs w:val="18"/>
              </w:rPr>
            </w:pPr>
            <w:r>
              <w:rPr>
                <w:sz w:val="18"/>
                <w:szCs w:val="18"/>
              </w:rPr>
              <w:t>1.3484 (0.3881)</w:t>
            </w: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Increased DNA binding</w:t>
            </w: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r>
              <w:rPr>
                <w:sz w:val="18"/>
                <w:szCs w:val="18"/>
              </w:rPr>
              <w:t>0.7687 (0.2521)</w:t>
            </w: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Leukopenia</w:t>
            </w: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p>
        </w:tc>
        <w:tc>
          <w:tcPr>
            <w:tcW w:w="1073" w:type="dxa"/>
            <w:vAlign w:val="bottom"/>
          </w:tcPr>
          <w:p w:rsidR="006074C8" w:rsidRPr="00DA0BB0" w:rsidRDefault="006074C8" w:rsidP="00DD3003">
            <w:pPr>
              <w:spacing w:line="240" w:lineRule="auto"/>
              <w:rPr>
                <w:sz w:val="18"/>
                <w:szCs w:val="18"/>
              </w:rPr>
            </w:pPr>
          </w:p>
        </w:tc>
        <w:tc>
          <w:tcPr>
            <w:tcW w:w="763" w:type="dxa"/>
            <w:vAlign w:val="bottom"/>
          </w:tcPr>
          <w:p w:rsidR="006074C8" w:rsidRPr="00DA0BB0" w:rsidRDefault="006074C8" w:rsidP="00DD3003">
            <w:pPr>
              <w:spacing w:line="240" w:lineRule="auto"/>
              <w:rPr>
                <w:sz w:val="18"/>
                <w:szCs w:val="18"/>
              </w:rPr>
            </w:pPr>
          </w:p>
        </w:tc>
        <w:tc>
          <w:tcPr>
            <w:tcW w:w="918" w:type="dxa"/>
            <w:vAlign w:val="bottom"/>
          </w:tcPr>
          <w:p w:rsidR="006074C8" w:rsidRPr="00DA0BB0" w:rsidRDefault="006074C8" w:rsidP="00DD3003">
            <w:pPr>
              <w:spacing w:line="240" w:lineRule="auto"/>
              <w:rPr>
                <w:sz w:val="18"/>
                <w:szCs w:val="18"/>
              </w:rPr>
            </w:pPr>
            <w:r>
              <w:rPr>
                <w:sz w:val="18"/>
                <w:szCs w:val="18"/>
              </w:rPr>
              <w:t>0.6346 (0.3450)</w:t>
            </w:r>
          </w:p>
        </w:tc>
        <w:tc>
          <w:tcPr>
            <w:tcW w:w="919" w:type="dxa"/>
            <w:vAlign w:val="bottom"/>
          </w:tcPr>
          <w:p w:rsidR="006074C8" w:rsidRPr="00DA0BB0" w:rsidRDefault="006074C8" w:rsidP="00DD3003">
            <w:pPr>
              <w:spacing w:line="240" w:lineRule="auto"/>
              <w:rPr>
                <w:sz w:val="18"/>
                <w:szCs w:val="18"/>
              </w:rPr>
            </w:pP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Constant</w:t>
            </w:r>
          </w:p>
        </w:tc>
        <w:tc>
          <w:tcPr>
            <w:tcW w:w="918" w:type="dxa"/>
            <w:vAlign w:val="bottom"/>
          </w:tcPr>
          <w:p w:rsidR="006074C8" w:rsidRPr="00DA0BB0" w:rsidRDefault="006074C8" w:rsidP="00DD3003">
            <w:pPr>
              <w:spacing w:line="240" w:lineRule="auto"/>
              <w:rPr>
                <w:sz w:val="18"/>
                <w:szCs w:val="18"/>
              </w:rPr>
            </w:pPr>
            <w:r>
              <w:rPr>
                <w:sz w:val="18"/>
                <w:szCs w:val="18"/>
              </w:rPr>
              <w:t>-9.6643 (0.8062)</w:t>
            </w:r>
          </w:p>
        </w:tc>
        <w:tc>
          <w:tcPr>
            <w:tcW w:w="918" w:type="dxa"/>
            <w:vAlign w:val="bottom"/>
          </w:tcPr>
          <w:p w:rsidR="006074C8" w:rsidRPr="00DA0BB0" w:rsidRDefault="006074C8" w:rsidP="00DD3003">
            <w:pPr>
              <w:spacing w:line="240" w:lineRule="auto"/>
              <w:rPr>
                <w:sz w:val="18"/>
                <w:szCs w:val="18"/>
              </w:rPr>
            </w:pPr>
            <w:r w:rsidRPr="00564F5E">
              <w:rPr>
                <w:sz w:val="18"/>
                <w:szCs w:val="18"/>
              </w:rPr>
              <w:t>-7.7533</w:t>
            </w:r>
            <w:r>
              <w:rPr>
                <w:sz w:val="18"/>
                <w:szCs w:val="18"/>
              </w:rPr>
              <w:t xml:space="preserve"> (0.6156)</w:t>
            </w:r>
          </w:p>
        </w:tc>
        <w:tc>
          <w:tcPr>
            <w:tcW w:w="918" w:type="dxa"/>
            <w:vAlign w:val="bottom"/>
          </w:tcPr>
          <w:p w:rsidR="006074C8" w:rsidRPr="00DA0BB0" w:rsidRDefault="006074C8" w:rsidP="00DD3003">
            <w:pPr>
              <w:spacing w:line="240" w:lineRule="auto"/>
              <w:rPr>
                <w:sz w:val="18"/>
                <w:szCs w:val="18"/>
              </w:rPr>
            </w:pPr>
            <w:r>
              <w:rPr>
                <w:sz w:val="18"/>
                <w:szCs w:val="18"/>
              </w:rPr>
              <w:t>-7.9324 (0.4741)</w:t>
            </w:r>
          </w:p>
        </w:tc>
        <w:tc>
          <w:tcPr>
            <w:tcW w:w="1073" w:type="dxa"/>
            <w:vAlign w:val="bottom"/>
          </w:tcPr>
          <w:p w:rsidR="006074C8" w:rsidRPr="00DA0BB0" w:rsidRDefault="006074C8" w:rsidP="00DD3003">
            <w:pPr>
              <w:spacing w:line="240" w:lineRule="auto"/>
              <w:rPr>
                <w:sz w:val="18"/>
                <w:szCs w:val="18"/>
              </w:rPr>
            </w:pPr>
            <w:r>
              <w:rPr>
                <w:sz w:val="18"/>
                <w:szCs w:val="18"/>
              </w:rPr>
              <w:t>-7.3223 (0.3588)</w:t>
            </w:r>
          </w:p>
        </w:tc>
        <w:tc>
          <w:tcPr>
            <w:tcW w:w="763" w:type="dxa"/>
            <w:vAlign w:val="bottom"/>
          </w:tcPr>
          <w:p w:rsidR="006074C8" w:rsidRPr="00DA0BB0" w:rsidRDefault="006074C8" w:rsidP="00DD3003">
            <w:pPr>
              <w:spacing w:line="240" w:lineRule="auto"/>
              <w:rPr>
                <w:sz w:val="18"/>
                <w:szCs w:val="18"/>
              </w:rPr>
            </w:pPr>
            <w:r w:rsidRPr="00C40993">
              <w:rPr>
                <w:sz w:val="18"/>
                <w:szCs w:val="18"/>
              </w:rPr>
              <w:t>-6.6</w:t>
            </w:r>
            <w:r>
              <w:rPr>
                <w:sz w:val="18"/>
                <w:szCs w:val="18"/>
              </w:rPr>
              <w:t>201 (0.2485)</w:t>
            </w:r>
          </w:p>
        </w:tc>
        <w:tc>
          <w:tcPr>
            <w:tcW w:w="918" w:type="dxa"/>
            <w:vAlign w:val="bottom"/>
          </w:tcPr>
          <w:p w:rsidR="006074C8" w:rsidRPr="00DA0BB0" w:rsidRDefault="006074C8" w:rsidP="00DD3003">
            <w:pPr>
              <w:spacing w:line="240" w:lineRule="auto"/>
              <w:rPr>
                <w:sz w:val="18"/>
                <w:szCs w:val="18"/>
              </w:rPr>
            </w:pPr>
            <w:r>
              <w:rPr>
                <w:sz w:val="18"/>
                <w:szCs w:val="18"/>
              </w:rPr>
              <w:t>-0.5371 (1.7155)</w:t>
            </w:r>
          </w:p>
        </w:tc>
        <w:tc>
          <w:tcPr>
            <w:tcW w:w="919" w:type="dxa"/>
            <w:vAlign w:val="bottom"/>
          </w:tcPr>
          <w:p w:rsidR="006074C8" w:rsidRPr="00DA0BB0" w:rsidRDefault="006074C8" w:rsidP="00DD3003">
            <w:pPr>
              <w:spacing w:line="240" w:lineRule="auto"/>
              <w:rPr>
                <w:sz w:val="18"/>
                <w:szCs w:val="18"/>
              </w:rPr>
            </w:pPr>
            <w:r>
              <w:rPr>
                <w:sz w:val="18"/>
                <w:szCs w:val="18"/>
              </w:rPr>
              <w:t>-8.1021 (0.9598)</w:t>
            </w:r>
          </w:p>
        </w:tc>
      </w:tr>
      <w:tr w:rsidR="006074C8" w:rsidRPr="00DA0BB0" w:rsidTr="00DD3003">
        <w:tc>
          <w:tcPr>
            <w:tcW w:w="1900" w:type="dxa"/>
          </w:tcPr>
          <w:p w:rsidR="006074C8" w:rsidRPr="00DA0BB0" w:rsidRDefault="006074C8" w:rsidP="00DD3003">
            <w:pPr>
              <w:spacing w:line="240" w:lineRule="auto"/>
              <w:rPr>
                <w:sz w:val="18"/>
                <w:szCs w:val="18"/>
              </w:rPr>
            </w:pPr>
            <w:r w:rsidRPr="00DA0BB0">
              <w:rPr>
                <w:sz w:val="18"/>
                <w:szCs w:val="18"/>
              </w:rPr>
              <w:t>Sigma</w:t>
            </w:r>
          </w:p>
        </w:tc>
        <w:tc>
          <w:tcPr>
            <w:tcW w:w="918" w:type="dxa"/>
            <w:vAlign w:val="bottom"/>
          </w:tcPr>
          <w:p w:rsidR="006074C8" w:rsidRPr="00DA0BB0" w:rsidRDefault="006074C8" w:rsidP="00DD3003">
            <w:pPr>
              <w:spacing w:line="240" w:lineRule="auto"/>
              <w:rPr>
                <w:sz w:val="18"/>
                <w:szCs w:val="18"/>
              </w:rPr>
            </w:pPr>
            <w:r>
              <w:rPr>
                <w:sz w:val="18"/>
                <w:szCs w:val="18"/>
              </w:rPr>
              <w:t>2.2579 (0.3531)</w:t>
            </w:r>
          </w:p>
        </w:tc>
        <w:tc>
          <w:tcPr>
            <w:tcW w:w="918" w:type="dxa"/>
            <w:vAlign w:val="bottom"/>
          </w:tcPr>
          <w:p w:rsidR="006074C8" w:rsidRPr="00DA0BB0" w:rsidRDefault="006074C8" w:rsidP="00DD3003">
            <w:pPr>
              <w:spacing w:line="240" w:lineRule="auto"/>
              <w:rPr>
                <w:sz w:val="18"/>
                <w:szCs w:val="18"/>
              </w:rPr>
            </w:pPr>
            <w:r>
              <w:rPr>
                <w:sz w:val="18"/>
                <w:szCs w:val="18"/>
              </w:rPr>
              <w:t>1.0351 (0.5509)</w:t>
            </w:r>
          </w:p>
        </w:tc>
        <w:tc>
          <w:tcPr>
            <w:tcW w:w="918" w:type="dxa"/>
            <w:vAlign w:val="bottom"/>
          </w:tcPr>
          <w:p w:rsidR="006074C8" w:rsidRPr="00DA0BB0" w:rsidRDefault="006074C8" w:rsidP="00DD3003">
            <w:pPr>
              <w:spacing w:line="240" w:lineRule="auto"/>
              <w:rPr>
                <w:sz w:val="18"/>
                <w:szCs w:val="18"/>
              </w:rPr>
            </w:pPr>
            <w:r>
              <w:rPr>
                <w:sz w:val="18"/>
                <w:szCs w:val="18"/>
              </w:rPr>
              <w:t>2.3633 (0.2703)</w:t>
            </w:r>
          </w:p>
        </w:tc>
        <w:tc>
          <w:tcPr>
            <w:tcW w:w="1073" w:type="dxa"/>
            <w:vAlign w:val="bottom"/>
          </w:tcPr>
          <w:p w:rsidR="006074C8" w:rsidRPr="00DA0BB0" w:rsidRDefault="006074C8" w:rsidP="00DD3003">
            <w:pPr>
              <w:spacing w:line="240" w:lineRule="auto"/>
              <w:rPr>
                <w:sz w:val="18"/>
                <w:szCs w:val="18"/>
              </w:rPr>
            </w:pPr>
            <w:r>
              <w:rPr>
                <w:sz w:val="18"/>
                <w:szCs w:val="18"/>
              </w:rPr>
              <w:t>1.5614 (0.2294)</w:t>
            </w:r>
          </w:p>
        </w:tc>
        <w:tc>
          <w:tcPr>
            <w:tcW w:w="763" w:type="dxa"/>
            <w:vAlign w:val="bottom"/>
          </w:tcPr>
          <w:p w:rsidR="006074C8" w:rsidRPr="00DA0BB0" w:rsidRDefault="006074C8" w:rsidP="00DD3003">
            <w:pPr>
              <w:spacing w:line="240" w:lineRule="auto"/>
              <w:rPr>
                <w:sz w:val="18"/>
                <w:szCs w:val="18"/>
              </w:rPr>
            </w:pPr>
            <w:r w:rsidRPr="00C40993">
              <w:rPr>
                <w:sz w:val="18"/>
                <w:szCs w:val="18"/>
              </w:rPr>
              <w:t>1.55</w:t>
            </w:r>
            <w:r>
              <w:rPr>
                <w:sz w:val="18"/>
                <w:szCs w:val="18"/>
              </w:rPr>
              <w:t>11 (0.1708)</w:t>
            </w:r>
          </w:p>
        </w:tc>
        <w:tc>
          <w:tcPr>
            <w:tcW w:w="918" w:type="dxa"/>
            <w:vAlign w:val="bottom"/>
          </w:tcPr>
          <w:p w:rsidR="006074C8" w:rsidRPr="00DA0BB0" w:rsidRDefault="006074C8" w:rsidP="00DD3003">
            <w:pPr>
              <w:spacing w:line="240" w:lineRule="auto"/>
              <w:rPr>
                <w:sz w:val="18"/>
                <w:szCs w:val="18"/>
              </w:rPr>
            </w:pPr>
            <w:r w:rsidRPr="00E23A31">
              <w:rPr>
                <w:sz w:val="18"/>
                <w:szCs w:val="18"/>
              </w:rPr>
              <w:t>1.</w:t>
            </w:r>
            <w:r>
              <w:rPr>
                <w:sz w:val="18"/>
                <w:szCs w:val="18"/>
              </w:rPr>
              <w:t>9511 (0.2402)</w:t>
            </w:r>
          </w:p>
        </w:tc>
        <w:tc>
          <w:tcPr>
            <w:tcW w:w="919" w:type="dxa"/>
            <w:vAlign w:val="bottom"/>
          </w:tcPr>
          <w:p w:rsidR="006074C8" w:rsidRPr="00DA0BB0" w:rsidRDefault="006074C8" w:rsidP="00DD3003">
            <w:pPr>
              <w:spacing w:line="240" w:lineRule="auto"/>
              <w:rPr>
                <w:sz w:val="18"/>
                <w:szCs w:val="18"/>
              </w:rPr>
            </w:pPr>
            <w:r w:rsidRPr="00EC033B">
              <w:rPr>
                <w:sz w:val="18"/>
                <w:szCs w:val="18"/>
              </w:rPr>
              <w:t>1.</w:t>
            </w:r>
            <w:r>
              <w:rPr>
                <w:sz w:val="18"/>
                <w:szCs w:val="18"/>
              </w:rPr>
              <w:t>6053 (1.6053)</w:t>
            </w:r>
          </w:p>
        </w:tc>
      </w:tr>
      <w:tr w:rsidR="006074C8" w:rsidRPr="00DA0BB0" w:rsidTr="00DD3003">
        <w:tc>
          <w:tcPr>
            <w:tcW w:w="1900" w:type="dxa"/>
          </w:tcPr>
          <w:p w:rsidR="006074C8" w:rsidRPr="00DA0BB0" w:rsidRDefault="006074C8" w:rsidP="00DD3003">
            <w:pPr>
              <w:spacing w:line="240" w:lineRule="auto"/>
              <w:rPr>
                <w:sz w:val="18"/>
                <w:szCs w:val="18"/>
              </w:rPr>
            </w:pPr>
            <w:r>
              <w:rPr>
                <w:sz w:val="18"/>
                <w:szCs w:val="18"/>
              </w:rPr>
              <w:t>Intraclass correlation</w:t>
            </w:r>
          </w:p>
        </w:tc>
        <w:tc>
          <w:tcPr>
            <w:tcW w:w="918" w:type="dxa"/>
            <w:vAlign w:val="bottom"/>
          </w:tcPr>
          <w:p w:rsidR="006074C8" w:rsidRPr="00DA0BB0" w:rsidRDefault="006074C8" w:rsidP="00DD3003">
            <w:pPr>
              <w:spacing w:line="240" w:lineRule="auto"/>
              <w:rPr>
                <w:sz w:val="18"/>
                <w:szCs w:val="18"/>
              </w:rPr>
            </w:pPr>
            <w:r>
              <w:rPr>
                <w:sz w:val="18"/>
                <w:szCs w:val="18"/>
              </w:rPr>
              <w:t>0.608</w:t>
            </w:r>
          </w:p>
        </w:tc>
        <w:tc>
          <w:tcPr>
            <w:tcW w:w="918" w:type="dxa"/>
            <w:vAlign w:val="bottom"/>
          </w:tcPr>
          <w:p w:rsidR="006074C8" w:rsidRPr="00DA0BB0" w:rsidRDefault="006074C8" w:rsidP="00DD3003">
            <w:pPr>
              <w:spacing w:line="240" w:lineRule="auto"/>
              <w:rPr>
                <w:sz w:val="18"/>
                <w:szCs w:val="18"/>
              </w:rPr>
            </w:pPr>
            <w:r w:rsidRPr="00DA0BB0">
              <w:rPr>
                <w:sz w:val="18"/>
                <w:szCs w:val="18"/>
              </w:rPr>
              <w:t>0.</w:t>
            </w:r>
            <w:r>
              <w:rPr>
                <w:sz w:val="18"/>
                <w:szCs w:val="18"/>
              </w:rPr>
              <w:t>25</w:t>
            </w:r>
          </w:p>
        </w:tc>
        <w:tc>
          <w:tcPr>
            <w:tcW w:w="918" w:type="dxa"/>
            <w:vAlign w:val="bottom"/>
          </w:tcPr>
          <w:p w:rsidR="006074C8" w:rsidRPr="00DA0BB0" w:rsidRDefault="006074C8" w:rsidP="00DD3003">
            <w:pPr>
              <w:spacing w:line="240" w:lineRule="auto"/>
              <w:rPr>
                <w:sz w:val="18"/>
                <w:szCs w:val="18"/>
              </w:rPr>
            </w:pPr>
            <w:r w:rsidRPr="00DA0BB0">
              <w:rPr>
                <w:sz w:val="18"/>
                <w:szCs w:val="18"/>
              </w:rPr>
              <w:t>0.</w:t>
            </w:r>
            <w:r>
              <w:rPr>
                <w:sz w:val="18"/>
                <w:szCs w:val="18"/>
              </w:rPr>
              <w:t>63</w:t>
            </w:r>
          </w:p>
        </w:tc>
        <w:tc>
          <w:tcPr>
            <w:tcW w:w="1073" w:type="dxa"/>
            <w:vAlign w:val="bottom"/>
          </w:tcPr>
          <w:p w:rsidR="006074C8" w:rsidRPr="00DA0BB0" w:rsidRDefault="006074C8" w:rsidP="00DD3003">
            <w:pPr>
              <w:spacing w:line="240" w:lineRule="auto"/>
              <w:rPr>
                <w:sz w:val="18"/>
                <w:szCs w:val="18"/>
              </w:rPr>
            </w:pPr>
            <w:r>
              <w:rPr>
                <w:sz w:val="18"/>
                <w:szCs w:val="18"/>
              </w:rPr>
              <w:t>0.43</w:t>
            </w:r>
          </w:p>
        </w:tc>
        <w:tc>
          <w:tcPr>
            <w:tcW w:w="763" w:type="dxa"/>
            <w:vAlign w:val="bottom"/>
          </w:tcPr>
          <w:p w:rsidR="006074C8" w:rsidRPr="00DA0BB0" w:rsidRDefault="006074C8" w:rsidP="00DD3003">
            <w:pPr>
              <w:spacing w:line="240" w:lineRule="auto"/>
              <w:rPr>
                <w:sz w:val="18"/>
                <w:szCs w:val="18"/>
              </w:rPr>
            </w:pPr>
            <w:r w:rsidRPr="00DA0BB0">
              <w:rPr>
                <w:sz w:val="18"/>
                <w:szCs w:val="18"/>
              </w:rPr>
              <w:t>0.42</w:t>
            </w:r>
          </w:p>
        </w:tc>
        <w:tc>
          <w:tcPr>
            <w:tcW w:w="918" w:type="dxa"/>
            <w:vAlign w:val="bottom"/>
          </w:tcPr>
          <w:p w:rsidR="006074C8" w:rsidRPr="00DA0BB0" w:rsidRDefault="006074C8" w:rsidP="00DD3003">
            <w:pPr>
              <w:spacing w:line="240" w:lineRule="auto"/>
              <w:rPr>
                <w:sz w:val="18"/>
                <w:szCs w:val="18"/>
              </w:rPr>
            </w:pPr>
            <w:r w:rsidRPr="00DA0BB0">
              <w:rPr>
                <w:sz w:val="18"/>
                <w:szCs w:val="18"/>
              </w:rPr>
              <w:t>0.5</w:t>
            </w:r>
            <w:r>
              <w:rPr>
                <w:sz w:val="18"/>
                <w:szCs w:val="18"/>
              </w:rPr>
              <w:t>4</w:t>
            </w:r>
          </w:p>
        </w:tc>
        <w:tc>
          <w:tcPr>
            <w:tcW w:w="919" w:type="dxa"/>
            <w:vAlign w:val="bottom"/>
          </w:tcPr>
          <w:p w:rsidR="006074C8" w:rsidRPr="00DA0BB0" w:rsidRDefault="006074C8" w:rsidP="00DD3003">
            <w:pPr>
              <w:spacing w:line="240" w:lineRule="auto"/>
              <w:rPr>
                <w:sz w:val="18"/>
                <w:szCs w:val="18"/>
              </w:rPr>
            </w:pPr>
            <w:r>
              <w:rPr>
                <w:sz w:val="18"/>
                <w:szCs w:val="18"/>
              </w:rPr>
              <w:t>0</w:t>
            </w:r>
            <w:r w:rsidRPr="00EC033B">
              <w:rPr>
                <w:sz w:val="18"/>
                <w:szCs w:val="18"/>
              </w:rPr>
              <w:t>.</w:t>
            </w:r>
            <w:r>
              <w:rPr>
                <w:sz w:val="18"/>
                <w:szCs w:val="18"/>
              </w:rPr>
              <w:t>44</w:t>
            </w:r>
          </w:p>
        </w:tc>
      </w:tr>
      <w:tr w:rsidR="006074C8" w:rsidRPr="00DA0BB0" w:rsidTr="00DD3003">
        <w:tc>
          <w:tcPr>
            <w:tcW w:w="1900" w:type="dxa"/>
            <w:tcBorders>
              <w:bottom w:val="single" w:sz="4" w:space="0" w:color="auto"/>
            </w:tcBorders>
          </w:tcPr>
          <w:p w:rsidR="006074C8" w:rsidRPr="00DA0BB0" w:rsidRDefault="006074C8" w:rsidP="00DD3003">
            <w:pPr>
              <w:spacing w:line="240" w:lineRule="auto"/>
              <w:rPr>
                <w:sz w:val="18"/>
                <w:szCs w:val="18"/>
              </w:rPr>
            </w:pPr>
            <w:r>
              <w:rPr>
                <w:sz w:val="18"/>
                <w:szCs w:val="18"/>
              </w:rPr>
              <w:t>Wald Chi2</w:t>
            </w:r>
          </w:p>
        </w:tc>
        <w:tc>
          <w:tcPr>
            <w:tcW w:w="918" w:type="dxa"/>
            <w:tcBorders>
              <w:bottom w:val="single" w:sz="4" w:space="0" w:color="auto"/>
            </w:tcBorders>
            <w:vAlign w:val="bottom"/>
          </w:tcPr>
          <w:p w:rsidR="006074C8" w:rsidRDefault="006074C8" w:rsidP="00DD3003">
            <w:pPr>
              <w:spacing w:line="240" w:lineRule="auto"/>
              <w:rPr>
                <w:sz w:val="18"/>
                <w:szCs w:val="18"/>
              </w:rPr>
            </w:pPr>
            <w:r>
              <w:rPr>
                <w:sz w:val="18"/>
                <w:szCs w:val="18"/>
              </w:rPr>
              <w:t>45.57</w:t>
            </w:r>
          </w:p>
        </w:tc>
        <w:tc>
          <w:tcPr>
            <w:tcW w:w="918" w:type="dxa"/>
            <w:tcBorders>
              <w:bottom w:val="single" w:sz="4" w:space="0" w:color="auto"/>
            </w:tcBorders>
            <w:vAlign w:val="bottom"/>
          </w:tcPr>
          <w:p w:rsidR="006074C8" w:rsidRPr="00DA0BB0" w:rsidRDefault="006074C8" w:rsidP="00DD3003">
            <w:pPr>
              <w:spacing w:line="240" w:lineRule="auto"/>
              <w:rPr>
                <w:sz w:val="18"/>
                <w:szCs w:val="18"/>
              </w:rPr>
            </w:pPr>
            <w:r>
              <w:rPr>
                <w:sz w:val="18"/>
                <w:szCs w:val="18"/>
              </w:rPr>
              <w:t>77.52</w:t>
            </w:r>
          </w:p>
        </w:tc>
        <w:tc>
          <w:tcPr>
            <w:tcW w:w="918" w:type="dxa"/>
            <w:tcBorders>
              <w:bottom w:val="single" w:sz="4" w:space="0" w:color="auto"/>
            </w:tcBorders>
            <w:vAlign w:val="bottom"/>
          </w:tcPr>
          <w:p w:rsidR="006074C8" w:rsidRPr="00DA0BB0" w:rsidRDefault="006074C8" w:rsidP="00DD3003">
            <w:pPr>
              <w:spacing w:line="240" w:lineRule="auto"/>
              <w:rPr>
                <w:sz w:val="18"/>
                <w:szCs w:val="18"/>
              </w:rPr>
            </w:pPr>
            <w:r>
              <w:rPr>
                <w:sz w:val="18"/>
                <w:szCs w:val="18"/>
              </w:rPr>
              <w:t>47.64</w:t>
            </w:r>
          </w:p>
        </w:tc>
        <w:tc>
          <w:tcPr>
            <w:tcW w:w="1073" w:type="dxa"/>
            <w:tcBorders>
              <w:bottom w:val="single" w:sz="4" w:space="0" w:color="auto"/>
            </w:tcBorders>
            <w:vAlign w:val="bottom"/>
          </w:tcPr>
          <w:p w:rsidR="006074C8" w:rsidRDefault="006074C8" w:rsidP="00DD3003">
            <w:pPr>
              <w:spacing w:line="240" w:lineRule="auto"/>
              <w:rPr>
                <w:sz w:val="18"/>
                <w:szCs w:val="18"/>
              </w:rPr>
            </w:pPr>
            <w:r>
              <w:rPr>
                <w:sz w:val="18"/>
                <w:szCs w:val="18"/>
              </w:rPr>
              <w:t>90.22</w:t>
            </w:r>
          </w:p>
        </w:tc>
        <w:tc>
          <w:tcPr>
            <w:tcW w:w="763" w:type="dxa"/>
            <w:tcBorders>
              <w:bottom w:val="single" w:sz="4" w:space="0" w:color="auto"/>
            </w:tcBorders>
            <w:vAlign w:val="bottom"/>
          </w:tcPr>
          <w:p w:rsidR="006074C8" w:rsidRPr="00DA0BB0" w:rsidRDefault="006074C8" w:rsidP="00DD3003">
            <w:pPr>
              <w:spacing w:line="240" w:lineRule="auto"/>
              <w:rPr>
                <w:sz w:val="18"/>
                <w:szCs w:val="18"/>
              </w:rPr>
            </w:pPr>
            <w:r>
              <w:rPr>
                <w:sz w:val="18"/>
                <w:szCs w:val="18"/>
              </w:rPr>
              <w:t>9.30</w:t>
            </w:r>
          </w:p>
        </w:tc>
        <w:tc>
          <w:tcPr>
            <w:tcW w:w="918" w:type="dxa"/>
            <w:tcBorders>
              <w:bottom w:val="single" w:sz="4" w:space="0" w:color="auto"/>
            </w:tcBorders>
            <w:vAlign w:val="bottom"/>
          </w:tcPr>
          <w:p w:rsidR="006074C8" w:rsidRPr="00DA0BB0" w:rsidRDefault="006074C8" w:rsidP="00DD3003">
            <w:pPr>
              <w:spacing w:line="240" w:lineRule="auto"/>
              <w:rPr>
                <w:sz w:val="18"/>
                <w:szCs w:val="18"/>
              </w:rPr>
            </w:pPr>
            <w:r>
              <w:rPr>
                <w:sz w:val="18"/>
                <w:szCs w:val="18"/>
              </w:rPr>
              <w:t>152.5</w:t>
            </w:r>
          </w:p>
        </w:tc>
        <w:tc>
          <w:tcPr>
            <w:tcW w:w="919" w:type="dxa"/>
            <w:tcBorders>
              <w:bottom w:val="single" w:sz="4" w:space="0" w:color="auto"/>
            </w:tcBorders>
            <w:vAlign w:val="bottom"/>
          </w:tcPr>
          <w:p w:rsidR="006074C8" w:rsidRDefault="006074C8" w:rsidP="00DD3003">
            <w:pPr>
              <w:spacing w:line="240" w:lineRule="auto"/>
              <w:rPr>
                <w:sz w:val="18"/>
                <w:szCs w:val="18"/>
              </w:rPr>
            </w:pPr>
            <w:r>
              <w:rPr>
                <w:sz w:val="18"/>
                <w:szCs w:val="18"/>
              </w:rPr>
              <w:t>5.67</w:t>
            </w:r>
          </w:p>
        </w:tc>
      </w:tr>
      <w:tr w:rsidR="006074C8" w:rsidRPr="00DA0BB0" w:rsidTr="00DD3003">
        <w:tc>
          <w:tcPr>
            <w:tcW w:w="8327" w:type="dxa"/>
            <w:gridSpan w:val="8"/>
            <w:tcBorders>
              <w:top w:val="single" w:sz="4" w:space="0" w:color="auto"/>
              <w:bottom w:val="single" w:sz="12" w:space="0" w:color="auto"/>
            </w:tcBorders>
          </w:tcPr>
          <w:p w:rsidR="006074C8" w:rsidRPr="00DA0BB0" w:rsidRDefault="006074C8" w:rsidP="00DD3003">
            <w:pPr>
              <w:spacing w:line="240" w:lineRule="auto"/>
              <w:rPr>
                <w:sz w:val="18"/>
                <w:szCs w:val="18"/>
              </w:rPr>
            </w:pPr>
            <w:r w:rsidRPr="00DA0BB0">
              <w:rPr>
                <w:sz w:val="18"/>
                <w:szCs w:val="18"/>
              </w:rPr>
              <w:t xml:space="preserve">OBS Organic Brain Syndrome; CVA cerebrovascular accident; </w:t>
            </w:r>
            <w:r>
              <w:rPr>
                <w:sz w:val="18"/>
                <w:szCs w:val="18"/>
              </w:rPr>
              <w:t>( ) standard error</w:t>
            </w:r>
          </w:p>
        </w:tc>
      </w:tr>
    </w:tbl>
    <w:p w:rsidR="00EE3395" w:rsidRDefault="00EE3395" w:rsidP="00C2646F"/>
    <w:p w:rsidR="006074C8" w:rsidRDefault="006074C8" w:rsidP="00C2646F">
      <w:r>
        <w:t xml:space="preserve">The results of the analysis of vasculitis, renal and musculoskeletal items are reported in </w:t>
      </w:r>
      <w:r w:rsidR="00E729BA">
        <w:fldChar w:fldCharType="begin"/>
      </w:r>
      <w:r>
        <w:instrText xml:space="preserve"> REF _Ref310339806 \h </w:instrText>
      </w:r>
      <w:r w:rsidR="00E729BA">
        <w:fldChar w:fldCharType="separate"/>
      </w:r>
      <w:r w:rsidR="004911B7">
        <w:t xml:space="preserve">Table </w:t>
      </w:r>
      <w:r w:rsidR="004911B7">
        <w:rPr>
          <w:noProof/>
        </w:rPr>
        <w:t>25</w:t>
      </w:r>
      <w:r w:rsidR="00E729BA">
        <w:fldChar w:fldCharType="end"/>
      </w:r>
      <w:r>
        <w:t xml:space="preserve">. The lagged dependent variables were statistically significant in all </w:t>
      </w:r>
      <w:r w:rsidR="0068656C">
        <w:t xml:space="preserve">regression </w:t>
      </w:r>
      <w:r>
        <w:t xml:space="preserve">models. All </w:t>
      </w:r>
      <w:r w:rsidR="0068656C">
        <w:t xml:space="preserve">regression </w:t>
      </w:r>
      <w:r>
        <w:t xml:space="preserve">models except vasculitis and myositis were negatively associated with age. Males have a lower risk of developing Pyuria and arthritis. Renal and musculoskeletal involvement was associated with African American ethnicity. </w:t>
      </w:r>
      <w:r w:rsidR="00C2646F">
        <w:t>Low complement and/or increased DNA binding</w:t>
      </w:r>
      <w:r>
        <w:t xml:space="preserve"> increase</w:t>
      </w:r>
      <w:r w:rsidR="00A03F95">
        <w:t>d</w:t>
      </w:r>
      <w:r>
        <w:t xml:space="preserve"> the risk of vasculitis, some renal items and arthritis. </w:t>
      </w:r>
      <w:r w:rsidR="00831D29">
        <w:t xml:space="preserve">There were strong associations between the four renal items. </w:t>
      </w:r>
      <w:r>
        <w:t xml:space="preserve">Hypertension was statistically significant in the vasculitis </w:t>
      </w:r>
      <w:r w:rsidR="0068656C">
        <w:t xml:space="preserve">regression </w:t>
      </w:r>
      <w:r>
        <w:t xml:space="preserve">model. The Wald Chi-squared statistics were statistically significant in all analyses suggesting that the overall fit of the </w:t>
      </w:r>
      <w:r w:rsidR="0068656C">
        <w:t xml:space="preserve">regression </w:t>
      </w:r>
      <w:r>
        <w:t>model</w:t>
      </w:r>
      <w:r w:rsidR="0068656C">
        <w:t>s were</w:t>
      </w:r>
      <w:r>
        <w:t xml:space="preserve"> good. The intraclass correlation was high in all </w:t>
      </w:r>
      <w:r w:rsidR="0068656C">
        <w:t xml:space="preserve">regression </w:t>
      </w:r>
      <w:r>
        <w:t>models.</w:t>
      </w:r>
    </w:p>
    <w:p w:rsidR="006074C8" w:rsidRDefault="006074C8" w:rsidP="00234693">
      <w:pPr>
        <w:pStyle w:val="Caption"/>
      </w:pPr>
      <w:bookmarkStart w:id="302" w:name="_Ref310339806"/>
      <w:r>
        <w:t xml:space="preserve">Table </w:t>
      </w:r>
      <w:fldSimple w:instr=" SEQ Table \* ARABIC ">
        <w:r w:rsidR="004911B7">
          <w:rPr>
            <w:noProof/>
          </w:rPr>
          <w:t>25</w:t>
        </w:r>
      </w:fldSimple>
      <w:bookmarkEnd w:id="302"/>
      <w:r>
        <w:t>: Coefficient estimates from r</w:t>
      </w:r>
      <w:r w:rsidRPr="00C867F8">
        <w:t>andom effects logistic regression for</w:t>
      </w:r>
      <w:r>
        <w:t xml:space="preserve"> vasculitis, renal and musculoskeletal items</w:t>
      </w:r>
    </w:p>
    <w:tbl>
      <w:tblPr>
        <w:tblStyle w:val="TableGrid"/>
        <w:tblW w:w="842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900"/>
        <w:gridCol w:w="931"/>
        <w:gridCol w:w="932"/>
        <w:gridCol w:w="310"/>
        <w:gridCol w:w="621"/>
        <w:gridCol w:w="932"/>
        <w:gridCol w:w="621"/>
        <w:gridCol w:w="310"/>
        <w:gridCol w:w="932"/>
        <w:gridCol w:w="932"/>
      </w:tblGrid>
      <w:tr w:rsidR="00C2646F" w:rsidRPr="00C867F8" w:rsidTr="00DD3003">
        <w:tc>
          <w:tcPr>
            <w:tcW w:w="1900" w:type="dxa"/>
            <w:tcBorders>
              <w:top w:val="single" w:sz="12" w:space="0" w:color="auto"/>
              <w:bottom w:val="single" w:sz="4" w:space="0" w:color="auto"/>
            </w:tcBorders>
          </w:tcPr>
          <w:p w:rsidR="00C2646F" w:rsidRPr="00C867F8" w:rsidRDefault="00C2646F" w:rsidP="00DD3003">
            <w:pPr>
              <w:spacing w:line="240" w:lineRule="auto"/>
              <w:rPr>
                <w:sz w:val="18"/>
                <w:szCs w:val="18"/>
              </w:rPr>
            </w:pPr>
          </w:p>
        </w:tc>
        <w:tc>
          <w:tcPr>
            <w:tcW w:w="2173" w:type="dxa"/>
            <w:gridSpan w:val="3"/>
            <w:tcBorders>
              <w:top w:val="single" w:sz="12" w:space="0" w:color="auto"/>
              <w:bottom w:val="single" w:sz="4" w:space="0" w:color="auto"/>
            </w:tcBorders>
          </w:tcPr>
          <w:p w:rsidR="00C2646F" w:rsidRDefault="00C2646F" w:rsidP="00DD3003">
            <w:pPr>
              <w:spacing w:line="240" w:lineRule="auto"/>
              <w:rPr>
                <w:sz w:val="18"/>
                <w:szCs w:val="18"/>
              </w:rPr>
            </w:pPr>
            <w:r>
              <w:rPr>
                <w:sz w:val="18"/>
                <w:szCs w:val="18"/>
              </w:rPr>
              <w:t>Vascular</w:t>
            </w:r>
          </w:p>
        </w:tc>
        <w:tc>
          <w:tcPr>
            <w:tcW w:w="2174" w:type="dxa"/>
            <w:gridSpan w:val="3"/>
            <w:tcBorders>
              <w:top w:val="single" w:sz="12" w:space="0" w:color="auto"/>
              <w:bottom w:val="single" w:sz="4" w:space="0" w:color="auto"/>
            </w:tcBorders>
          </w:tcPr>
          <w:p w:rsidR="00C2646F" w:rsidRDefault="00C2646F" w:rsidP="00DD3003">
            <w:pPr>
              <w:spacing w:line="240" w:lineRule="auto"/>
              <w:jc w:val="center"/>
              <w:rPr>
                <w:sz w:val="18"/>
                <w:szCs w:val="18"/>
              </w:rPr>
            </w:pPr>
            <w:r>
              <w:rPr>
                <w:sz w:val="18"/>
                <w:szCs w:val="18"/>
              </w:rPr>
              <w:t>Renal Involvement</w:t>
            </w:r>
          </w:p>
        </w:tc>
        <w:tc>
          <w:tcPr>
            <w:tcW w:w="2174" w:type="dxa"/>
            <w:gridSpan w:val="3"/>
            <w:tcBorders>
              <w:top w:val="single" w:sz="12" w:space="0" w:color="auto"/>
              <w:bottom w:val="single" w:sz="4" w:space="0" w:color="auto"/>
            </w:tcBorders>
          </w:tcPr>
          <w:p w:rsidR="00C2646F" w:rsidRDefault="00C2646F" w:rsidP="00DD3003">
            <w:pPr>
              <w:spacing w:line="240" w:lineRule="auto"/>
              <w:rPr>
                <w:sz w:val="18"/>
                <w:szCs w:val="18"/>
              </w:rPr>
            </w:pPr>
            <w:r>
              <w:rPr>
                <w:sz w:val="18"/>
                <w:szCs w:val="18"/>
              </w:rPr>
              <w:t xml:space="preserve">Musculoskeletal </w:t>
            </w:r>
          </w:p>
        </w:tc>
      </w:tr>
      <w:tr w:rsidR="006074C8" w:rsidRPr="00C867F8" w:rsidTr="00DD3003">
        <w:tc>
          <w:tcPr>
            <w:tcW w:w="1900" w:type="dxa"/>
            <w:tcBorders>
              <w:top w:val="single" w:sz="8" w:space="0" w:color="auto"/>
              <w:bottom w:val="single" w:sz="4" w:space="0" w:color="auto"/>
            </w:tcBorders>
          </w:tcPr>
          <w:p w:rsidR="006074C8" w:rsidRPr="00C867F8" w:rsidRDefault="006074C8" w:rsidP="00DD3003">
            <w:pPr>
              <w:spacing w:line="240" w:lineRule="auto"/>
              <w:rPr>
                <w:sz w:val="18"/>
                <w:szCs w:val="18"/>
              </w:rPr>
            </w:pPr>
          </w:p>
        </w:tc>
        <w:tc>
          <w:tcPr>
            <w:tcW w:w="931" w:type="dxa"/>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Vasculitis</w:t>
            </w:r>
          </w:p>
        </w:tc>
        <w:tc>
          <w:tcPr>
            <w:tcW w:w="932" w:type="dxa"/>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Urinary casts</w:t>
            </w:r>
          </w:p>
        </w:tc>
        <w:tc>
          <w:tcPr>
            <w:tcW w:w="931" w:type="dxa"/>
            <w:gridSpan w:val="2"/>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Hematuria</w:t>
            </w:r>
          </w:p>
        </w:tc>
        <w:tc>
          <w:tcPr>
            <w:tcW w:w="932" w:type="dxa"/>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Proteinuria</w:t>
            </w:r>
          </w:p>
        </w:tc>
        <w:tc>
          <w:tcPr>
            <w:tcW w:w="931" w:type="dxa"/>
            <w:gridSpan w:val="2"/>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Pyuria</w:t>
            </w:r>
          </w:p>
        </w:tc>
        <w:tc>
          <w:tcPr>
            <w:tcW w:w="932" w:type="dxa"/>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Arthritis</w:t>
            </w:r>
          </w:p>
        </w:tc>
        <w:tc>
          <w:tcPr>
            <w:tcW w:w="932" w:type="dxa"/>
            <w:tcBorders>
              <w:top w:val="single" w:sz="8" w:space="0" w:color="auto"/>
              <w:bottom w:val="single" w:sz="4" w:space="0" w:color="auto"/>
            </w:tcBorders>
          </w:tcPr>
          <w:p w:rsidR="006074C8" w:rsidRPr="00C867F8" w:rsidRDefault="006074C8" w:rsidP="00DD3003">
            <w:pPr>
              <w:spacing w:line="240" w:lineRule="auto"/>
              <w:rPr>
                <w:sz w:val="18"/>
                <w:szCs w:val="18"/>
              </w:rPr>
            </w:pPr>
            <w:r>
              <w:rPr>
                <w:sz w:val="18"/>
                <w:szCs w:val="18"/>
              </w:rPr>
              <w:t>Myositis</w:t>
            </w:r>
          </w:p>
        </w:tc>
      </w:tr>
      <w:tr w:rsidR="006074C8" w:rsidRPr="00C867F8" w:rsidTr="00DD3003">
        <w:tc>
          <w:tcPr>
            <w:tcW w:w="1900" w:type="dxa"/>
            <w:tcBorders>
              <w:top w:val="single" w:sz="4" w:space="0" w:color="auto"/>
            </w:tcBorders>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log of a</w:t>
            </w:r>
            <w:r w:rsidRPr="007E5C43">
              <w:rPr>
                <w:rFonts w:asciiTheme="majorBidi" w:hAnsiTheme="majorBidi" w:cstheme="majorBidi"/>
                <w:sz w:val="18"/>
                <w:szCs w:val="18"/>
              </w:rPr>
              <w:t>ge</w:t>
            </w:r>
          </w:p>
        </w:tc>
        <w:tc>
          <w:tcPr>
            <w:tcW w:w="931" w:type="dxa"/>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-3.8345 (1.2023)</w:t>
            </w:r>
          </w:p>
        </w:tc>
        <w:tc>
          <w:tcPr>
            <w:tcW w:w="931" w:type="dxa"/>
            <w:gridSpan w:val="2"/>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-0.8761 (0.1888)</w:t>
            </w:r>
          </w:p>
        </w:tc>
        <w:tc>
          <w:tcPr>
            <w:tcW w:w="932" w:type="dxa"/>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sidRPr="00245494">
              <w:rPr>
                <w:rFonts w:asciiTheme="majorBidi" w:hAnsiTheme="majorBidi" w:cstheme="majorBidi"/>
                <w:sz w:val="18"/>
                <w:szCs w:val="18"/>
              </w:rPr>
              <w:t>-</w:t>
            </w:r>
            <w:r>
              <w:rPr>
                <w:rFonts w:asciiTheme="majorBidi" w:hAnsiTheme="majorBidi" w:cstheme="majorBidi"/>
                <w:sz w:val="18"/>
                <w:szCs w:val="18"/>
              </w:rPr>
              <w:t>1.2822 (0.2251)</w:t>
            </w:r>
          </w:p>
        </w:tc>
        <w:tc>
          <w:tcPr>
            <w:tcW w:w="931" w:type="dxa"/>
            <w:gridSpan w:val="2"/>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-0.5705 (0.1850)</w:t>
            </w:r>
          </w:p>
        </w:tc>
        <w:tc>
          <w:tcPr>
            <w:tcW w:w="932" w:type="dxa"/>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-0.5538 (0.1762)</w:t>
            </w:r>
          </w:p>
        </w:tc>
        <w:tc>
          <w:tcPr>
            <w:tcW w:w="932" w:type="dxa"/>
            <w:tcBorders>
              <w:top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Male gender</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-0.9511 (0.2790)</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-0.5446 (0.2401)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African American</w:t>
            </w:r>
            <w:r w:rsidRPr="007E5C43">
              <w:rPr>
                <w:rFonts w:asciiTheme="majorBidi" w:hAnsiTheme="majorBidi" w:cstheme="majorBidi"/>
                <w:sz w:val="18"/>
                <w:szCs w:val="18"/>
              </w:rPr>
              <w:t xml:space="preserve"> ethnicity</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0.4786 (0.1182)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1.1880 (0.1463)</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0.3593 (0.1141)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0.6110 (0.1201)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1.</w:t>
            </w:r>
            <w:r>
              <w:rPr>
                <w:rFonts w:asciiTheme="majorBidi" w:hAnsiTheme="majorBidi" w:cstheme="majorBidi"/>
                <w:sz w:val="18"/>
                <w:szCs w:val="18"/>
              </w:rPr>
              <w:t>4161 (0.3015)</w:t>
            </w: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Hypertension</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w:t>
            </w:r>
            <w:r w:rsidRPr="00B71922">
              <w:rPr>
                <w:rFonts w:asciiTheme="majorBidi" w:hAnsiTheme="majorBidi" w:cstheme="majorBidi"/>
                <w:sz w:val="18"/>
                <w:szCs w:val="18"/>
              </w:rPr>
              <w:t>.3</w:t>
            </w:r>
            <w:r>
              <w:rPr>
                <w:rFonts w:asciiTheme="majorBidi" w:hAnsiTheme="majorBidi" w:cstheme="majorBidi"/>
                <w:sz w:val="18"/>
                <w:szCs w:val="18"/>
              </w:rPr>
              <w:t>714 (0.1706)</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OBS</w:t>
            </w:r>
          </w:p>
        </w:tc>
        <w:tc>
          <w:tcPr>
            <w:tcW w:w="931" w:type="dxa"/>
            <w:vAlign w:val="bottom"/>
          </w:tcPr>
          <w:p w:rsidR="006074C8"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1.9362 (0.7501)</w:t>
            </w: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Vasculitis in last period</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2.3860 (0.1833)</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0.6443 (0.2620)</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Hematuria</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1.4368 (0.1032)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0.4256 (0.1172)</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0.5652 (0.1365)</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-0.4111 (0.1647)</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Proteinuria</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0.7178 (0.1095)</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1.6980 (0.0891)</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0.7220 (0.1308)</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Pyuria</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0.6817 (0.1361)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0.4206 (0.1487)</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1.7547 (0.1255)</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Arthritis</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1.5619 (0.0701)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Myositis</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3.0996 (0.3656)</w:t>
            </w: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 xml:space="preserve">Rash </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0.4948 (0.1796)</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Mucosal ulcers</w:t>
            </w:r>
          </w:p>
        </w:tc>
        <w:tc>
          <w:tcPr>
            <w:tcW w:w="931" w:type="dxa"/>
            <w:vAlign w:val="bottom"/>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0.6046 (0.2502)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Pleurisy</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0.5578 (0.1986)</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Low complement</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0.7225 (0.1676)</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0.4442 (0.0935)</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0.3212 (0.0933)</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0.3680 (0.0989)</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Increased DNA binding</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0.3795 (0.1772)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0.4201 (0.0983)</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0.2813 (0.0952)</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0.2533 (0.0827)</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Constant</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-6.7457 (0.2743)</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2.9133 (4.0053)</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-1.3595 (0.6772)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0.0779 (0.7979)</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-2.6291 (0.6702)</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-1.7828 (0.6421)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w:t>
            </w:r>
            <w:r>
              <w:rPr>
                <w:rFonts w:asciiTheme="majorBidi" w:hAnsiTheme="majorBidi" w:cstheme="majorBidi"/>
                <w:sz w:val="18"/>
                <w:szCs w:val="18"/>
              </w:rPr>
              <w:t>7.7148 (0.4217)</w:t>
            </w: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Sigma</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sidRPr="00B71922">
              <w:rPr>
                <w:rFonts w:asciiTheme="majorBidi" w:hAnsiTheme="majorBidi" w:cstheme="majorBidi"/>
                <w:sz w:val="18"/>
                <w:szCs w:val="18"/>
              </w:rPr>
              <w:t>1.</w:t>
            </w:r>
            <w:r>
              <w:rPr>
                <w:rFonts w:asciiTheme="majorBidi" w:hAnsiTheme="majorBidi" w:cstheme="majorBidi"/>
                <w:sz w:val="18"/>
                <w:szCs w:val="18"/>
              </w:rPr>
              <w:t>7860 (0.1594)</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F8697B">
              <w:rPr>
                <w:rFonts w:asciiTheme="majorBidi" w:hAnsiTheme="majorBidi" w:cstheme="majorBidi"/>
                <w:sz w:val="18"/>
                <w:szCs w:val="18"/>
              </w:rPr>
              <w:t>2.</w:t>
            </w:r>
            <w:r>
              <w:rPr>
                <w:rFonts w:asciiTheme="majorBidi" w:hAnsiTheme="majorBidi" w:cstheme="majorBidi"/>
                <w:sz w:val="18"/>
                <w:szCs w:val="18"/>
              </w:rPr>
              <w:t>4996 (0.6041)</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1.1637 (0.0754)</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1.</w:t>
            </w:r>
            <w:r>
              <w:rPr>
                <w:rFonts w:asciiTheme="majorBidi" w:hAnsiTheme="majorBidi" w:cstheme="majorBidi"/>
                <w:sz w:val="18"/>
                <w:szCs w:val="18"/>
              </w:rPr>
              <w:t>6332 (0.0957)</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0.9441 (0.0828)</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1.4882 (0.0750)</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1</w:t>
            </w:r>
            <w:r>
              <w:rPr>
                <w:rFonts w:asciiTheme="majorBidi" w:hAnsiTheme="majorBidi" w:cstheme="majorBidi"/>
                <w:sz w:val="18"/>
                <w:szCs w:val="18"/>
              </w:rPr>
              <w:t>.6066 (0.2485)</w:t>
            </w:r>
          </w:p>
        </w:tc>
      </w:tr>
      <w:tr w:rsidR="006074C8" w:rsidRPr="00C867F8" w:rsidTr="00DD3003">
        <w:tc>
          <w:tcPr>
            <w:tcW w:w="1900" w:type="dxa"/>
          </w:tcPr>
          <w:p w:rsidR="006074C8" w:rsidRPr="007E5C43" w:rsidRDefault="006074C8" w:rsidP="00DD3003">
            <w:pPr>
              <w:spacing w:line="240" w:lineRule="auto"/>
              <w:rPr>
                <w:rFonts w:asciiTheme="majorBidi" w:hAnsiTheme="majorBidi" w:cstheme="majorBidi"/>
                <w:sz w:val="18"/>
                <w:szCs w:val="18"/>
              </w:rPr>
            </w:pPr>
            <w:r>
              <w:rPr>
                <w:sz w:val="18"/>
                <w:szCs w:val="18"/>
              </w:rPr>
              <w:t>Intraclass correlation</w:t>
            </w:r>
          </w:p>
        </w:tc>
        <w:tc>
          <w:tcPr>
            <w:tcW w:w="931"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0.</w:t>
            </w:r>
            <w:r>
              <w:rPr>
                <w:rFonts w:asciiTheme="majorBidi" w:hAnsiTheme="majorBidi" w:cstheme="majorBidi"/>
                <w:sz w:val="18"/>
                <w:szCs w:val="18"/>
              </w:rPr>
              <w:t>49</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0.</w:t>
            </w:r>
            <w:r>
              <w:rPr>
                <w:rFonts w:asciiTheme="majorBidi" w:hAnsiTheme="majorBidi" w:cstheme="majorBidi"/>
                <w:sz w:val="18"/>
                <w:szCs w:val="18"/>
              </w:rPr>
              <w:t>66</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0.29</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sidRPr="007E5C43">
              <w:rPr>
                <w:rFonts w:asciiTheme="majorBidi" w:hAnsiTheme="majorBidi" w:cstheme="majorBidi"/>
                <w:sz w:val="18"/>
                <w:szCs w:val="18"/>
              </w:rPr>
              <w:t>0.</w:t>
            </w:r>
            <w:r>
              <w:rPr>
                <w:rFonts w:asciiTheme="majorBidi" w:hAnsiTheme="majorBidi" w:cstheme="majorBidi"/>
                <w:sz w:val="18"/>
                <w:szCs w:val="18"/>
              </w:rPr>
              <w:t>45</w:t>
            </w:r>
          </w:p>
        </w:tc>
        <w:tc>
          <w:tcPr>
            <w:tcW w:w="931" w:type="dxa"/>
            <w:gridSpan w:val="2"/>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0.21</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0.40</w:t>
            </w:r>
          </w:p>
        </w:tc>
        <w:tc>
          <w:tcPr>
            <w:tcW w:w="932" w:type="dxa"/>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0.44</w:t>
            </w:r>
          </w:p>
        </w:tc>
      </w:tr>
      <w:tr w:rsidR="006074C8" w:rsidRPr="00C867F8" w:rsidTr="00DD3003">
        <w:tc>
          <w:tcPr>
            <w:tcW w:w="1900" w:type="dxa"/>
            <w:tcBorders>
              <w:bottom w:val="single" w:sz="4" w:space="0" w:color="auto"/>
            </w:tcBorders>
          </w:tcPr>
          <w:p w:rsidR="006074C8" w:rsidRPr="007E5C43" w:rsidRDefault="006074C8" w:rsidP="00DD3003">
            <w:pPr>
              <w:spacing w:line="240" w:lineRule="auto"/>
              <w:rPr>
                <w:rFonts w:asciiTheme="majorBidi" w:hAnsiTheme="majorBidi" w:cstheme="majorBidi"/>
                <w:sz w:val="18"/>
                <w:szCs w:val="18"/>
              </w:rPr>
            </w:pPr>
            <w:r>
              <w:rPr>
                <w:sz w:val="18"/>
                <w:szCs w:val="18"/>
              </w:rPr>
              <w:t>Wald Chi2</w:t>
            </w:r>
          </w:p>
        </w:tc>
        <w:tc>
          <w:tcPr>
            <w:tcW w:w="931" w:type="dxa"/>
            <w:tcBorders>
              <w:bottom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252.5</w:t>
            </w:r>
          </w:p>
        </w:tc>
        <w:tc>
          <w:tcPr>
            <w:tcW w:w="932" w:type="dxa"/>
            <w:tcBorders>
              <w:bottom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10.17</w:t>
            </w:r>
          </w:p>
        </w:tc>
        <w:tc>
          <w:tcPr>
            <w:tcW w:w="931" w:type="dxa"/>
            <w:gridSpan w:val="2"/>
            <w:tcBorders>
              <w:bottom w:val="single" w:sz="4" w:space="0" w:color="auto"/>
            </w:tcBorders>
            <w:vAlign w:val="bottom"/>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609.17</w:t>
            </w:r>
          </w:p>
        </w:tc>
        <w:tc>
          <w:tcPr>
            <w:tcW w:w="932" w:type="dxa"/>
            <w:tcBorders>
              <w:bottom w:val="single" w:sz="4" w:space="0" w:color="auto"/>
            </w:tcBorders>
            <w:vAlign w:val="bottom"/>
          </w:tcPr>
          <w:p w:rsidR="006074C8" w:rsidRPr="007E5C43"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975.84</w:t>
            </w:r>
          </w:p>
        </w:tc>
        <w:tc>
          <w:tcPr>
            <w:tcW w:w="931" w:type="dxa"/>
            <w:gridSpan w:val="2"/>
            <w:tcBorders>
              <w:bottom w:val="single" w:sz="4" w:space="0" w:color="auto"/>
            </w:tcBorders>
            <w:vAlign w:val="bottom"/>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488.19</w:t>
            </w:r>
          </w:p>
        </w:tc>
        <w:tc>
          <w:tcPr>
            <w:tcW w:w="932" w:type="dxa"/>
            <w:tcBorders>
              <w:bottom w:val="single" w:sz="4" w:space="0" w:color="auto"/>
            </w:tcBorders>
            <w:vAlign w:val="bottom"/>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620.43</w:t>
            </w:r>
          </w:p>
        </w:tc>
        <w:tc>
          <w:tcPr>
            <w:tcW w:w="932" w:type="dxa"/>
            <w:tcBorders>
              <w:bottom w:val="single" w:sz="4" w:space="0" w:color="auto"/>
            </w:tcBorders>
            <w:vAlign w:val="bottom"/>
          </w:tcPr>
          <w:p w:rsidR="006074C8" w:rsidRDefault="006074C8" w:rsidP="00DD3003">
            <w:pPr>
              <w:spacing w:line="240" w:lineRule="auto"/>
              <w:rPr>
                <w:rFonts w:asciiTheme="majorBidi" w:hAnsiTheme="majorBidi" w:cstheme="majorBidi"/>
                <w:sz w:val="18"/>
                <w:szCs w:val="18"/>
              </w:rPr>
            </w:pPr>
            <w:r>
              <w:rPr>
                <w:rFonts w:asciiTheme="majorBidi" w:hAnsiTheme="majorBidi" w:cstheme="majorBidi"/>
                <w:sz w:val="18"/>
                <w:szCs w:val="18"/>
              </w:rPr>
              <w:t>121.75</w:t>
            </w:r>
          </w:p>
        </w:tc>
      </w:tr>
      <w:tr w:rsidR="006074C8" w:rsidRPr="00F57325" w:rsidTr="00DD3003">
        <w:tc>
          <w:tcPr>
            <w:tcW w:w="8421" w:type="dxa"/>
            <w:gridSpan w:val="10"/>
            <w:tcBorders>
              <w:top w:val="single" w:sz="4" w:space="0" w:color="auto"/>
              <w:bottom w:val="single" w:sz="12" w:space="0" w:color="auto"/>
            </w:tcBorders>
          </w:tcPr>
          <w:p w:rsidR="006074C8" w:rsidRPr="00F57325" w:rsidRDefault="006074C8" w:rsidP="00DD3003">
            <w:pPr>
              <w:spacing w:line="240" w:lineRule="auto"/>
              <w:rPr>
                <w:sz w:val="18"/>
                <w:szCs w:val="18"/>
                <w:lang w:val="sv-SE"/>
              </w:rPr>
            </w:pPr>
            <w:r w:rsidRPr="00F57325">
              <w:rPr>
                <w:sz w:val="18"/>
                <w:szCs w:val="18"/>
                <w:lang w:val="sv-SE"/>
              </w:rPr>
              <w:t>OBS Organic Brain Syndrome</w:t>
            </w:r>
            <w:r w:rsidR="00F57325" w:rsidRPr="00F57325">
              <w:rPr>
                <w:sz w:val="18"/>
                <w:szCs w:val="18"/>
                <w:lang w:val="sv-SE"/>
              </w:rPr>
              <w:t>; () Standa</w:t>
            </w:r>
            <w:r w:rsidR="00F57325">
              <w:rPr>
                <w:sz w:val="18"/>
                <w:szCs w:val="18"/>
                <w:lang w:val="sv-SE"/>
              </w:rPr>
              <w:t>rd error</w:t>
            </w:r>
          </w:p>
        </w:tc>
      </w:tr>
    </w:tbl>
    <w:p w:rsidR="006074C8" w:rsidRPr="00F57325" w:rsidRDefault="006074C8" w:rsidP="006074C8">
      <w:pPr>
        <w:rPr>
          <w:lang w:val="sv-SE"/>
        </w:rPr>
      </w:pPr>
    </w:p>
    <w:p w:rsidR="006074C8" w:rsidRDefault="006074C8" w:rsidP="00C2646F">
      <w:r>
        <w:t xml:space="preserve">The results of the analysis for skin, serositis and immunological items are reported in </w:t>
      </w:r>
      <w:r w:rsidR="00E729BA">
        <w:fldChar w:fldCharType="begin"/>
      </w:r>
      <w:r>
        <w:instrText xml:space="preserve"> REF _Ref310341333 \h </w:instrText>
      </w:r>
      <w:r w:rsidR="00E729BA">
        <w:fldChar w:fldCharType="separate"/>
      </w:r>
      <w:r w:rsidR="004911B7">
        <w:t xml:space="preserve">Table </w:t>
      </w:r>
      <w:r w:rsidR="004911B7">
        <w:rPr>
          <w:noProof/>
        </w:rPr>
        <w:t>26</w:t>
      </w:r>
      <w:r w:rsidR="00E729BA">
        <w:fldChar w:fldCharType="end"/>
      </w:r>
      <w:r>
        <w:t xml:space="preserve">. The lagged dependent variables were statistically significant in all </w:t>
      </w:r>
      <w:r w:rsidR="0068656C">
        <w:t xml:space="preserve">regression </w:t>
      </w:r>
      <w:r>
        <w:t xml:space="preserve">models. All </w:t>
      </w:r>
      <w:r w:rsidR="0068656C">
        <w:t xml:space="preserve">regression </w:t>
      </w:r>
      <w:r>
        <w:t xml:space="preserve">models except Mucosal Ulcers and Alopecia were negatively associated with age. </w:t>
      </w:r>
      <w:r w:rsidR="00C2646F">
        <w:t xml:space="preserve">Alopecia, </w:t>
      </w:r>
      <w:r w:rsidR="0016510D">
        <w:t>mucosal</w:t>
      </w:r>
      <w:r w:rsidR="00C2646F">
        <w:t xml:space="preserve"> ulcers and increased DNA binding were</w:t>
      </w:r>
      <w:r>
        <w:t xml:space="preserve"> associated with African American ethnicity. Males have a lower risk of developing alopecia, mucosal ulcers and pleurisy. There were several associations between different items of the SLEDAI identified in the analysis of skin, serositis and immunological items.</w:t>
      </w:r>
      <w:r w:rsidRPr="007C58D2">
        <w:t xml:space="preserve"> </w:t>
      </w:r>
      <w:r>
        <w:t xml:space="preserve">The Wald Chi-squared statistics were statistically significant in all analyses suggesting that the overall fit of the </w:t>
      </w:r>
      <w:r w:rsidR="0068656C">
        <w:t xml:space="preserve">regression </w:t>
      </w:r>
      <w:r>
        <w:t>model</w:t>
      </w:r>
      <w:r w:rsidR="0068656C">
        <w:t>s were</w:t>
      </w:r>
      <w:r>
        <w:t xml:space="preserve"> good. The intraclass correlation was high in all </w:t>
      </w:r>
      <w:r w:rsidR="0068656C">
        <w:t xml:space="preserve">regression </w:t>
      </w:r>
      <w:r>
        <w:t>models.</w:t>
      </w:r>
    </w:p>
    <w:p w:rsidR="006074C8" w:rsidRDefault="006074C8" w:rsidP="0087718E">
      <w:pPr>
        <w:pStyle w:val="Caption"/>
      </w:pPr>
      <w:bookmarkStart w:id="303" w:name="_Ref310341333"/>
      <w:r>
        <w:t xml:space="preserve">Table </w:t>
      </w:r>
      <w:fldSimple w:instr=" SEQ Table \* ARABIC ">
        <w:r w:rsidR="004911B7">
          <w:rPr>
            <w:noProof/>
          </w:rPr>
          <w:t>26</w:t>
        </w:r>
      </w:fldSimple>
      <w:bookmarkEnd w:id="303"/>
      <w:r>
        <w:t>: Coefficient estimates from r</w:t>
      </w:r>
      <w:r w:rsidRPr="00C867F8">
        <w:t>andom effects logistic regression for</w:t>
      </w:r>
      <w:r>
        <w:t xml:space="preserve"> skin, serologic and immunolog</w:t>
      </w:r>
      <w:r w:rsidR="0087718E">
        <w:t>y</w:t>
      </w:r>
    </w:p>
    <w:tbl>
      <w:tblPr>
        <w:tblStyle w:val="TableGrid"/>
        <w:tblW w:w="842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1900"/>
        <w:gridCol w:w="931"/>
        <w:gridCol w:w="932"/>
        <w:gridCol w:w="310"/>
        <w:gridCol w:w="621"/>
        <w:gridCol w:w="892"/>
        <w:gridCol w:w="661"/>
        <w:gridCol w:w="310"/>
        <w:gridCol w:w="984"/>
        <w:gridCol w:w="880"/>
      </w:tblGrid>
      <w:tr w:rsidR="00C2646F" w:rsidRPr="002132A7" w:rsidTr="00DD3003">
        <w:tc>
          <w:tcPr>
            <w:tcW w:w="1900" w:type="dxa"/>
            <w:tcBorders>
              <w:top w:val="single" w:sz="12" w:space="0" w:color="auto"/>
              <w:bottom w:val="single" w:sz="4" w:space="0" w:color="auto"/>
            </w:tcBorders>
          </w:tcPr>
          <w:p w:rsidR="00C2646F" w:rsidRPr="002132A7" w:rsidRDefault="00C2646F" w:rsidP="0087718E">
            <w:pPr>
              <w:spacing w:line="240" w:lineRule="auto"/>
              <w:rPr>
                <w:rFonts w:asciiTheme="majorBidi" w:hAnsiTheme="majorBidi" w:cstheme="majorBidi"/>
                <w:sz w:val="18"/>
                <w:szCs w:val="18"/>
              </w:rPr>
            </w:pPr>
          </w:p>
        </w:tc>
        <w:tc>
          <w:tcPr>
            <w:tcW w:w="2173" w:type="dxa"/>
            <w:gridSpan w:val="3"/>
            <w:tcBorders>
              <w:top w:val="single" w:sz="12" w:space="0" w:color="auto"/>
              <w:bottom w:val="single" w:sz="4" w:space="0" w:color="auto"/>
            </w:tcBorders>
          </w:tcPr>
          <w:p w:rsidR="00C2646F" w:rsidRPr="002132A7" w:rsidRDefault="00C2646F" w:rsidP="0087718E">
            <w:pPr>
              <w:spacing w:line="240" w:lineRule="auto"/>
              <w:jc w:val="center"/>
              <w:rPr>
                <w:rFonts w:asciiTheme="majorBidi" w:hAnsiTheme="majorBidi" w:cstheme="majorBidi"/>
                <w:sz w:val="18"/>
                <w:szCs w:val="18"/>
              </w:rPr>
            </w:pPr>
            <w:r>
              <w:rPr>
                <w:rFonts w:asciiTheme="majorBidi" w:hAnsiTheme="majorBidi" w:cstheme="majorBidi"/>
                <w:sz w:val="18"/>
                <w:szCs w:val="18"/>
              </w:rPr>
              <w:t>Skin Involvement</w:t>
            </w:r>
          </w:p>
        </w:tc>
        <w:tc>
          <w:tcPr>
            <w:tcW w:w="2174" w:type="dxa"/>
            <w:gridSpan w:val="3"/>
            <w:tcBorders>
              <w:top w:val="single" w:sz="12" w:space="0" w:color="auto"/>
              <w:bottom w:val="single" w:sz="4" w:space="0" w:color="auto"/>
            </w:tcBorders>
          </w:tcPr>
          <w:p w:rsidR="00C2646F" w:rsidRPr="002132A7" w:rsidRDefault="00C2646F" w:rsidP="0087718E">
            <w:pPr>
              <w:spacing w:line="240" w:lineRule="auto"/>
              <w:jc w:val="center"/>
              <w:rPr>
                <w:rFonts w:asciiTheme="majorBidi" w:hAnsiTheme="majorBidi" w:cstheme="majorBidi"/>
                <w:sz w:val="18"/>
                <w:szCs w:val="18"/>
              </w:rPr>
            </w:pPr>
            <w:r>
              <w:rPr>
                <w:rFonts w:asciiTheme="majorBidi" w:hAnsiTheme="majorBidi" w:cstheme="majorBidi"/>
                <w:sz w:val="18"/>
                <w:szCs w:val="18"/>
              </w:rPr>
              <w:t>Serositis</w:t>
            </w:r>
          </w:p>
        </w:tc>
        <w:tc>
          <w:tcPr>
            <w:tcW w:w="2174" w:type="dxa"/>
            <w:gridSpan w:val="3"/>
            <w:tcBorders>
              <w:top w:val="single" w:sz="12" w:space="0" w:color="auto"/>
              <w:bottom w:val="single" w:sz="4" w:space="0" w:color="auto"/>
            </w:tcBorders>
          </w:tcPr>
          <w:p w:rsidR="00C2646F" w:rsidRPr="002132A7" w:rsidRDefault="00C2646F" w:rsidP="0087718E">
            <w:pPr>
              <w:spacing w:line="240" w:lineRule="auto"/>
              <w:jc w:val="center"/>
              <w:rPr>
                <w:rFonts w:asciiTheme="majorBidi" w:hAnsiTheme="majorBidi" w:cstheme="majorBidi"/>
                <w:sz w:val="18"/>
                <w:szCs w:val="18"/>
              </w:rPr>
            </w:pPr>
            <w:r>
              <w:rPr>
                <w:rFonts w:asciiTheme="majorBidi" w:hAnsiTheme="majorBidi" w:cstheme="majorBidi"/>
                <w:sz w:val="18"/>
                <w:szCs w:val="18"/>
              </w:rPr>
              <w:t>Immunology</w:t>
            </w:r>
          </w:p>
        </w:tc>
      </w:tr>
      <w:tr w:rsidR="006074C8" w:rsidRPr="002132A7" w:rsidTr="00DD3003">
        <w:tc>
          <w:tcPr>
            <w:tcW w:w="1900"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p>
        </w:tc>
        <w:tc>
          <w:tcPr>
            <w:tcW w:w="931"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Rash</w:t>
            </w:r>
          </w:p>
        </w:tc>
        <w:tc>
          <w:tcPr>
            <w:tcW w:w="932"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Alopecia</w:t>
            </w:r>
          </w:p>
        </w:tc>
        <w:tc>
          <w:tcPr>
            <w:tcW w:w="931" w:type="dxa"/>
            <w:gridSpan w:val="2"/>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Mucosal ulcers</w:t>
            </w:r>
          </w:p>
        </w:tc>
        <w:tc>
          <w:tcPr>
            <w:tcW w:w="892"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Pleurisy</w:t>
            </w:r>
          </w:p>
        </w:tc>
        <w:tc>
          <w:tcPr>
            <w:tcW w:w="971" w:type="dxa"/>
            <w:gridSpan w:val="2"/>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Pericarditis</w:t>
            </w:r>
          </w:p>
        </w:tc>
        <w:tc>
          <w:tcPr>
            <w:tcW w:w="984"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Low complement</w:t>
            </w:r>
          </w:p>
        </w:tc>
        <w:tc>
          <w:tcPr>
            <w:tcW w:w="880" w:type="dxa"/>
            <w:tcBorders>
              <w:top w:val="single" w:sz="8" w:space="0" w:color="auto"/>
              <w:bottom w:val="single" w:sz="4" w:space="0" w:color="auto"/>
            </w:tcBorders>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Increased DNA binding</w:t>
            </w:r>
          </w:p>
        </w:tc>
      </w:tr>
      <w:tr w:rsidR="006074C8" w:rsidRPr="002132A7" w:rsidTr="00DD3003">
        <w:tc>
          <w:tcPr>
            <w:tcW w:w="1900" w:type="dxa"/>
            <w:tcBorders>
              <w:top w:val="single" w:sz="4" w:space="0" w:color="auto"/>
            </w:tcBorders>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Log of age</w:t>
            </w:r>
          </w:p>
        </w:tc>
        <w:tc>
          <w:tcPr>
            <w:tcW w:w="931" w:type="dxa"/>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-0.3967 (0.1545)</w:t>
            </w:r>
          </w:p>
        </w:tc>
        <w:tc>
          <w:tcPr>
            <w:tcW w:w="932" w:type="dxa"/>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0.4423 (0.2101)</w:t>
            </w:r>
          </w:p>
        </w:tc>
        <w:tc>
          <w:tcPr>
            <w:tcW w:w="931" w:type="dxa"/>
            <w:gridSpan w:val="2"/>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-0.9881 (0.2178)</w:t>
            </w:r>
          </w:p>
        </w:tc>
        <w:tc>
          <w:tcPr>
            <w:tcW w:w="971" w:type="dxa"/>
            <w:gridSpan w:val="2"/>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-1.3246 (0.3818)</w:t>
            </w:r>
          </w:p>
        </w:tc>
        <w:tc>
          <w:tcPr>
            <w:tcW w:w="984" w:type="dxa"/>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w:t>
            </w:r>
            <w:r>
              <w:rPr>
                <w:rFonts w:asciiTheme="majorBidi" w:hAnsiTheme="majorBidi" w:cstheme="majorBidi"/>
                <w:sz w:val="18"/>
                <w:szCs w:val="18"/>
              </w:rPr>
              <w:t>1.4403 (0.2025)</w:t>
            </w:r>
          </w:p>
        </w:tc>
        <w:tc>
          <w:tcPr>
            <w:tcW w:w="880" w:type="dxa"/>
            <w:tcBorders>
              <w:top w:val="single" w:sz="4" w:space="0" w:color="auto"/>
            </w:tcBorders>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-1.0218 (0.2220)</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African American</w:t>
            </w:r>
            <w:r w:rsidRPr="002132A7">
              <w:rPr>
                <w:rFonts w:asciiTheme="majorBidi" w:hAnsiTheme="majorBidi" w:cstheme="majorBidi"/>
                <w:sz w:val="18"/>
                <w:szCs w:val="18"/>
              </w:rPr>
              <w:t xml:space="preserve"> ethnicity</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1.6742 (0.1314)</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-0.8</w:t>
            </w:r>
            <w:r>
              <w:rPr>
                <w:rFonts w:asciiTheme="majorBidi" w:hAnsiTheme="majorBidi" w:cstheme="majorBidi"/>
                <w:sz w:val="18"/>
                <w:szCs w:val="18"/>
              </w:rPr>
              <w:t>985 (0.1195)</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0.5394 (0.1455)</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Male gender</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-2.0594 (0.3505)</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-0.8893 (0.2487)</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-0.9720 (0.2834)</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Vasculitis in last period</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0.4151 (0.1800)</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0.5606 (0.2321)</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1.0966 (0.2834)</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Hematuria</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-0.4657 (0.2115)</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0.3866 (0.1149)</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 xml:space="preserve">Rash </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1.5691 (0.0679)</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0.3868 (0.1083)</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0.2628 (0.0845)</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0.3663 (0.0905)</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Alopecia</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0.2171 (0.0989)</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1.9743 (0.0726)</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0.5381 (0.1182)</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Mucosal ulcers</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0.5527 (0.1182)</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1.1187 (0.1000)</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Pleurisy</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1.6638 (0.1392)</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1.1127 (0.2745)</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Pericarditis</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0.5985 (0.2340)</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1.7390 (0.2938)</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0.5782 (0.2863)</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Low complement</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0.1715 (0.0865)</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2.0155 (0.0530)</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0.4953 (0.0671)</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Increased DNA binding</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0.2991 (0.0749)</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0.7016 (0.1215)</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0.8106 (0.2158)</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0.4732 (0.0651)</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2.2122 (0.0574)</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Thrombocytopenia</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0.2322 (0.1393)</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Leukopenia</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0.3096 (0.1026)</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0.3501 (0.1126)</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Constant</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w:t>
            </w:r>
            <w:r>
              <w:rPr>
                <w:rFonts w:asciiTheme="majorBidi" w:hAnsiTheme="majorBidi" w:cstheme="majorBidi"/>
                <w:sz w:val="18"/>
                <w:szCs w:val="18"/>
              </w:rPr>
              <w:t>2.0789 (0.5762)</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-6.6136 (0.7784)</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-3.6001 (0.0816)</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-1.3521 (0.8021)</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-2.0823 (1.3909)</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2.7720 (0.7240)</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0.6760 (0.7999)</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Sigma</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1.3</w:t>
            </w:r>
            <w:r>
              <w:rPr>
                <w:rFonts w:asciiTheme="majorBidi" w:hAnsiTheme="majorBidi" w:cstheme="majorBidi"/>
                <w:sz w:val="18"/>
                <w:szCs w:val="18"/>
              </w:rPr>
              <w:t>707 (0.0649)</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1.4942 (0.0777)</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1.1404 (0.0678)</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1.3585 (0.1044)</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1.6273 (0.1846)</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sidRPr="002132A7">
              <w:rPr>
                <w:rFonts w:asciiTheme="majorBidi" w:hAnsiTheme="majorBidi" w:cstheme="majorBidi"/>
                <w:sz w:val="18"/>
                <w:szCs w:val="18"/>
              </w:rPr>
              <w:t>1.</w:t>
            </w:r>
            <w:r>
              <w:rPr>
                <w:rFonts w:asciiTheme="majorBidi" w:hAnsiTheme="majorBidi" w:cstheme="majorBidi"/>
                <w:sz w:val="18"/>
                <w:szCs w:val="18"/>
              </w:rPr>
              <w:t>9255 (0.0772)</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2.1041 (0.0896)</w:t>
            </w:r>
          </w:p>
        </w:tc>
      </w:tr>
      <w:tr w:rsidR="006074C8" w:rsidRPr="002132A7" w:rsidTr="00DD3003">
        <w:tc>
          <w:tcPr>
            <w:tcW w:w="1900" w:type="dxa"/>
          </w:tcPr>
          <w:p w:rsidR="006074C8" w:rsidRPr="002132A7" w:rsidRDefault="006074C8" w:rsidP="0087718E">
            <w:pPr>
              <w:spacing w:line="240" w:lineRule="auto"/>
              <w:rPr>
                <w:rFonts w:asciiTheme="majorBidi" w:hAnsiTheme="majorBidi" w:cstheme="majorBidi"/>
                <w:sz w:val="18"/>
                <w:szCs w:val="18"/>
              </w:rPr>
            </w:pPr>
            <w:r>
              <w:rPr>
                <w:sz w:val="18"/>
                <w:szCs w:val="18"/>
              </w:rPr>
              <w:t>Intraclass correlation</w:t>
            </w:r>
          </w:p>
        </w:tc>
        <w:tc>
          <w:tcPr>
            <w:tcW w:w="931"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0.36</w:t>
            </w:r>
          </w:p>
        </w:tc>
        <w:tc>
          <w:tcPr>
            <w:tcW w:w="93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0.40</w:t>
            </w:r>
          </w:p>
        </w:tc>
        <w:tc>
          <w:tcPr>
            <w:tcW w:w="93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0.28</w:t>
            </w:r>
          </w:p>
        </w:tc>
        <w:tc>
          <w:tcPr>
            <w:tcW w:w="892"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0.36</w:t>
            </w:r>
          </w:p>
        </w:tc>
        <w:tc>
          <w:tcPr>
            <w:tcW w:w="971" w:type="dxa"/>
            <w:gridSpan w:val="2"/>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0.45</w:t>
            </w:r>
          </w:p>
        </w:tc>
        <w:tc>
          <w:tcPr>
            <w:tcW w:w="984"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0.53</w:t>
            </w:r>
          </w:p>
        </w:tc>
        <w:tc>
          <w:tcPr>
            <w:tcW w:w="880" w:type="dxa"/>
            <w:vAlign w:val="bottom"/>
          </w:tcPr>
          <w:p w:rsidR="006074C8" w:rsidRPr="002132A7"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0.57</w:t>
            </w:r>
          </w:p>
        </w:tc>
      </w:tr>
      <w:tr w:rsidR="006074C8" w:rsidRPr="002132A7" w:rsidTr="00DD3003">
        <w:tc>
          <w:tcPr>
            <w:tcW w:w="1900" w:type="dxa"/>
            <w:tcBorders>
              <w:bottom w:val="single" w:sz="4" w:space="0" w:color="auto"/>
            </w:tcBorders>
          </w:tcPr>
          <w:p w:rsidR="006074C8" w:rsidRPr="00520EFD" w:rsidRDefault="006074C8" w:rsidP="0087718E">
            <w:pPr>
              <w:spacing w:line="240" w:lineRule="auto"/>
              <w:rPr>
                <w:rFonts w:asciiTheme="majorBidi" w:hAnsiTheme="majorBidi" w:cstheme="majorBidi"/>
                <w:color w:val="000000" w:themeColor="text1"/>
                <w:sz w:val="18"/>
                <w:szCs w:val="18"/>
              </w:rPr>
            </w:pPr>
            <w:r w:rsidRPr="00520EFD">
              <w:rPr>
                <w:rFonts w:asciiTheme="majorBidi" w:hAnsiTheme="majorBidi" w:cstheme="majorBidi"/>
                <w:color w:val="000000" w:themeColor="text1"/>
                <w:sz w:val="18"/>
                <w:szCs w:val="18"/>
              </w:rPr>
              <w:t xml:space="preserve">Wald </w:t>
            </w:r>
            <w:r w:rsidRPr="00520EFD">
              <w:rPr>
                <w:color w:val="000000" w:themeColor="text1"/>
                <w:sz w:val="18"/>
                <w:szCs w:val="18"/>
              </w:rPr>
              <w:t>Chi2</w:t>
            </w:r>
          </w:p>
        </w:tc>
        <w:tc>
          <w:tcPr>
            <w:tcW w:w="931" w:type="dxa"/>
            <w:tcBorders>
              <w:bottom w:val="single" w:sz="4" w:space="0" w:color="auto"/>
            </w:tcBorders>
            <w:vAlign w:val="bottom"/>
          </w:tcPr>
          <w:p w:rsidR="006074C8" w:rsidRPr="00520EFD" w:rsidRDefault="006074C8" w:rsidP="0087718E">
            <w:pPr>
              <w:spacing w:line="240" w:lineRule="auto"/>
              <w:rPr>
                <w:rFonts w:asciiTheme="majorBidi" w:hAnsiTheme="majorBidi" w:cstheme="majorBidi"/>
                <w:color w:val="000000" w:themeColor="text1"/>
                <w:sz w:val="18"/>
                <w:szCs w:val="18"/>
              </w:rPr>
            </w:pPr>
            <w:r w:rsidRPr="00520EFD">
              <w:rPr>
                <w:rFonts w:asciiTheme="majorBidi" w:hAnsiTheme="majorBidi" w:cstheme="majorBidi"/>
                <w:color w:val="000000" w:themeColor="text1"/>
                <w:sz w:val="18"/>
                <w:szCs w:val="18"/>
              </w:rPr>
              <w:t>641.45</w:t>
            </w:r>
          </w:p>
        </w:tc>
        <w:tc>
          <w:tcPr>
            <w:tcW w:w="932" w:type="dxa"/>
            <w:tcBorders>
              <w:bottom w:val="single" w:sz="4" w:space="0" w:color="auto"/>
            </w:tcBorders>
            <w:vAlign w:val="bottom"/>
          </w:tcPr>
          <w:p w:rsidR="006074C8" w:rsidRPr="00520EFD" w:rsidRDefault="006074C8" w:rsidP="0087718E">
            <w:pPr>
              <w:spacing w:line="240" w:lineRule="auto"/>
              <w:rPr>
                <w:rFonts w:asciiTheme="majorBidi" w:hAnsiTheme="majorBidi" w:cstheme="majorBidi"/>
                <w:color w:val="000000" w:themeColor="text1"/>
                <w:sz w:val="18"/>
                <w:szCs w:val="18"/>
              </w:rPr>
            </w:pPr>
            <w:r w:rsidRPr="00520EFD">
              <w:rPr>
                <w:rFonts w:asciiTheme="majorBidi" w:hAnsiTheme="majorBidi" w:cstheme="majorBidi"/>
                <w:color w:val="000000" w:themeColor="text1"/>
                <w:sz w:val="18"/>
                <w:szCs w:val="18"/>
              </w:rPr>
              <w:t>1439.49</w:t>
            </w:r>
          </w:p>
        </w:tc>
        <w:tc>
          <w:tcPr>
            <w:tcW w:w="931" w:type="dxa"/>
            <w:gridSpan w:val="2"/>
            <w:tcBorders>
              <w:bottom w:val="single" w:sz="4" w:space="0" w:color="auto"/>
            </w:tcBorders>
            <w:vAlign w:val="bottom"/>
          </w:tcPr>
          <w:p w:rsidR="006074C8"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271.63</w:t>
            </w:r>
          </w:p>
        </w:tc>
        <w:tc>
          <w:tcPr>
            <w:tcW w:w="892" w:type="dxa"/>
            <w:tcBorders>
              <w:bottom w:val="single" w:sz="4" w:space="0" w:color="auto"/>
            </w:tcBorders>
            <w:vAlign w:val="bottom"/>
          </w:tcPr>
          <w:p w:rsidR="006074C8"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276.86</w:t>
            </w:r>
          </w:p>
        </w:tc>
        <w:tc>
          <w:tcPr>
            <w:tcW w:w="971" w:type="dxa"/>
            <w:gridSpan w:val="2"/>
            <w:tcBorders>
              <w:bottom w:val="single" w:sz="4" w:space="0" w:color="auto"/>
            </w:tcBorders>
            <w:vAlign w:val="bottom"/>
          </w:tcPr>
          <w:p w:rsidR="006074C8"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120.38</w:t>
            </w:r>
          </w:p>
        </w:tc>
        <w:tc>
          <w:tcPr>
            <w:tcW w:w="984" w:type="dxa"/>
            <w:tcBorders>
              <w:bottom w:val="single" w:sz="4" w:space="0" w:color="auto"/>
            </w:tcBorders>
            <w:vAlign w:val="bottom"/>
          </w:tcPr>
          <w:p w:rsidR="006074C8"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2048.62</w:t>
            </w:r>
          </w:p>
        </w:tc>
        <w:tc>
          <w:tcPr>
            <w:tcW w:w="880" w:type="dxa"/>
            <w:tcBorders>
              <w:bottom w:val="single" w:sz="4" w:space="0" w:color="auto"/>
            </w:tcBorders>
            <w:vAlign w:val="bottom"/>
          </w:tcPr>
          <w:p w:rsidR="006074C8" w:rsidRDefault="006074C8" w:rsidP="0087718E">
            <w:pPr>
              <w:spacing w:line="240" w:lineRule="auto"/>
              <w:rPr>
                <w:rFonts w:asciiTheme="majorBidi" w:hAnsiTheme="majorBidi" w:cstheme="majorBidi"/>
                <w:sz w:val="18"/>
                <w:szCs w:val="18"/>
              </w:rPr>
            </w:pPr>
            <w:r>
              <w:rPr>
                <w:rFonts w:asciiTheme="majorBidi" w:hAnsiTheme="majorBidi" w:cstheme="majorBidi"/>
                <w:sz w:val="18"/>
                <w:szCs w:val="18"/>
              </w:rPr>
              <w:t>1979.80</w:t>
            </w:r>
          </w:p>
        </w:tc>
      </w:tr>
      <w:tr w:rsidR="00F57325" w:rsidRPr="002132A7" w:rsidTr="00DD3003">
        <w:tc>
          <w:tcPr>
            <w:tcW w:w="8421" w:type="dxa"/>
            <w:gridSpan w:val="10"/>
            <w:tcBorders>
              <w:top w:val="single" w:sz="4" w:space="0" w:color="auto"/>
              <w:bottom w:val="single" w:sz="12" w:space="0" w:color="auto"/>
            </w:tcBorders>
          </w:tcPr>
          <w:p w:rsidR="00F57325" w:rsidRDefault="00F57325" w:rsidP="0087718E">
            <w:pPr>
              <w:spacing w:line="240" w:lineRule="auto"/>
              <w:rPr>
                <w:rFonts w:asciiTheme="majorBidi" w:hAnsiTheme="majorBidi" w:cstheme="majorBidi"/>
                <w:sz w:val="18"/>
                <w:szCs w:val="18"/>
              </w:rPr>
            </w:pPr>
            <w:r>
              <w:rPr>
                <w:rFonts w:asciiTheme="majorBidi" w:hAnsiTheme="majorBidi" w:cstheme="majorBidi"/>
                <w:sz w:val="18"/>
                <w:szCs w:val="18"/>
              </w:rPr>
              <w:t>() Standard error</w:t>
            </w:r>
          </w:p>
        </w:tc>
      </w:tr>
    </w:tbl>
    <w:p w:rsidR="006074C8" w:rsidRDefault="006074C8" w:rsidP="006074C8"/>
    <w:p w:rsidR="006074C8" w:rsidRDefault="006074C8" w:rsidP="0068656C">
      <w:r>
        <w:t>The results of the analy</w:t>
      </w:r>
      <w:r w:rsidR="00A03F95">
        <w:t>sis for haematological items,</w:t>
      </w:r>
      <w:r>
        <w:t xml:space="preserve"> fever</w:t>
      </w:r>
      <w:r w:rsidR="00A03F95">
        <w:t xml:space="preserve"> and infection</w:t>
      </w:r>
      <w:r>
        <w:t xml:space="preserve"> are reported in </w:t>
      </w:r>
      <w:r w:rsidR="00E729BA">
        <w:fldChar w:fldCharType="begin"/>
      </w:r>
      <w:r>
        <w:instrText xml:space="preserve"> REF _Ref310342500 \h </w:instrText>
      </w:r>
      <w:r w:rsidR="00E729BA">
        <w:fldChar w:fldCharType="separate"/>
      </w:r>
      <w:r w:rsidR="004911B7">
        <w:t xml:space="preserve">Table </w:t>
      </w:r>
      <w:r w:rsidR="004911B7">
        <w:rPr>
          <w:noProof/>
        </w:rPr>
        <w:t>27</w:t>
      </w:r>
      <w:r w:rsidR="00E729BA">
        <w:fldChar w:fldCharType="end"/>
      </w:r>
      <w:r>
        <w:t xml:space="preserve">. Haematological involvement in the previous period was a statistically significant predictor of future haematological involvement. The risk of haematological involvement and fever declines with age. Males were more likely to develop infection and African American patients are more likely to develop leukopenia and fever.  The Wald Chi-squared statistics were statistically significant in all analyses suggesting that the overall fit of the </w:t>
      </w:r>
      <w:r w:rsidR="0068656C">
        <w:t xml:space="preserve">regression </w:t>
      </w:r>
      <w:r>
        <w:t>model</w:t>
      </w:r>
      <w:r w:rsidR="0068656C">
        <w:t>s were</w:t>
      </w:r>
      <w:r>
        <w:t xml:space="preserve"> good. The intraclass correlation was high in all </w:t>
      </w:r>
      <w:r w:rsidR="0068656C">
        <w:t xml:space="preserve">regression </w:t>
      </w:r>
      <w:r>
        <w:t>models.</w:t>
      </w:r>
    </w:p>
    <w:p w:rsidR="006074C8" w:rsidRDefault="006074C8" w:rsidP="00234693">
      <w:pPr>
        <w:pStyle w:val="Caption"/>
      </w:pPr>
      <w:bookmarkStart w:id="304" w:name="_Ref310342500"/>
      <w:r>
        <w:t xml:space="preserve">Table </w:t>
      </w:r>
      <w:fldSimple w:instr=" SEQ Table \* ARABIC ">
        <w:r w:rsidR="004911B7">
          <w:rPr>
            <w:noProof/>
          </w:rPr>
          <w:t>27</w:t>
        </w:r>
      </w:fldSimple>
      <w:bookmarkEnd w:id="304"/>
      <w:r>
        <w:t>:</w:t>
      </w:r>
      <w:r w:rsidRPr="00AA6252">
        <w:t xml:space="preserve"> </w:t>
      </w:r>
      <w:r>
        <w:t>Coefficient estimates from r</w:t>
      </w:r>
      <w:r w:rsidRPr="00C867F8">
        <w:t>andom effects logistic regression for</w:t>
      </w:r>
      <w:r>
        <w:t xml:space="preserve"> haematological items and fever</w:t>
      </w:r>
    </w:p>
    <w:tbl>
      <w:tblPr>
        <w:tblStyle w:val="TableGrid"/>
        <w:tblW w:w="813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184"/>
        <w:gridCol w:w="1488"/>
        <w:gridCol w:w="1488"/>
        <w:gridCol w:w="1488"/>
        <w:gridCol w:w="1489"/>
      </w:tblGrid>
      <w:tr w:rsidR="006074C8" w:rsidRPr="00C867F8" w:rsidTr="0087718E">
        <w:tc>
          <w:tcPr>
            <w:tcW w:w="2184" w:type="dxa"/>
            <w:tcBorders>
              <w:top w:val="single" w:sz="12" w:space="0" w:color="auto"/>
              <w:bottom w:val="single" w:sz="4" w:space="0" w:color="auto"/>
            </w:tcBorders>
          </w:tcPr>
          <w:p w:rsidR="006074C8" w:rsidRPr="00C867F8" w:rsidRDefault="006074C8" w:rsidP="00A14ADC">
            <w:pPr>
              <w:spacing w:line="276" w:lineRule="auto"/>
              <w:rPr>
                <w:sz w:val="18"/>
                <w:szCs w:val="18"/>
              </w:rPr>
            </w:pPr>
          </w:p>
        </w:tc>
        <w:tc>
          <w:tcPr>
            <w:tcW w:w="1488" w:type="dxa"/>
            <w:tcBorders>
              <w:top w:val="single" w:sz="12" w:space="0" w:color="auto"/>
              <w:bottom w:val="single" w:sz="4" w:space="0" w:color="auto"/>
            </w:tcBorders>
          </w:tcPr>
          <w:p w:rsidR="006074C8" w:rsidRPr="00C867F8" w:rsidRDefault="006074C8" w:rsidP="00A14ADC">
            <w:pPr>
              <w:spacing w:line="276" w:lineRule="auto"/>
              <w:rPr>
                <w:sz w:val="18"/>
                <w:szCs w:val="18"/>
              </w:rPr>
            </w:pPr>
            <w:r>
              <w:rPr>
                <w:sz w:val="18"/>
                <w:szCs w:val="18"/>
              </w:rPr>
              <w:t>Thrombocytopenia</w:t>
            </w:r>
          </w:p>
        </w:tc>
        <w:tc>
          <w:tcPr>
            <w:tcW w:w="1488" w:type="dxa"/>
            <w:tcBorders>
              <w:top w:val="single" w:sz="12" w:space="0" w:color="auto"/>
              <w:bottom w:val="single" w:sz="4" w:space="0" w:color="auto"/>
            </w:tcBorders>
          </w:tcPr>
          <w:p w:rsidR="006074C8" w:rsidRPr="00C867F8" w:rsidRDefault="006074C8" w:rsidP="00A14ADC">
            <w:pPr>
              <w:spacing w:line="276" w:lineRule="auto"/>
              <w:rPr>
                <w:sz w:val="18"/>
                <w:szCs w:val="18"/>
              </w:rPr>
            </w:pPr>
            <w:r>
              <w:rPr>
                <w:sz w:val="18"/>
                <w:szCs w:val="18"/>
              </w:rPr>
              <w:t>Leukopenia</w:t>
            </w:r>
          </w:p>
        </w:tc>
        <w:tc>
          <w:tcPr>
            <w:tcW w:w="1488" w:type="dxa"/>
            <w:tcBorders>
              <w:top w:val="single" w:sz="12" w:space="0" w:color="auto"/>
              <w:bottom w:val="single" w:sz="4" w:space="0" w:color="auto"/>
            </w:tcBorders>
          </w:tcPr>
          <w:p w:rsidR="006074C8" w:rsidRPr="00C867F8" w:rsidRDefault="006074C8" w:rsidP="00A14ADC">
            <w:pPr>
              <w:spacing w:line="276" w:lineRule="auto"/>
              <w:rPr>
                <w:sz w:val="18"/>
                <w:szCs w:val="18"/>
              </w:rPr>
            </w:pPr>
            <w:r>
              <w:rPr>
                <w:sz w:val="18"/>
                <w:szCs w:val="18"/>
              </w:rPr>
              <w:t>Fever</w:t>
            </w:r>
          </w:p>
        </w:tc>
        <w:tc>
          <w:tcPr>
            <w:tcW w:w="1489" w:type="dxa"/>
            <w:tcBorders>
              <w:top w:val="single" w:sz="12" w:space="0" w:color="auto"/>
              <w:bottom w:val="single" w:sz="4" w:space="0" w:color="auto"/>
            </w:tcBorders>
          </w:tcPr>
          <w:p w:rsidR="006074C8" w:rsidRDefault="006074C8" w:rsidP="00A14ADC">
            <w:pPr>
              <w:spacing w:line="276" w:lineRule="auto"/>
              <w:rPr>
                <w:sz w:val="18"/>
                <w:szCs w:val="18"/>
              </w:rPr>
            </w:pPr>
            <w:r>
              <w:rPr>
                <w:sz w:val="18"/>
                <w:szCs w:val="18"/>
              </w:rPr>
              <w:t>Infection</w:t>
            </w:r>
          </w:p>
        </w:tc>
      </w:tr>
      <w:tr w:rsidR="006074C8" w:rsidRPr="00C867F8" w:rsidTr="00A14ADC">
        <w:tc>
          <w:tcPr>
            <w:tcW w:w="2184" w:type="dxa"/>
            <w:tcBorders>
              <w:top w:val="single" w:sz="4" w:space="0" w:color="auto"/>
            </w:tcBorders>
          </w:tcPr>
          <w:p w:rsidR="006074C8" w:rsidRPr="00C867F8" w:rsidRDefault="006074C8" w:rsidP="00A14ADC">
            <w:pPr>
              <w:spacing w:line="276" w:lineRule="auto"/>
              <w:rPr>
                <w:sz w:val="18"/>
                <w:szCs w:val="18"/>
              </w:rPr>
            </w:pPr>
            <w:r>
              <w:rPr>
                <w:sz w:val="18"/>
                <w:szCs w:val="18"/>
              </w:rPr>
              <w:t>Log of age</w:t>
            </w:r>
          </w:p>
        </w:tc>
        <w:tc>
          <w:tcPr>
            <w:tcW w:w="1488" w:type="dxa"/>
            <w:tcBorders>
              <w:top w:val="single" w:sz="4" w:space="0" w:color="auto"/>
            </w:tcBorders>
            <w:vAlign w:val="bottom"/>
          </w:tcPr>
          <w:p w:rsidR="006074C8" w:rsidRPr="00C867F8" w:rsidRDefault="006074C8" w:rsidP="00A14ADC">
            <w:pPr>
              <w:spacing w:line="276" w:lineRule="auto"/>
              <w:rPr>
                <w:sz w:val="18"/>
                <w:szCs w:val="18"/>
              </w:rPr>
            </w:pPr>
          </w:p>
        </w:tc>
        <w:tc>
          <w:tcPr>
            <w:tcW w:w="1488" w:type="dxa"/>
            <w:tcBorders>
              <w:top w:val="single" w:sz="4" w:space="0" w:color="auto"/>
            </w:tcBorders>
            <w:vAlign w:val="bottom"/>
          </w:tcPr>
          <w:p w:rsidR="006074C8" w:rsidRPr="00C867F8" w:rsidRDefault="006074C8" w:rsidP="00A14ADC">
            <w:pPr>
              <w:spacing w:line="276" w:lineRule="auto"/>
              <w:rPr>
                <w:sz w:val="18"/>
                <w:szCs w:val="18"/>
              </w:rPr>
            </w:pPr>
            <w:r w:rsidRPr="00ED468C">
              <w:rPr>
                <w:sz w:val="18"/>
                <w:szCs w:val="18"/>
              </w:rPr>
              <w:t>-</w:t>
            </w:r>
            <w:r>
              <w:rPr>
                <w:sz w:val="18"/>
                <w:szCs w:val="18"/>
              </w:rPr>
              <w:t>0.8898 (0.2996)</w:t>
            </w:r>
          </w:p>
        </w:tc>
        <w:tc>
          <w:tcPr>
            <w:tcW w:w="1488" w:type="dxa"/>
            <w:tcBorders>
              <w:top w:val="single" w:sz="4" w:space="0" w:color="auto"/>
            </w:tcBorders>
            <w:vAlign w:val="bottom"/>
          </w:tcPr>
          <w:p w:rsidR="006074C8" w:rsidRPr="00C867F8" w:rsidRDefault="006074C8" w:rsidP="00A14ADC">
            <w:pPr>
              <w:spacing w:line="276" w:lineRule="auto"/>
              <w:rPr>
                <w:sz w:val="18"/>
                <w:szCs w:val="18"/>
              </w:rPr>
            </w:pPr>
            <w:r w:rsidRPr="000C587C">
              <w:rPr>
                <w:sz w:val="18"/>
                <w:szCs w:val="18"/>
              </w:rPr>
              <w:t>-</w:t>
            </w:r>
            <w:r>
              <w:rPr>
                <w:sz w:val="18"/>
                <w:szCs w:val="18"/>
              </w:rPr>
              <w:t>1.8866 (0.3798)</w:t>
            </w:r>
          </w:p>
        </w:tc>
        <w:tc>
          <w:tcPr>
            <w:tcW w:w="1489" w:type="dxa"/>
            <w:tcBorders>
              <w:top w:val="single" w:sz="4" w:space="0" w:color="auto"/>
            </w:tcBorders>
          </w:tcPr>
          <w:p w:rsidR="006074C8" w:rsidRPr="000C587C" w:rsidRDefault="006074C8" w:rsidP="00A14ADC">
            <w:pPr>
              <w:spacing w:line="276" w:lineRule="auto"/>
              <w:rPr>
                <w:sz w:val="18"/>
                <w:szCs w:val="18"/>
              </w:rPr>
            </w:pPr>
            <w:r>
              <w:rPr>
                <w:sz w:val="18"/>
                <w:szCs w:val="18"/>
              </w:rPr>
              <w:t>-0.2604 (0.1156)</w:t>
            </w:r>
          </w:p>
        </w:tc>
      </w:tr>
      <w:tr w:rsidR="006074C8" w:rsidRPr="00C867F8" w:rsidTr="00A14ADC">
        <w:tc>
          <w:tcPr>
            <w:tcW w:w="2184" w:type="dxa"/>
          </w:tcPr>
          <w:p w:rsidR="006074C8" w:rsidRPr="00C867F8" w:rsidRDefault="006074C8" w:rsidP="00A14ADC">
            <w:pPr>
              <w:spacing w:line="276" w:lineRule="auto"/>
              <w:rPr>
                <w:sz w:val="18"/>
                <w:szCs w:val="18"/>
              </w:rPr>
            </w:pPr>
            <w:r>
              <w:rPr>
                <w:sz w:val="18"/>
                <w:szCs w:val="18"/>
              </w:rPr>
              <w:t>African American ethnicity</w:t>
            </w:r>
          </w:p>
        </w:tc>
        <w:tc>
          <w:tcPr>
            <w:tcW w:w="1488" w:type="dxa"/>
            <w:vAlign w:val="bottom"/>
          </w:tcPr>
          <w:p w:rsidR="006074C8" w:rsidRPr="00C867F8" w:rsidRDefault="006074C8" w:rsidP="00A14ADC">
            <w:pPr>
              <w:spacing w:line="276" w:lineRule="auto"/>
              <w:rPr>
                <w:sz w:val="18"/>
                <w:szCs w:val="18"/>
              </w:rPr>
            </w:pPr>
          </w:p>
        </w:tc>
        <w:tc>
          <w:tcPr>
            <w:tcW w:w="1488" w:type="dxa"/>
            <w:vAlign w:val="bottom"/>
          </w:tcPr>
          <w:p w:rsidR="006074C8" w:rsidRPr="00C867F8" w:rsidRDefault="006074C8" w:rsidP="00A14ADC">
            <w:pPr>
              <w:spacing w:line="276" w:lineRule="auto"/>
              <w:rPr>
                <w:sz w:val="18"/>
                <w:szCs w:val="18"/>
              </w:rPr>
            </w:pPr>
            <w:r>
              <w:rPr>
                <w:sz w:val="18"/>
                <w:szCs w:val="18"/>
              </w:rPr>
              <w:t>1.1418 (0.1953)</w:t>
            </w:r>
          </w:p>
        </w:tc>
        <w:tc>
          <w:tcPr>
            <w:tcW w:w="1488" w:type="dxa"/>
            <w:vAlign w:val="bottom"/>
          </w:tcPr>
          <w:p w:rsidR="006074C8" w:rsidRPr="00C867F8" w:rsidRDefault="006074C8" w:rsidP="00A14ADC">
            <w:pPr>
              <w:spacing w:line="276" w:lineRule="auto"/>
              <w:rPr>
                <w:sz w:val="18"/>
                <w:szCs w:val="18"/>
              </w:rPr>
            </w:pPr>
            <w:r>
              <w:rPr>
                <w:sz w:val="18"/>
                <w:szCs w:val="18"/>
              </w:rPr>
              <w:t>0.5150 (0.2339)</w:t>
            </w:r>
          </w:p>
        </w:tc>
        <w:tc>
          <w:tcPr>
            <w:tcW w:w="1489" w:type="dxa"/>
          </w:tcPr>
          <w:p w:rsidR="006074C8" w:rsidRDefault="006074C8" w:rsidP="00A14ADC">
            <w:pPr>
              <w:spacing w:line="276" w:lineRule="auto"/>
              <w:rPr>
                <w:sz w:val="18"/>
                <w:szCs w:val="18"/>
              </w:rPr>
            </w:pPr>
          </w:p>
        </w:tc>
      </w:tr>
      <w:tr w:rsidR="006074C8" w:rsidRPr="00C867F8" w:rsidTr="00A14ADC">
        <w:tc>
          <w:tcPr>
            <w:tcW w:w="2184" w:type="dxa"/>
          </w:tcPr>
          <w:p w:rsidR="006074C8" w:rsidRPr="00C867F8" w:rsidRDefault="006074C8" w:rsidP="00A14ADC">
            <w:pPr>
              <w:spacing w:line="276" w:lineRule="auto"/>
              <w:rPr>
                <w:sz w:val="18"/>
                <w:szCs w:val="18"/>
              </w:rPr>
            </w:pPr>
            <w:r>
              <w:rPr>
                <w:sz w:val="18"/>
                <w:szCs w:val="18"/>
              </w:rPr>
              <w:t>Male gender</w:t>
            </w:r>
          </w:p>
        </w:tc>
        <w:tc>
          <w:tcPr>
            <w:tcW w:w="1488" w:type="dxa"/>
            <w:vAlign w:val="bottom"/>
          </w:tcPr>
          <w:p w:rsidR="006074C8" w:rsidRPr="00C867F8" w:rsidRDefault="006074C8" w:rsidP="00A14ADC">
            <w:pPr>
              <w:spacing w:line="276" w:lineRule="auto"/>
              <w:rPr>
                <w:sz w:val="18"/>
                <w:szCs w:val="18"/>
              </w:rPr>
            </w:pPr>
          </w:p>
        </w:tc>
        <w:tc>
          <w:tcPr>
            <w:tcW w:w="1488" w:type="dxa"/>
            <w:vAlign w:val="bottom"/>
          </w:tcPr>
          <w:p w:rsidR="006074C8" w:rsidRPr="0065012A" w:rsidRDefault="006074C8" w:rsidP="00A14ADC">
            <w:pPr>
              <w:spacing w:line="276" w:lineRule="auto"/>
              <w:rPr>
                <w:sz w:val="18"/>
                <w:szCs w:val="18"/>
              </w:rPr>
            </w:pPr>
          </w:p>
        </w:tc>
        <w:tc>
          <w:tcPr>
            <w:tcW w:w="1488" w:type="dxa"/>
            <w:vAlign w:val="bottom"/>
          </w:tcPr>
          <w:p w:rsidR="006074C8" w:rsidRPr="0065012A" w:rsidRDefault="006074C8" w:rsidP="00A14ADC">
            <w:pPr>
              <w:spacing w:line="276" w:lineRule="auto"/>
              <w:rPr>
                <w:sz w:val="18"/>
                <w:szCs w:val="18"/>
              </w:rPr>
            </w:pPr>
          </w:p>
        </w:tc>
        <w:tc>
          <w:tcPr>
            <w:tcW w:w="1489" w:type="dxa"/>
          </w:tcPr>
          <w:p w:rsidR="006074C8" w:rsidRPr="0065012A" w:rsidRDefault="006074C8" w:rsidP="00A14ADC">
            <w:pPr>
              <w:spacing w:line="276" w:lineRule="auto"/>
              <w:rPr>
                <w:sz w:val="18"/>
                <w:szCs w:val="18"/>
              </w:rPr>
            </w:pPr>
            <w:r>
              <w:rPr>
                <w:sz w:val="18"/>
                <w:szCs w:val="18"/>
              </w:rPr>
              <w:t>-0.3217 (0.1502)</w:t>
            </w:r>
          </w:p>
        </w:tc>
      </w:tr>
      <w:tr w:rsidR="006074C8" w:rsidRPr="00C867F8" w:rsidTr="00A14ADC">
        <w:tc>
          <w:tcPr>
            <w:tcW w:w="2184" w:type="dxa"/>
          </w:tcPr>
          <w:p w:rsidR="006074C8" w:rsidRDefault="006074C8" w:rsidP="00A14ADC">
            <w:pPr>
              <w:spacing w:line="276" w:lineRule="auto"/>
              <w:rPr>
                <w:sz w:val="18"/>
                <w:szCs w:val="18"/>
              </w:rPr>
            </w:pPr>
            <w:r>
              <w:rPr>
                <w:sz w:val="18"/>
                <w:szCs w:val="18"/>
              </w:rPr>
              <w:t>Steroid dose</w:t>
            </w:r>
          </w:p>
        </w:tc>
        <w:tc>
          <w:tcPr>
            <w:tcW w:w="1488" w:type="dxa"/>
            <w:vAlign w:val="bottom"/>
          </w:tcPr>
          <w:p w:rsidR="006074C8" w:rsidRDefault="006074C8" w:rsidP="00A14ADC">
            <w:pPr>
              <w:spacing w:line="276" w:lineRule="auto"/>
              <w:rPr>
                <w:sz w:val="18"/>
                <w:szCs w:val="18"/>
              </w:rPr>
            </w:pPr>
          </w:p>
        </w:tc>
        <w:tc>
          <w:tcPr>
            <w:tcW w:w="1488" w:type="dxa"/>
            <w:vAlign w:val="bottom"/>
          </w:tcPr>
          <w:p w:rsidR="006074C8" w:rsidRDefault="006074C8" w:rsidP="00A14ADC">
            <w:pPr>
              <w:spacing w:line="276" w:lineRule="auto"/>
              <w:rPr>
                <w:sz w:val="18"/>
                <w:szCs w:val="18"/>
              </w:rPr>
            </w:pPr>
          </w:p>
        </w:tc>
        <w:tc>
          <w:tcPr>
            <w:tcW w:w="1488" w:type="dxa"/>
            <w:vAlign w:val="bottom"/>
          </w:tcPr>
          <w:p w:rsidR="006074C8" w:rsidRPr="00B47E48" w:rsidRDefault="006074C8" w:rsidP="00A14ADC">
            <w:pPr>
              <w:spacing w:line="276" w:lineRule="auto"/>
              <w:rPr>
                <w:sz w:val="18"/>
                <w:szCs w:val="18"/>
              </w:rPr>
            </w:pPr>
          </w:p>
        </w:tc>
        <w:tc>
          <w:tcPr>
            <w:tcW w:w="1489" w:type="dxa"/>
          </w:tcPr>
          <w:p w:rsidR="006074C8" w:rsidRPr="00B47E48" w:rsidRDefault="006074C8" w:rsidP="00A14ADC">
            <w:pPr>
              <w:spacing w:line="276" w:lineRule="auto"/>
              <w:rPr>
                <w:sz w:val="18"/>
                <w:szCs w:val="18"/>
              </w:rPr>
            </w:pPr>
            <w:r>
              <w:rPr>
                <w:sz w:val="18"/>
                <w:szCs w:val="18"/>
              </w:rPr>
              <w:t>0.0235 (0.1156)</w:t>
            </w:r>
          </w:p>
        </w:tc>
      </w:tr>
      <w:tr w:rsidR="006074C8" w:rsidRPr="00C867F8" w:rsidTr="00A14ADC">
        <w:tc>
          <w:tcPr>
            <w:tcW w:w="2184" w:type="dxa"/>
          </w:tcPr>
          <w:p w:rsidR="006074C8" w:rsidRDefault="006074C8" w:rsidP="00A14ADC">
            <w:pPr>
              <w:spacing w:line="276" w:lineRule="auto"/>
              <w:rPr>
                <w:sz w:val="18"/>
                <w:szCs w:val="18"/>
              </w:rPr>
            </w:pPr>
            <w:r>
              <w:rPr>
                <w:sz w:val="18"/>
                <w:szCs w:val="18"/>
              </w:rPr>
              <w:t>Low complement</w:t>
            </w:r>
          </w:p>
        </w:tc>
        <w:tc>
          <w:tcPr>
            <w:tcW w:w="1488" w:type="dxa"/>
            <w:vAlign w:val="bottom"/>
          </w:tcPr>
          <w:p w:rsidR="006074C8" w:rsidRDefault="006074C8" w:rsidP="00A14ADC">
            <w:pPr>
              <w:spacing w:line="276" w:lineRule="auto"/>
              <w:rPr>
                <w:sz w:val="18"/>
                <w:szCs w:val="18"/>
              </w:rPr>
            </w:pPr>
          </w:p>
        </w:tc>
        <w:tc>
          <w:tcPr>
            <w:tcW w:w="1488" w:type="dxa"/>
            <w:vAlign w:val="bottom"/>
          </w:tcPr>
          <w:p w:rsidR="006074C8" w:rsidRPr="00B47E48" w:rsidRDefault="006074C8" w:rsidP="00A14ADC">
            <w:pPr>
              <w:spacing w:line="276" w:lineRule="auto"/>
              <w:rPr>
                <w:sz w:val="18"/>
                <w:szCs w:val="18"/>
              </w:rPr>
            </w:pPr>
            <w:r>
              <w:rPr>
                <w:sz w:val="18"/>
                <w:szCs w:val="18"/>
              </w:rPr>
              <w:t>0.3725 (0.1025)</w:t>
            </w:r>
          </w:p>
        </w:tc>
        <w:tc>
          <w:tcPr>
            <w:tcW w:w="1488" w:type="dxa"/>
            <w:vAlign w:val="bottom"/>
          </w:tcPr>
          <w:p w:rsidR="006074C8" w:rsidRPr="00B47E48" w:rsidRDefault="006074C8" w:rsidP="00A14ADC">
            <w:pPr>
              <w:spacing w:line="276" w:lineRule="auto"/>
              <w:rPr>
                <w:sz w:val="18"/>
                <w:szCs w:val="18"/>
              </w:rPr>
            </w:pPr>
          </w:p>
        </w:tc>
        <w:tc>
          <w:tcPr>
            <w:tcW w:w="1489" w:type="dxa"/>
          </w:tcPr>
          <w:p w:rsidR="006074C8" w:rsidRPr="00B47E48" w:rsidRDefault="006074C8" w:rsidP="00A14ADC">
            <w:pPr>
              <w:spacing w:line="276" w:lineRule="auto"/>
              <w:rPr>
                <w:sz w:val="18"/>
                <w:szCs w:val="18"/>
              </w:rPr>
            </w:pPr>
          </w:p>
        </w:tc>
      </w:tr>
      <w:tr w:rsidR="006074C8" w:rsidRPr="00C867F8" w:rsidTr="00A14ADC">
        <w:tc>
          <w:tcPr>
            <w:tcW w:w="2184" w:type="dxa"/>
          </w:tcPr>
          <w:p w:rsidR="006074C8" w:rsidRDefault="006074C8" w:rsidP="00A14ADC">
            <w:pPr>
              <w:spacing w:line="276" w:lineRule="auto"/>
              <w:rPr>
                <w:sz w:val="18"/>
                <w:szCs w:val="18"/>
              </w:rPr>
            </w:pPr>
            <w:r>
              <w:rPr>
                <w:sz w:val="18"/>
                <w:szCs w:val="18"/>
              </w:rPr>
              <w:t>Increased DNA binding</w:t>
            </w:r>
          </w:p>
        </w:tc>
        <w:tc>
          <w:tcPr>
            <w:tcW w:w="1488" w:type="dxa"/>
            <w:vAlign w:val="bottom"/>
          </w:tcPr>
          <w:p w:rsidR="006074C8" w:rsidRDefault="006074C8" w:rsidP="00A14ADC">
            <w:pPr>
              <w:spacing w:line="276" w:lineRule="auto"/>
              <w:rPr>
                <w:sz w:val="18"/>
                <w:szCs w:val="18"/>
              </w:rPr>
            </w:pPr>
            <w:r>
              <w:rPr>
                <w:sz w:val="18"/>
                <w:szCs w:val="18"/>
              </w:rPr>
              <w:t>0.4243 (0.1445)</w:t>
            </w:r>
          </w:p>
        </w:tc>
        <w:tc>
          <w:tcPr>
            <w:tcW w:w="1488" w:type="dxa"/>
            <w:vAlign w:val="bottom"/>
          </w:tcPr>
          <w:p w:rsidR="006074C8" w:rsidRPr="00B47E48" w:rsidRDefault="006074C8" w:rsidP="00A14ADC">
            <w:pPr>
              <w:spacing w:line="276" w:lineRule="auto"/>
              <w:rPr>
                <w:sz w:val="18"/>
                <w:szCs w:val="18"/>
              </w:rPr>
            </w:pPr>
            <w:r>
              <w:rPr>
                <w:sz w:val="18"/>
                <w:szCs w:val="18"/>
              </w:rPr>
              <w:t>0.2522 (0.1057)</w:t>
            </w:r>
          </w:p>
        </w:tc>
        <w:tc>
          <w:tcPr>
            <w:tcW w:w="1488" w:type="dxa"/>
            <w:vAlign w:val="bottom"/>
          </w:tcPr>
          <w:p w:rsidR="006074C8" w:rsidRPr="00B47E48" w:rsidRDefault="006074C8" w:rsidP="00A14ADC">
            <w:pPr>
              <w:spacing w:line="276" w:lineRule="auto"/>
              <w:rPr>
                <w:sz w:val="18"/>
                <w:szCs w:val="18"/>
              </w:rPr>
            </w:pPr>
          </w:p>
        </w:tc>
        <w:tc>
          <w:tcPr>
            <w:tcW w:w="1489" w:type="dxa"/>
          </w:tcPr>
          <w:p w:rsidR="006074C8" w:rsidRPr="00B47E48" w:rsidRDefault="006074C8" w:rsidP="00A14ADC">
            <w:pPr>
              <w:spacing w:line="276" w:lineRule="auto"/>
              <w:rPr>
                <w:sz w:val="18"/>
                <w:szCs w:val="18"/>
              </w:rPr>
            </w:pPr>
          </w:p>
        </w:tc>
      </w:tr>
      <w:tr w:rsidR="006074C8" w:rsidRPr="00C867F8" w:rsidTr="00A14ADC">
        <w:tc>
          <w:tcPr>
            <w:tcW w:w="2184" w:type="dxa"/>
          </w:tcPr>
          <w:p w:rsidR="006074C8" w:rsidRPr="00C867F8" w:rsidRDefault="006074C8" w:rsidP="00A14ADC">
            <w:pPr>
              <w:spacing w:line="276" w:lineRule="auto"/>
              <w:rPr>
                <w:sz w:val="18"/>
                <w:szCs w:val="18"/>
              </w:rPr>
            </w:pPr>
            <w:r>
              <w:rPr>
                <w:sz w:val="18"/>
                <w:szCs w:val="18"/>
              </w:rPr>
              <w:t>Thrombocytopenia</w:t>
            </w:r>
          </w:p>
        </w:tc>
        <w:tc>
          <w:tcPr>
            <w:tcW w:w="1488" w:type="dxa"/>
            <w:vAlign w:val="bottom"/>
          </w:tcPr>
          <w:p w:rsidR="006074C8" w:rsidRPr="0065012A" w:rsidRDefault="006074C8" w:rsidP="00A14ADC">
            <w:pPr>
              <w:spacing w:line="276" w:lineRule="auto"/>
              <w:rPr>
                <w:sz w:val="18"/>
                <w:szCs w:val="18"/>
              </w:rPr>
            </w:pPr>
            <w:r w:rsidRPr="00ED468C">
              <w:rPr>
                <w:sz w:val="18"/>
                <w:szCs w:val="18"/>
              </w:rPr>
              <w:t>2.</w:t>
            </w:r>
            <w:r>
              <w:rPr>
                <w:sz w:val="18"/>
                <w:szCs w:val="18"/>
              </w:rPr>
              <w:t>6837 (0.1305)</w:t>
            </w:r>
          </w:p>
        </w:tc>
        <w:tc>
          <w:tcPr>
            <w:tcW w:w="1488" w:type="dxa"/>
            <w:vAlign w:val="bottom"/>
          </w:tcPr>
          <w:p w:rsidR="006074C8" w:rsidRPr="0065012A" w:rsidRDefault="006074C8" w:rsidP="00A14ADC">
            <w:pPr>
              <w:spacing w:line="276" w:lineRule="auto"/>
              <w:rPr>
                <w:sz w:val="18"/>
                <w:szCs w:val="18"/>
              </w:rPr>
            </w:pPr>
            <w:r>
              <w:rPr>
                <w:sz w:val="18"/>
                <w:szCs w:val="18"/>
              </w:rPr>
              <w:t>0.5988 (0.1795)</w:t>
            </w:r>
          </w:p>
        </w:tc>
        <w:tc>
          <w:tcPr>
            <w:tcW w:w="1488" w:type="dxa"/>
            <w:vAlign w:val="bottom"/>
          </w:tcPr>
          <w:p w:rsidR="006074C8" w:rsidRPr="0065012A" w:rsidRDefault="006074C8" w:rsidP="00A14ADC">
            <w:pPr>
              <w:spacing w:line="276" w:lineRule="auto"/>
              <w:rPr>
                <w:sz w:val="18"/>
                <w:szCs w:val="18"/>
              </w:rPr>
            </w:pPr>
          </w:p>
        </w:tc>
        <w:tc>
          <w:tcPr>
            <w:tcW w:w="1489" w:type="dxa"/>
          </w:tcPr>
          <w:p w:rsidR="006074C8" w:rsidRPr="0065012A" w:rsidRDefault="006074C8" w:rsidP="00A14ADC">
            <w:pPr>
              <w:spacing w:line="276" w:lineRule="auto"/>
              <w:rPr>
                <w:sz w:val="18"/>
                <w:szCs w:val="18"/>
              </w:rPr>
            </w:pPr>
          </w:p>
        </w:tc>
      </w:tr>
      <w:tr w:rsidR="006074C8" w:rsidRPr="00C867F8" w:rsidTr="00A14ADC">
        <w:tc>
          <w:tcPr>
            <w:tcW w:w="2184" w:type="dxa"/>
          </w:tcPr>
          <w:p w:rsidR="006074C8" w:rsidRDefault="006074C8" w:rsidP="00A14ADC">
            <w:pPr>
              <w:spacing w:line="276" w:lineRule="auto"/>
              <w:rPr>
                <w:sz w:val="18"/>
                <w:szCs w:val="18"/>
              </w:rPr>
            </w:pPr>
            <w:r>
              <w:rPr>
                <w:sz w:val="18"/>
                <w:szCs w:val="18"/>
              </w:rPr>
              <w:t>Leukopenia</w:t>
            </w:r>
          </w:p>
        </w:tc>
        <w:tc>
          <w:tcPr>
            <w:tcW w:w="1488" w:type="dxa"/>
            <w:vAlign w:val="bottom"/>
          </w:tcPr>
          <w:p w:rsidR="006074C8" w:rsidRPr="0065012A" w:rsidRDefault="006074C8" w:rsidP="00A14ADC">
            <w:pPr>
              <w:spacing w:line="276" w:lineRule="auto"/>
              <w:rPr>
                <w:sz w:val="18"/>
                <w:szCs w:val="18"/>
              </w:rPr>
            </w:pPr>
            <w:r>
              <w:rPr>
                <w:sz w:val="18"/>
                <w:szCs w:val="18"/>
              </w:rPr>
              <w:t>0.4472 (0.1851)</w:t>
            </w:r>
          </w:p>
        </w:tc>
        <w:tc>
          <w:tcPr>
            <w:tcW w:w="1488" w:type="dxa"/>
            <w:vAlign w:val="bottom"/>
          </w:tcPr>
          <w:p w:rsidR="006074C8" w:rsidRPr="0065012A" w:rsidRDefault="006074C8" w:rsidP="00A14ADC">
            <w:pPr>
              <w:spacing w:line="276" w:lineRule="auto"/>
              <w:rPr>
                <w:sz w:val="18"/>
                <w:szCs w:val="18"/>
              </w:rPr>
            </w:pPr>
            <w:r>
              <w:rPr>
                <w:sz w:val="18"/>
                <w:szCs w:val="18"/>
              </w:rPr>
              <w:t>1.5806 (0.0873)</w:t>
            </w:r>
          </w:p>
        </w:tc>
        <w:tc>
          <w:tcPr>
            <w:tcW w:w="1488" w:type="dxa"/>
            <w:vAlign w:val="bottom"/>
          </w:tcPr>
          <w:p w:rsidR="006074C8" w:rsidRPr="0065012A" w:rsidRDefault="006074C8" w:rsidP="00A14ADC">
            <w:pPr>
              <w:spacing w:line="276" w:lineRule="auto"/>
              <w:rPr>
                <w:sz w:val="18"/>
                <w:szCs w:val="18"/>
              </w:rPr>
            </w:pPr>
          </w:p>
        </w:tc>
        <w:tc>
          <w:tcPr>
            <w:tcW w:w="1489" w:type="dxa"/>
          </w:tcPr>
          <w:p w:rsidR="006074C8" w:rsidRPr="0065012A" w:rsidRDefault="006074C8" w:rsidP="00A14ADC">
            <w:pPr>
              <w:spacing w:line="276" w:lineRule="auto"/>
              <w:rPr>
                <w:sz w:val="18"/>
                <w:szCs w:val="18"/>
              </w:rPr>
            </w:pPr>
          </w:p>
        </w:tc>
      </w:tr>
      <w:tr w:rsidR="006074C8" w:rsidRPr="00C867F8" w:rsidTr="00A14ADC">
        <w:tc>
          <w:tcPr>
            <w:tcW w:w="2184" w:type="dxa"/>
          </w:tcPr>
          <w:p w:rsidR="006074C8" w:rsidRPr="00C867F8" w:rsidRDefault="006074C8" w:rsidP="00A14ADC">
            <w:pPr>
              <w:spacing w:line="276" w:lineRule="auto"/>
              <w:rPr>
                <w:sz w:val="18"/>
                <w:szCs w:val="18"/>
              </w:rPr>
            </w:pPr>
            <w:r w:rsidRPr="00C867F8">
              <w:rPr>
                <w:sz w:val="18"/>
                <w:szCs w:val="18"/>
              </w:rPr>
              <w:t>Constant</w:t>
            </w:r>
          </w:p>
        </w:tc>
        <w:tc>
          <w:tcPr>
            <w:tcW w:w="1488" w:type="dxa"/>
            <w:vAlign w:val="bottom"/>
          </w:tcPr>
          <w:p w:rsidR="006074C8" w:rsidRPr="00C867F8" w:rsidRDefault="006074C8" w:rsidP="00A14ADC">
            <w:pPr>
              <w:spacing w:line="276" w:lineRule="auto"/>
              <w:rPr>
                <w:sz w:val="18"/>
                <w:szCs w:val="18"/>
              </w:rPr>
            </w:pPr>
            <w:r>
              <w:rPr>
                <w:sz w:val="18"/>
                <w:szCs w:val="18"/>
              </w:rPr>
              <w:t>-6.4382 (0.2739)</w:t>
            </w:r>
          </w:p>
        </w:tc>
        <w:tc>
          <w:tcPr>
            <w:tcW w:w="1488" w:type="dxa"/>
            <w:vAlign w:val="bottom"/>
          </w:tcPr>
          <w:p w:rsidR="006074C8" w:rsidRPr="00C867F8" w:rsidRDefault="006074C8" w:rsidP="00A14ADC">
            <w:pPr>
              <w:spacing w:line="276" w:lineRule="auto"/>
              <w:rPr>
                <w:sz w:val="18"/>
                <w:szCs w:val="18"/>
              </w:rPr>
            </w:pPr>
            <w:r>
              <w:rPr>
                <w:sz w:val="18"/>
                <w:szCs w:val="18"/>
              </w:rPr>
              <w:t>-2.1578 (1.0729)</w:t>
            </w:r>
          </w:p>
        </w:tc>
        <w:tc>
          <w:tcPr>
            <w:tcW w:w="1488" w:type="dxa"/>
            <w:vAlign w:val="bottom"/>
          </w:tcPr>
          <w:p w:rsidR="006074C8" w:rsidRPr="00C867F8" w:rsidRDefault="006074C8" w:rsidP="00A14ADC">
            <w:pPr>
              <w:spacing w:line="276" w:lineRule="auto"/>
              <w:rPr>
                <w:sz w:val="18"/>
                <w:szCs w:val="18"/>
              </w:rPr>
            </w:pPr>
            <w:r>
              <w:rPr>
                <w:sz w:val="18"/>
                <w:szCs w:val="18"/>
              </w:rPr>
              <w:t>0.5940 (1.3047)</w:t>
            </w:r>
          </w:p>
        </w:tc>
        <w:tc>
          <w:tcPr>
            <w:tcW w:w="1489" w:type="dxa"/>
          </w:tcPr>
          <w:p w:rsidR="006074C8" w:rsidRDefault="006074C8" w:rsidP="00A14ADC">
            <w:pPr>
              <w:spacing w:line="276" w:lineRule="auto"/>
              <w:rPr>
                <w:sz w:val="18"/>
                <w:szCs w:val="18"/>
              </w:rPr>
            </w:pPr>
            <w:r>
              <w:rPr>
                <w:sz w:val="18"/>
                <w:szCs w:val="18"/>
              </w:rPr>
              <w:t>-2.2568 (0.4319)</w:t>
            </w:r>
          </w:p>
        </w:tc>
      </w:tr>
      <w:tr w:rsidR="006074C8" w:rsidRPr="00C867F8" w:rsidTr="00A14ADC">
        <w:tc>
          <w:tcPr>
            <w:tcW w:w="2184" w:type="dxa"/>
          </w:tcPr>
          <w:p w:rsidR="006074C8" w:rsidRPr="00C867F8" w:rsidRDefault="006074C8" w:rsidP="00A14ADC">
            <w:pPr>
              <w:spacing w:line="276" w:lineRule="auto"/>
              <w:rPr>
                <w:sz w:val="18"/>
                <w:szCs w:val="18"/>
              </w:rPr>
            </w:pPr>
            <w:r>
              <w:rPr>
                <w:sz w:val="18"/>
                <w:szCs w:val="18"/>
              </w:rPr>
              <w:t>Sigma</w:t>
            </w:r>
          </w:p>
        </w:tc>
        <w:tc>
          <w:tcPr>
            <w:tcW w:w="1488" w:type="dxa"/>
            <w:vAlign w:val="bottom"/>
          </w:tcPr>
          <w:p w:rsidR="006074C8" w:rsidRPr="00C867F8" w:rsidRDefault="006074C8" w:rsidP="00A14ADC">
            <w:pPr>
              <w:spacing w:line="276" w:lineRule="auto"/>
              <w:rPr>
                <w:sz w:val="18"/>
                <w:szCs w:val="18"/>
              </w:rPr>
            </w:pPr>
            <w:r>
              <w:rPr>
                <w:sz w:val="18"/>
                <w:szCs w:val="18"/>
              </w:rPr>
              <w:t>2.3409 (0.1854)</w:t>
            </w:r>
          </w:p>
        </w:tc>
        <w:tc>
          <w:tcPr>
            <w:tcW w:w="1488" w:type="dxa"/>
            <w:vAlign w:val="bottom"/>
          </w:tcPr>
          <w:p w:rsidR="006074C8" w:rsidRPr="00C867F8" w:rsidRDefault="006074C8" w:rsidP="00A14ADC">
            <w:pPr>
              <w:spacing w:line="276" w:lineRule="auto"/>
              <w:rPr>
                <w:sz w:val="18"/>
                <w:szCs w:val="18"/>
              </w:rPr>
            </w:pPr>
            <w:r w:rsidRPr="000C587C">
              <w:rPr>
                <w:sz w:val="18"/>
                <w:szCs w:val="18"/>
              </w:rPr>
              <w:t>2.</w:t>
            </w:r>
            <w:r>
              <w:rPr>
                <w:sz w:val="18"/>
                <w:szCs w:val="18"/>
              </w:rPr>
              <w:t>1958 (0.1243)</w:t>
            </w:r>
          </w:p>
        </w:tc>
        <w:tc>
          <w:tcPr>
            <w:tcW w:w="1488" w:type="dxa"/>
            <w:vAlign w:val="bottom"/>
          </w:tcPr>
          <w:p w:rsidR="006074C8" w:rsidRPr="00C867F8" w:rsidRDefault="006074C8" w:rsidP="00A14ADC">
            <w:pPr>
              <w:spacing w:line="276" w:lineRule="auto"/>
              <w:rPr>
                <w:sz w:val="18"/>
                <w:szCs w:val="18"/>
              </w:rPr>
            </w:pPr>
            <w:r w:rsidRPr="000C587C">
              <w:rPr>
                <w:sz w:val="18"/>
                <w:szCs w:val="18"/>
              </w:rPr>
              <w:t>1.</w:t>
            </w:r>
            <w:r>
              <w:rPr>
                <w:sz w:val="18"/>
                <w:szCs w:val="18"/>
              </w:rPr>
              <w:t>4468 (0.1670)</w:t>
            </w:r>
          </w:p>
        </w:tc>
        <w:tc>
          <w:tcPr>
            <w:tcW w:w="1489" w:type="dxa"/>
          </w:tcPr>
          <w:p w:rsidR="006074C8" w:rsidRPr="000C587C" w:rsidRDefault="006074C8" w:rsidP="00A14ADC">
            <w:pPr>
              <w:spacing w:line="276" w:lineRule="auto"/>
              <w:rPr>
                <w:sz w:val="18"/>
                <w:szCs w:val="18"/>
              </w:rPr>
            </w:pPr>
            <w:r>
              <w:rPr>
                <w:sz w:val="18"/>
                <w:szCs w:val="18"/>
              </w:rPr>
              <w:t>0.7949 (0.0451)</w:t>
            </w:r>
          </w:p>
        </w:tc>
      </w:tr>
      <w:tr w:rsidR="006074C8" w:rsidRPr="00C867F8" w:rsidTr="00A14ADC">
        <w:tc>
          <w:tcPr>
            <w:tcW w:w="2184" w:type="dxa"/>
          </w:tcPr>
          <w:p w:rsidR="006074C8" w:rsidRDefault="006074C8" w:rsidP="00A14ADC">
            <w:pPr>
              <w:spacing w:line="276" w:lineRule="auto"/>
              <w:rPr>
                <w:sz w:val="18"/>
                <w:szCs w:val="18"/>
              </w:rPr>
            </w:pPr>
            <w:r>
              <w:rPr>
                <w:sz w:val="18"/>
                <w:szCs w:val="18"/>
              </w:rPr>
              <w:t>Intraclass correlation</w:t>
            </w:r>
          </w:p>
        </w:tc>
        <w:tc>
          <w:tcPr>
            <w:tcW w:w="1488" w:type="dxa"/>
            <w:vAlign w:val="bottom"/>
          </w:tcPr>
          <w:p w:rsidR="006074C8" w:rsidRPr="00C867F8" w:rsidRDefault="006074C8" w:rsidP="00A14ADC">
            <w:pPr>
              <w:spacing w:line="276" w:lineRule="auto"/>
              <w:rPr>
                <w:sz w:val="18"/>
                <w:szCs w:val="18"/>
              </w:rPr>
            </w:pPr>
            <w:r>
              <w:rPr>
                <w:sz w:val="18"/>
                <w:szCs w:val="18"/>
              </w:rPr>
              <w:t>0</w:t>
            </w:r>
            <w:r w:rsidRPr="00ED468C">
              <w:rPr>
                <w:sz w:val="18"/>
                <w:szCs w:val="18"/>
              </w:rPr>
              <w:t>.6</w:t>
            </w:r>
            <w:r>
              <w:rPr>
                <w:sz w:val="18"/>
                <w:szCs w:val="18"/>
              </w:rPr>
              <w:t>2</w:t>
            </w:r>
          </w:p>
        </w:tc>
        <w:tc>
          <w:tcPr>
            <w:tcW w:w="1488" w:type="dxa"/>
            <w:vAlign w:val="bottom"/>
          </w:tcPr>
          <w:p w:rsidR="006074C8" w:rsidRPr="00C867F8" w:rsidRDefault="006074C8" w:rsidP="00A14ADC">
            <w:pPr>
              <w:spacing w:line="276" w:lineRule="auto"/>
              <w:rPr>
                <w:sz w:val="18"/>
                <w:szCs w:val="18"/>
              </w:rPr>
            </w:pPr>
            <w:r>
              <w:rPr>
                <w:sz w:val="18"/>
                <w:szCs w:val="18"/>
              </w:rPr>
              <w:t>0</w:t>
            </w:r>
            <w:r w:rsidRPr="000C587C">
              <w:rPr>
                <w:sz w:val="18"/>
                <w:szCs w:val="18"/>
              </w:rPr>
              <w:t>.</w:t>
            </w:r>
            <w:r>
              <w:rPr>
                <w:sz w:val="18"/>
                <w:szCs w:val="18"/>
              </w:rPr>
              <w:t>59</w:t>
            </w:r>
          </w:p>
        </w:tc>
        <w:tc>
          <w:tcPr>
            <w:tcW w:w="1488" w:type="dxa"/>
            <w:vAlign w:val="bottom"/>
          </w:tcPr>
          <w:p w:rsidR="006074C8" w:rsidRPr="00C867F8" w:rsidRDefault="006074C8" w:rsidP="00A14ADC">
            <w:pPr>
              <w:spacing w:line="276" w:lineRule="auto"/>
              <w:rPr>
                <w:sz w:val="18"/>
                <w:szCs w:val="18"/>
              </w:rPr>
            </w:pPr>
            <w:r>
              <w:rPr>
                <w:sz w:val="18"/>
                <w:szCs w:val="18"/>
              </w:rPr>
              <w:t>0.39</w:t>
            </w:r>
          </w:p>
        </w:tc>
        <w:tc>
          <w:tcPr>
            <w:tcW w:w="1489" w:type="dxa"/>
          </w:tcPr>
          <w:p w:rsidR="006074C8" w:rsidRDefault="006074C8" w:rsidP="00A14ADC">
            <w:pPr>
              <w:spacing w:line="276" w:lineRule="auto"/>
              <w:rPr>
                <w:sz w:val="18"/>
                <w:szCs w:val="18"/>
              </w:rPr>
            </w:pPr>
            <w:r>
              <w:rPr>
                <w:sz w:val="18"/>
                <w:szCs w:val="18"/>
              </w:rPr>
              <w:t>0.16</w:t>
            </w:r>
          </w:p>
        </w:tc>
      </w:tr>
      <w:tr w:rsidR="006074C8" w:rsidRPr="00C867F8" w:rsidTr="00A14ADC">
        <w:tc>
          <w:tcPr>
            <w:tcW w:w="2184" w:type="dxa"/>
            <w:tcBorders>
              <w:bottom w:val="single" w:sz="4" w:space="0" w:color="auto"/>
            </w:tcBorders>
          </w:tcPr>
          <w:p w:rsidR="006074C8" w:rsidRDefault="006074C8" w:rsidP="00A14ADC">
            <w:pPr>
              <w:spacing w:line="276" w:lineRule="auto"/>
              <w:rPr>
                <w:sz w:val="18"/>
                <w:szCs w:val="18"/>
              </w:rPr>
            </w:pPr>
            <w:r>
              <w:rPr>
                <w:rFonts w:asciiTheme="majorBidi" w:hAnsiTheme="majorBidi" w:cstheme="majorBidi"/>
                <w:sz w:val="18"/>
                <w:szCs w:val="18"/>
              </w:rPr>
              <w:t xml:space="preserve">Wald </w:t>
            </w:r>
            <w:r>
              <w:rPr>
                <w:sz w:val="18"/>
                <w:szCs w:val="18"/>
              </w:rPr>
              <w:t>Chi2</w:t>
            </w:r>
          </w:p>
        </w:tc>
        <w:tc>
          <w:tcPr>
            <w:tcW w:w="1488" w:type="dxa"/>
            <w:tcBorders>
              <w:bottom w:val="single" w:sz="4" w:space="0" w:color="auto"/>
            </w:tcBorders>
            <w:vAlign w:val="bottom"/>
          </w:tcPr>
          <w:p w:rsidR="006074C8" w:rsidRDefault="006074C8" w:rsidP="00A14ADC">
            <w:pPr>
              <w:spacing w:line="276" w:lineRule="auto"/>
              <w:rPr>
                <w:sz w:val="18"/>
                <w:szCs w:val="18"/>
              </w:rPr>
            </w:pPr>
            <w:r>
              <w:rPr>
                <w:sz w:val="18"/>
                <w:szCs w:val="18"/>
              </w:rPr>
              <w:t>445.83</w:t>
            </w:r>
          </w:p>
        </w:tc>
        <w:tc>
          <w:tcPr>
            <w:tcW w:w="1488" w:type="dxa"/>
            <w:tcBorders>
              <w:bottom w:val="single" w:sz="4" w:space="0" w:color="auto"/>
            </w:tcBorders>
            <w:vAlign w:val="bottom"/>
          </w:tcPr>
          <w:p w:rsidR="006074C8" w:rsidRDefault="006074C8" w:rsidP="00A14ADC">
            <w:pPr>
              <w:spacing w:line="276" w:lineRule="auto"/>
              <w:rPr>
                <w:sz w:val="18"/>
                <w:szCs w:val="18"/>
              </w:rPr>
            </w:pPr>
            <w:r>
              <w:rPr>
                <w:sz w:val="18"/>
                <w:szCs w:val="18"/>
              </w:rPr>
              <w:t>658.16</w:t>
            </w:r>
          </w:p>
        </w:tc>
        <w:tc>
          <w:tcPr>
            <w:tcW w:w="1488" w:type="dxa"/>
            <w:tcBorders>
              <w:bottom w:val="single" w:sz="4" w:space="0" w:color="auto"/>
            </w:tcBorders>
            <w:vAlign w:val="bottom"/>
          </w:tcPr>
          <w:p w:rsidR="006074C8" w:rsidRDefault="006074C8" w:rsidP="00A14ADC">
            <w:pPr>
              <w:spacing w:line="276" w:lineRule="auto"/>
              <w:rPr>
                <w:sz w:val="18"/>
                <w:szCs w:val="18"/>
              </w:rPr>
            </w:pPr>
            <w:r>
              <w:rPr>
                <w:sz w:val="18"/>
                <w:szCs w:val="18"/>
              </w:rPr>
              <w:t>60.01</w:t>
            </w:r>
          </w:p>
        </w:tc>
        <w:tc>
          <w:tcPr>
            <w:tcW w:w="1489" w:type="dxa"/>
            <w:tcBorders>
              <w:bottom w:val="single" w:sz="4" w:space="0" w:color="auto"/>
            </w:tcBorders>
          </w:tcPr>
          <w:p w:rsidR="006074C8" w:rsidRDefault="006074C8" w:rsidP="00A14ADC">
            <w:pPr>
              <w:spacing w:line="276" w:lineRule="auto"/>
              <w:rPr>
                <w:sz w:val="18"/>
                <w:szCs w:val="18"/>
              </w:rPr>
            </w:pPr>
            <w:r>
              <w:rPr>
                <w:sz w:val="18"/>
                <w:szCs w:val="18"/>
              </w:rPr>
              <w:t>75.51</w:t>
            </w:r>
          </w:p>
        </w:tc>
      </w:tr>
      <w:tr w:rsidR="006074C8" w:rsidRPr="00F57325" w:rsidTr="0087718E">
        <w:tc>
          <w:tcPr>
            <w:tcW w:w="8137" w:type="dxa"/>
            <w:gridSpan w:val="5"/>
            <w:tcBorders>
              <w:top w:val="single" w:sz="4" w:space="0" w:color="auto"/>
              <w:bottom w:val="single" w:sz="12" w:space="0" w:color="auto"/>
            </w:tcBorders>
          </w:tcPr>
          <w:p w:rsidR="006074C8" w:rsidRPr="00F57325" w:rsidRDefault="006074C8" w:rsidP="00A14ADC">
            <w:pPr>
              <w:spacing w:line="276" w:lineRule="auto"/>
              <w:rPr>
                <w:sz w:val="18"/>
                <w:szCs w:val="18"/>
                <w:lang w:val="de-DE"/>
              </w:rPr>
            </w:pPr>
            <w:r w:rsidRPr="00F57325">
              <w:rPr>
                <w:sz w:val="18"/>
                <w:szCs w:val="18"/>
                <w:lang w:val="de-DE"/>
              </w:rPr>
              <w:t xml:space="preserve">LH Lupus Headache </w:t>
            </w:r>
            <w:r w:rsidR="00F57325" w:rsidRPr="00F57325">
              <w:rPr>
                <w:sz w:val="18"/>
                <w:szCs w:val="18"/>
                <w:lang w:val="de-DE"/>
              </w:rPr>
              <w:t>; () Standard er</w:t>
            </w:r>
            <w:r w:rsidR="00F57325">
              <w:rPr>
                <w:sz w:val="18"/>
                <w:szCs w:val="18"/>
                <w:lang w:val="de-DE"/>
              </w:rPr>
              <w:t>ror</w:t>
            </w:r>
          </w:p>
        </w:tc>
      </w:tr>
    </w:tbl>
    <w:p w:rsidR="006074C8" w:rsidRPr="00F57325" w:rsidRDefault="006074C8" w:rsidP="006074C8">
      <w:pPr>
        <w:tabs>
          <w:tab w:val="left" w:pos="516"/>
        </w:tabs>
        <w:rPr>
          <w:lang w:val="de-DE"/>
        </w:rPr>
      </w:pPr>
    </w:p>
    <w:p w:rsidR="006074C8" w:rsidRDefault="00C419FD" w:rsidP="00A03F95">
      <w:pPr>
        <w:tabs>
          <w:tab w:val="left" w:pos="516"/>
        </w:tabs>
      </w:pPr>
      <w:r>
        <w:rPr>
          <w:lang w:val="de-DE"/>
        </w:rPr>
        <w:fldChar w:fldCharType="begin"/>
      </w:r>
      <w:r w:rsidRPr="00C419FD">
        <w:instrText xml:space="preserve"> REF _Ref379468426 \h </w:instrText>
      </w:r>
      <w:r>
        <w:rPr>
          <w:lang w:val="de-DE"/>
        </w:rPr>
      </w:r>
      <w:r>
        <w:rPr>
          <w:lang w:val="de-DE"/>
        </w:rPr>
        <w:fldChar w:fldCharType="separate"/>
      </w:r>
      <w:r w:rsidR="004911B7">
        <w:t xml:space="preserve">Table </w:t>
      </w:r>
      <w:r w:rsidR="004911B7">
        <w:rPr>
          <w:noProof/>
        </w:rPr>
        <w:t>28</w:t>
      </w:r>
      <w:r>
        <w:rPr>
          <w:lang w:val="de-DE"/>
        </w:rPr>
        <w:fldChar w:fldCharType="end"/>
      </w:r>
      <w:r w:rsidR="005E31CE" w:rsidRPr="005E31CE">
        <w:t xml:space="preserve"> </w:t>
      </w:r>
      <w:r w:rsidR="005E31CE">
        <w:t>r</w:t>
      </w:r>
      <w:r w:rsidR="006074C8">
        <w:t xml:space="preserve">eports the results of the steroid dose </w:t>
      </w:r>
      <w:r w:rsidR="0068656C">
        <w:t xml:space="preserve">regression </w:t>
      </w:r>
      <w:r w:rsidR="006074C8">
        <w:t xml:space="preserve">models. Patients were more likely to receive steroid if they were of African American ethnicity or male, and less likely to receive steroid if they were older. Seizure, psychosis and urinary casts were important predictors of steroid prescription. Many of the SLEDAI items increase the likelihood of receiving steroid. </w:t>
      </w:r>
    </w:p>
    <w:p w:rsidR="00C2646F" w:rsidRDefault="00831D29" w:rsidP="00C2646F">
      <w:pPr>
        <w:tabs>
          <w:tab w:val="left" w:pos="516"/>
        </w:tabs>
      </w:pPr>
      <w:r>
        <w:t xml:space="preserve">The log-likelihood for the </w:t>
      </w:r>
      <w:r w:rsidR="00C2646F">
        <w:t xml:space="preserve">zero-truncated </w:t>
      </w:r>
      <w:r>
        <w:t xml:space="preserve">negative binomial </w:t>
      </w:r>
      <w:r w:rsidR="0068656C">
        <w:t xml:space="preserve">regression </w:t>
      </w:r>
      <w:r>
        <w:t xml:space="preserve">model was larger than the </w:t>
      </w:r>
      <w:r w:rsidR="00C2646F">
        <w:t xml:space="preserve">zero-truncated </w:t>
      </w:r>
      <w:r>
        <w:t xml:space="preserve">Poisson indicating the superiority of this approach. The outcomes of the likelihood ratio test for alpha=0 was statistically significant which indicates that there was over-dispersion in the data. Therefore, the </w:t>
      </w:r>
      <w:r w:rsidR="00C2646F">
        <w:t>zero-truncated n</w:t>
      </w:r>
      <w:r>
        <w:t xml:space="preserve">egative Binomial has better fit to the data. </w:t>
      </w:r>
    </w:p>
    <w:p w:rsidR="00584E81" w:rsidRDefault="00C2646F" w:rsidP="00C419FD">
      <w:pPr>
        <w:rPr>
          <w:b/>
          <w:bCs/>
          <w:sz w:val="18"/>
          <w:szCs w:val="16"/>
        </w:rPr>
      </w:pPr>
      <w:r>
        <w:t xml:space="preserve">The coefficients in </w:t>
      </w:r>
      <w:fldSimple w:instr=" REF _Ref379468426 \h  \* MERGEFORMAT ">
        <w:r w:rsidR="004911B7">
          <w:t xml:space="preserve">Table </w:t>
        </w:r>
        <w:r w:rsidR="004911B7">
          <w:rPr>
            <w:noProof/>
          </w:rPr>
          <w:t>28</w:t>
        </w:r>
      </w:fldSimple>
      <w:r w:rsidRPr="00C2646F">
        <w:t xml:space="preserve"> d</w:t>
      </w:r>
      <w:r>
        <w:t xml:space="preserve">escribe the coefficients of the analyses in which values greater that zero indicate a greater likelihood of steroid or greater dosage. </w:t>
      </w:r>
      <w:r w:rsidR="006074C8">
        <w:t>In</w:t>
      </w:r>
      <w:r w:rsidR="00EE3395">
        <w:t xml:space="preserve"> the</w:t>
      </w:r>
      <w:r w:rsidR="006074C8">
        <w:t xml:space="preserve"> steroid dose </w:t>
      </w:r>
      <w:r w:rsidR="0068656C">
        <w:t xml:space="preserve">regression </w:t>
      </w:r>
      <w:r w:rsidR="006074C8">
        <w:t>model</w:t>
      </w:r>
      <w:r w:rsidR="00EE3395">
        <w:t>,</w:t>
      </w:r>
      <w:r w:rsidR="006074C8">
        <w:t xml:space="preserve"> log-transformed age </w:t>
      </w:r>
      <w:r w:rsidR="00EE3395">
        <w:t xml:space="preserve">was </w:t>
      </w:r>
      <w:r w:rsidR="006074C8">
        <w:t xml:space="preserve">negatively associated with steroid dose. African American patients were </w:t>
      </w:r>
      <w:r w:rsidR="00EE3395">
        <w:t xml:space="preserve">more </w:t>
      </w:r>
      <w:r w:rsidR="006074C8">
        <w:t>likely to receive higher doses of steroid</w:t>
      </w:r>
      <w:r w:rsidR="00EE3395">
        <w:t xml:space="preserve"> than Caucasian patients</w:t>
      </w:r>
      <w:r w:rsidR="006074C8">
        <w:t xml:space="preserve">. Neuropsychiatric items, vasculitis, thrombocytopenia, renal items and myositis were significant predictors of higher steroid doses with larger coefficients. </w:t>
      </w:r>
      <w:r w:rsidR="00A03F95">
        <w:t>The pseudo R</w:t>
      </w:r>
      <w:r w:rsidR="00A03F95">
        <w:rPr>
          <w:vertAlign w:val="superscript"/>
        </w:rPr>
        <w:t xml:space="preserve">2 </w:t>
      </w:r>
      <w:r w:rsidR="00A03F95">
        <w:t xml:space="preserve">was low in all </w:t>
      </w:r>
      <w:r w:rsidR="00E47145">
        <w:t xml:space="preserve">regression </w:t>
      </w:r>
      <w:r w:rsidR="00A03F95">
        <w:t>models</w:t>
      </w:r>
      <w:r>
        <w:t xml:space="preserve"> suggesting that the profile of disease activity is not a good predictor of steroid use and dosage</w:t>
      </w:r>
      <w:r w:rsidR="00A03F95">
        <w:t>.</w:t>
      </w:r>
      <w:bookmarkStart w:id="305" w:name="_Ref310343527"/>
    </w:p>
    <w:p w:rsidR="002B5C9D" w:rsidRDefault="002B5C9D" w:rsidP="00C419FD">
      <w:pPr>
        <w:rPr>
          <w:b/>
          <w:bCs/>
          <w:sz w:val="18"/>
          <w:szCs w:val="16"/>
        </w:rPr>
      </w:pPr>
      <w:bookmarkStart w:id="306" w:name="_Ref355287931"/>
      <w:r>
        <w:br w:type="page"/>
      </w:r>
    </w:p>
    <w:p w:rsidR="006074C8" w:rsidRDefault="006074C8" w:rsidP="00234693">
      <w:pPr>
        <w:pStyle w:val="Caption"/>
      </w:pPr>
      <w:bookmarkStart w:id="307" w:name="_Ref379468426"/>
      <w:r>
        <w:t xml:space="preserve">Table </w:t>
      </w:r>
      <w:fldSimple w:instr=" SEQ Table \* ARABIC ">
        <w:r w:rsidR="004911B7">
          <w:rPr>
            <w:noProof/>
          </w:rPr>
          <w:t>28</w:t>
        </w:r>
      </w:fldSimple>
      <w:bookmarkEnd w:id="305"/>
      <w:bookmarkEnd w:id="306"/>
      <w:bookmarkEnd w:id="307"/>
      <w:r>
        <w:t xml:space="preserve">: Estimated coefficients for the incidence of prescribing steroid and the dose </w:t>
      </w:r>
    </w:p>
    <w:tbl>
      <w:tblPr>
        <w:tblStyle w:val="TableGrid"/>
        <w:tblW w:w="8137"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2140"/>
        <w:gridCol w:w="2141"/>
        <w:gridCol w:w="2140"/>
        <w:gridCol w:w="1716"/>
      </w:tblGrid>
      <w:tr w:rsidR="006074C8" w:rsidRPr="00C867F8" w:rsidTr="0087718E">
        <w:tc>
          <w:tcPr>
            <w:tcW w:w="2140" w:type="dxa"/>
            <w:tcBorders>
              <w:top w:val="single" w:sz="12" w:space="0" w:color="auto"/>
              <w:bottom w:val="nil"/>
            </w:tcBorders>
          </w:tcPr>
          <w:p w:rsidR="006074C8" w:rsidRPr="00C867F8" w:rsidRDefault="006074C8" w:rsidP="00A14ADC">
            <w:pPr>
              <w:spacing w:line="276" w:lineRule="auto"/>
              <w:rPr>
                <w:sz w:val="18"/>
                <w:szCs w:val="18"/>
              </w:rPr>
            </w:pPr>
          </w:p>
        </w:tc>
        <w:tc>
          <w:tcPr>
            <w:tcW w:w="2141" w:type="dxa"/>
            <w:tcBorders>
              <w:top w:val="single" w:sz="12" w:space="0" w:color="auto"/>
              <w:bottom w:val="nil"/>
            </w:tcBorders>
          </w:tcPr>
          <w:p w:rsidR="006074C8" w:rsidRDefault="006074C8" w:rsidP="00A14ADC">
            <w:pPr>
              <w:spacing w:line="276" w:lineRule="auto"/>
              <w:rPr>
                <w:sz w:val="18"/>
                <w:szCs w:val="18"/>
              </w:rPr>
            </w:pPr>
            <w:r>
              <w:rPr>
                <w:sz w:val="18"/>
                <w:szCs w:val="18"/>
              </w:rPr>
              <w:t>Logit Model</w:t>
            </w:r>
          </w:p>
        </w:tc>
        <w:tc>
          <w:tcPr>
            <w:tcW w:w="2140" w:type="dxa"/>
            <w:tcBorders>
              <w:top w:val="single" w:sz="12" w:space="0" w:color="auto"/>
              <w:bottom w:val="nil"/>
            </w:tcBorders>
          </w:tcPr>
          <w:p w:rsidR="006074C8" w:rsidRDefault="006074C8" w:rsidP="00A14ADC">
            <w:pPr>
              <w:spacing w:line="276" w:lineRule="auto"/>
              <w:rPr>
                <w:sz w:val="18"/>
                <w:szCs w:val="18"/>
              </w:rPr>
            </w:pPr>
            <w:r>
              <w:rPr>
                <w:sz w:val="18"/>
                <w:szCs w:val="18"/>
              </w:rPr>
              <w:t>Truncated Poisson</w:t>
            </w:r>
          </w:p>
        </w:tc>
        <w:tc>
          <w:tcPr>
            <w:tcW w:w="1716" w:type="dxa"/>
            <w:tcBorders>
              <w:top w:val="single" w:sz="12" w:space="0" w:color="auto"/>
              <w:bottom w:val="nil"/>
            </w:tcBorders>
          </w:tcPr>
          <w:p w:rsidR="006074C8" w:rsidRDefault="006074C8" w:rsidP="00A14ADC">
            <w:pPr>
              <w:spacing w:line="276" w:lineRule="auto"/>
              <w:rPr>
                <w:sz w:val="18"/>
                <w:szCs w:val="18"/>
              </w:rPr>
            </w:pPr>
            <w:r>
              <w:rPr>
                <w:sz w:val="18"/>
                <w:szCs w:val="18"/>
              </w:rPr>
              <w:t>Truncated Negative Binomial</w:t>
            </w:r>
          </w:p>
        </w:tc>
      </w:tr>
      <w:tr w:rsidR="006074C8" w:rsidRPr="00C867F8" w:rsidTr="00DD3003">
        <w:tc>
          <w:tcPr>
            <w:tcW w:w="2140" w:type="dxa"/>
            <w:tcBorders>
              <w:top w:val="nil"/>
              <w:bottom w:val="single" w:sz="4" w:space="0" w:color="auto"/>
            </w:tcBorders>
          </w:tcPr>
          <w:p w:rsidR="006074C8" w:rsidRPr="00C867F8" w:rsidRDefault="006074C8" w:rsidP="00A14ADC">
            <w:pPr>
              <w:spacing w:line="276" w:lineRule="auto"/>
              <w:rPr>
                <w:sz w:val="18"/>
                <w:szCs w:val="18"/>
              </w:rPr>
            </w:pPr>
          </w:p>
        </w:tc>
        <w:tc>
          <w:tcPr>
            <w:tcW w:w="2141" w:type="dxa"/>
            <w:tcBorders>
              <w:top w:val="nil"/>
              <w:bottom w:val="single" w:sz="4" w:space="0" w:color="auto"/>
            </w:tcBorders>
          </w:tcPr>
          <w:p w:rsidR="006074C8" w:rsidRPr="00C867F8" w:rsidRDefault="006074C8" w:rsidP="00A14ADC">
            <w:pPr>
              <w:spacing w:line="276" w:lineRule="auto"/>
              <w:rPr>
                <w:sz w:val="18"/>
                <w:szCs w:val="18"/>
              </w:rPr>
            </w:pPr>
            <w:r>
              <w:rPr>
                <w:sz w:val="18"/>
                <w:szCs w:val="18"/>
              </w:rPr>
              <w:t>p(Y=1)</w:t>
            </w:r>
          </w:p>
        </w:tc>
        <w:tc>
          <w:tcPr>
            <w:tcW w:w="2140" w:type="dxa"/>
            <w:tcBorders>
              <w:top w:val="nil"/>
              <w:bottom w:val="single" w:sz="4" w:space="0" w:color="auto"/>
            </w:tcBorders>
          </w:tcPr>
          <w:p w:rsidR="006074C8" w:rsidRDefault="006074C8" w:rsidP="00A14ADC">
            <w:pPr>
              <w:spacing w:line="276" w:lineRule="auto"/>
              <w:rPr>
                <w:sz w:val="18"/>
                <w:szCs w:val="18"/>
              </w:rPr>
            </w:pPr>
            <w:r>
              <w:rPr>
                <w:sz w:val="18"/>
                <w:szCs w:val="18"/>
              </w:rPr>
              <w:t>Y&gt;0</w:t>
            </w:r>
          </w:p>
        </w:tc>
        <w:tc>
          <w:tcPr>
            <w:tcW w:w="1716" w:type="dxa"/>
            <w:tcBorders>
              <w:top w:val="nil"/>
              <w:bottom w:val="single" w:sz="4" w:space="0" w:color="auto"/>
            </w:tcBorders>
          </w:tcPr>
          <w:p w:rsidR="006074C8" w:rsidRDefault="006074C8" w:rsidP="00A14ADC">
            <w:pPr>
              <w:spacing w:line="276" w:lineRule="auto"/>
              <w:rPr>
                <w:sz w:val="18"/>
                <w:szCs w:val="18"/>
              </w:rPr>
            </w:pPr>
            <w:r>
              <w:rPr>
                <w:sz w:val="18"/>
                <w:szCs w:val="18"/>
              </w:rPr>
              <w:t>Y&gt;0</w:t>
            </w:r>
          </w:p>
        </w:tc>
      </w:tr>
      <w:tr w:rsidR="006074C8" w:rsidRPr="00C867F8" w:rsidTr="00DD3003">
        <w:tc>
          <w:tcPr>
            <w:tcW w:w="2140" w:type="dxa"/>
            <w:tcBorders>
              <w:top w:val="single" w:sz="4" w:space="0" w:color="auto"/>
            </w:tcBorders>
          </w:tcPr>
          <w:p w:rsidR="006074C8" w:rsidRDefault="006074C8" w:rsidP="00A14ADC">
            <w:pPr>
              <w:spacing w:line="276" w:lineRule="auto"/>
              <w:rPr>
                <w:sz w:val="18"/>
                <w:szCs w:val="18"/>
              </w:rPr>
            </w:pPr>
            <w:r>
              <w:rPr>
                <w:sz w:val="18"/>
                <w:szCs w:val="18"/>
              </w:rPr>
              <w:t>African American</w:t>
            </w:r>
          </w:p>
        </w:tc>
        <w:tc>
          <w:tcPr>
            <w:tcW w:w="2141" w:type="dxa"/>
            <w:tcBorders>
              <w:top w:val="single" w:sz="4" w:space="0" w:color="auto"/>
            </w:tcBorders>
            <w:vAlign w:val="bottom"/>
          </w:tcPr>
          <w:p w:rsidR="006074C8" w:rsidRPr="00421CB4" w:rsidRDefault="006074C8" w:rsidP="00A14ADC">
            <w:pPr>
              <w:spacing w:line="276" w:lineRule="auto"/>
              <w:rPr>
                <w:sz w:val="18"/>
                <w:szCs w:val="18"/>
              </w:rPr>
            </w:pPr>
            <w:r>
              <w:rPr>
                <w:sz w:val="18"/>
                <w:szCs w:val="18"/>
              </w:rPr>
              <w:t>0</w:t>
            </w:r>
            <w:r w:rsidRPr="009A53FA">
              <w:rPr>
                <w:sz w:val="18"/>
                <w:szCs w:val="18"/>
              </w:rPr>
              <w:t>.7</w:t>
            </w:r>
            <w:r>
              <w:rPr>
                <w:sz w:val="18"/>
                <w:szCs w:val="18"/>
              </w:rPr>
              <w:t>621 (0.0258)</w:t>
            </w:r>
          </w:p>
        </w:tc>
        <w:tc>
          <w:tcPr>
            <w:tcW w:w="2140" w:type="dxa"/>
            <w:tcBorders>
              <w:top w:val="single" w:sz="4" w:space="0" w:color="auto"/>
            </w:tcBorders>
          </w:tcPr>
          <w:p w:rsidR="006074C8" w:rsidRPr="009F5366" w:rsidRDefault="006074C8" w:rsidP="00A14ADC">
            <w:pPr>
              <w:spacing w:line="276" w:lineRule="auto"/>
              <w:rPr>
                <w:sz w:val="18"/>
                <w:szCs w:val="18"/>
              </w:rPr>
            </w:pPr>
            <w:r>
              <w:rPr>
                <w:sz w:val="18"/>
                <w:szCs w:val="18"/>
              </w:rPr>
              <w:t>0</w:t>
            </w:r>
            <w:r w:rsidRPr="00ED0327">
              <w:rPr>
                <w:sz w:val="18"/>
                <w:szCs w:val="18"/>
              </w:rPr>
              <w:t>.15</w:t>
            </w:r>
            <w:r>
              <w:rPr>
                <w:sz w:val="18"/>
                <w:szCs w:val="18"/>
              </w:rPr>
              <w:t>04 (0.0053)</w:t>
            </w:r>
          </w:p>
        </w:tc>
        <w:tc>
          <w:tcPr>
            <w:tcW w:w="1716" w:type="dxa"/>
            <w:tcBorders>
              <w:top w:val="single" w:sz="4" w:space="0" w:color="auto"/>
            </w:tcBorders>
          </w:tcPr>
          <w:p w:rsidR="006074C8" w:rsidRPr="009F5366" w:rsidRDefault="006074C8" w:rsidP="00A14ADC">
            <w:pPr>
              <w:spacing w:line="276" w:lineRule="auto"/>
              <w:rPr>
                <w:sz w:val="18"/>
                <w:szCs w:val="18"/>
              </w:rPr>
            </w:pPr>
            <w:r>
              <w:rPr>
                <w:sz w:val="18"/>
                <w:szCs w:val="18"/>
              </w:rPr>
              <w:t>0</w:t>
            </w:r>
            <w:r w:rsidRPr="00990D62">
              <w:rPr>
                <w:sz w:val="18"/>
                <w:szCs w:val="18"/>
              </w:rPr>
              <w:t>.15</w:t>
            </w:r>
            <w:r>
              <w:rPr>
                <w:sz w:val="18"/>
                <w:szCs w:val="18"/>
              </w:rPr>
              <w:t>20 (0.0112)</w:t>
            </w:r>
          </w:p>
        </w:tc>
      </w:tr>
      <w:tr w:rsidR="006074C8" w:rsidRPr="00C867F8" w:rsidTr="00DD3003">
        <w:tc>
          <w:tcPr>
            <w:tcW w:w="2140" w:type="dxa"/>
          </w:tcPr>
          <w:p w:rsidR="006074C8" w:rsidRDefault="006074C8" w:rsidP="00A14ADC">
            <w:pPr>
              <w:spacing w:line="276" w:lineRule="auto"/>
              <w:rPr>
                <w:sz w:val="18"/>
                <w:szCs w:val="18"/>
              </w:rPr>
            </w:pPr>
            <w:r>
              <w:rPr>
                <w:sz w:val="18"/>
                <w:szCs w:val="18"/>
              </w:rPr>
              <w:t>Male</w:t>
            </w:r>
          </w:p>
        </w:tc>
        <w:tc>
          <w:tcPr>
            <w:tcW w:w="2141" w:type="dxa"/>
            <w:vAlign w:val="bottom"/>
          </w:tcPr>
          <w:p w:rsidR="006074C8" w:rsidRPr="00421CB4" w:rsidRDefault="006074C8" w:rsidP="00A14ADC">
            <w:pPr>
              <w:spacing w:line="276" w:lineRule="auto"/>
              <w:rPr>
                <w:sz w:val="18"/>
                <w:szCs w:val="18"/>
              </w:rPr>
            </w:pPr>
            <w:r>
              <w:rPr>
                <w:sz w:val="18"/>
                <w:szCs w:val="18"/>
              </w:rPr>
              <w:t>0.4582 (0.0468)</w:t>
            </w:r>
          </w:p>
        </w:tc>
        <w:tc>
          <w:tcPr>
            <w:tcW w:w="2140" w:type="dxa"/>
          </w:tcPr>
          <w:p w:rsidR="006074C8" w:rsidRPr="009F5366" w:rsidRDefault="006074C8" w:rsidP="00A14ADC">
            <w:pPr>
              <w:spacing w:line="276" w:lineRule="auto"/>
              <w:rPr>
                <w:sz w:val="18"/>
                <w:szCs w:val="18"/>
              </w:rPr>
            </w:pPr>
            <w:r w:rsidRPr="00ED0327">
              <w:rPr>
                <w:sz w:val="18"/>
                <w:szCs w:val="18"/>
              </w:rPr>
              <w:t>-</w:t>
            </w:r>
            <w:r>
              <w:rPr>
                <w:sz w:val="18"/>
                <w:szCs w:val="18"/>
              </w:rPr>
              <w:t>0.0289 (0.0094)</w:t>
            </w: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Default="006074C8" w:rsidP="00A14ADC">
            <w:pPr>
              <w:spacing w:line="276" w:lineRule="auto"/>
              <w:rPr>
                <w:sz w:val="18"/>
                <w:szCs w:val="18"/>
              </w:rPr>
            </w:pPr>
            <w:r>
              <w:rPr>
                <w:sz w:val="18"/>
                <w:szCs w:val="18"/>
              </w:rPr>
              <w:t>Log of age</w:t>
            </w:r>
          </w:p>
        </w:tc>
        <w:tc>
          <w:tcPr>
            <w:tcW w:w="2141" w:type="dxa"/>
            <w:vAlign w:val="bottom"/>
          </w:tcPr>
          <w:p w:rsidR="006074C8" w:rsidRPr="00421CB4" w:rsidRDefault="006074C8" w:rsidP="00A14ADC">
            <w:pPr>
              <w:spacing w:line="276" w:lineRule="auto"/>
              <w:rPr>
                <w:sz w:val="18"/>
                <w:szCs w:val="18"/>
              </w:rPr>
            </w:pPr>
            <w:r w:rsidRPr="00ED0327">
              <w:rPr>
                <w:sz w:val="18"/>
                <w:szCs w:val="18"/>
              </w:rPr>
              <w:t>-</w:t>
            </w:r>
            <w:r>
              <w:rPr>
                <w:sz w:val="18"/>
                <w:szCs w:val="18"/>
              </w:rPr>
              <w:t>0.3188 (0.0422)</w:t>
            </w:r>
          </w:p>
        </w:tc>
        <w:tc>
          <w:tcPr>
            <w:tcW w:w="2140" w:type="dxa"/>
          </w:tcPr>
          <w:p w:rsidR="006074C8" w:rsidRPr="009F5366" w:rsidRDefault="006074C8" w:rsidP="00A14ADC">
            <w:pPr>
              <w:spacing w:line="276" w:lineRule="auto"/>
              <w:rPr>
                <w:sz w:val="18"/>
                <w:szCs w:val="18"/>
              </w:rPr>
            </w:pPr>
            <w:r w:rsidRPr="00ED0327">
              <w:rPr>
                <w:sz w:val="18"/>
                <w:szCs w:val="18"/>
              </w:rPr>
              <w:t>-</w:t>
            </w:r>
            <w:r>
              <w:rPr>
                <w:sz w:val="18"/>
                <w:szCs w:val="18"/>
              </w:rPr>
              <w:t>0</w:t>
            </w:r>
            <w:r w:rsidRPr="00ED0327">
              <w:rPr>
                <w:sz w:val="18"/>
                <w:szCs w:val="18"/>
              </w:rPr>
              <w:t>.3</w:t>
            </w:r>
            <w:r>
              <w:rPr>
                <w:sz w:val="18"/>
                <w:szCs w:val="18"/>
              </w:rPr>
              <w:t>736 (0.0088)</w:t>
            </w:r>
          </w:p>
        </w:tc>
        <w:tc>
          <w:tcPr>
            <w:tcW w:w="1716" w:type="dxa"/>
          </w:tcPr>
          <w:p w:rsidR="006074C8" w:rsidRPr="009F5366" w:rsidRDefault="006074C8" w:rsidP="00A14ADC">
            <w:pPr>
              <w:spacing w:line="276" w:lineRule="auto"/>
              <w:rPr>
                <w:sz w:val="18"/>
                <w:szCs w:val="18"/>
              </w:rPr>
            </w:pPr>
            <w:r w:rsidRPr="00990D62">
              <w:rPr>
                <w:sz w:val="18"/>
                <w:szCs w:val="18"/>
              </w:rPr>
              <w:t>-</w:t>
            </w:r>
            <w:r>
              <w:rPr>
                <w:sz w:val="18"/>
                <w:szCs w:val="18"/>
              </w:rPr>
              <w:t>0.3841 (0.0190)</w:t>
            </w:r>
          </w:p>
        </w:tc>
      </w:tr>
      <w:tr w:rsidR="006074C8" w:rsidRPr="00C867F8" w:rsidTr="00DD3003">
        <w:tc>
          <w:tcPr>
            <w:tcW w:w="2140" w:type="dxa"/>
          </w:tcPr>
          <w:p w:rsidR="006074C8" w:rsidRDefault="006074C8" w:rsidP="00A14ADC">
            <w:pPr>
              <w:spacing w:line="276" w:lineRule="auto"/>
              <w:rPr>
                <w:sz w:val="18"/>
                <w:szCs w:val="18"/>
              </w:rPr>
            </w:pPr>
            <w:r>
              <w:rPr>
                <w:sz w:val="18"/>
                <w:szCs w:val="18"/>
              </w:rPr>
              <w:t>Seizure</w:t>
            </w:r>
          </w:p>
        </w:tc>
        <w:tc>
          <w:tcPr>
            <w:tcW w:w="2141" w:type="dxa"/>
            <w:vAlign w:val="bottom"/>
          </w:tcPr>
          <w:p w:rsidR="006074C8" w:rsidRPr="00C867F8" w:rsidRDefault="006074C8" w:rsidP="00A14ADC">
            <w:pPr>
              <w:spacing w:line="276" w:lineRule="auto"/>
              <w:rPr>
                <w:sz w:val="18"/>
                <w:szCs w:val="18"/>
              </w:rPr>
            </w:pPr>
            <w:r>
              <w:rPr>
                <w:sz w:val="18"/>
                <w:szCs w:val="18"/>
              </w:rPr>
              <w:t>1.8275 (0.5394)</w:t>
            </w:r>
          </w:p>
        </w:tc>
        <w:tc>
          <w:tcPr>
            <w:tcW w:w="2140" w:type="dxa"/>
          </w:tcPr>
          <w:p w:rsidR="006074C8" w:rsidRPr="00C867F8" w:rsidRDefault="006074C8" w:rsidP="00A14ADC">
            <w:pPr>
              <w:spacing w:line="276" w:lineRule="auto"/>
              <w:rPr>
                <w:sz w:val="18"/>
                <w:szCs w:val="18"/>
              </w:rPr>
            </w:pPr>
            <w:r>
              <w:rPr>
                <w:sz w:val="18"/>
                <w:szCs w:val="18"/>
              </w:rPr>
              <w:t>0.3119 (0.0370)</w:t>
            </w:r>
          </w:p>
        </w:tc>
        <w:tc>
          <w:tcPr>
            <w:tcW w:w="1716" w:type="dxa"/>
          </w:tcPr>
          <w:p w:rsidR="006074C8" w:rsidRPr="009F5366" w:rsidRDefault="006074C8" w:rsidP="00A14ADC">
            <w:pPr>
              <w:spacing w:line="276" w:lineRule="auto"/>
              <w:rPr>
                <w:sz w:val="18"/>
                <w:szCs w:val="18"/>
              </w:rPr>
            </w:pPr>
            <w:r>
              <w:rPr>
                <w:sz w:val="18"/>
                <w:szCs w:val="18"/>
              </w:rPr>
              <w:t>0.3846 (0.0969)</w:t>
            </w:r>
          </w:p>
        </w:tc>
      </w:tr>
      <w:tr w:rsidR="006074C8" w:rsidRPr="00C867F8" w:rsidTr="00DD3003">
        <w:tc>
          <w:tcPr>
            <w:tcW w:w="2140" w:type="dxa"/>
          </w:tcPr>
          <w:p w:rsidR="006074C8" w:rsidRDefault="006074C8" w:rsidP="00A14ADC">
            <w:pPr>
              <w:spacing w:line="276" w:lineRule="auto"/>
              <w:rPr>
                <w:sz w:val="18"/>
                <w:szCs w:val="18"/>
              </w:rPr>
            </w:pPr>
            <w:r>
              <w:rPr>
                <w:sz w:val="18"/>
                <w:szCs w:val="18"/>
              </w:rPr>
              <w:t>Psychosis</w:t>
            </w:r>
          </w:p>
        </w:tc>
        <w:tc>
          <w:tcPr>
            <w:tcW w:w="2141" w:type="dxa"/>
            <w:vAlign w:val="bottom"/>
          </w:tcPr>
          <w:p w:rsidR="006074C8" w:rsidRPr="00C867F8" w:rsidRDefault="006074C8" w:rsidP="00A14ADC">
            <w:pPr>
              <w:spacing w:line="276" w:lineRule="auto"/>
              <w:rPr>
                <w:sz w:val="18"/>
                <w:szCs w:val="18"/>
              </w:rPr>
            </w:pPr>
            <w:r>
              <w:rPr>
                <w:sz w:val="18"/>
                <w:szCs w:val="18"/>
              </w:rPr>
              <w:t>0.9608 (0.4608)</w:t>
            </w:r>
          </w:p>
        </w:tc>
        <w:tc>
          <w:tcPr>
            <w:tcW w:w="2140" w:type="dxa"/>
          </w:tcPr>
          <w:p w:rsidR="006074C8" w:rsidRPr="009F5366" w:rsidRDefault="006074C8" w:rsidP="00A14ADC">
            <w:pPr>
              <w:spacing w:line="276" w:lineRule="auto"/>
              <w:rPr>
                <w:sz w:val="18"/>
                <w:szCs w:val="18"/>
              </w:rPr>
            </w:pPr>
            <w:r>
              <w:rPr>
                <w:sz w:val="18"/>
                <w:szCs w:val="18"/>
              </w:rPr>
              <w:t>0.3931 (0.0472)</w:t>
            </w:r>
          </w:p>
        </w:tc>
        <w:tc>
          <w:tcPr>
            <w:tcW w:w="1716" w:type="dxa"/>
          </w:tcPr>
          <w:p w:rsidR="006074C8" w:rsidRPr="009F5366" w:rsidRDefault="006074C8" w:rsidP="00A14ADC">
            <w:pPr>
              <w:spacing w:line="276" w:lineRule="auto"/>
              <w:rPr>
                <w:sz w:val="18"/>
                <w:szCs w:val="18"/>
              </w:rPr>
            </w:pPr>
            <w:r>
              <w:rPr>
                <w:sz w:val="18"/>
                <w:szCs w:val="18"/>
              </w:rPr>
              <w:t>0.4189 (0.1230)</w:t>
            </w:r>
          </w:p>
        </w:tc>
      </w:tr>
      <w:tr w:rsidR="006074C8" w:rsidRPr="00C867F8" w:rsidTr="00DD3003">
        <w:tc>
          <w:tcPr>
            <w:tcW w:w="2140" w:type="dxa"/>
          </w:tcPr>
          <w:p w:rsidR="006074C8" w:rsidRDefault="006074C8" w:rsidP="00A14ADC">
            <w:pPr>
              <w:spacing w:line="276" w:lineRule="auto"/>
              <w:rPr>
                <w:sz w:val="18"/>
                <w:szCs w:val="18"/>
              </w:rPr>
            </w:pPr>
            <w:r>
              <w:rPr>
                <w:sz w:val="18"/>
                <w:szCs w:val="18"/>
              </w:rPr>
              <w:t xml:space="preserve">OBS </w:t>
            </w:r>
          </w:p>
        </w:tc>
        <w:tc>
          <w:tcPr>
            <w:tcW w:w="2141" w:type="dxa"/>
            <w:vAlign w:val="bottom"/>
          </w:tcPr>
          <w:p w:rsidR="006074C8" w:rsidRPr="00C867F8" w:rsidRDefault="006074C8" w:rsidP="00A14ADC">
            <w:pPr>
              <w:spacing w:line="276" w:lineRule="auto"/>
              <w:rPr>
                <w:sz w:val="18"/>
                <w:szCs w:val="18"/>
              </w:rPr>
            </w:pPr>
            <w:r>
              <w:rPr>
                <w:sz w:val="18"/>
                <w:szCs w:val="18"/>
              </w:rPr>
              <w:t>2.1515 (0.3569)</w:t>
            </w:r>
          </w:p>
        </w:tc>
        <w:tc>
          <w:tcPr>
            <w:tcW w:w="2140" w:type="dxa"/>
          </w:tcPr>
          <w:p w:rsidR="006074C8" w:rsidRPr="009F5366" w:rsidRDefault="006074C8" w:rsidP="00A14ADC">
            <w:pPr>
              <w:spacing w:line="276" w:lineRule="auto"/>
              <w:rPr>
                <w:sz w:val="18"/>
                <w:szCs w:val="18"/>
              </w:rPr>
            </w:pPr>
            <w:r>
              <w:rPr>
                <w:sz w:val="18"/>
                <w:szCs w:val="18"/>
              </w:rPr>
              <w:t>0.4918 (0.0256)</w:t>
            </w:r>
          </w:p>
        </w:tc>
        <w:tc>
          <w:tcPr>
            <w:tcW w:w="1716" w:type="dxa"/>
          </w:tcPr>
          <w:p w:rsidR="006074C8" w:rsidRDefault="006074C8" w:rsidP="00A14ADC">
            <w:pPr>
              <w:spacing w:line="276" w:lineRule="auto"/>
              <w:rPr>
                <w:sz w:val="18"/>
                <w:szCs w:val="18"/>
              </w:rPr>
            </w:pPr>
            <w:r>
              <w:rPr>
                <w:sz w:val="18"/>
                <w:szCs w:val="18"/>
              </w:rPr>
              <w:t>0.5302 (0.0689)</w:t>
            </w:r>
          </w:p>
        </w:tc>
      </w:tr>
      <w:tr w:rsidR="006074C8" w:rsidRPr="00C867F8" w:rsidTr="00DD3003">
        <w:tc>
          <w:tcPr>
            <w:tcW w:w="2140" w:type="dxa"/>
          </w:tcPr>
          <w:p w:rsidR="006074C8" w:rsidRDefault="006074C8" w:rsidP="00A14ADC">
            <w:pPr>
              <w:spacing w:line="276" w:lineRule="auto"/>
              <w:rPr>
                <w:sz w:val="18"/>
                <w:szCs w:val="18"/>
              </w:rPr>
            </w:pPr>
            <w:r>
              <w:rPr>
                <w:sz w:val="18"/>
                <w:szCs w:val="18"/>
              </w:rPr>
              <w:t>Visual Disturbance</w:t>
            </w:r>
          </w:p>
        </w:tc>
        <w:tc>
          <w:tcPr>
            <w:tcW w:w="2141" w:type="dxa"/>
            <w:vAlign w:val="bottom"/>
          </w:tcPr>
          <w:p w:rsidR="006074C8" w:rsidRPr="00C867F8" w:rsidRDefault="006074C8" w:rsidP="00A14ADC">
            <w:pPr>
              <w:spacing w:line="276" w:lineRule="auto"/>
              <w:rPr>
                <w:sz w:val="18"/>
                <w:szCs w:val="18"/>
              </w:rPr>
            </w:pPr>
            <w:r>
              <w:rPr>
                <w:sz w:val="18"/>
                <w:szCs w:val="18"/>
              </w:rPr>
              <w:t>0.6709 (0.2370)</w:t>
            </w:r>
          </w:p>
        </w:tc>
        <w:tc>
          <w:tcPr>
            <w:tcW w:w="2140" w:type="dxa"/>
          </w:tcPr>
          <w:p w:rsidR="006074C8" w:rsidRPr="009F5366" w:rsidRDefault="006074C8" w:rsidP="00A14ADC">
            <w:pPr>
              <w:spacing w:line="276" w:lineRule="auto"/>
              <w:rPr>
                <w:sz w:val="18"/>
                <w:szCs w:val="18"/>
              </w:rPr>
            </w:pPr>
            <w:r>
              <w:rPr>
                <w:sz w:val="18"/>
                <w:szCs w:val="18"/>
              </w:rPr>
              <w:t>0.3966 (0.0301)</w:t>
            </w:r>
          </w:p>
        </w:tc>
        <w:tc>
          <w:tcPr>
            <w:tcW w:w="1716" w:type="dxa"/>
          </w:tcPr>
          <w:p w:rsidR="006074C8" w:rsidRPr="009F5366" w:rsidRDefault="006074C8" w:rsidP="00A14ADC">
            <w:pPr>
              <w:spacing w:line="276" w:lineRule="auto"/>
              <w:rPr>
                <w:sz w:val="18"/>
                <w:szCs w:val="18"/>
              </w:rPr>
            </w:pPr>
            <w:r>
              <w:rPr>
                <w:sz w:val="18"/>
                <w:szCs w:val="18"/>
              </w:rPr>
              <w:t>0.4384 (0.0762)</w:t>
            </w:r>
          </w:p>
        </w:tc>
      </w:tr>
      <w:tr w:rsidR="006074C8" w:rsidRPr="00C867F8" w:rsidTr="00DD3003">
        <w:tc>
          <w:tcPr>
            <w:tcW w:w="2140" w:type="dxa"/>
          </w:tcPr>
          <w:p w:rsidR="006074C8" w:rsidRDefault="006074C8" w:rsidP="00A14ADC">
            <w:pPr>
              <w:spacing w:line="276" w:lineRule="auto"/>
              <w:rPr>
                <w:sz w:val="18"/>
                <w:szCs w:val="18"/>
              </w:rPr>
            </w:pPr>
            <w:r>
              <w:rPr>
                <w:sz w:val="18"/>
                <w:szCs w:val="18"/>
              </w:rPr>
              <w:t>Lupus Headache</w:t>
            </w:r>
          </w:p>
        </w:tc>
        <w:tc>
          <w:tcPr>
            <w:tcW w:w="2141" w:type="dxa"/>
            <w:vAlign w:val="bottom"/>
          </w:tcPr>
          <w:p w:rsidR="006074C8" w:rsidRPr="00C867F8" w:rsidRDefault="006074C8" w:rsidP="00A14ADC">
            <w:pPr>
              <w:spacing w:line="276" w:lineRule="auto"/>
              <w:rPr>
                <w:sz w:val="18"/>
                <w:szCs w:val="18"/>
              </w:rPr>
            </w:pPr>
            <w:r>
              <w:rPr>
                <w:sz w:val="18"/>
                <w:szCs w:val="18"/>
              </w:rPr>
              <w:t>1.4146 (0.2402)</w:t>
            </w:r>
          </w:p>
        </w:tc>
        <w:tc>
          <w:tcPr>
            <w:tcW w:w="2140" w:type="dxa"/>
          </w:tcPr>
          <w:p w:rsidR="006074C8" w:rsidRPr="009F5366" w:rsidRDefault="006074C8" w:rsidP="00A14ADC">
            <w:pPr>
              <w:spacing w:line="276" w:lineRule="auto"/>
              <w:rPr>
                <w:sz w:val="18"/>
                <w:szCs w:val="18"/>
              </w:rPr>
            </w:pPr>
            <w:r>
              <w:rPr>
                <w:sz w:val="18"/>
                <w:szCs w:val="18"/>
              </w:rPr>
              <w:t>0.3456 (0.0216)</w:t>
            </w:r>
          </w:p>
        </w:tc>
        <w:tc>
          <w:tcPr>
            <w:tcW w:w="1716" w:type="dxa"/>
          </w:tcPr>
          <w:p w:rsidR="006074C8" w:rsidRPr="009F5366" w:rsidRDefault="006074C8" w:rsidP="00A14ADC">
            <w:pPr>
              <w:spacing w:line="276" w:lineRule="auto"/>
              <w:rPr>
                <w:sz w:val="18"/>
                <w:szCs w:val="18"/>
              </w:rPr>
            </w:pPr>
            <w:r>
              <w:rPr>
                <w:sz w:val="18"/>
                <w:szCs w:val="18"/>
              </w:rPr>
              <w:t>0.3701 (0.0556)</w:t>
            </w:r>
          </w:p>
        </w:tc>
      </w:tr>
      <w:tr w:rsidR="006074C8" w:rsidRPr="00C867F8" w:rsidTr="00DD3003">
        <w:tc>
          <w:tcPr>
            <w:tcW w:w="2140" w:type="dxa"/>
          </w:tcPr>
          <w:p w:rsidR="006074C8" w:rsidRDefault="006074C8" w:rsidP="00A14ADC">
            <w:pPr>
              <w:spacing w:line="276" w:lineRule="auto"/>
              <w:rPr>
                <w:sz w:val="18"/>
                <w:szCs w:val="18"/>
              </w:rPr>
            </w:pPr>
            <w:r>
              <w:rPr>
                <w:sz w:val="18"/>
                <w:szCs w:val="18"/>
              </w:rPr>
              <w:t xml:space="preserve">CVA </w:t>
            </w:r>
          </w:p>
        </w:tc>
        <w:tc>
          <w:tcPr>
            <w:tcW w:w="2141" w:type="dxa"/>
            <w:vAlign w:val="bottom"/>
          </w:tcPr>
          <w:p w:rsidR="006074C8" w:rsidRPr="00C867F8" w:rsidRDefault="006074C8" w:rsidP="00A14ADC">
            <w:pPr>
              <w:spacing w:line="276" w:lineRule="auto"/>
              <w:rPr>
                <w:sz w:val="18"/>
                <w:szCs w:val="18"/>
              </w:rPr>
            </w:pPr>
          </w:p>
        </w:tc>
        <w:tc>
          <w:tcPr>
            <w:tcW w:w="2140" w:type="dxa"/>
          </w:tcPr>
          <w:p w:rsidR="006074C8" w:rsidRPr="009F5366" w:rsidRDefault="006074C8" w:rsidP="00A14ADC">
            <w:pPr>
              <w:spacing w:line="276" w:lineRule="auto"/>
              <w:rPr>
                <w:sz w:val="18"/>
                <w:szCs w:val="18"/>
              </w:rPr>
            </w:pPr>
            <w:r>
              <w:rPr>
                <w:sz w:val="18"/>
                <w:szCs w:val="18"/>
              </w:rPr>
              <w:t>0.6783 (0.0735)</w:t>
            </w:r>
          </w:p>
        </w:tc>
        <w:tc>
          <w:tcPr>
            <w:tcW w:w="1716" w:type="dxa"/>
          </w:tcPr>
          <w:p w:rsidR="006074C8" w:rsidRPr="009F5366" w:rsidRDefault="006074C8" w:rsidP="00A14ADC">
            <w:pPr>
              <w:spacing w:line="276" w:lineRule="auto"/>
              <w:rPr>
                <w:sz w:val="18"/>
                <w:szCs w:val="18"/>
              </w:rPr>
            </w:pPr>
            <w:r>
              <w:rPr>
                <w:sz w:val="18"/>
                <w:szCs w:val="18"/>
              </w:rPr>
              <w:t>0.6579 (0.2427)</w:t>
            </w:r>
          </w:p>
        </w:tc>
      </w:tr>
      <w:tr w:rsidR="006074C8" w:rsidRPr="00C867F8" w:rsidTr="00DD3003">
        <w:tc>
          <w:tcPr>
            <w:tcW w:w="2140" w:type="dxa"/>
          </w:tcPr>
          <w:p w:rsidR="006074C8" w:rsidRPr="00C867F8" w:rsidRDefault="006074C8" w:rsidP="00A14ADC">
            <w:pPr>
              <w:spacing w:line="276" w:lineRule="auto"/>
              <w:rPr>
                <w:sz w:val="18"/>
                <w:szCs w:val="18"/>
              </w:rPr>
            </w:pPr>
            <w:r>
              <w:rPr>
                <w:sz w:val="18"/>
                <w:szCs w:val="18"/>
              </w:rPr>
              <w:t>Vasculitis</w:t>
            </w:r>
            <w:r w:rsidRPr="00C867F8">
              <w:rPr>
                <w:sz w:val="18"/>
                <w:szCs w:val="18"/>
              </w:rPr>
              <w:t xml:space="preserve"> </w:t>
            </w:r>
          </w:p>
        </w:tc>
        <w:tc>
          <w:tcPr>
            <w:tcW w:w="2141" w:type="dxa"/>
            <w:vAlign w:val="bottom"/>
          </w:tcPr>
          <w:p w:rsidR="006074C8" w:rsidRPr="00C867F8" w:rsidRDefault="006074C8" w:rsidP="00A14ADC">
            <w:pPr>
              <w:spacing w:line="276" w:lineRule="auto"/>
              <w:rPr>
                <w:sz w:val="18"/>
                <w:szCs w:val="18"/>
              </w:rPr>
            </w:pPr>
            <w:r>
              <w:rPr>
                <w:sz w:val="18"/>
                <w:szCs w:val="18"/>
              </w:rPr>
              <w:t>0.7990 (0.1400)</w:t>
            </w:r>
          </w:p>
        </w:tc>
        <w:tc>
          <w:tcPr>
            <w:tcW w:w="2140" w:type="dxa"/>
          </w:tcPr>
          <w:p w:rsidR="006074C8" w:rsidRPr="00C867F8" w:rsidRDefault="006074C8" w:rsidP="00A14ADC">
            <w:pPr>
              <w:spacing w:line="276" w:lineRule="auto"/>
              <w:rPr>
                <w:sz w:val="18"/>
                <w:szCs w:val="18"/>
              </w:rPr>
            </w:pPr>
            <w:r>
              <w:rPr>
                <w:sz w:val="18"/>
                <w:szCs w:val="18"/>
              </w:rPr>
              <w:t>0</w:t>
            </w:r>
            <w:r w:rsidRPr="00ED0327">
              <w:rPr>
                <w:sz w:val="18"/>
                <w:szCs w:val="18"/>
              </w:rPr>
              <w:t>.489</w:t>
            </w:r>
            <w:r>
              <w:rPr>
                <w:sz w:val="18"/>
                <w:szCs w:val="18"/>
              </w:rPr>
              <w:t>6 (0.0154)</w:t>
            </w:r>
          </w:p>
        </w:tc>
        <w:tc>
          <w:tcPr>
            <w:tcW w:w="1716" w:type="dxa"/>
          </w:tcPr>
          <w:p w:rsidR="006074C8" w:rsidRPr="009F5366" w:rsidRDefault="006074C8" w:rsidP="00A14ADC">
            <w:pPr>
              <w:spacing w:line="276" w:lineRule="auto"/>
              <w:rPr>
                <w:sz w:val="18"/>
                <w:szCs w:val="18"/>
              </w:rPr>
            </w:pPr>
            <w:r>
              <w:rPr>
                <w:sz w:val="18"/>
                <w:szCs w:val="18"/>
              </w:rPr>
              <w:t>0.5238 (0.0410)</w:t>
            </w:r>
          </w:p>
        </w:tc>
      </w:tr>
      <w:tr w:rsidR="006074C8" w:rsidRPr="00C867F8" w:rsidTr="00DD3003">
        <w:tc>
          <w:tcPr>
            <w:tcW w:w="2140" w:type="dxa"/>
          </w:tcPr>
          <w:p w:rsidR="006074C8" w:rsidRPr="00C867F8" w:rsidRDefault="006074C8" w:rsidP="00A14ADC">
            <w:pPr>
              <w:spacing w:line="276" w:lineRule="auto"/>
              <w:rPr>
                <w:sz w:val="18"/>
                <w:szCs w:val="18"/>
              </w:rPr>
            </w:pPr>
            <w:r>
              <w:rPr>
                <w:sz w:val="18"/>
                <w:szCs w:val="18"/>
              </w:rPr>
              <w:t xml:space="preserve">Urinary casts </w:t>
            </w:r>
          </w:p>
        </w:tc>
        <w:tc>
          <w:tcPr>
            <w:tcW w:w="2141" w:type="dxa"/>
            <w:vAlign w:val="bottom"/>
          </w:tcPr>
          <w:p w:rsidR="006074C8" w:rsidRPr="00ED0327" w:rsidRDefault="006074C8" w:rsidP="00A14ADC">
            <w:pPr>
              <w:spacing w:line="276" w:lineRule="auto"/>
              <w:rPr>
                <w:sz w:val="18"/>
                <w:szCs w:val="18"/>
              </w:rPr>
            </w:pPr>
          </w:p>
        </w:tc>
        <w:tc>
          <w:tcPr>
            <w:tcW w:w="2140" w:type="dxa"/>
          </w:tcPr>
          <w:p w:rsidR="006074C8" w:rsidRPr="00ED0327" w:rsidRDefault="006074C8" w:rsidP="00A14ADC">
            <w:pPr>
              <w:spacing w:line="276" w:lineRule="auto"/>
              <w:rPr>
                <w:sz w:val="18"/>
                <w:szCs w:val="18"/>
              </w:rPr>
            </w:pPr>
            <w:r>
              <w:rPr>
                <w:sz w:val="18"/>
                <w:szCs w:val="18"/>
              </w:rPr>
              <w:t>0.2870 (0.0735)</w:t>
            </w: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Default="006074C8" w:rsidP="00A14ADC">
            <w:pPr>
              <w:spacing w:line="276" w:lineRule="auto"/>
              <w:rPr>
                <w:sz w:val="18"/>
                <w:szCs w:val="18"/>
              </w:rPr>
            </w:pPr>
            <w:r>
              <w:rPr>
                <w:sz w:val="18"/>
                <w:szCs w:val="18"/>
              </w:rPr>
              <w:t>Hematuria</w:t>
            </w:r>
          </w:p>
        </w:tc>
        <w:tc>
          <w:tcPr>
            <w:tcW w:w="2141" w:type="dxa"/>
            <w:vAlign w:val="bottom"/>
          </w:tcPr>
          <w:p w:rsidR="006074C8" w:rsidRPr="00C867F8" w:rsidRDefault="006074C8" w:rsidP="00A14ADC">
            <w:pPr>
              <w:spacing w:line="276" w:lineRule="auto"/>
              <w:rPr>
                <w:sz w:val="18"/>
                <w:szCs w:val="18"/>
              </w:rPr>
            </w:pPr>
            <w:r>
              <w:rPr>
                <w:sz w:val="18"/>
                <w:szCs w:val="18"/>
              </w:rPr>
              <w:t>0.5233 (0.0778)</w:t>
            </w:r>
          </w:p>
        </w:tc>
        <w:tc>
          <w:tcPr>
            <w:tcW w:w="2140" w:type="dxa"/>
          </w:tcPr>
          <w:p w:rsidR="006074C8" w:rsidRPr="00C867F8" w:rsidRDefault="006074C8" w:rsidP="00A14ADC">
            <w:pPr>
              <w:spacing w:line="276" w:lineRule="auto"/>
              <w:rPr>
                <w:sz w:val="18"/>
                <w:szCs w:val="18"/>
              </w:rPr>
            </w:pPr>
            <w:r>
              <w:rPr>
                <w:sz w:val="18"/>
                <w:szCs w:val="18"/>
              </w:rPr>
              <w:t>0.2555 (0.0099)</w:t>
            </w:r>
          </w:p>
        </w:tc>
        <w:tc>
          <w:tcPr>
            <w:tcW w:w="1716" w:type="dxa"/>
          </w:tcPr>
          <w:p w:rsidR="006074C8" w:rsidRPr="009F5366" w:rsidRDefault="006074C8" w:rsidP="00A14ADC">
            <w:pPr>
              <w:spacing w:line="276" w:lineRule="auto"/>
              <w:rPr>
                <w:sz w:val="18"/>
                <w:szCs w:val="18"/>
              </w:rPr>
            </w:pPr>
            <w:r>
              <w:rPr>
                <w:sz w:val="18"/>
                <w:szCs w:val="18"/>
              </w:rPr>
              <w:t>0.2536 (0.0244)</w:t>
            </w:r>
          </w:p>
        </w:tc>
      </w:tr>
      <w:tr w:rsidR="006074C8" w:rsidRPr="00C867F8" w:rsidTr="00DD3003">
        <w:tc>
          <w:tcPr>
            <w:tcW w:w="2140" w:type="dxa"/>
          </w:tcPr>
          <w:p w:rsidR="006074C8" w:rsidRDefault="006074C8" w:rsidP="00A14ADC">
            <w:pPr>
              <w:spacing w:line="276" w:lineRule="auto"/>
              <w:rPr>
                <w:sz w:val="18"/>
                <w:szCs w:val="18"/>
              </w:rPr>
            </w:pPr>
            <w:r>
              <w:rPr>
                <w:sz w:val="18"/>
                <w:szCs w:val="18"/>
              </w:rPr>
              <w:t>Proteinuria</w:t>
            </w:r>
          </w:p>
        </w:tc>
        <w:tc>
          <w:tcPr>
            <w:tcW w:w="2141" w:type="dxa"/>
            <w:vAlign w:val="bottom"/>
          </w:tcPr>
          <w:p w:rsidR="006074C8" w:rsidRDefault="006074C8" w:rsidP="00A14ADC">
            <w:pPr>
              <w:spacing w:line="276" w:lineRule="auto"/>
              <w:rPr>
                <w:sz w:val="18"/>
                <w:szCs w:val="18"/>
              </w:rPr>
            </w:pPr>
            <w:r>
              <w:rPr>
                <w:sz w:val="18"/>
                <w:szCs w:val="18"/>
              </w:rPr>
              <w:t>1.1074 (0.0713)</w:t>
            </w:r>
          </w:p>
        </w:tc>
        <w:tc>
          <w:tcPr>
            <w:tcW w:w="2140" w:type="dxa"/>
          </w:tcPr>
          <w:p w:rsidR="006074C8" w:rsidRDefault="006074C8" w:rsidP="00A14ADC">
            <w:pPr>
              <w:spacing w:line="276" w:lineRule="auto"/>
              <w:rPr>
                <w:sz w:val="18"/>
                <w:szCs w:val="18"/>
              </w:rPr>
            </w:pPr>
            <w:r>
              <w:rPr>
                <w:sz w:val="18"/>
                <w:szCs w:val="18"/>
              </w:rPr>
              <w:t>0.2872 (0.0080)</w:t>
            </w:r>
          </w:p>
        </w:tc>
        <w:tc>
          <w:tcPr>
            <w:tcW w:w="1716" w:type="dxa"/>
          </w:tcPr>
          <w:p w:rsidR="006074C8" w:rsidRPr="009F5366" w:rsidRDefault="006074C8" w:rsidP="00A14ADC">
            <w:pPr>
              <w:spacing w:line="276" w:lineRule="auto"/>
              <w:rPr>
                <w:sz w:val="18"/>
                <w:szCs w:val="18"/>
              </w:rPr>
            </w:pPr>
            <w:r>
              <w:rPr>
                <w:sz w:val="18"/>
                <w:szCs w:val="18"/>
              </w:rPr>
              <w:t>0.3030 (0.0195)</w:t>
            </w:r>
          </w:p>
        </w:tc>
      </w:tr>
      <w:tr w:rsidR="006074C8" w:rsidRPr="00C867F8" w:rsidTr="00DD3003">
        <w:tc>
          <w:tcPr>
            <w:tcW w:w="2140" w:type="dxa"/>
          </w:tcPr>
          <w:p w:rsidR="006074C8" w:rsidRDefault="006074C8" w:rsidP="00A14ADC">
            <w:pPr>
              <w:spacing w:line="276" w:lineRule="auto"/>
              <w:rPr>
                <w:sz w:val="18"/>
                <w:szCs w:val="18"/>
              </w:rPr>
            </w:pPr>
            <w:r>
              <w:rPr>
                <w:sz w:val="18"/>
                <w:szCs w:val="18"/>
              </w:rPr>
              <w:t>Pyuria</w:t>
            </w:r>
          </w:p>
        </w:tc>
        <w:tc>
          <w:tcPr>
            <w:tcW w:w="2141" w:type="dxa"/>
            <w:vAlign w:val="bottom"/>
          </w:tcPr>
          <w:p w:rsidR="006074C8" w:rsidRDefault="006074C8" w:rsidP="00A14ADC">
            <w:pPr>
              <w:spacing w:line="276" w:lineRule="auto"/>
              <w:rPr>
                <w:sz w:val="18"/>
                <w:szCs w:val="18"/>
              </w:rPr>
            </w:pPr>
            <w:r>
              <w:rPr>
                <w:sz w:val="18"/>
                <w:szCs w:val="18"/>
              </w:rPr>
              <w:t>0.2421 (0.0880)</w:t>
            </w:r>
          </w:p>
        </w:tc>
        <w:tc>
          <w:tcPr>
            <w:tcW w:w="2140" w:type="dxa"/>
          </w:tcPr>
          <w:p w:rsidR="006074C8" w:rsidRDefault="006074C8" w:rsidP="00A14ADC">
            <w:pPr>
              <w:spacing w:line="276" w:lineRule="auto"/>
              <w:rPr>
                <w:sz w:val="18"/>
                <w:szCs w:val="18"/>
              </w:rPr>
            </w:pPr>
            <w:r>
              <w:rPr>
                <w:sz w:val="18"/>
                <w:szCs w:val="18"/>
              </w:rPr>
              <w:t>0.1414 (0.0123)</w:t>
            </w:r>
          </w:p>
        </w:tc>
        <w:tc>
          <w:tcPr>
            <w:tcW w:w="1716" w:type="dxa"/>
          </w:tcPr>
          <w:p w:rsidR="006074C8" w:rsidRPr="009F5366" w:rsidRDefault="006074C8" w:rsidP="00A14ADC">
            <w:pPr>
              <w:spacing w:line="276" w:lineRule="auto"/>
              <w:rPr>
                <w:sz w:val="18"/>
                <w:szCs w:val="18"/>
              </w:rPr>
            </w:pPr>
            <w:r>
              <w:rPr>
                <w:sz w:val="18"/>
                <w:szCs w:val="18"/>
              </w:rPr>
              <w:t>0.1625 (0.0297)</w:t>
            </w:r>
          </w:p>
        </w:tc>
      </w:tr>
      <w:tr w:rsidR="006074C8" w:rsidRPr="00C867F8" w:rsidTr="00DD3003">
        <w:tc>
          <w:tcPr>
            <w:tcW w:w="2140" w:type="dxa"/>
          </w:tcPr>
          <w:p w:rsidR="006074C8" w:rsidRDefault="006074C8" w:rsidP="00A14ADC">
            <w:pPr>
              <w:spacing w:line="276" w:lineRule="auto"/>
              <w:rPr>
                <w:sz w:val="18"/>
                <w:szCs w:val="18"/>
              </w:rPr>
            </w:pPr>
            <w:r>
              <w:rPr>
                <w:sz w:val="18"/>
                <w:szCs w:val="18"/>
              </w:rPr>
              <w:t>Arthritis</w:t>
            </w:r>
          </w:p>
        </w:tc>
        <w:tc>
          <w:tcPr>
            <w:tcW w:w="2141" w:type="dxa"/>
            <w:vAlign w:val="bottom"/>
          </w:tcPr>
          <w:p w:rsidR="006074C8" w:rsidRDefault="006074C8" w:rsidP="00A14ADC">
            <w:pPr>
              <w:spacing w:line="276" w:lineRule="auto"/>
              <w:rPr>
                <w:sz w:val="18"/>
                <w:szCs w:val="18"/>
              </w:rPr>
            </w:pPr>
            <w:r>
              <w:rPr>
                <w:sz w:val="18"/>
                <w:szCs w:val="18"/>
              </w:rPr>
              <w:t>0.8485 (0.0502)</w:t>
            </w:r>
          </w:p>
        </w:tc>
        <w:tc>
          <w:tcPr>
            <w:tcW w:w="2140" w:type="dxa"/>
          </w:tcPr>
          <w:p w:rsidR="006074C8" w:rsidRDefault="006074C8" w:rsidP="00A14ADC">
            <w:pPr>
              <w:spacing w:line="276" w:lineRule="auto"/>
              <w:rPr>
                <w:sz w:val="18"/>
                <w:szCs w:val="18"/>
              </w:rPr>
            </w:pP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Default="006074C8" w:rsidP="00A14ADC">
            <w:pPr>
              <w:spacing w:line="276" w:lineRule="auto"/>
              <w:rPr>
                <w:sz w:val="18"/>
                <w:szCs w:val="18"/>
              </w:rPr>
            </w:pPr>
            <w:r>
              <w:rPr>
                <w:sz w:val="18"/>
                <w:szCs w:val="18"/>
              </w:rPr>
              <w:t>Myositis</w:t>
            </w:r>
          </w:p>
        </w:tc>
        <w:tc>
          <w:tcPr>
            <w:tcW w:w="2141" w:type="dxa"/>
            <w:vAlign w:val="bottom"/>
          </w:tcPr>
          <w:p w:rsidR="006074C8" w:rsidRDefault="006074C8" w:rsidP="00A14ADC">
            <w:pPr>
              <w:spacing w:line="276" w:lineRule="auto"/>
              <w:rPr>
                <w:sz w:val="18"/>
                <w:szCs w:val="18"/>
              </w:rPr>
            </w:pPr>
            <w:r>
              <w:rPr>
                <w:sz w:val="18"/>
                <w:szCs w:val="18"/>
              </w:rPr>
              <w:t>0.4942 (0.2171)</w:t>
            </w:r>
          </w:p>
        </w:tc>
        <w:tc>
          <w:tcPr>
            <w:tcW w:w="2140" w:type="dxa"/>
          </w:tcPr>
          <w:p w:rsidR="006074C8" w:rsidRPr="009F5366" w:rsidRDefault="006074C8" w:rsidP="00A14ADC">
            <w:pPr>
              <w:spacing w:line="276" w:lineRule="auto"/>
              <w:rPr>
                <w:sz w:val="18"/>
                <w:szCs w:val="18"/>
              </w:rPr>
            </w:pPr>
            <w:r>
              <w:rPr>
                <w:sz w:val="18"/>
                <w:szCs w:val="18"/>
              </w:rPr>
              <w:t>0.4208 (0.0253)</w:t>
            </w:r>
          </w:p>
        </w:tc>
        <w:tc>
          <w:tcPr>
            <w:tcW w:w="1716" w:type="dxa"/>
          </w:tcPr>
          <w:p w:rsidR="006074C8" w:rsidRPr="009F5366" w:rsidRDefault="006074C8" w:rsidP="00A14ADC">
            <w:pPr>
              <w:spacing w:line="276" w:lineRule="auto"/>
              <w:rPr>
                <w:sz w:val="18"/>
                <w:szCs w:val="18"/>
              </w:rPr>
            </w:pPr>
            <w:r>
              <w:rPr>
                <w:sz w:val="18"/>
                <w:szCs w:val="18"/>
              </w:rPr>
              <w:t>0.4739 (0.0673)</w:t>
            </w:r>
          </w:p>
        </w:tc>
      </w:tr>
      <w:tr w:rsidR="006074C8" w:rsidRPr="00C867F8" w:rsidTr="00DD3003">
        <w:tc>
          <w:tcPr>
            <w:tcW w:w="2140" w:type="dxa"/>
          </w:tcPr>
          <w:p w:rsidR="006074C8" w:rsidRPr="00C867F8" w:rsidRDefault="006074C8" w:rsidP="00A14ADC">
            <w:pPr>
              <w:spacing w:line="276" w:lineRule="auto"/>
              <w:rPr>
                <w:sz w:val="18"/>
                <w:szCs w:val="18"/>
              </w:rPr>
            </w:pPr>
            <w:r>
              <w:rPr>
                <w:sz w:val="18"/>
                <w:szCs w:val="18"/>
              </w:rPr>
              <w:t xml:space="preserve">Rash </w:t>
            </w:r>
          </w:p>
        </w:tc>
        <w:tc>
          <w:tcPr>
            <w:tcW w:w="2141" w:type="dxa"/>
            <w:vAlign w:val="bottom"/>
          </w:tcPr>
          <w:p w:rsidR="006074C8" w:rsidRPr="00C867F8" w:rsidRDefault="006074C8" w:rsidP="00A14ADC">
            <w:pPr>
              <w:spacing w:line="276" w:lineRule="auto"/>
              <w:rPr>
                <w:sz w:val="18"/>
                <w:szCs w:val="18"/>
              </w:rPr>
            </w:pPr>
            <w:r>
              <w:rPr>
                <w:sz w:val="18"/>
                <w:szCs w:val="18"/>
              </w:rPr>
              <w:t>0.2243 (0.0459)</w:t>
            </w:r>
          </w:p>
        </w:tc>
        <w:tc>
          <w:tcPr>
            <w:tcW w:w="2140" w:type="dxa"/>
          </w:tcPr>
          <w:p w:rsidR="006074C8" w:rsidRPr="00C867F8" w:rsidRDefault="006074C8" w:rsidP="00A14ADC">
            <w:pPr>
              <w:spacing w:line="276" w:lineRule="auto"/>
              <w:rPr>
                <w:sz w:val="18"/>
                <w:szCs w:val="18"/>
              </w:rPr>
            </w:pPr>
            <w:r>
              <w:rPr>
                <w:sz w:val="18"/>
                <w:szCs w:val="18"/>
              </w:rPr>
              <w:t>0.1530 (0.0079)</w:t>
            </w:r>
          </w:p>
        </w:tc>
        <w:tc>
          <w:tcPr>
            <w:tcW w:w="1716" w:type="dxa"/>
          </w:tcPr>
          <w:p w:rsidR="006074C8" w:rsidRDefault="006074C8" w:rsidP="00A14ADC">
            <w:pPr>
              <w:spacing w:line="276" w:lineRule="auto"/>
              <w:rPr>
                <w:sz w:val="18"/>
                <w:szCs w:val="18"/>
              </w:rPr>
            </w:pPr>
            <w:r>
              <w:rPr>
                <w:sz w:val="18"/>
                <w:szCs w:val="18"/>
              </w:rPr>
              <w:t>0.1625 (0.0181)</w:t>
            </w:r>
          </w:p>
        </w:tc>
      </w:tr>
      <w:tr w:rsidR="006074C8" w:rsidRPr="00C867F8" w:rsidTr="00DD3003">
        <w:tc>
          <w:tcPr>
            <w:tcW w:w="2140" w:type="dxa"/>
          </w:tcPr>
          <w:p w:rsidR="006074C8" w:rsidRDefault="006074C8" w:rsidP="00A14ADC">
            <w:pPr>
              <w:spacing w:line="276" w:lineRule="auto"/>
              <w:rPr>
                <w:sz w:val="18"/>
                <w:szCs w:val="18"/>
              </w:rPr>
            </w:pPr>
            <w:r>
              <w:rPr>
                <w:sz w:val="18"/>
                <w:szCs w:val="18"/>
              </w:rPr>
              <w:t>Pleurisy</w:t>
            </w:r>
          </w:p>
        </w:tc>
        <w:tc>
          <w:tcPr>
            <w:tcW w:w="2141" w:type="dxa"/>
            <w:vAlign w:val="bottom"/>
          </w:tcPr>
          <w:p w:rsidR="006074C8" w:rsidRDefault="006074C8" w:rsidP="00A14ADC">
            <w:pPr>
              <w:spacing w:line="276" w:lineRule="auto"/>
              <w:rPr>
                <w:sz w:val="18"/>
                <w:szCs w:val="18"/>
              </w:rPr>
            </w:pPr>
            <w:r>
              <w:rPr>
                <w:sz w:val="18"/>
                <w:szCs w:val="18"/>
              </w:rPr>
              <w:t>0.6791 (0.0756)</w:t>
            </w:r>
          </w:p>
        </w:tc>
        <w:tc>
          <w:tcPr>
            <w:tcW w:w="2140" w:type="dxa"/>
          </w:tcPr>
          <w:p w:rsidR="006074C8" w:rsidRDefault="006074C8" w:rsidP="00A14ADC">
            <w:pPr>
              <w:spacing w:line="276" w:lineRule="auto"/>
              <w:rPr>
                <w:sz w:val="18"/>
                <w:szCs w:val="18"/>
              </w:rPr>
            </w:pPr>
            <w:r>
              <w:rPr>
                <w:sz w:val="18"/>
                <w:szCs w:val="18"/>
              </w:rPr>
              <w:t>0.1811 (0.0128)</w:t>
            </w:r>
          </w:p>
        </w:tc>
        <w:tc>
          <w:tcPr>
            <w:tcW w:w="1716" w:type="dxa"/>
          </w:tcPr>
          <w:p w:rsidR="006074C8" w:rsidRPr="009F5366" w:rsidRDefault="006074C8" w:rsidP="00A14ADC">
            <w:pPr>
              <w:spacing w:line="276" w:lineRule="auto"/>
              <w:rPr>
                <w:sz w:val="18"/>
                <w:szCs w:val="18"/>
              </w:rPr>
            </w:pPr>
            <w:r>
              <w:rPr>
                <w:sz w:val="18"/>
                <w:szCs w:val="18"/>
              </w:rPr>
              <w:t>0.2025 (0.0300)</w:t>
            </w:r>
          </w:p>
        </w:tc>
      </w:tr>
      <w:tr w:rsidR="006074C8" w:rsidRPr="00C867F8" w:rsidTr="00DD3003">
        <w:tc>
          <w:tcPr>
            <w:tcW w:w="2140" w:type="dxa"/>
          </w:tcPr>
          <w:p w:rsidR="006074C8" w:rsidRDefault="006074C8" w:rsidP="00A14ADC">
            <w:pPr>
              <w:spacing w:line="276" w:lineRule="auto"/>
              <w:rPr>
                <w:sz w:val="18"/>
                <w:szCs w:val="18"/>
              </w:rPr>
            </w:pPr>
            <w:r>
              <w:rPr>
                <w:sz w:val="18"/>
                <w:szCs w:val="18"/>
              </w:rPr>
              <w:t>Pericarditis</w:t>
            </w:r>
          </w:p>
        </w:tc>
        <w:tc>
          <w:tcPr>
            <w:tcW w:w="2141" w:type="dxa"/>
            <w:vAlign w:val="bottom"/>
          </w:tcPr>
          <w:p w:rsidR="006074C8" w:rsidRDefault="006074C8" w:rsidP="00A14ADC">
            <w:pPr>
              <w:spacing w:line="276" w:lineRule="auto"/>
              <w:rPr>
                <w:sz w:val="18"/>
                <w:szCs w:val="18"/>
              </w:rPr>
            </w:pPr>
            <w:r>
              <w:rPr>
                <w:sz w:val="18"/>
                <w:szCs w:val="18"/>
              </w:rPr>
              <w:t>0.5821 (0.0548)</w:t>
            </w:r>
          </w:p>
        </w:tc>
        <w:tc>
          <w:tcPr>
            <w:tcW w:w="2140" w:type="dxa"/>
          </w:tcPr>
          <w:p w:rsidR="006074C8" w:rsidRPr="009F5366" w:rsidRDefault="006074C8" w:rsidP="00A14ADC">
            <w:pPr>
              <w:spacing w:line="276" w:lineRule="auto"/>
              <w:rPr>
                <w:sz w:val="18"/>
                <w:szCs w:val="18"/>
              </w:rPr>
            </w:pP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Default="006074C8" w:rsidP="00A14ADC">
            <w:pPr>
              <w:spacing w:line="276" w:lineRule="auto"/>
              <w:rPr>
                <w:sz w:val="18"/>
                <w:szCs w:val="18"/>
              </w:rPr>
            </w:pPr>
            <w:r>
              <w:rPr>
                <w:sz w:val="18"/>
                <w:szCs w:val="18"/>
              </w:rPr>
              <w:t>Low complement</w:t>
            </w:r>
          </w:p>
        </w:tc>
        <w:tc>
          <w:tcPr>
            <w:tcW w:w="2141" w:type="dxa"/>
            <w:vAlign w:val="bottom"/>
          </w:tcPr>
          <w:p w:rsidR="006074C8" w:rsidRPr="00C867F8" w:rsidRDefault="006074C8" w:rsidP="00A14ADC">
            <w:pPr>
              <w:spacing w:line="276" w:lineRule="auto"/>
              <w:rPr>
                <w:sz w:val="18"/>
                <w:szCs w:val="18"/>
              </w:rPr>
            </w:pPr>
            <w:r>
              <w:rPr>
                <w:sz w:val="18"/>
                <w:szCs w:val="18"/>
              </w:rPr>
              <w:t>0.5731 (0.0309)</w:t>
            </w:r>
          </w:p>
        </w:tc>
        <w:tc>
          <w:tcPr>
            <w:tcW w:w="2140" w:type="dxa"/>
          </w:tcPr>
          <w:p w:rsidR="006074C8" w:rsidRPr="009F5366" w:rsidRDefault="006074C8" w:rsidP="00A14ADC">
            <w:pPr>
              <w:spacing w:line="276" w:lineRule="auto"/>
              <w:rPr>
                <w:sz w:val="18"/>
                <w:szCs w:val="18"/>
              </w:rPr>
            </w:pPr>
            <w:r>
              <w:rPr>
                <w:sz w:val="18"/>
                <w:szCs w:val="18"/>
              </w:rPr>
              <w:t>0</w:t>
            </w:r>
            <w:r w:rsidRPr="00ED0327">
              <w:rPr>
                <w:sz w:val="18"/>
                <w:szCs w:val="18"/>
              </w:rPr>
              <w:t>.074</w:t>
            </w:r>
            <w:r>
              <w:rPr>
                <w:sz w:val="18"/>
                <w:szCs w:val="18"/>
              </w:rPr>
              <w:t>1 (0.0057)</w:t>
            </w:r>
          </w:p>
        </w:tc>
        <w:tc>
          <w:tcPr>
            <w:tcW w:w="1716" w:type="dxa"/>
          </w:tcPr>
          <w:p w:rsidR="006074C8" w:rsidRPr="009F5366" w:rsidRDefault="006074C8" w:rsidP="00A14ADC">
            <w:pPr>
              <w:spacing w:line="276" w:lineRule="auto"/>
              <w:rPr>
                <w:sz w:val="18"/>
                <w:szCs w:val="18"/>
              </w:rPr>
            </w:pPr>
            <w:r>
              <w:rPr>
                <w:sz w:val="18"/>
                <w:szCs w:val="18"/>
              </w:rPr>
              <w:t>0.0770 (0.0124)</w:t>
            </w:r>
          </w:p>
        </w:tc>
      </w:tr>
      <w:tr w:rsidR="006074C8" w:rsidRPr="00C867F8" w:rsidTr="00DD3003">
        <w:tc>
          <w:tcPr>
            <w:tcW w:w="2140" w:type="dxa"/>
          </w:tcPr>
          <w:p w:rsidR="006074C8" w:rsidRDefault="006074C8" w:rsidP="00A14ADC">
            <w:pPr>
              <w:spacing w:line="276" w:lineRule="auto"/>
              <w:rPr>
                <w:sz w:val="18"/>
                <w:szCs w:val="18"/>
              </w:rPr>
            </w:pPr>
            <w:r>
              <w:rPr>
                <w:sz w:val="18"/>
                <w:szCs w:val="18"/>
              </w:rPr>
              <w:t>Increase DNA binding</w:t>
            </w:r>
          </w:p>
        </w:tc>
        <w:tc>
          <w:tcPr>
            <w:tcW w:w="2141" w:type="dxa"/>
            <w:vAlign w:val="bottom"/>
          </w:tcPr>
          <w:p w:rsidR="006074C8" w:rsidRDefault="006074C8" w:rsidP="00A14ADC">
            <w:pPr>
              <w:spacing w:line="276" w:lineRule="auto"/>
              <w:rPr>
                <w:sz w:val="18"/>
                <w:szCs w:val="18"/>
              </w:rPr>
            </w:pPr>
            <w:r>
              <w:rPr>
                <w:sz w:val="18"/>
                <w:szCs w:val="18"/>
              </w:rPr>
              <w:t>0.4657 (0.0318)</w:t>
            </w:r>
          </w:p>
        </w:tc>
        <w:tc>
          <w:tcPr>
            <w:tcW w:w="2140" w:type="dxa"/>
          </w:tcPr>
          <w:p w:rsidR="006074C8" w:rsidRPr="009F5366" w:rsidRDefault="006074C8" w:rsidP="00A14ADC">
            <w:pPr>
              <w:spacing w:line="276" w:lineRule="auto"/>
              <w:rPr>
                <w:sz w:val="18"/>
                <w:szCs w:val="18"/>
              </w:rPr>
            </w:pPr>
            <w:r>
              <w:rPr>
                <w:sz w:val="18"/>
                <w:szCs w:val="18"/>
              </w:rPr>
              <w:t>0.0435 (0.0058)</w:t>
            </w:r>
          </w:p>
        </w:tc>
        <w:tc>
          <w:tcPr>
            <w:tcW w:w="1716" w:type="dxa"/>
          </w:tcPr>
          <w:p w:rsidR="006074C8" w:rsidRPr="009F5366" w:rsidRDefault="006074C8" w:rsidP="00A14ADC">
            <w:pPr>
              <w:spacing w:line="276" w:lineRule="auto"/>
              <w:rPr>
                <w:sz w:val="18"/>
                <w:szCs w:val="18"/>
              </w:rPr>
            </w:pPr>
            <w:r>
              <w:rPr>
                <w:sz w:val="18"/>
                <w:szCs w:val="18"/>
              </w:rPr>
              <w:t>0.0424 (0.0127)</w:t>
            </w:r>
          </w:p>
        </w:tc>
      </w:tr>
      <w:tr w:rsidR="006074C8" w:rsidRPr="00C867F8" w:rsidTr="00DD3003">
        <w:tc>
          <w:tcPr>
            <w:tcW w:w="2140" w:type="dxa"/>
          </w:tcPr>
          <w:p w:rsidR="006074C8" w:rsidRPr="00C867F8" w:rsidRDefault="006074C8" w:rsidP="00A14ADC">
            <w:pPr>
              <w:spacing w:line="276" w:lineRule="auto"/>
              <w:rPr>
                <w:sz w:val="18"/>
                <w:szCs w:val="18"/>
              </w:rPr>
            </w:pPr>
            <w:r>
              <w:rPr>
                <w:sz w:val="18"/>
                <w:szCs w:val="18"/>
              </w:rPr>
              <w:t>Thrombocytopenia</w:t>
            </w:r>
          </w:p>
        </w:tc>
        <w:tc>
          <w:tcPr>
            <w:tcW w:w="2141" w:type="dxa"/>
            <w:vAlign w:val="bottom"/>
          </w:tcPr>
          <w:p w:rsidR="006074C8" w:rsidRPr="00C867F8" w:rsidRDefault="006074C8" w:rsidP="00A14ADC">
            <w:pPr>
              <w:spacing w:line="276" w:lineRule="auto"/>
              <w:rPr>
                <w:sz w:val="18"/>
                <w:szCs w:val="18"/>
              </w:rPr>
            </w:pPr>
            <w:r>
              <w:rPr>
                <w:sz w:val="18"/>
                <w:szCs w:val="18"/>
              </w:rPr>
              <w:t>0.5378 (0.0955)</w:t>
            </w:r>
          </w:p>
        </w:tc>
        <w:tc>
          <w:tcPr>
            <w:tcW w:w="2140" w:type="dxa"/>
          </w:tcPr>
          <w:p w:rsidR="006074C8" w:rsidRPr="00C867F8" w:rsidRDefault="006074C8" w:rsidP="00A14ADC">
            <w:pPr>
              <w:spacing w:line="276" w:lineRule="auto"/>
              <w:rPr>
                <w:sz w:val="18"/>
                <w:szCs w:val="18"/>
              </w:rPr>
            </w:pPr>
            <w:r>
              <w:rPr>
                <w:sz w:val="18"/>
                <w:szCs w:val="18"/>
              </w:rPr>
              <w:t>0.3337 (0.0108)</w:t>
            </w:r>
          </w:p>
        </w:tc>
        <w:tc>
          <w:tcPr>
            <w:tcW w:w="1716" w:type="dxa"/>
          </w:tcPr>
          <w:p w:rsidR="006074C8" w:rsidRPr="009F5366" w:rsidRDefault="006074C8" w:rsidP="00A14ADC">
            <w:pPr>
              <w:spacing w:line="276" w:lineRule="auto"/>
              <w:rPr>
                <w:sz w:val="18"/>
                <w:szCs w:val="18"/>
              </w:rPr>
            </w:pPr>
            <w:r>
              <w:rPr>
                <w:sz w:val="18"/>
                <w:szCs w:val="18"/>
              </w:rPr>
              <w:t>0</w:t>
            </w:r>
            <w:r w:rsidRPr="00990D62">
              <w:rPr>
                <w:sz w:val="18"/>
                <w:szCs w:val="18"/>
              </w:rPr>
              <w:t>.</w:t>
            </w:r>
            <w:r>
              <w:rPr>
                <w:sz w:val="18"/>
                <w:szCs w:val="18"/>
              </w:rPr>
              <w:t>3507 (0.0262)</w:t>
            </w:r>
          </w:p>
        </w:tc>
      </w:tr>
      <w:tr w:rsidR="006074C8" w:rsidRPr="00C867F8" w:rsidTr="00DD3003">
        <w:tc>
          <w:tcPr>
            <w:tcW w:w="2140" w:type="dxa"/>
          </w:tcPr>
          <w:p w:rsidR="006074C8" w:rsidRDefault="006074C8" w:rsidP="00A14ADC">
            <w:pPr>
              <w:spacing w:line="276" w:lineRule="auto"/>
              <w:rPr>
                <w:sz w:val="18"/>
                <w:szCs w:val="18"/>
              </w:rPr>
            </w:pPr>
            <w:r>
              <w:rPr>
                <w:sz w:val="18"/>
                <w:szCs w:val="18"/>
              </w:rPr>
              <w:t>Leukopenia</w:t>
            </w:r>
          </w:p>
        </w:tc>
        <w:tc>
          <w:tcPr>
            <w:tcW w:w="2141" w:type="dxa"/>
            <w:vAlign w:val="bottom"/>
          </w:tcPr>
          <w:p w:rsidR="006074C8" w:rsidRPr="00C867F8" w:rsidRDefault="006074C8" w:rsidP="00A14ADC">
            <w:pPr>
              <w:spacing w:line="276" w:lineRule="auto"/>
              <w:rPr>
                <w:sz w:val="18"/>
                <w:szCs w:val="18"/>
              </w:rPr>
            </w:pPr>
            <w:r>
              <w:rPr>
                <w:sz w:val="18"/>
                <w:szCs w:val="18"/>
              </w:rPr>
              <w:t>-0.3042 (0.0548)</w:t>
            </w:r>
          </w:p>
        </w:tc>
        <w:tc>
          <w:tcPr>
            <w:tcW w:w="2140" w:type="dxa"/>
          </w:tcPr>
          <w:p w:rsidR="006074C8" w:rsidRPr="00C867F8" w:rsidRDefault="006074C8" w:rsidP="00A14ADC">
            <w:pPr>
              <w:spacing w:line="276" w:lineRule="auto"/>
              <w:rPr>
                <w:sz w:val="18"/>
                <w:szCs w:val="18"/>
              </w:rPr>
            </w:pP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Default="006074C8" w:rsidP="00A14ADC">
            <w:pPr>
              <w:spacing w:line="276" w:lineRule="auto"/>
              <w:rPr>
                <w:sz w:val="18"/>
                <w:szCs w:val="18"/>
              </w:rPr>
            </w:pPr>
            <w:r>
              <w:rPr>
                <w:sz w:val="18"/>
                <w:szCs w:val="18"/>
              </w:rPr>
              <w:t>Fever</w:t>
            </w:r>
          </w:p>
        </w:tc>
        <w:tc>
          <w:tcPr>
            <w:tcW w:w="2141" w:type="dxa"/>
            <w:vAlign w:val="bottom"/>
          </w:tcPr>
          <w:p w:rsidR="006074C8" w:rsidRPr="00C867F8" w:rsidRDefault="006074C8" w:rsidP="00A14ADC">
            <w:pPr>
              <w:spacing w:line="276" w:lineRule="auto"/>
              <w:rPr>
                <w:sz w:val="18"/>
                <w:szCs w:val="18"/>
              </w:rPr>
            </w:pPr>
            <w:r>
              <w:rPr>
                <w:sz w:val="18"/>
                <w:szCs w:val="18"/>
              </w:rPr>
              <w:t>0.5298 (0.2370)</w:t>
            </w:r>
          </w:p>
        </w:tc>
        <w:tc>
          <w:tcPr>
            <w:tcW w:w="2140" w:type="dxa"/>
          </w:tcPr>
          <w:p w:rsidR="006074C8" w:rsidRPr="00C867F8" w:rsidRDefault="006074C8" w:rsidP="00A14ADC">
            <w:pPr>
              <w:spacing w:line="276" w:lineRule="auto"/>
              <w:rPr>
                <w:sz w:val="18"/>
                <w:szCs w:val="18"/>
              </w:rPr>
            </w:pPr>
            <w:r>
              <w:rPr>
                <w:sz w:val="18"/>
                <w:szCs w:val="18"/>
              </w:rPr>
              <w:t>0.0660 (0.0276)</w:t>
            </w:r>
          </w:p>
        </w:tc>
        <w:tc>
          <w:tcPr>
            <w:tcW w:w="1716" w:type="dxa"/>
          </w:tcPr>
          <w:p w:rsidR="006074C8" w:rsidRPr="009F5366" w:rsidRDefault="006074C8" w:rsidP="00A14ADC">
            <w:pPr>
              <w:spacing w:line="276" w:lineRule="auto"/>
              <w:rPr>
                <w:sz w:val="18"/>
                <w:szCs w:val="18"/>
              </w:rPr>
            </w:pPr>
          </w:p>
        </w:tc>
      </w:tr>
      <w:tr w:rsidR="006074C8" w:rsidRPr="00C867F8" w:rsidTr="00DD3003">
        <w:tc>
          <w:tcPr>
            <w:tcW w:w="2140" w:type="dxa"/>
          </w:tcPr>
          <w:p w:rsidR="006074C8" w:rsidRPr="00C867F8" w:rsidRDefault="006074C8" w:rsidP="00A14ADC">
            <w:pPr>
              <w:spacing w:line="276" w:lineRule="auto"/>
              <w:rPr>
                <w:sz w:val="18"/>
                <w:szCs w:val="18"/>
              </w:rPr>
            </w:pPr>
            <w:r w:rsidRPr="00C867F8">
              <w:rPr>
                <w:sz w:val="18"/>
                <w:szCs w:val="18"/>
              </w:rPr>
              <w:t>Constant</w:t>
            </w:r>
          </w:p>
        </w:tc>
        <w:tc>
          <w:tcPr>
            <w:tcW w:w="2141" w:type="dxa"/>
            <w:vAlign w:val="bottom"/>
          </w:tcPr>
          <w:p w:rsidR="006074C8" w:rsidRPr="00C867F8" w:rsidRDefault="006074C8" w:rsidP="00A14ADC">
            <w:pPr>
              <w:spacing w:line="276" w:lineRule="auto"/>
              <w:rPr>
                <w:sz w:val="18"/>
                <w:szCs w:val="18"/>
              </w:rPr>
            </w:pPr>
            <w:r>
              <w:rPr>
                <w:sz w:val="18"/>
                <w:szCs w:val="18"/>
              </w:rPr>
              <w:t>0.5818 (0.1596)</w:t>
            </w:r>
          </w:p>
        </w:tc>
        <w:tc>
          <w:tcPr>
            <w:tcW w:w="2140" w:type="dxa"/>
          </w:tcPr>
          <w:p w:rsidR="006074C8" w:rsidRPr="00C867F8" w:rsidRDefault="006074C8" w:rsidP="00A14ADC">
            <w:pPr>
              <w:spacing w:line="276" w:lineRule="auto"/>
              <w:rPr>
                <w:sz w:val="18"/>
                <w:szCs w:val="18"/>
              </w:rPr>
            </w:pPr>
            <w:r>
              <w:rPr>
                <w:sz w:val="18"/>
                <w:szCs w:val="18"/>
              </w:rPr>
              <w:t>3.4150 (0.0323)</w:t>
            </w:r>
          </w:p>
        </w:tc>
        <w:tc>
          <w:tcPr>
            <w:tcW w:w="1716" w:type="dxa"/>
          </w:tcPr>
          <w:p w:rsidR="006074C8" w:rsidRPr="009F5366" w:rsidRDefault="006074C8" w:rsidP="00A14ADC">
            <w:pPr>
              <w:spacing w:line="276" w:lineRule="auto"/>
              <w:rPr>
                <w:sz w:val="18"/>
                <w:szCs w:val="18"/>
              </w:rPr>
            </w:pPr>
            <w:r>
              <w:rPr>
                <w:sz w:val="18"/>
                <w:szCs w:val="18"/>
              </w:rPr>
              <w:t>3.428 (0.0704)</w:t>
            </w:r>
          </w:p>
        </w:tc>
      </w:tr>
      <w:tr w:rsidR="006074C8" w:rsidRPr="00C867F8" w:rsidTr="00DD3003">
        <w:tc>
          <w:tcPr>
            <w:tcW w:w="2140" w:type="dxa"/>
          </w:tcPr>
          <w:p w:rsidR="006074C8" w:rsidRPr="00CA1190" w:rsidRDefault="006074C8" w:rsidP="00A14ADC">
            <w:pPr>
              <w:spacing w:line="276" w:lineRule="auto"/>
              <w:rPr>
                <w:sz w:val="18"/>
                <w:szCs w:val="18"/>
              </w:rPr>
            </w:pPr>
            <w:r>
              <w:rPr>
                <w:sz w:val="18"/>
                <w:szCs w:val="18"/>
              </w:rPr>
              <w:t>Pseudo R</w:t>
            </w:r>
            <w:r>
              <w:rPr>
                <w:sz w:val="18"/>
                <w:szCs w:val="18"/>
                <w:vertAlign w:val="superscript"/>
              </w:rPr>
              <w:t>2</w:t>
            </w:r>
          </w:p>
        </w:tc>
        <w:tc>
          <w:tcPr>
            <w:tcW w:w="2141" w:type="dxa"/>
            <w:vAlign w:val="bottom"/>
          </w:tcPr>
          <w:p w:rsidR="006074C8" w:rsidRDefault="006074C8" w:rsidP="00A14ADC">
            <w:pPr>
              <w:spacing w:line="276" w:lineRule="auto"/>
              <w:rPr>
                <w:sz w:val="18"/>
                <w:szCs w:val="18"/>
              </w:rPr>
            </w:pPr>
            <w:r>
              <w:rPr>
                <w:sz w:val="18"/>
                <w:szCs w:val="18"/>
              </w:rPr>
              <w:t>0.0901</w:t>
            </w:r>
          </w:p>
        </w:tc>
        <w:tc>
          <w:tcPr>
            <w:tcW w:w="2140" w:type="dxa"/>
          </w:tcPr>
          <w:p w:rsidR="006074C8" w:rsidRPr="00C867F8" w:rsidRDefault="006074C8" w:rsidP="00A14ADC">
            <w:pPr>
              <w:spacing w:line="276" w:lineRule="auto"/>
              <w:rPr>
                <w:sz w:val="18"/>
                <w:szCs w:val="18"/>
              </w:rPr>
            </w:pPr>
            <w:r>
              <w:rPr>
                <w:sz w:val="18"/>
                <w:szCs w:val="18"/>
              </w:rPr>
              <w:t>0.0889</w:t>
            </w:r>
          </w:p>
        </w:tc>
        <w:tc>
          <w:tcPr>
            <w:tcW w:w="1716" w:type="dxa"/>
          </w:tcPr>
          <w:p w:rsidR="006074C8" w:rsidRDefault="006074C8" w:rsidP="00A14ADC">
            <w:pPr>
              <w:spacing w:line="276" w:lineRule="auto"/>
              <w:rPr>
                <w:sz w:val="18"/>
                <w:szCs w:val="18"/>
              </w:rPr>
            </w:pPr>
            <w:r>
              <w:rPr>
                <w:sz w:val="18"/>
                <w:szCs w:val="18"/>
              </w:rPr>
              <w:t>0.0258</w:t>
            </w:r>
          </w:p>
        </w:tc>
      </w:tr>
      <w:tr w:rsidR="006074C8" w:rsidRPr="00C867F8" w:rsidTr="00DD3003">
        <w:tc>
          <w:tcPr>
            <w:tcW w:w="2140" w:type="dxa"/>
          </w:tcPr>
          <w:p w:rsidR="006074C8" w:rsidRDefault="006074C8" w:rsidP="00A14ADC">
            <w:pPr>
              <w:spacing w:line="276" w:lineRule="auto"/>
              <w:rPr>
                <w:sz w:val="18"/>
                <w:szCs w:val="18"/>
              </w:rPr>
            </w:pPr>
            <w:r>
              <w:rPr>
                <w:sz w:val="18"/>
                <w:szCs w:val="18"/>
              </w:rPr>
              <w:t>Log likelihood</w:t>
            </w:r>
          </w:p>
        </w:tc>
        <w:tc>
          <w:tcPr>
            <w:tcW w:w="2141" w:type="dxa"/>
            <w:vAlign w:val="bottom"/>
          </w:tcPr>
          <w:p w:rsidR="006074C8" w:rsidRDefault="006074C8" w:rsidP="00A14ADC">
            <w:pPr>
              <w:spacing w:line="276" w:lineRule="auto"/>
              <w:rPr>
                <w:sz w:val="18"/>
                <w:szCs w:val="18"/>
              </w:rPr>
            </w:pPr>
          </w:p>
        </w:tc>
        <w:tc>
          <w:tcPr>
            <w:tcW w:w="2140" w:type="dxa"/>
          </w:tcPr>
          <w:p w:rsidR="006074C8" w:rsidRPr="00C867F8" w:rsidRDefault="006074C8" w:rsidP="00A14ADC">
            <w:pPr>
              <w:spacing w:line="276" w:lineRule="auto"/>
              <w:rPr>
                <w:sz w:val="18"/>
                <w:szCs w:val="18"/>
              </w:rPr>
            </w:pPr>
            <w:r w:rsidRPr="00264DF3">
              <w:rPr>
                <w:sz w:val="18"/>
                <w:szCs w:val="18"/>
              </w:rPr>
              <w:t>-663</w:t>
            </w:r>
            <w:r>
              <w:rPr>
                <w:sz w:val="18"/>
                <w:szCs w:val="18"/>
              </w:rPr>
              <w:t>75.75</w:t>
            </w:r>
          </w:p>
        </w:tc>
        <w:tc>
          <w:tcPr>
            <w:tcW w:w="1716" w:type="dxa"/>
          </w:tcPr>
          <w:p w:rsidR="006074C8" w:rsidRDefault="006074C8" w:rsidP="00A14ADC">
            <w:pPr>
              <w:spacing w:line="276" w:lineRule="auto"/>
              <w:rPr>
                <w:sz w:val="18"/>
                <w:szCs w:val="18"/>
              </w:rPr>
            </w:pPr>
            <w:r>
              <w:rPr>
                <w:sz w:val="18"/>
                <w:szCs w:val="18"/>
              </w:rPr>
              <w:t>-48937.03</w:t>
            </w:r>
          </w:p>
        </w:tc>
      </w:tr>
      <w:tr w:rsidR="006074C8" w:rsidRPr="00C867F8" w:rsidTr="00DD3003">
        <w:tc>
          <w:tcPr>
            <w:tcW w:w="2140" w:type="dxa"/>
            <w:tcBorders>
              <w:bottom w:val="single" w:sz="4" w:space="0" w:color="auto"/>
            </w:tcBorders>
          </w:tcPr>
          <w:p w:rsidR="006074C8" w:rsidRPr="00C867F8" w:rsidRDefault="006074C8" w:rsidP="00A14ADC">
            <w:pPr>
              <w:spacing w:line="276" w:lineRule="auto"/>
              <w:rPr>
                <w:sz w:val="18"/>
                <w:szCs w:val="18"/>
              </w:rPr>
            </w:pPr>
            <w:r>
              <w:rPr>
                <w:sz w:val="18"/>
                <w:szCs w:val="18"/>
              </w:rPr>
              <w:t>Alpha</w:t>
            </w:r>
          </w:p>
        </w:tc>
        <w:tc>
          <w:tcPr>
            <w:tcW w:w="2141" w:type="dxa"/>
            <w:tcBorders>
              <w:bottom w:val="single" w:sz="4" w:space="0" w:color="auto"/>
            </w:tcBorders>
            <w:vAlign w:val="bottom"/>
          </w:tcPr>
          <w:p w:rsidR="006074C8" w:rsidRDefault="006074C8" w:rsidP="00A14ADC">
            <w:pPr>
              <w:spacing w:line="276" w:lineRule="auto"/>
              <w:rPr>
                <w:sz w:val="18"/>
                <w:szCs w:val="18"/>
              </w:rPr>
            </w:pPr>
          </w:p>
        </w:tc>
        <w:tc>
          <w:tcPr>
            <w:tcW w:w="2140" w:type="dxa"/>
            <w:tcBorders>
              <w:bottom w:val="single" w:sz="4" w:space="0" w:color="auto"/>
            </w:tcBorders>
          </w:tcPr>
          <w:p w:rsidR="006074C8" w:rsidRPr="00C867F8" w:rsidRDefault="006074C8" w:rsidP="00A14ADC">
            <w:pPr>
              <w:spacing w:line="276" w:lineRule="auto"/>
              <w:rPr>
                <w:sz w:val="18"/>
                <w:szCs w:val="18"/>
              </w:rPr>
            </w:pPr>
          </w:p>
        </w:tc>
        <w:tc>
          <w:tcPr>
            <w:tcW w:w="1716" w:type="dxa"/>
            <w:tcBorders>
              <w:bottom w:val="single" w:sz="4" w:space="0" w:color="auto"/>
            </w:tcBorders>
          </w:tcPr>
          <w:p w:rsidR="006074C8" w:rsidRPr="009F5366" w:rsidRDefault="006074C8" w:rsidP="00A14ADC">
            <w:pPr>
              <w:spacing w:line="276" w:lineRule="auto"/>
              <w:rPr>
                <w:sz w:val="18"/>
                <w:szCs w:val="18"/>
              </w:rPr>
            </w:pPr>
            <w:r>
              <w:rPr>
                <w:sz w:val="18"/>
                <w:szCs w:val="18"/>
              </w:rPr>
              <w:t>0</w:t>
            </w:r>
            <w:r w:rsidRPr="00990D62">
              <w:rPr>
                <w:sz w:val="18"/>
                <w:szCs w:val="18"/>
              </w:rPr>
              <w:t>.35</w:t>
            </w:r>
            <w:r>
              <w:rPr>
                <w:sz w:val="18"/>
                <w:szCs w:val="18"/>
              </w:rPr>
              <w:t>82 (0.0057)</w:t>
            </w:r>
          </w:p>
        </w:tc>
      </w:tr>
      <w:tr w:rsidR="006074C8" w:rsidRPr="00B47E48" w:rsidTr="0087718E">
        <w:tc>
          <w:tcPr>
            <w:tcW w:w="8137" w:type="dxa"/>
            <w:gridSpan w:val="4"/>
            <w:tcBorders>
              <w:top w:val="single" w:sz="4" w:space="0" w:color="auto"/>
              <w:bottom w:val="single" w:sz="12" w:space="0" w:color="auto"/>
            </w:tcBorders>
          </w:tcPr>
          <w:p w:rsidR="006074C8" w:rsidRDefault="006074C8" w:rsidP="00A14ADC">
            <w:pPr>
              <w:spacing w:line="276" w:lineRule="auto"/>
              <w:rPr>
                <w:sz w:val="18"/>
                <w:szCs w:val="18"/>
              </w:rPr>
            </w:pPr>
            <w:r>
              <w:rPr>
                <w:sz w:val="18"/>
                <w:szCs w:val="18"/>
              </w:rPr>
              <w:t>CND Cranial Nerve Disorder; OBS Organic Brain Syndrome; Y steroid dose</w:t>
            </w:r>
            <w:r w:rsidR="00F57325">
              <w:rPr>
                <w:sz w:val="18"/>
                <w:szCs w:val="18"/>
              </w:rPr>
              <w:t>; () Standard error</w:t>
            </w:r>
          </w:p>
        </w:tc>
      </w:tr>
    </w:tbl>
    <w:p w:rsidR="006074C8" w:rsidRDefault="006074C8" w:rsidP="006074C8">
      <w:pPr>
        <w:tabs>
          <w:tab w:val="left" w:pos="516"/>
        </w:tabs>
      </w:pPr>
      <w:r>
        <w:tab/>
      </w:r>
    </w:p>
    <w:p w:rsidR="006074C8" w:rsidRPr="0087718E" w:rsidRDefault="00641AAD" w:rsidP="0087718E">
      <w:pPr>
        <w:pStyle w:val="Heading3"/>
        <w:rPr>
          <w:rStyle w:val="Emphasis"/>
          <w:spacing w:val="15"/>
          <w:sz w:val="22"/>
        </w:rPr>
      </w:pPr>
      <w:bookmarkStart w:id="308" w:name="_Ref354930145"/>
      <w:bookmarkStart w:id="309" w:name="_Toc379467618"/>
      <w:r w:rsidRPr="0087718E">
        <w:rPr>
          <w:rStyle w:val="Emphasis"/>
          <w:spacing w:val="15"/>
          <w:sz w:val="22"/>
        </w:rPr>
        <w:t>Results of Average SLEDAI and Average Steroid dose</w:t>
      </w:r>
      <w:bookmarkEnd w:id="308"/>
      <w:bookmarkEnd w:id="309"/>
    </w:p>
    <w:p w:rsidR="00831D29" w:rsidRDefault="00C2646F" w:rsidP="00756AFC">
      <w:bookmarkStart w:id="310" w:name="_Ref271101451"/>
      <w:r>
        <w:t>Six different</w:t>
      </w:r>
      <w:r w:rsidR="006074C8">
        <w:t xml:space="preserve"> statistical models were developed to estimate changes in SLEDAI score over time as a function of previously observed disease outcomes and patient characteristics</w:t>
      </w:r>
      <w:r>
        <w:t xml:space="preserve"> (</w:t>
      </w:r>
      <w:r w:rsidR="00E729BA">
        <w:fldChar w:fldCharType="begin"/>
      </w:r>
      <w:r w:rsidR="000F6DFC">
        <w:instrText xml:space="preserve"> REF _Ref364924033 \h </w:instrText>
      </w:r>
      <w:r w:rsidR="00E729BA">
        <w:fldChar w:fldCharType="separate"/>
      </w:r>
      <w:r w:rsidR="004911B7">
        <w:t xml:space="preserve">Table </w:t>
      </w:r>
      <w:r w:rsidR="004911B7">
        <w:rPr>
          <w:noProof/>
        </w:rPr>
        <w:t>29</w:t>
      </w:r>
      <w:r w:rsidR="00E729BA">
        <w:fldChar w:fldCharType="end"/>
      </w:r>
      <w:r>
        <w:t>)</w:t>
      </w:r>
      <w:r w:rsidR="006074C8">
        <w:t xml:space="preserve">. </w:t>
      </w:r>
      <w:r w:rsidR="00E729BA">
        <w:fldChar w:fldCharType="begin"/>
      </w:r>
      <w:r w:rsidR="00230E6B">
        <w:instrText xml:space="preserve"> REF _Ref364924033 \h </w:instrText>
      </w:r>
      <w:r w:rsidR="00E729BA">
        <w:fldChar w:fldCharType="separate"/>
      </w:r>
      <w:r w:rsidR="004911B7">
        <w:t xml:space="preserve">Table </w:t>
      </w:r>
      <w:r w:rsidR="004911B7">
        <w:rPr>
          <w:noProof/>
        </w:rPr>
        <w:t>29</w:t>
      </w:r>
      <w:r w:rsidR="00E729BA">
        <w:fldChar w:fldCharType="end"/>
      </w:r>
      <w:r w:rsidR="00230E6B">
        <w:t xml:space="preserve"> reports the coefficient estimates for six model specifications for average SLEDAI. The table also reports the variance in the between patient random effects parameter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230E6B">
        <w:t xml:space="preserve">, and the proportion of between-patient and within-patient variance that is explained by the model. The intra-class correlation statistic </w:t>
      </w:r>
      <w:r w:rsidR="00756AFC">
        <w:t xml:space="preserve">describes the proportion of the variance which is due to differences across panels. </w:t>
      </w:r>
      <w:r w:rsidR="006074C8">
        <w:t xml:space="preserve">Models 1, 2 and 3 report the ordinary least squares analysis and 4, 5 and 6 the random effects </w:t>
      </w:r>
      <w:r w:rsidR="00097A11">
        <w:t xml:space="preserve">regression </w:t>
      </w:r>
      <w:r w:rsidR="006074C8">
        <w:t xml:space="preserve">models. </w:t>
      </w:r>
      <w:r w:rsidR="00831D29">
        <w:t xml:space="preserve">In all </w:t>
      </w:r>
      <w:r w:rsidR="00097A11">
        <w:t xml:space="preserve">regression </w:t>
      </w:r>
      <w:r w:rsidR="00831D29">
        <w:t>models t</w:t>
      </w:r>
      <w:r w:rsidR="006074C8">
        <w:t xml:space="preserve">he negative relationship between previous SLEDAI and change in SLEDAI suggests a tendency for disease activity to subside over time. Ethnicity has a significant impact in this </w:t>
      </w:r>
      <w:r w:rsidR="00097A11">
        <w:t xml:space="preserve">regression </w:t>
      </w:r>
      <w:r w:rsidR="006074C8">
        <w:t xml:space="preserve">model and suggests that African American patients have a tendency to larger increases in disease activity. Model 2 reports </w:t>
      </w:r>
      <w:r w:rsidR="0040291B">
        <w:t>that i</w:t>
      </w:r>
      <w:r w:rsidR="006074C8">
        <w:t xml:space="preserve">mmunosuppressants and </w:t>
      </w:r>
      <w:r w:rsidR="0040291B">
        <w:t>anti-malarials</w:t>
      </w:r>
      <w:r w:rsidR="006074C8">
        <w:t xml:space="preserve"> were not statistically significant predictors of a change in average SLEDAI score. The coefficient for steroid dose was posit</w:t>
      </w:r>
      <w:r w:rsidR="00F85B65">
        <w:t>ive suggesting that higher average dose this year</w:t>
      </w:r>
      <w:r w:rsidR="006074C8">
        <w:t xml:space="preserve"> will increase SLEDAI score in the next </w:t>
      </w:r>
      <w:r w:rsidR="00F85B65">
        <w:t>year</w:t>
      </w:r>
      <w:r w:rsidR="006074C8">
        <w:t xml:space="preserve">. This relationship does not indicate that aggressive treatment reduces SLEDAI score over time, but these causal relationships may not be observed over </w:t>
      </w:r>
      <w:r w:rsidR="00F85B65">
        <w:t xml:space="preserve">an </w:t>
      </w:r>
      <w:r w:rsidR="006074C8">
        <w:t xml:space="preserve">annual period. Model 3 </w:t>
      </w:r>
      <w:r w:rsidR="0040291B">
        <w:t>describes</w:t>
      </w:r>
      <w:r w:rsidR="006074C8">
        <w:t xml:space="preserve"> a reduced form of the</w:t>
      </w:r>
      <w:r w:rsidR="00097A11">
        <w:t xml:space="preserve"> regression</w:t>
      </w:r>
      <w:r w:rsidR="006074C8">
        <w:t xml:space="preserve"> model where treatments and disease features were removed. The </w:t>
      </w:r>
      <w:r w:rsidR="0040291B">
        <w:t>R</w:t>
      </w:r>
      <w:r w:rsidR="0040291B">
        <w:rPr>
          <w:vertAlign w:val="superscript"/>
        </w:rPr>
        <w:t>2</w:t>
      </w:r>
      <w:r w:rsidR="0040291B">
        <w:t xml:space="preserve"> </w:t>
      </w:r>
      <w:r w:rsidR="006074C8">
        <w:t xml:space="preserve">of the </w:t>
      </w:r>
      <w:r w:rsidR="00097A11">
        <w:t xml:space="preserve">regression </w:t>
      </w:r>
      <w:r w:rsidR="006074C8">
        <w:t xml:space="preserve">model was slightly reduced in model 3. </w:t>
      </w:r>
    </w:p>
    <w:p w:rsidR="006074C8" w:rsidRDefault="006074C8" w:rsidP="00831D29">
      <w:r>
        <w:t xml:space="preserve">The random effects </w:t>
      </w:r>
      <w:r w:rsidR="00097A11">
        <w:t xml:space="preserve">regression </w:t>
      </w:r>
      <w:r>
        <w:t xml:space="preserve">models reported in models 4, 5 and 6 demonstrate that the coefficient estimates were very similar to the ordinary least squares form of the </w:t>
      </w:r>
      <w:r w:rsidR="00097A11">
        <w:t xml:space="preserve">regression </w:t>
      </w:r>
      <w:r>
        <w:t xml:space="preserve">models and the intraclass correlation was very low, which indicates that the random effects </w:t>
      </w:r>
      <w:r w:rsidR="00097A11">
        <w:t xml:space="preserve">regression </w:t>
      </w:r>
      <w:r>
        <w:t xml:space="preserve">models were not required to estimate change in average SLEDAI over annual intervals. </w:t>
      </w:r>
    </w:p>
    <w:p w:rsidR="00756AFC" w:rsidRPr="00756AFC" w:rsidRDefault="00756AFC" w:rsidP="00831D29">
      <w:pPr>
        <w:sectPr w:rsidR="00756AFC" w:rsidRPr="00756AFC" w:rsidSect="006A3B1E">
          <w:footerReference w:type="default" r:id="rId27"/>
          <w:pgSz w:w="11906" w:h="16838"/>
          <w:pgMar w:top="1440" w:right="1440" w:bottom="1440" w:left="2268" w:header="708" w:footer="708" w:gutter="0"/>
          <w:cols w:space="708"/>
          <w:docGrid w:linePitch="360"/>
        </w:sectPr>
      </w:pPr>
      <w:r>
        <w:t>The R</w:t>
      </w:r>
      <w:r>
        <w:rPr>
          <w:vertAlign w:val="superscript"/>
        </w:rPr>
        <w:t>2</w:t>
      </w:r>
      <w:r>
        <w:t xml:space="preserve"> statistics across all models indicate that the covariates explain a very small proportion </w:t>
      </w:r>
      <w:r w:rsidR="0016510D">
        <w:t>of</w:t>
      </w:r>
      <w:r>
        <w:t xml:space="preserve"> the variance in average SLEDAI. This is not surprising given the heterogeneous and unpredictable nature of the disease. However, it does highlight that the model is a poor fit to the data.</w:t>
      </w:r>
    </w:p>
    <w:p w:rsidR="008731E8" w:rsidRDefault="008731E8" w:rsidP="00234693">
      <w:pPr>
        <w:pStyle w:val="Caption"/>
      </w:pPr>
      <w:bookmarkStart w:id="311" w:name="_Ref275249390"/>
      <w:bookmarkStart w:id="312" w:name="_Ref275761454"/>
      <w:bookmarkStart w:id="313" w:name="_Toc279009294"/>
      <w:bookmarkStart w:id="314" w:name="_Ref363294243"/>
    </w:p>
    <w:p w:rsidR="008731E8" w:rsidRDefault="008731E8" w:rsidP="00234693">
      <w:pPr>
        <w:pStyle w:val="Caption"/>
      </w:pPr>
    </w:p>
    <w:p w:rsidR="006074C8" w:rsidRDefault="006074C8" w:rsidP="00234693">
      <w:pPr>
        <w:pStyle w:val="Caption"/>
      </w:pPr>
      <w:bookmarkStart w:id="315" w:name="_Ref364924033"/>
      <w:bookmarkStart w:id="316" w:name="_Ref377482874"/>
      <w:r>
        <w:t xml:space="preserve">Table </w:t>
      </w:r>
      <w:fldSimple w:instr=" SEQ Table \* ARABIC ">
        <w:r w:rsidR="004911B7">
          <w:rPr>
            <w:noProof/>
          </w:rPr>
          <w:t>29</w:t>
        </w:r>
      </w:fldSimple>
      <w:bookmarkEnd w:id="310"/>
      <w:bookmarkEnd w:id="311"/>
      <w:bookmarkEnd w:id="312"/>
      <w:bookmarkEnd w:id="315"/>
      <w:r>
        <w:t>: Coefficient results for the</w:t>
      </w:r>
      <w:r w:rsidR="00097A11">
        <w:t xml:space="preserve"> regression</w:t>
      </w:r>
      <w:r>
        <w:t xml:space="preserve"> model predicting change in SLEDAI</w:t>
      </w:r>
      <w:bookmarkEnd w:id="313"/>
      <w:bookmarkEnd w:id="314"/>
      <w:bookmarkEnd w:id="316"/>
    </w:p>
    <w:tbl>
      <w:tblPr>
        <w:tblW w:w="13068" w:type="dxa"/>
        <w:tblInd w:w="2" w:type="dxa"/>
        <w:tblBorders>
          <w:top w:val="single" w:sz="8" w:space="0" w:color="auto"/>
          <w:bottom w:val="single" w:sz="8" w:space="0" w:color="auto"/>
        </w:tblBorders>
        <w:tblLayout w:type="fixed"/>
        <w:tblCellMar>
          <w:left w:w="28" w:type="dxa"/>
          <w:right w:w="28" w:type="dxa"/>
        </w:tblCellMar>
        <w:tblLook w:val="00A0"/>
      </w:tblPr>
      <w:tblGrid>
        <w:gridCol w:w="2861"/>
        <w:gridCol w:w="850"/>
        <w:gridCol w:w="851"/>
        <w:gridCol w:w="850"/>
        <w:gridCol w:w="851"/>
        <w:gridCol w:w="850"/>
        <w:gridCol w:w="851"/>
        <w:gridCol w:w="851"/>
        <w:gridCol w:w="850"/>
        <w:gridCol w:w="851"/>
        <w:gridCol w:w="850"/>
        <w:gridCol w:w="851"/>
        <w:gridCol w:w="851"/>
      </w:tblGrid>
      <w:tr w:rsidR="006074C8" w:rsidRPr="00884EE7" w:rsidTr="0087718E">
        <w:tc>
          <w:tcPr>
            <w:tcW w:w="2861" w:type="dxa"/>
            <w:tcBorders>
              <w:top w:val="single" w:sz="12" w:space="0" w:color="auto"/>
              <w:bottom w:val="nil"/>
            </w:tcBorders>
          </w:tcPr>
          <w:p w:rsidR="006074C8" w:rsidRPr="00884EE7" w:rsidRDefault="006074C8" w:rsidP="00A14ADC">
            <w:pPr>
              <w:rPr>
                <w:sz w:val="17"/>
                <w:szCs w:val="17"/>
              </w:rPr>
            </w:pPr>
          </w:p>
        </w:tc>
        <w:tc>
          <w:tcPr>
            <w:tcW w:w="1701" w:type="dxa"/>
            <w:gridSpan w:val="2"/>
            <w:tcBorders>
              <w:top w:val="single" w:sz="12" w:space="0" w:color="auto"/>
              <w:bottom w:val="nil"/>
            </w:tcBorders>
          </w:tcPr>
          <w:p w:rsidR="006074C8" w:rsidRPr="00884EE7" w:rsidRDefault="006074C8" w:rsidP="00A14ADC">
            <w:pPr>
              <w:jc w:val="center"/>
              <w:rPr>
                <w:sz w:val="17"/>
                <w:szCs w:val="17"/>
              </w:rPr>
            </w:pPr>
            <w:r>
              <w:rPr>
                <w:sz w:val="17"/>
                <w:szCs w:val="17"/>
              </w:rPr>
              <w:t>Model 1</w:t>
            </w:r>
          </w:p>
        </w:tc>
        <w:tc>
          <w:tcPr>
            <w:tcW w:w="1701" w:type="dxa"/>
            <w:gridSpan w:val="2"/>
            <w:tcBorders>
              <w:top w:val="single" w:sz="12" w:space="0" w:color="auto"/>
              <w:bottom w:val="nil"/>
            </w:tcBorders>
          </w:tcPr>
          <w:p w:rsidR="006074C8" w:rsidRPr="00884EE7" w:rsidRDefault="006074C8" w:rsidP="00A14ADC">
            <w:pPr>
              <w:jc w:val="center"/>
              <w:rPr>
                <w:sz w:val="17"/>
                <w:szCs w:val="17"/>
              </w:rPr>
            </w:pPr>
            <w:r>
              <w:rPr>
                <w:sz w:val="17"/>
                <w:szCs w:val="17"/>
              </w:rPr>
              <w:t>Model 2</w:t>
            </w:r>
          </w:p>
        </w:tc>
        <w:tc>
          <w:tcPr>
            <w:tcW w:w="1701" w:type="dxa"/>
            <w:gridSpan w:val="2"/>
            <w:tcBorders>
              <w:top w:val="single" w:sz="12" w:space="0" w:color="auto"/>
              <w:bottom w:val="nil"/>
            </w:tcBorders>
          </w:tcPr>
          <w:p w:rsidR="006074C8" w:rsidRPr="00884EE7" w:rsidRDefault="006074C8" w:rsidP="00A14ADC">
            <w:pPr>
              <w:jc w:val="center"/>
              <w:rPr>
                <w:sz w:val="17"/>
                <w:szCs w:val="17"/>
              </w:rPr>
            </w:pPr>
            <w:r>
              <w:rPr>
                <w:sz w:val="17"/>
                <w:szCs w:val="17"/>
              </w:rPr>
              <w:t>Model 3</w:t>
            </w:r>
          </w:p>
        </w:tc>
        <w:tc>
          <w:tcPr>
            <w:tcW w:w="1701" w:type="dxa"/>
            <w:gridSpan w:val="2"/>
            <w:tcBorders>
              <w:top w:val="single" w:sz="12" w:space="0" w:color="auto"/>
              <w:bottom w:val="nil"/>
            </w:tcBorders>
          </w:tcPr>
          <w:p w:rsidR="006074C8" w:rsidRPr="00884EE7" w:rsidRDefault="006074C8" w:rsidP="00A14ADC">
            <w:pPr>
              <w:jc w:val="center"/>
              <w:rPr>
                <w:sz w:val="17"/>
                <w:szCs w:val="17"/>
              </w:rPr>
            </w:pPr>
            <w:r>
              <w:rPr>
                <w:sz w:val="17"/>
                <w:szCs w:val="17"/>
              </w:rPr>
              <w:t>Model 4</w:t>
            </w:r>
          </w:p>
        </w:tc>
        <w:tc>
          <w:tcPr>
            <w:tcW w:w="1701" w:type="dxa"/>
            <w:gridSpan w:val="2"/>
            <w:tcBorders>
              <w:top w:val="single" w:sz="12" w:space="0" w:color="auto"/>
              <w:bottom w:val="nil"/>
            </w:tcBorders>
          </w:tcPr>
          <w:p w:rsidR="006074C8" w:rsidRPr="00884EE7" w:rsidRDefault="006074C8" w:rsidP="00A14ADC">
            <w:pPr>
              <w:jc w:val="center"/>
              <w:rPr>
                <w:sz w:val="17"/>
                <w:szCs w:val="17"/>
              </w:rPr>
            </w:pPr>
            <w:r>
              <w:rPr>
                <w:sz w:val="17"/>
                <w:szCs w:val="17"/>
              </w:rPr>
              <w:t>Model 5</w:t>
            </w:r>
          </w:p>
        </w:tc>
        <w:tc>
          <w:tcPr>
            <w:tcW w:w="1702" w:type="dxa"/>
            <w:gridSpan w:val="2"/>
            <w:tcBorders>
              <w:top w:val="single" w:sz="12" w:space="0" w:color="auto"/>
              <w:bottom w:val="nil"/>
            </w:tcBorders>
          </w:tcPr>
          <w:p w:rsidR="006074C8" w:rsidRDefault="006074C8" w:rsidP="00A14ADC">
            <w:pPr>
              <w:jc w:val="center"/>
              <w:rPr>
                <w:sz w:val="17"/>
                <w:szCs w:val="17"/>
              </w:rPr>
            </w:pPr>
            <w:r>
              <w:rPr>
                <w:sz w:val="17"/>
                <w:szCs w:val="17"/>
              </w:rPr>
              <w:t>Model 6</w:t>
            </w:r>
          </w:p>
        </w:tc>
      </w:tr>
      <w:tr w:rsidR="006074C8" w:rsidRPr="00884EE7" w:rsidTr="00A14ADC">
        <w:tc>
          <w:tcPr>
            <w:tcW w:w="2861" w:type="dxa"/>
            <w:tcBorders>
              <w:top w:val="nil"/>
              <w:bottom w:val="nil"/>
            </w:tcBorders>
          </w:tcPr>
          <w:p w:rsidR="006074C8" w:rsidRPr="00884EE7" w:rsidRDefault="006074C8" w:rsidP="00A14ADC">
            <w:pPr>
              <w:rPr>
                <w:sz w:val="17"/>
                <w:szCs w:val="17"/>
              </w:rPr>
            </w:pPr>
          </w:p>
        </w:tc>
        <w:tc>
          <w:tcPr>
            <w:tcW w:w="1701" w:type="dxa"/>
            <w:gridSpan w:val="2"/>
            <w:tcBorders>
              <w:top w:val="nil"/>
              <w:bottom w:val="nil"/>
            </w:tcBorders>
          </w:tcPr>
          <w:p w:rsidR="006074C8" w:rsidRPr="00884EE7" w:rsidRDefault="006074C8" w:rsidP="00A14ADC">
            <w:pPr>
              <w:rPr>
                <w:sz w:val="17"/>
                <w:szCs w:val="17"/>
              </w:rPr>
            </w:pPr>
            <w:r>
              <w:rPr>
                <w:sz w:val="17"/>
                <w:szCs w:val="17"/>
              </w:rPr>
              <w:t>Expanded model</w:t>
            </w:r>
          </w:p>
        </w:tc>
        <w:tc>
          <w:tcPr>
            <w:tcW w:w="1701" w:type="dxa"/>
            <w:gridSpan w:val="2"/>
            <w:tcBorders>
              <w:top w:val="nil"/>
              <w:bottom w:val="nil"/>
            </w:tcBorders>
          </w:tcPr>
          <w:p w:rsidR="006074C8" w:rsidRPr="00884EE7" w:rsidRDefault="006074C8" w:rsidP="00A14ADC">
            <w:pPr>
              <w:rPr>
                <w:sz w:val="17"/>
                <w:szCs w:val="17"/>
              </w:rPr>
            </w:pPr>
            <w:r>
              <w:rPr>
                <w:sz w:val="17"/>
                <w:szCs w:val="17"/>
              </w:rPr>
              <w:t>Expanded model with treatments</w:t>
            </w:r>
          </w:p>
        </w:tc>
        <w:tc>
          <w:tcPr>
            <w:tcW w:w="1701" w:type="dxa"/>
            <w:gridSpan w:val="2"/>
            <w:tcBorders>
              <w:top w:val="nil"/>
              <w:bottom w:val="nil"/>
            </w:tcBorders>
          </w:tcPr>
          <w:p w:rsidR="006074C8" w:rsidRPr="00884EE7" w:rsidRDefault="006074C8" w:rsidP="00831D29">
            <w:pPr>
              <w:rPr>
                <w:sz w:val="17"/>
                <w:szCs w:val="17"/>
              </w:rPr>
            </w:pPr>
            <w:r>
              <w:rPr>
                <w:sz w:val="17"/>
                <w:szCs w:val="17"/>
              </w:rPr>
              <w:t xml:space="preserve">Reduced model without </w:t>
            </w:r>
            <w:r w:rsidR="00831D29">
              <w:rPr>
                <w:sz w:val="17"/>
                <w:szCs w:val="17"/>
              </w:rPr>
              <w:t>lagged covariates</w:t>
            </w:r>
          </w:p>
        </w:tc>
        <w:tc>
          <w:tcPr>
            <w:tcW w:w="1701" w:type="dxa"/>
            <w:gridSpan w:val="2"/>
            <w:tcBorders>
              <w:top w:val="nil"/>
              <w:bottom w:val="nil"/>
            </w:tcBorders>
          </w:tcPr>
          <w:p w:rsidR="006074C8" w:rsidRPr="00884EE7" w:rsidRDefault="006074C8" w:rsidP="00A14ADC">
            <w:pPr>
              <w:rPr>
                <w:sz w:val="17"/>
                <w:szCs w:val="17"/>
              </w:rPr>
            </w:pPr>
            <w:r>
              <w:rPr>
                <w:sz w:val="17"/>
                <w:szCs w:val="17"/>
              </w:rPr>
              <w:t>Expanded model with Random effects</w:t>
            </w:r>
          </w:p>
        </w:tc>
        <w:tc>
          <w:tcPr>
            <w:tcW w:w="1701" w:type="dxa"/>
            <w:gridSpan w:val="2"/>
            <w:tcBorders>
              <w:top w:val="nil"/>
              <w:bottom w:val="nil"/>
            </w:tcBorders>
          </w:tcPr>
          <w:p w:rsidR="006074C8" w:rsidRPr="00884EE7" w:rsidRDefault="006074C8" w:rsidP="00A14ADC">
            <w:pPr>
              <w:rPr>
                <w:sz w:val="17"/>
                <w:szCs w:val="17"/>
              </w:rPr>
            </w:pPr>
            <w:r>
              <w:rPr>
                <w:sz w:val="17"/>
                <w:szCs w:val="17"/>
              </w:rPr>
              <w:t>Expanded model with treatments with Random effects</w:t>
            </w:r>
          </w:p>
        </w:tc>
        <w:tc>
          <w:tcPr>
            <w:tcW w:w="1702" w:type="dxa"/>
            <w:gridSpan w:val="2"/>
            <w:tcBorders>
              <w:top w:val="nil"/>
              <w:bottom w:val="nil"/>
            </w:tcBorders>
          </w:tcPr>
          <w:p w:rsidR="006074C8" w:rsidRDefault="006074C8" w:rsidP="00831D29">
            <w:pPr>
              <w:rPr>
                <w:sz w:val="17"/>
                <w:szCs w:val="17"/>
              </w:rPr>
            </w:pPr>
            <w:r>
              <w:rPr>
                <w:sz w:val="17"/>
                <w:szCs w:val="17"/>
              </w:rPr>
              <w:t xml:space="preserve">Reduced model without </w:t>
            </w:r>
            <w:r w:rsidR="00831D29">
              <w:rPr>
                <w:sz w:val="17"/>
                <w:szCs w:val="17"/>
              </w:rPr>
              <w:t>lagged covariates</w:t>
            </w:r>
            <w:r>
              <w:rPr>
                <w:sz w:val="17"/>
                <w:szCs w:val="17"/>
              </w:rPr>
              <w:t>, with random effects</w:t>
            </w:r>
          </w:p>
        </w:tc>
      </w:tr>
      <w:tr w:rsidR="006074C8" w:rsidRPr="00884EE7" w:rsidTr="00A14ADC">
        <w:tc>
          <w:tcPr>
            <w:tcW w:w="2861" w:type="dxa"/>
            <w:tcBorders>
              <w:top w:val="nil"/>
              <w:bottom w:val="single" w:sz="4" w:space="0" w:color="auto"/>
            </w:tcBorders>
          </w:tcPr>
          <w:p w:rsidR="006074C8" w:rsidRPr="00884EE7" w:rsidRDefault="006074C8" w:rsidP="00A14ADC">
            <w:pPr>
              <w:rPr>
                <w:sz w:val="17"/>
                <w:szCs w:val="17"/>
              </w:rPr>
            </w:pPr>
          </w:p>
        </w:tc>
        <w:tc>
          <w:tcPr>
            <w:tcW w:w="850" w:type="dxa"/>
            <w:tcBorders>
              <w:top w:val="nil"/>
              <w:bottom w:val="single" w:sz="4" w:space="0" w:color="auto"/>
            </w:tcBorders>
          </w:tcPr>
          <w:p w:rsidR="006074C8" w:rsidRPr="00884EE7" w:rsidRDefault="006074C8" w:rsidP="00A14ADC">
            <w:pPr>
              <w:rPr>
                <w:sz w:val="17"/>
                <w:szCs w:val="17"/>
              </w:rPr>
            </w:pPr>
            <w:r>
              <w:rPr>
                <w:sz w:val="17"/>
                <w:szCs w:val="17"/>
              </w:rPr>
              <w:t>Coefficient</w:t>
            </w:r>
          </w:p>
        </w:tc>
        <w:tc>
          <w:tcPr>
            <w:tcW w:w="851" w:type="dxa"/>
            <w:tcBorders>
              <w:top w:val="nil"/>
              <w:bottom w:val="single" w:sz="4" w:space="0" w:color="auto"/>
            </w:tcBorders>
          </w:tcPr>
          <w:p w:rsidR="006074C8" w:rsidRPr="00884EE7" w:rsidRDefault="0040291B" w:rsidP="00A14ADC">
            <w:pPr>
              <w:rPr>
                <w:sz w:val="17"/>
                <w:szCs w:val="17"/>
              </w:rPr>
            </w:pPr>
            <w:r>
              <w:rPr>
                <w:sz w:val="17"/>
                <w:szCs w:val="17"/>
              </w:rPr>
              <w:t>SE</w:t>
            </w:r>
          </w:p>
        </w:tc>
        <w:tc>
          <w:tcPr>
            <w:tcW w:w="850" w:type="dxa"/>
            <w:tcBorders>
              <w:top w:val="nil"/>
              <w:bottom w:val="single" w:sz="4" w:space="0" w:color="auto"/>
            </w:tcBorders>
          </w:tcPr>
          <w:p w:rsidR="006074C8" w:rsidRPr="00884EE7" w:rsidRDefault="006074C8" w:rsidP="00A14ADC">
            <w:pPr>
              <w:rPr>
                <w:sz w:val="17"/>
                <w:szCs w:val="17"/>
              </w:rPr>
            </w:pPr>
            <w:r w:rsidRPr="00884EE7">
              <w:rPr>
                <w:sz w:val="17"/>
                <w:szCs w:val="17"/>
              </w:rPr>
              <w:t>Coefficient</w:t>
            </w:r>
          </w:p>
        </w:tc>
        <w:tc>
          <w:tcPr>
            <w:tcW w:w="851" w:type="dxa"/>
            <w:tcBorders>
              <w:top w:val="nil"/>
              <w:bottom w:val="single" w:sz="4" w:space="0" w:color="auto"/>
            </w:tcBorders>
          </w:tcPr>
          <w:p w:rsidR="006074C8" w:rsidRPr="00884EE7" w:rsidRDefault="0040291B" w:rsidP="00A14ADC">
            <w:pPr>
              <w:rPr>
                <w:sz w:val="17"/>
                <w:szCs w:val="17"/>
              </w:rPr>
            </w:pPr>
            <w:r>
              <w:rPr>
                <w:sz w:val="17"/>
                <w:szCs w:val="17"/>
              </w:rPr>
              <w:t>SE</w:t>
            </w:r>
          </w:p>
        </w:tc>
        <w:tc>
          <w:tcPr>
            <w:tcW w:w="850" w:type="dxa"/>
            <w:tcBorders>
              <w:top w:val="nil"/>
              <w:bottom w:val="single" w:sz="4" w:space="0" w:color="auto"/>
            </w:tcBorders>
          </w:tcPr>
          <w:p w:rsidR="006074C8" w:rsidRPr="00884EE7" w:rsidRDefault="006074C8" w:rsidP="00A14ADC">
            <w:pPr>
              <w:rPr>
                <w:sz w:val="17"/>
                <w:szCs w:val="17"/>
              </w:rPr>
            </w:pPr>
            <w:r>
              <w:rPr>
                <w:sz w:val="17"/>
                <w:szCs w:val="17"/>
              </w:rPr>
              <w:t>Coefficient</w:t>
            </w:r>
          </w:p>
        </w:tc>
        <w:tc>
          <w:tcPr>
            <w:tcW w:w="851" w:type="dxa"/>
            <w:tcBorders>
              <w:top w:val="nil"/>
              <w:bottom w:val="single" w:sz="4" w:space="0" w:color="auto"/>
            </w:tcBorders>
          </w:tcPr>
          <w:p w:rsidR="006074C8" w:rsidRPr="00884EE7" w:rsidRDefault="0040291B" w:rsidP="00A14ADC">
            <w:pPr>
              <w:rPr>
                <w:sz w:val="17"/>
                <w:szCs w:val="17"/>
              </w:rPr>
            </w:pPr>
            <w:r>
              <w:rPr>
                <w:sz w:val="17"/>
                <w:szCs w:val="17"/>
              </w:rPr>
              <w:t>SE</w:t>
            </w:r>
          </w:p>
        </w:tc>
        <w:tc>
          <w:tcPr>
            <w:tcW w:w="851" w:type="dxa"/>
            <w:tcBorders>
              <w:top w:val="nil"/>
              <w:bottom w:val="single" w:sz="4" w:space="0" w:color="auto"/>
            </w:tcBorders>
          </w:tcPr>
          <w:p w:rsidR="006074C8" w:rsidRPr="00884EE7" w:rsidRDefault="006074C8" w:rsidP="00A14ADC">
            <w:pPr>
              <w:rPr>
                <w:sz w:val="17"/>
                <w:szCs w:val="17"/>
              </w:rPr>
            </w:pPr>
            <w:r>
              <w:rPr>
                <w:sz w:val="17"/>
                <w:szCs w:val="17"/>
              </w:rPr>
              <w:t>Coefficient</w:t>
            </w:r>
          </w:p>
        </w:tc>
        <w:tc>
          <w:tcPr>
            <w:tcW w:w="850" w:type="dxa"/>
            <w:tcBorders>
              <w:top w:val="nil"/>
              <w:bottom w:val="single" w:sz="4" w:space="0" w:color="auto"/>
            </w:tcBorders>
          </w:tcPr>
          <w:p w:rsidR="006074C8" w:rsidRPr="00884EE7" w:rsidRDefault="0040291B" w:rsidP="00A14ADC">
            <w:pPr>
              <w:rPr>
                <w:sz w:val="17"/>
                <w:szCs w:val="17"/>
              </w:rPr>
            </w:pPr>
            <w:r>
              <w:rPr>
                <w:sz w:val="17"/>
                <w:szCs w:val="17"/>
              </w:rPr>
              <w:t>SE</w:t>
            </w:r>
          </w:p>
        </w:tc>
        <w:tc>
          <w:tcPr>
            <w:tcW w:w="851" w:type="dxa"/>
            <w:tcBorders>
              <w:top w:val="nil"/>
              <w:bottom w:val="single" w:sz="4" w:space="0" w:color="auto"/>
            </w:tcBorders>
          </w:tcPr>
          <w:p w:rsidR="006074C8" w:rsidRPr="00884EE7" w:rsidRDefault="006074C8" w:rsidP="00A14ADC">
            <w:pPr>
              <w:rPr>
                <w:sz w:val="17"/>
                <w:szCs w:val="17"/>
              </w:rPr>
            </w:pPr>
            <w:r w:rsidRPr="00884EE7">
              <w:rPr>
                <w:sz w:val="17"/>
                <w:szCs w:val="17"/>
              </w:rPr>
              <w:t>Coefficient</w:t>
            </w:r>
          </w:p>
        </w:tc>
        <w:tc>
          <w:tcPr>
            <w:tcW w:w="850" w:type="dxa"/>
            <w:tcBorders>
              <w:top w:val="nil"/>
              <w:bottom w:val="single" w:sz="4" w:space="0" w:color="auto"/>
            </w:tcBorders>
          </w:tcPr>
          <w:p w:rsidR="006074C8" w:rsidRPr="00884EE7" w:rsidRDefault="0040291B" w:rsidP="00A14ADC">
            <w:pPr>
              <w:rPr>
                <w:sz w:val="17"/>
                <w:szCs w:val="17"/>
              </w:rPr>
            </w:pPr>
            <w:r>
              <w:rPr>
                <w:sz w:val="17"/>
                <w:szCs w:val="17"/>
              </w:rPr>
              <w:t>SE</w:t>
            </w:r>
          </w:p>
        </w:tc>
        <w:tc>
          <w:tcPr>
            <w:tcW w:w="851" w:type="dxa"/>
            <w:tcBorders>
              <w:top w:val="nil"/>
              <w:bottom w:val="single" w:sz="4" w:space="0" w:color="auto"/>
            </w:tcBorders>
          </w:tcPr>
          <w:p w:rsidR="006074C8" w:rsidRPr="00884EE7" w:rsidRDefault="006074C8" w:rsidP="00A14ADC">
            <w:pPr>
              <w:rPr>
                <w:sz w:val="17"/>
                <w:szCs w:val="17"/>
              </w:rPr>
            </w:pPr>
            <w:r>
              <w:rPr>
                <w:sz w:val="17"/>
                <w:szCs w:val="17"/>
              </w:rPr>
              <w:t>Coefficient</w:t>
            </w:r>
          </w:p>
        </w:tc>
        <w:tc>
          <w:tcPr>
            <w:tcW w:w="851" w:type="dxa"/>
            <w:tcBorders>
              <w:top w:val="nil"/>
              <w:bottom w:val="single" w:sz="4" w:space="0" w:color="auto"/>
            </w:tcBorders>
          </w:tcPr>
          <w:p w:rsidR="006074C8" w:rsidRPr="00884EE7" w:rsidRDefault="0040291B" w:rsidP="00A14ADC">
            <w:pPr>
              <w:rPr>
                <w:sz w:val="17"/>
                <w:szCs w:val="17"/>
              </w:rPr>
            </w:pPr>
            <w:r>
              <w:rPr>
                <w:sz w:val="17"/>
                <w:szCs w:val="17"/>
              </w:rPr>
              <w:t>SE</w:t>
            </w:r>
          </w:p>
        </w:tc>
      </w:tr>
      <w:tr w:rsidR="006074C8" w:rsidRPr="00884EE7" w:rsidTr="00A14ADC">
        <w:tc>
          <w:tcPr>
            <w:tcW w:w="2861" w:type="dxa"/>
            <w:tcBorders>
              <w:top w:val="single" w:sz="4" w:space="0" w:color="auto"/>
            </w:tcBorders>
          </w:tcPr>
          <w:p w:rsidR="006074C8" w:rsidRPr="00C82E8E" w:rsidRDefault="006074C8" w:rsidP="00A14ADC">
            <w:pPr>
              <w:rPr>
                <w:sz w:val="17"/>
                <w:szCs w:val="17"/>
                <w:lang w:val="it-IT"/>
              </w:rPr>
            </w:pPr>
            <w:r w:rsidRPr="00C82E8E">
              <w:rPr>
                <w:sz w:val="17"/>
                <w:szCs w:val="17"/>
                <w:lang w:val="it-IT"/>
              </w:rPr>
              <w:t>SLEDAI score in previous per</w:t>
            </w:r>
            <w:r>
              <w:rPr>
                <w:sz w:val="17"/>
                <w:szCs w:val="17"/>
                <w:lang w:val="it-IT"/>
              </w:rPr>
              <w:t>iod</w:t>
            </w:r>
          </w:p>
        </w:tc>
        <w:tc>
          <w:tcPr>
            <w:tcW w:w="850" w:type="dxa"/>
            <w:tcBorders>
              <w:top w:val="single" w:sz="4" w:space="0" w:color="auto"/>
            </w:tcBorders>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.402</w:t>
            </w:r>
            <w:r>
              <w:rPr>
                <w:sz w:val="17"/>
                <w:szCs w:val="17"/>
              </w:rPr>
              <w:t>0</w:t>
            </w:r>
          </w:p>
        </w:tc>
        <w:tc>
          <w:tcPr>
            <w:tcW w:w="851" w:type="dxa"/>
            <w:tcBorders>
              <w:top w:val="single" w:sz="4" w:space="0" w:color="auto"/>
            </w:tcBorders>
          </w:tcPr>
          <w:p w:rsidR="006074C8" w:rsidRPr="00884EE7" w:rsidRDefault="006074C8" w:rsidP="001F552E">
            <w:pPr>
              <w:rPr>
                <w:sz w:val="17"/>
                <w:szCs w:val="17"/>
              </w:rPr>
            </w:pPr>
            <w:r>
              <w:rPr>
                <w:sz w:val="17"/>
                <w:szCs w:val="17"/>
              </w:rPr>
              <w:t>0.0</w:t>
            </w:r>
            <w:r w:rsidR="001F552E">
              <w:rPr>
                <w:sz w:val="17"/>
                <w:szCs w:val="17"/>
              </w:rPr>
              <w:t>172</w:t>
            </w:r>
          </w:p>
        </w:tc>
        <w:tc>
          <w:tcPr>
            <w:tcW w:w="850" w:type="dxa"/>
            <w:tcBorders>
              <w:top w:val="single" w:sz="4" w:space="0" w:color="auto"/>
            </w:tcBorders>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.4110</w:t>
            </w:r>
          </w:p>
        </w:tc>
        <w:tc>
          <w:tcPr>
            <w:tcW w:w="851" w:type="dxa"/>
            <w:tcBorders>
              <w:top w:val="single" w:sz="4" w:space="0" w:color="auto"/>
            </w:tcBorders>
          </w:tcPr>
          <w:p w:rsidR="006074C8" w:rsidRPr="00884EE7" w:rsidRDefault="006074C8" w:rsidP="001F552E">
            <w:pPr>
              <w:rPr>
                <w:sz w:val="17"/>
                <w:szCs w:val="17"/>
              </w:rPr>
            </w:pPr>
            <w:r>
              <w:rPr>
                <w:sz w:val="17"/>
                <w:szCs w:val="17"/>
              </w:rPr>
              <w:t>0.0</w:t>
            </w:r>
            <w:r w:rsidR="001F552E">
              <w:rPr>
                <w:sz w:val="17"/>
                <w:szCs w:val="17"/>
              </w:rPr>
              <w:t>175</w:t>
            </w:r>
          </w:p>
        </w:tc>
        <w:tc>
          <w:tcPr>
            <w:tcW w:w="850" w:type="dxa"/>
            <w:tcBorders>
              <w:top w:val="single" w:sz="4" w:space="0" w:color="auto"/>
            </w:tcBorders>
          </w:tcPr>
          <w:p w:rsidR="006074C8" w:rsidRPr="00884EE7" w:rsidRDefault="006074C8" w:rsidP="00A14ADC">
            <w:pPr>
              <w:rPr>
                <w:sz w:val="17"/>
                <w:szCs w:val="17"/>
              </w:rPr>
            </w:pPr>
            <w:r w:rsidRPr="004F5E2D">
              <w:rPr>
                <w:sz w:val="17"/>
                <w:szCs w:val="17"/>
              </w:rPr>
              <w:t>-</w:t>
            </w:r>
            <w:r>
              <w:rPr>
                <w:sz w:val="17"/>
                <w:szCs w:val="17"/>
              </w:rPr>
              <w:t>0</w:t>
            </w:r>
            <w:r w:rsidRPr="004F5E2D">
              <w:rPr>
                <w:sz w:val="17"/>
                <w:szCs w:val="17"/>
              </w:rPr>
              <w:t>.334</w:t>
            </w:r>
            <w:r>
              <w:rPr>
                <w:sz w:val="17"/>
                <w:szCs w:val="17"/>
              </w:rPr>
              <w:t>4</w:t>
            </w:r>
          </w:p>
        </w:tc>
        <w:tc>
          <w:tcPr>
            <w:tcW w:w="851" w:type="dxa"/>
            <w:tcBorders>
              <w:top w:val="single" w:sz="4" w:space="0" w:color="auto"/>
            </w:tcBorders>
          </w:tcPr>
          <w:p w:rsidR="006074C8" w:rsidRPr="00884EE7" w:rsidRDefault="001F552E" w:rsidP="00F44407">
            <w:pPr>
              <w:rPr>
                <w:sz w:val="17"/>
                <w:szCs w:val="17"/>
              </w:rPr>
            </w:pPr>
            <w:r>
              <w:rPr>
                <w:sz w:val="17"/>
                <w:szCs w:val="17"/>
              </w:rPr>
              <w:t>0.0120</w:t>
            </w:r>
          </w:p>
        </w:tc>
        <w:tc>
          <w:tcPr>
            <w:tcW w:w="851" w:type="dxa"/>
            <w:tcBorders>
              <w:top w:val="single" w:sz="4" w:space="0" w:color="auto"/>
            </w:tcBorders>
          </w:tcPr>
          <w:p w:rsidR="006074C8" w:rsidRPr="00884EE7" w:rsidRDefault="006074C8" w:rsidP="00A14ADC">
            <w:pPr>
              <w:rPr>
                <w:sz w:val="17"/>
                <w:szCs w:val="17"/>
              </w:rPr>
            </w:pPr>
            <w:r w:rsidRPr="004F5E2D">
              <w:rPr>
                <w:sz w:val="17"/>
                <w:szCs w:val="17"/>
              </w:rPr>
              <w:t>-</w:t>
            </w:r>
            <w:r>
              <w:rPr>
                <w:sz w:val="17"/>
                <w:szCs w:val="17"/>
              </w:rPr>
              <w:t>0</w:t>
            </w:r>
            <w:r w:rsidRPr="004F5E2D">
              <w:rPr>
                <w:sz w:val="17"/>
                <w:szCs w:val="17"/>
              </w:rPr>
              <w:t>.4594</w:t>
            </w:r>
          </w:p>
        </w:tc>
        <w:tc>
          <w:tcPr>
            <w:tcW w:w="850" w:type="dxa"/>
            <w:tcBorders>
              <w:top w:val="single" w:sz="4" w:space="0" w:color="auto"/>
            </w:tcBorders>
          </w:tcPr>
          <w:p w:rsidR="006074C8" w:rsidRPr="00884EE7" w:rsidRDefault="00F57325" w:rsidP="00F44407">
            <w:pPr>
              <w:rPr>
                <w:sz w:val="17"/>
                <w:szCs w:val="17"/>
              </w:rPr>
            </w:pPr>
            <w:r>
              <w:rPr>
                <w:sz w:val="17"/>
                <w:szCs w:val="17"/>
              </w:rPr>
              <w:t>0.0148</w:t>
            </w:r>
          </w:p>
        </w:tc>
        <w:tc>
          <w:tcPr>
            <w:tcW w:w="851" w:type="dxa"/>
            <w:tcBorders>
              <w:top w:val="single" w:sz="4" w:space="0" w:color="auto"/>
            </w:tcBorders>
          </w:tcPr>
          <w:p w:rsidR="006074C8" w:rsidRPr="00884EE7" w:rsidRDefault="006074C8" w:rsidP="00A14ADC">
            <w:pPr>
              <w:rPr>
                <w:sz w:val="17"/>
                <w:szCs w:val="17"/>
              </w:rPr>
            </w:pPr>
            <w:r w:rsidRPr="00B5257F">
              <w:rPr>
                <w:sz w:val="17"/>
                <w:szCs w:val="17"/>
              </w:rPr>
              <w:t>-</w:t>
            </w:r>
            <w:r>
              <w:rPr>
                <w:sz w:val="17"/>
                <w:szCs w:val="17"/>
              </w:rPr>
              <w:t>0</w:t>
            </w:r>
            <w:r w:rsidRPr="00B5257F">
              <w:rPr>
                <w:sz w:val="17"/>
                <w:szCs w:val="17"/>
              </w:rPr>
              <w:t>.416</w:t>
            </w:r>
            <w:r>
              <w:rPr>
                <w:sz w:val="17"/>
                <w:szCs w:val="17"/>
              </w:rPr>
              <w:t>3</w:t>
            </w:r>
          </w:p>
        </w:tc>
        <w:tc>
          <w:tcPr>
            <w:tcW w:w="850" w:type="dxa"/>
            <w:tcBorders>
              <w:top w:val="single" w:sz="4" w:space="0" w:color="auto"/>
            </w:tcBorders>
          </w:tcPr>
          <w:p w:rsidR="006074C8" w:rsidRPr="00884EE7" w:rsidRDefault="006074C8" w:rsidP="00F44407">
            <w:pPr>
              <w:rPr>
                <w:sz w:val="17"/>
                <w:szCs w:val="17"/>
              </w:rPr>
            </w:pPr>
            <w:r>
              <w:rPr>
                <w:sz w:val="17"/>
                <w:szCs w:val="17"/>
              </w:rPr>
              <w:t>0.0</w:t>
            </w:r>
            <w:r w:rsidR="001F552E">
              <w:rPr>
                <w:sz w:val="17"/>
                <w:szCs w:val="17"/>
              </w:rPr>
              <w:t>150</w:t>
            </w:r>
          </w:p>
        </w:tc>
        <w:tc>
          <w:tcPr>
            <w:tcW w:w="851" w:type="dxa"/>
            <w:tcBorders>
              <w:top w:val="single" w:sz="4" w:space="0" w:color="auto"/>
            </w:tcBorders>
          </w:tcPr>
          <w:p w:rsidR="006074C8" w:rsidRDefault="006074C8" w:rsidP="00A14ADC">
            <w:pPr>
              <w:rPr>
                <w:sz w:val="17"/>
                <w:szCs w:val="17"/>
              </w:rPr>
            </w:pPr>
            <w:r w:rsidRPr="00B5257F">
              <w:rPr>
                <w:sz w:val="17"/>
                <w:szCs w:val="17"/>
              </w:rPr>
              <w:t>-</w:t>
            </w:r>
            <w:r>
              <w:rPr>
                <w:sz w:val="17"/>
                <w:szCs w:val="17"/>
              </w:rPr>
              <w:t>0</w:t>
            </w:r>
            <w:r w:rsidRPr="00B5257F">
              <w:rPr>
                <w:sz w:val="17"/>
                <w:szCs w:val="17"/>
              </w:rPr>
              <w:t>.407</w:t>
            </w:r>
            <w:r>
              <w:rPr>
                <w:sz w:val="17"/>
                <w:szCs w:val="17"/>
              </w:rPr>
              <w:t>1</w:t>
            </w:r>
          </w:p>
        </w:tc>
        <w:tc>
          <w:tcPr>
            <w:tcW w:w="851" w:type="dxa"/>
            <w:tcBorders>
              <w:top w:val="single" w:sz="4" w:space="0" w:color="auto"/>
            </w:tcBorders>
          </w:tcPr>
          <w:p w:rsidR="006074C8" w:rsidRDefault="006074C8" w:rsidP="00F44407">
            <w:pPr>
              <w:rPr>
                <w:sz w:val="17"/>
                <w:szCs w:val="17"/>
              </w:rPr>
            </w:pPr>
            <w:r>
              <w:rPr>
                <w:sz w:val="17"/>
                <w:szCs w:val="17"/>
              </w:rPr>
              <w:t>0.</w:t>
            </w:r>
            <w:r w:rsidR="001F552E">
              <w:rPr>
                <w:sz w:val="17"/>
                <w:szCs w:val="17"/>
              </w:rPr>
              <w:t>0083</w:t>
            </w:r>
          </w:p>
        </w:tc>
      </w:tr>
      <w:tr w:rsidR="006074C8" w:rsidRPr="00884EE7" w:rsidTr="00A14ADC">
        <w:tc>
          <w:tcPr>
            <w:tcW w:w="2861" w:type="dxa"/>
          </w:tcPr>
          <w:p w:rsidR="006074C8" w:rsidRDefault="006074C8" w:rsidP="00A14ADC">
            <w:pPr>
              <w:rPr>
                <w:sz w:val="17"/>
                <w:szCs w:val="17"/>
              </w:rPr>
            </w:pPr>
            <w:r>
              <w:rPr>
                <w:sz w:val="17"/>
                <w:szCs w:val="17"/>
              </w:rPr>
              <w:t>African American ethnicity</w:t>
            </w:r>
          </w:p>
        </w:tc>
        <w:tc>
          <w:tcPr>
            <w:tcW w:w="850" w:type="dxa"/>
          </w:tcPr>
          <w:p w:rsidR="006074C8" w:rsidRPr="00884EE7" w:rsidRDefault="006074C8" w:rsidP="00A14ADC">
            <w:pPr>
              <w:rPr>
                <w:sz w:val="17"/>
                <w:szCs w:val="17"/>
              </w:rPr>
            </w:pPr>
            <w:r>
              <w:rPr>
                <w:sz w:val="17"/>
                <w:szCs w:val="17"/>
              </w:rPr>
              <w:t>0.3173</w:t>
            </w:r>
          </w:p>
        </w:tc>
        <w:tc>
          <w:tcPr>
            <w:tcW w:w="851" w:type="dxa"/>
          </w:tcPr>
          <w:p w:rsidR="006074C8" w:rsidRPr="00884EE7" w:rsidRDefault="001F552E" w:rsidP="00A14ADC">
            <w:pPr>
              <w:rPr>
                <w:sz w:val="17"/>
                <w:szCs w:val="17"/>
              </w:rPr>
            </w:pPr>
            <w:r>
              <w:rPr>
                <w:sz w:val="17"/>
                <w:szCs w:val="17"/>
              </w:rPr>
              <w:t>0.0369</w:t>
            </w:r>
          </w:p>
        </w:tc>
        <w:tc>
          <w:tcPr>
            <w:tcW w:w="850" w:type="dxa"/>
          </w:tcPr>
          <w:p w:rsidR="006074C8" w:rsidRPr="00884EE7" w:rsidRDefault="006074C8" w:rsidP="00A14ADC">
            <w:pPr>
              <w:rPr>
                <w:sz w:val="17"/>
                <w:szCs w:val="17"/>
              </w:rPr>
            </w:pPr>
            <w:r>
              <w:rPr>
                <w:sz w:val="17"/>
                <w:szCs w:val="17"/>
              </w:rPr>
              <w:t>0</w:t>
            </w:r>
            <w:r w:rsidRPr="00E27713">
              <w:rPr>
                <w:sz w:val="17"/>
                <w:szCs w:val="17"/>
              </w:rPr>
              <w:t>.289</w:t>
            </w:r>
            <w:r>
              <w:rPr>
                <w:sz w:val="17"/>
                <w:szCs w:val="17"/>
              </w:rPr>
              <w:t>9</w:t>
            </w:r>
          </w:p>
        </w:tc>
        <w:tc>
          <w:tcPr>
            <w:tcW w:w="851" w:type="dxa"/>
          </w:tcPr>
          <w:p w:rsidR="006074C8" w:rsidRPr="00884EE7" w:rsidRDefault="001F552E" w:rsidP="00F44407">
            <w:pPr>
              <w:rPr>
                <w:sz w:val="17"/>
                <w:szCs w:val="17"/>
              </w:rPr>
            </w:pPr>
            <w:r>
              <w:rPr>
                <w:sz w:val="17"/>
                <w:szCs w:val="17"/>
              </w:rPr>
              <w:t>0.0394</w:t>
            </w:r>
          </w:p>
        </w:tc>
        <w:tc>
          <w:tcPr>
            <w:tcW w:w="850" w:type="dxa"/>
          </w:tcPr>
          <w:p w:rsidR="006074C8" w:rsidRPr="00884EE7" w:rsidRDefault="006074C8" w:rsidP="00A14ADC">
            <w:pPr>
              <w:rPr>
                <w:sz w:val="17"/>
                <w:szCs w:val="17"/>
              </w:rPr>
            </w:pPr>
            <w:r>
              <w:rPr>
                <w:sz w:val="17"/>
                <w:szCs w:val="17"/>
              </w:rPr>
              <w:t>0</w:t>
            </w:r>
            <w:r w:rsidRPr="004F5E2D">
              <w:rPr>
                <w:sz w:val="17"/>
                <w:szCs w:val="17"/>
              </w:rPr>
              <w:t>.269</w:t>
            </w:r>
            <w:r>
              <w:rPr>
                <w:sz w:val="17"/>
                <w:szCs w:val="17"/>
              </w:rPr>
              <w:t>1</w:t>
            </w:r>
          </w:p>
        </w:tc>
        <w:tc>
          <w:tcPr>
            <w:tcW w:w="851" w:type="dxa"/>
          </w:tcPr>
          <w:p w:rsidR="006074C8" w:rsidRPr="00884EE7" w:rsidRDefault="001F552E" w:rsidP="00F44407">
            <w:pPr>
              <w:rPr>
                <w:sz w:val="17"/>
                <w:szCs w:val="17"/>
              </w:rPr>
            </w:pPr>
            <w:r>
              <w:rPr>
                <w:sz w:val="17"/>
                <w:szCs w:val="17"/>
              </w:rPr>
              <w:t>0.0364</w:t>
            </w:r>
          </w:p>
        </w:tc>
        <w:tc>
          <w:tcPr>
            <w:tcW w:w="851" w:type="dxa"/>
          </w:tcPr>
          <w:p w:rsidR="006074C8" w:rsidRPr="00884EE7" w:rsidRDefault="006074C8" w:rsidP="00A14ADC">
            <w:pPr>
              <w:rPr>
                <w:sz w:val="17"/>
                <w:szCs w:val="17"/>
              </w:rPr>
            </w:pPr>
            <w:r>
              <w:rPr>
                <w:sz w:val="17"/>
                <w:szCs w:val="17"/>
              </w:rPr>
              <w:t>0</w:t>
            </w:r>
            <w:r w:rsidRPr="004F5E2D">
              <w:rPr>
                <w:sz w:val="17"/>
                <w:szCs w:val="17"/>
              </w:rPr>
              <w:t>.3839</w:t>
            </w:r>
          </w:p>
        </w:tc>
        <w:tc>
          <w:tcPr>
            <w:tcW w:w="850" w:type="dxa"/>
          </w:tcPr>
          <w:p w:rsidR="006074C8" w:rsidRPr="00884EE7" w:rsidRDefault="00F57325" w:rsidP="00F44407">
            <w:pPr>
              <w:rPr>
                <w:sz w:val="17"/>
                <w:szCs w:val="17"/>
              </w:rPr>
            </w:pPr>
            <w:r>
              <w:rPr>
                <w:sz w:val="17"/>
                <w:szCs w:val="17"/>
              </w:rPr>
              <w:t>0.0464</w:t>
            </w:r>
          </w:p>
        </w:tc>
        <w:tc>
          <w:tcPr>
            <w:tcW w:w="851" w:type="dxa"/>
          </w:tcPr>
          <w:p w:rsidR="006074C8" w:rsidRPr="00884EE7" w:rsidRDefault="006074C8" w:rsidP="00A14ADC">
            <w:pPr>
              <w:rPr>
                <w:sz w:val="17"/>
                <w:szCs w:val="17"/>
              </w:rPr>
            </w:pPr>
            <w:r>
              <w:rPr>
                <w:sz w:val="17"/>
                <w:szCs w:val="17"/>
              </w:rPr>
              <w:t>0</w:t>
            </w:r>
            <w:r w:rsidRPr="00B5257F">
              <w:rPr>
                <w:sz w:val="17"/>
                <w:szCs w:val="17"/>
              </w:rPr>
              <w:t>.2959</w:t>
            </w:r>
          </w:p>
        </w:tc>
        <w:tc>
          <w:tcPr>
            <w:tcW w:w="850" w:type="dxa"/>
          </w:tcPr>
          <w:p w:rsidR="006074C8" w:rsidRPr="00884EE7" w:rsidRDefault="006074C8" w:rsidP="00F44407">
            <w:pPr>
              <w:rPr>
                <w:sz w:val="17"/>
                <w:szCs w:val="17"/>
              </w:rPr>
            </w:pPr>
            <w:r>
              <w:rPr>
                <w:sz w:val="17"/>
                <w:szCs w:val="17"/>
              </w:rPr>
              <w:t>0.</w:t>
            </w:r>
            <w:r w:rsidR="001F552E">
              <w:rPr>
                <w:sz w:val="17"/>
                <w:szCs w:val="17"/>
              </w:rPr>
              <w:t>0424</w:t>
            </w:r>
          </w:p>
        </w:tc>
        <w:tc>
          <w:tcPr>
            <w:tcW w:w="851" w:type="dxa"/>
          </w:tcPr>
          <w:p w:rsidR="006074C8" w:rsidRDefault="006074C8" w:rsidP="00A14ADC">
            <w:pPr>
              <w:rPr>
                <w:sz w:val="17"/>
                <w:szCs w:val="17"/>
              </w:rPr>
            </w:pPr>
            <w:r>
              <w:rPr>
                <w:sz w:val="17"/>
                <w:szCs w:val="17"/>
              </w:rPr>
              <w:t>0</w:t>
            </w:r>
            <w:r w:rsidRPr="00B5257F">
              <w:rPr>
                <w:sz w:val="17"/>
                <w:szCs w:val="17"/>
              </w:rPr>
              <w:t>.3494</w:t>
            </w:r>
          </w:p>
        </w:tc>
        <w:tc>
          <w:tcPr>
            <w:tcW w:w="851" w:type="dxa"/>
          </w:tcPr>
          <w:p w:rsidR="006074C8" w:rsidRDefault="001F552E" w:rsidP="00F44407">
            <w:pPr>
              <w:rPr>
                <w:sz w:val="17"/>
                <w:szCs w:val="17"/>
              </w:rPr>
            </w:pPr>
            <w:r>
              <w:rPr>
                <w:sz w:val="17"/>
                <w:szCs w:val="17"/>
              </w:rPr>
              <w:t>0.0445</w:t>
            </w:r>
          </w:p>
        </w:tc>
      </w:tr>
      <w:tr w:rsidR="006074C8" w:rsidRPr="00884EE7" w:rsidTr="00A14ADC">
        <w:tc>
          <w:tcPr>
            <w:tcW w:w="2861" w:type="dxa"/>
          </w:tcPr>
          <w:p w:rsidR="006074C8" w:rsidRPr="00884EE7" w:rsidRDefault="0040291B" w:rsidP="0040291B">
            <w:pPr>
              <w:rPr>
                <w:sz w:val="17"/>
                <w:szCs w:val="17"/>
              </w:rPr>
            </w:pPr>
            <w:r>
              <w:rPr>
                <w:sz w:val="17"/>
                <w:szCs w:val="17"/>
              </w:rPr>
              <w:t xml:space="preserve">Lagged </w:t>
            </w:r>
            <w:r w:rsidR="006074C8">
              <w:rPr>
                <w:sz w:val="17"/>
                <w:szCs w:val="17"/>
              </w:rPr>
              <w:t>Increase DNA binding</w:t>
            </w:r>
          </w:p>
        </w:tc>
        <w:tc>
          <w:tcPr>
            <w:tcW w:w="850" w:type="dxa"/>
          </w:tcPr>
          <w:p w:rsidR="006074C8" w:rsidRPr="00884EE7" w:rsidRDefault="006074C8" w:rsidP="00A14ADC">
            <w:pPr>
              <w:rPr>
                <w:sz w:val="17"/>
                <w:szCs w:val="17"/>
              </w:rPr>
            </w:pPr>
            <w:r>
              <w:rPr>
                <w:sz w:val="17"/>
                <w:szCs w:val="17"/>
              </w:rPr>
              <w:t>0</w:t>
            </w:r>
            <w:r w:rsidRPr="00E27713">
              <w:rPr>
                <w:sz w:val="17"/>
                <w:szCs w:val="17"/>
              </w:rPr>
              <w:t>.279</w:t>
            </w:r>
            <w:r>
              <w:rPr>
                <w:sz w:val="17"/>
                <w:szCs w:val="17"/>
              </w:rPr>
              <w:t>3</w:t>
            </w:r>
          </w:p>
        </w:tc>
        <w:tc>
          <w:tcPr>
            <w:tcW w:w="851" w:type="dxa"/>
          </w:tcPr>
          <w:p w:rsidR="006074C8" w:rsidRPr="00884EE7" w:rsidRDefault="006074C8" w:rsidP="00A14ADC">
            <w:pPr>
              <w:rPr>
                <w:sz w:val="17"/>
                <w:szCs w:val="17"/>
              </w:rPr>
            </w:pPr>
            <w:r>
              <w:rPr>
                <w:sz w:val="17"/>
                <w:szCs w:val="17"/>
              </w:rPr>
              <w:t>0.0</w:t>
            </w:r>
            <w:r w:rsidR="001F552E">
              <w:rPr>
                <w:sz w:val="17"/>
                <w:szCs w:val="17"/>
              </w:rPr>
              <w:t>493</w:t>
            </w:r>
          </w:p>
        </w:tc>
        <w:tc>
          <w:tcPr>
            <w:tcW w:w="850" w:type="dxa"/>
          </w:tcPr>
          <w:p w:rsidR="006074C8" w:rsidRPr="00884EE7" w:rsidRDefault="006074C8" w:rsidP="00A14ADC">
            <w:pPr>
              <w:rPr>
                <w:sz w:val="17"/>
                <w:szCs w:val="17"/>
              </w:rPr>
            </w:pPr>
            <w:r>
              <w:rPr>
                <w:sz w:val="17"/>
                <w:szCs w:val="17"/>
              </w:rPr>
              <w:t>0</w:t>
            </w:r>
            <w:r w:rsidRPr="00E27713">
              <w:rPr>
                <w:sz w:val="17"/>
                <w:szCs w:val="17"/>
              </w:rPr>
              <w:t>.267</w:t>
            </w:r>
            <w:r>
              <w:rPr>
                <w:sz w:val="17"/>
                <w:szCs w:val="17"/>
              </w:rPr>
              <w:t>6</w:t>
            </w:r>
          </w:p>
        </w:tc>
        <w:tc>
          <w:tcPr>
            <w:tcW w:w="851" w:type="dxa"/>
          </w:tcPr>
          <w:p w:rsidR="006074C8" w:rsidRPr="00884EE7" w:rsidRDefault="001F552E" w:rsidP="00F44407">
            <w:pPr>
              <w:rPr>
                <w:sz w:val="17"/>
                <w:szCs w:val="17"/>
              </w:rPr>
            </w:pPr>
            <w:r>
              <w:rPr>
                <w:sz w:val="17"/>
                <w:szCs w:val="17"/>
              </w:rPr>
              <w:t>0.0508</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Pr>
                <w:sz w:val="17"/>
                <w:szCs w:val="17"/>
              </w:rPr>
              <w:t>0</w:t>
            </w:r>
            <w:r w:rsidRPr="004F5E2D">
              <w:rPr>
                <w:sz w:val="17"/>
                <w:szCs w:val="17"/>
              </w:rPr>
              <w:t>.2745</w:t>
            </w:r>
          </w:p>
        </w:tc>
        <w:tc>
          <w:tcPr>
            <w:tcW w:w="850" w:type="dxa"/>
          </w:tcPr>
          <w:p w:rsidR="006074C8" w:rsidRPr="00884EE7" w:rsidRDefault="00F57325" w:rsidP="00F44407">
            <w:pPr>
              <w:rPr>
                <w:sz w:val="17"/>
                <w:szCs w:val="17"/>
              </w:rPr>
            </w:pPr>
            <w:r>
              <w:rPr>
                <w:sz w:val="17"/>
                <w:szCs w:val="17"/>
              </w:rPr>
              <w:t>0.0515</w:t>
            </w:r>
          </w:p>
        </w:tc>
        <w:tc>
          <w:tcPr>
            <w:tcW w:w="851" w:type="dxa"/>
          </w:tcPr>
          <w:p w:rsidR="006074C8" w:rsidRPr="00884EE7" w:rsidRDefault="006074C8" w:rsidP="00A14ADC">
            <w:pPr>
              <w:rPr>
                <w:sz w:val="17"/>
                <w:szCs w:val="17"/>
              </w:rPr>
            </w:pPr>
            <w:r>
              <w:rPr>
                <w:sz w:val="17"/>
                <w:szCs w:val="17"/>
              </w:rPr>
              <w:t>0</w:t>
            </w:r>
            <w:r w:rsidRPr="00B5257F">
              <w:rPr>
                <w:sz w:val="17"/>
                <w:szCs w:val="17"/>
              </w:rPr>
              <w:t>.2675</w:t>
            </w:r>
          </w:p>
        </w:tc>
        <w:tc>
          <w:tcPr>
            <w:tcW w:w="850" w:type="dxa"/>
          </w:tcPr>
          <w:p w:rsidR="006074C8" w:rsidRPr="00884EE7" w:rsidRDefault="006074C8" w:rsidP="00F44407">
            <w:pPr>
              <w:rPr>
                <w:sz w:val="17"/>
                <w:szCs w:val="17"/>
              </w:rPr>
            </w:pPr>
            <w:r>
              <w:rPr>
                <w:sz w:val="17"/>
                <w:szCs w:val="17"/>
              </w:rPr>
              <w:t>0.0</w:t>
            </w:r>
            <w:r w:rsidR="001F552E">
              <w:rPr>
                <w:sz w:val="17"/>
                <w:szCs w:val="17"/>
              </w:rPr>
              <w:t>512</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c>
          <w:tcPr>
            <w:tcW w:w="2861" w:type="dxa"/>
          </w:tcPr>
          <w:p w:rsidR="006074C8" w:rsidRPr="00884EE7" w:rsidRDefault="0040291B" w:rsidP="0040291B">
            <w:pPr>
              <w:rPr>
                <w:sz w:val="17"/>
                <w:szCs w:val="17"/>
              </w:rPr>
            </w:pPr>
            <w:r>
              <w:rPr>
                <w:sz w:val="17"/>
                <w:szCs w:val="17"/>
              </w:rPr>
              <w:t>Lagged l</w:t>
            </w:r>
            <w:r w:rsidR="006074C8">
              <w:rPr>
                <w:sz w:val="17"/>
                <w:szCs w:val="17"/>
              </w:rPr>
              <w:t>ow complement</w:t>
            </w:r>
          </w:p>
        </w:tc>
        <w:tc>
          <w:tcPr>
            <w:tcW w:w="850" w:type="dxa"/>
          </w:tcPr>
          <w:p w:rsidR="006074C8" w:rsidRPr="00884EE7" w:rsidRDefault="006074C8" w:rsidP="00A14ADC">
            <w:pPr>
              <w:rPr>
                <w:sz w:val="17"/>
                <w:szCs w:val="17"/>
              </w:rPr>
            </w:pPr>
            <w:r>
              <w:rPr>
                <w:sz w:val="17"/>
                <w:szCs w:val="17"/>
              </w:rPr>
              <w:t>0</w:t>
            </w:r>
            <w:r w:rsidRPr="00E27713">
              <w:rPr>
                <w:sz w:val="17"/>
                <w:szCs w:val="17"/>
              </w:rPr>
              <w:t>.4903</w:t>
            </w:r>
          </w:p>
        </w:tc>
        <w:tc>
          <w:tcPr>
            <w:tcW w:w="851" w:type="dxa"/>
          </w:tcPr>
          <w:p w:rsidR="006074C8" w:rsidRPr="00884EE7" w:rsidRDefault="001F552E" w:rsidP="00A14ADC">
            <w:pPr>
              <w:rPr>
                <w:sz w:val="17"/>
                <w:szCs w:val="17"/>
              </w:rPr>
            </w:pPr>
            <w:r>
              <w:rPr>
                <w:sz w:val="17"/>
                <w:szCs w:val="17"/>
              </w:rPr>
              <w:t>0.0480</w:t>
            </w:r>
          </w:p>
        </w:tc>
        <w:tc>
          <w:tcPr>
            <w:tcW w:w="850" w:type="dxa"/>
          </w:tcPr>
          <w:p w:rsidR="006074C8" w:rsidRPr="00884EE7" w:rsidRDefault="006074C8" w:rsidP="00A14ADC">
            <w:pPr>
              <w:rPr>
                <w:sz w:val="17"/>
                <w:szCs w:val="17"/>
              </w:rPr>
            </w:pPr>
            <w:r>
              <w:rPr>
                <w:sz w:val="17"/>
                <w:szCs w:val="17"/>
              </w:rPr>
              <w:t>0</w:t>
            </w:r>
            <w:r w:rsidRPr="00E27713">
              <w:rPr>
                <w:sz w:val="17"/>
                <w:szCs w:val="17"/>
              </w:rPr>
              <w:t>.4850</w:t>
            </w:r>
          </w:p>
        </w:tc>
        <w:tc>
          <w:tcPr>
            <w:tcW w:w="851" w:type="dxa"/>
          </w:tcPr>
          <w:p w:rsidR="006074C8" w:rsidRPr="00884EE7" w:rsidRDefault="001F552E" w:rsidP="00F44407">
            <w:pPr>
              <w:rPr>
                <w:sz w:val="17"/>
                <w:szCs w:val="17"/>
              </w:rPr>
            </w:pPr>
            <w:r>
              <w:rPr>
                <w:sz w:val="17"/>
                <w:szCs w:val="17"/>
              </w:rPr>
              <w:t>0.0494</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Pr>
                <w:sz w:val="17"/>
                <w:szCs w:val="17"/>
              </w:rPr>
              <w:t>0</w:t>
            </w:r>
            <w:r w:rsidRPr="004F5E2D">
              <w:rPr>
                <w:sz w:val="17"/>
                <w:szCs w:val="17"/>
              </w:rPr>
              <w:t>.4834</w:t>
            </w:r>
          </w:p>
        </w:tc>
        <w:tc>
          <w:tcPr>
            <w:tcW w:w="850" w:type="dxa"/>
          </w:tcPr>
          <w:p w:rsidR="006074C8" w:rsidRPr="00884EE7" w:rsidRDefault="00F57325" w:rsidP="00F44407">
            <w:pPr>
              <w:rPr>
                <w:sz w:val="17"/>
                <w:szCs w:val="17"/>
              </w:rPr>
            </w:pPr>
            <w:r>
              <w:rPr>
                <w:sz w:val="17"/>
                <w:szCs w:val="17"/>
              </w:rPr>
              <w:t>0.4834</w:t>
            </w:r>
          </w:p>
        </w:tc>
        <w:tc>
          <w:tcPr>
            <w:tcW w:w="851" w:type="dxa"/>
          </w:tcPr>
          <w:p w:rsidR="006074C8" w:rsidRPr="00884EE7" w:rsidRDefault="006074C8" w:rsidP="00A14ADC">
            <w:pPr>
              <w:rPr>
                <w:sz w:val="17"/>
                <w:szCs w:val="17"/>
              </w:rPr>
            </w:pPr>
            <w:r>
              <w:rPr>
                <w:sz w:val="17"/>
                <w:szCs w:val="17"/>
              </w:rPr>
              <w:t>0</w:t>
            </w:r>
            <w:r w:rsidRPr="00B5257F">
              <w:rPr>
                <w:sz w:val="17"/>
                <w:szCs w:val="17"/>
              </w:rPr>
              <w:t>.4853</w:t>
            </w:r>
          </w:p>
        </w:tc>
        <w:tc>
          <w:tcPr>
            <w:tcW w:w="850" w:type="dxa"/>
          </w:tcPr>
          <w:p w:rsidR="006074C8" w:rsidRPr="00884EE7" w:rsidRDefault="006074C8" w:rsidP="00F44407">
            <w:pPr>
              <w:rPr>
                <w:sz w:val="17"/>
                <w:szCs w:val="17"/>
              </w:rPr>
            </w:pPr>
            <w:r>
              <w:rPr>
                <w:sz w:val="17"/>
                <w:szCs w:val="17"/>
              </w:rPr>
              <w:t>0.0</w:t>
            </w:r>
            <w:r w:rsidR="001F552E">
              <w:rPr>
                <w:sz w:val="17"/>
                <w:szCs w:val="17"/>
              </w:rPr>
              <w:t>487</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c>
          <w:tcPr>
            <w:tcW w:w="2861" w:type="dxa"/>
          </w:tcPr>
          <w:p w:rsidR="006074C8" w:rsidRPr="00884EE7" w:rsidRDefault="006074C8" w:rsidP="00A14ADC">
            <w:pPr>
              <w:rPr>
                <w:sz w:val="17"/>
                <w:szCs w:val="17"/>
              </w:rPr>
            </w:pPr>
            <w:r>
              <w:rPr>
                <w:sz w:val="17"/>
                <w:szCs w:val="17"/>
              </w:rPr>
              <w:t>Log of age</w:t>
            </w: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.152</w:t>
            </w:r>
            <w:r>
              <w:rPr>
                <w:sz w:val="17"/>
                <w:szCs w:val="17"/>
              </w:rPr>
              <w:t>8</w:t>
            </w:r>
          </w:p>
        </w:tc>
        <w:tc>
          <w:tcPr>
            <w:tcW w:w="851" w:type="dxa"/>
          </w:tcPr>
          <w:p w:rsidR="006074C8" w:rsidRPr="00884EE7" w:rsidRDefault="001F552E" w:rsidP="00A14ADC">
            <w:pPr>
              <w:rPr>
                <w:sz w:val="17"/>
                <w:szCs w:val="17"/>
              </w:rPr>
            </w:pPr>
            <w:r>
              <w:rPr>
                <w:sz w:val="17"/>
                <w:szCs w:val="17"/>
              </w:rPr>
              <w:t>0.0594</w:t>
            </w: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.1145</w:t>
            </w:r>
          </w:p>
        </w:tc>
        <w:tc>
          <w:tcPr>
            <w:tcW w:w="851" w:type="dxa"/>
          </w:tcPr>
          <w:p w:rsidR="006074C8" w:rsidRPr="00884EE7" w:rsidRDefault="006074C8" w:rsidP="00A14ADC">
            <w:pPr>
              <w:rPr>
                <w:sz w:val="17"/>
                <w:szCs w:val="17"/>
              </w:rPr>
            </w:pPr>
            <w:r>
              <w:rPr>
                <w:sz w:val="17"/>
                <w:szCs w:val="17"/>
              </w:rPr>
              <w:t>0.0</w:t>
            </w:r>
            <w:r w:rsidR="001F552E">
              <w:rPr>
                <w:sz w:val="17"/>
                <w:szCs w:val="17"/>
              </w:rPr>
              <w:t>604</w:t>
            </w:r>
          </w:p>
        </w:tc>
        <w:tc>
          <w:tcPr>
            <w:tcW w:w="850" w:type="dxa"/>
          </w:tcPr>
          <w:p w:rsidR="006074C8" w:rsidRPr="00884EE7" w:rsidRDefault="006074C8" w:rsidP="00A14ADC">
            <w:pPr>
              <w:rPr>
                <w:sz w:val="17"/>
                <w:szCs w:val="17"/>
              </w:rPr>
            </w:pPr>
            <w:r w:rsidRPr="004F5E2D">
              <w:rPr>
                <w:sz w:val="17"/>
                <w:szCs w:val="17"/>
              </w:rPr>
              <w:t>-</w:t>
            </w:r>
            <w:r>
              <w:rPr>
                <w:sz w:val="17"/>
                <w:szCs w:val="17"/>
              </w:rPr>
              <w:t>0</w:t>
            </w:r>
            <w:r w:rsidRPr="004F5E2D">
              <w:rPr>
                <w:sz w:val="17"/>
                <w:szCs w:val="17"/>
              </w:rPr>
              <w:t>.2583</w:t>
            </w:r>
          </w:p>
        </w:tc>
        <w:tc>
          <w:tcPr>
            <w:tcW w:w="851" w:type="dxa"/>
          </w:tcPr>
          <w:p w:rsidR="006074C8" w:rsidRPr="00884EE7" w:rsidRDefault="001F552E" w:rsidP="00F44407">
            <w:pPr>
              <w:rPr>
                <w:sz w:val="17"/>
                <w:szCs w:val="17"/>
              </w:rPr>
            </w:pPr>
            <w:r>
              <w:rPr>
                <w:sz w:val="17"/>
                <w:szCs w:val="17"/>
              </w:rPr>
              <w:t>0.0601</w:t>
            </w:r>
          </w:p>
        </w:tc>
        <w:tc>
          <w:tcPr>
            <w:tcW w:w="851" w:type="dxa"/>
          </w:tcPr>
          <w:p w:rsidR="006074C8" w:rsidRPr="00884EE7" w:rsidRDefault="006074C8" w:rsidP="00A14ADC">
            <w:pPr>
              <w:rPr>
                <w:sz w:val="17"/>
                <w:szCs w:val="17"/>
              </w:rPr>
            </w:pPr>
            <w:r w:rsidRPr="004F5E2D">
              <w:rPr>
                <w:sz w:val="17"/>
                <w:szCs w:val="17"/>
              </w:rPr>
              <w:t>-</w:t>
            </w:r>
            <w:r>
              <w:rPr>
                <w:sz w:val="17"/>
                <w:szCs w:val="17"/>
              </w:rPr>
              <w:t>0</w:t>
            </w:r>
            <w:r w:rsidRPr="004F5E2D">
              <w:rPr>
                <w:sz w:val="17"/>
                <w:szCs w:val="17"/>
              </w:rPr>
              <w:t>.2428</w:t>
            </w:r>
          </w:p>
        </w:tc>
        <w:tc>
          <w:tcPr>
            <w:tcW w:w="850" w:type="dxa"/>
          </w:tcPr>
          <w:p w:rsidR="006074C8" w:rsidRPr="00884EE7" w:rsidRDefault="00F57325" w:rsidP="00F44407">
            <w:pPr>
              <w:rPr>
                <w:sz w:val="17"/>
                <w:szCs w:val="17"/>
              </w:rPr>
            </w:pPr>
            <w:r>
              <w:rPr>
                <w:sz w:val="17"/>
                <w:szCs w:val="17"/>
              </w:rPr>
              <w:t>0.0721</w:t>
            </w:r>
          </w:p>
        </w:tc>
        <w:tc>
          <w:tcPr>
            <w:tcW w:w="851" w:type="dxa"/>
          </w:tcPr>
          <w:p w:rsidR="006074C8" w:rsidRPr="00884EE7" w:rsidRDefault="006074C8" w:rsidP="00A14ADC">
            <w:pPr>
              <w:rPr>
                <w:sz w:val="17"/>
                <w:szCs w:val="17"/>
              </w:rPr>
            </w:pPr>
            <w:r w:rsidRPr="00B5257F">
              <w:rPr>
                <w:sz w:val="17"/>
                <w:szCs w:val="17"/>
              </w:rPr>
              <w:t>-</w:t>
            </w:r>
            <w:r>
              <w:rPr>
                <w:sz w:val="17"/>
                <w:szCs w:val="17"/>
              </w:rPr>
              <w:t>0</w:t>
            </w:r>
            <w:r w:rsidRPr="00B5257F">
              <w:rPr>
                <w:sz w:val="17"/>
                <w:szCs w:val="17"/>
              </w:rPr>
              <w:t>.1207</w:t>
            </w:r>
          </w:p>
        </w:tc>
        <w:tc>
          <w:tcPr>
            <w:tcW w:w="850" w:type="dxa"/>
          </w:tcPr>
          <w:p w:rsidR="006074C8" w:rsidRPr="00884EE7" w:rsidRDefault="006074C8" w:rsidP="00A14ADC">
            <w:pPr>
              <w:rPr>
                <w:sz w:val="17"/>
                <w:szCs w:val="17"/>
              </w:rPr>
            </w:pPr>
            <w:r>
              <w:rPr>
                <w:sz w:val="17"/>
                <w:szCs w:val="17"/>
              </w:rPr>
              <w:t>0.</w:t>
            </w:r>
            <w:r w:rsidR="001F552E">
              <w:rPr>
                <w:sz w:val="17"/>
                <w:szCs w:val="17"/>
              </w:rPr>
              <w:t>0657</w:t>
            </w:r>
          </w:p>
        </w:tc>
        <w:tc>
          <w:tcPr>
            <w:tcW w:w="851" w:type="dxa"/>
          </w:tcPr>
          <w:p w:rsidR="006074C8" w:rsidRDefault="006074C8" w:rsidP="00A14ADC">
            <w:pPr>
              <w:rPr>
                <w:sz w:val="17"/>
                <w:szCs w:val="17"/>
              </w:rPr>
            </w:pPr>
            <w:r w:rsidRPr="00B5257F">
              <w:rPr>
                <w:sz w:val="17"/>
                <w:szCs w:val="17"/>
              </w:rPr>
              <w:t>-</w:t>
            </w:r>
            <w:r>
              <w:rPr>
                <w:sz w:val="17"/>
                <w:szCs w:val="17"/>
              </w:rPr>
              <w:t>0</w:t>
            </w:r>
            <w:r w:rsidRPr="00B5257F">
              <w:rPr>
                <w:sz w:val="17"/>
                <w:szCs w:val="17"/>
              </w:rPr>
              <w:t>.370</w:t>
            </w:r>
            <w:r>
              <w:rPr>
                <w:sz w:val="17"/>
                <w:szCs w:val="17"/>
              </w:rPr>
              <w:t>8</w:t>
            </w:r>
          </w:p>
        </w:tc>
        <w:tc>
          <w:tcPr>
            <w:tcW w:w="851" w:type="dxa"/>
          </w:tcPr>
          <w:p w:rsidR="006074C8" w:rsidRDefault="001F552E" w:rsidP="00F44407">
            <w:pPr>
              <w:rPr>
                <w:sz w:val="17"/>
                <w:szCs w:val="17"/>
              </w:rPr>
            </w:pPr>
            <w:r>
              <w:rPr>
                <w:sz w:val="17"/>
                <w:szCs w:val="17"/>
              </w:rPr>
              <w:t>0.0705</w:t>
            </w:r>
          </w:p>
        </w:tc>
      </w:tr>
      <w:tr w:rsidR="006074C8" w:rsidRPr="00884EE7" w:rsidTr="00A14ADC">
        <w:tc>
          <w:tcPr>
            <w:tcW w:w="2861" w:type="dxa"/>
          </w:tcPr>
          <w:p w:rsidR="006074C8" w:rsidRDefault="0040291B" w:rsidP="00A14ADC">
            <w:pPr>
              <w:rPr>
                <w:sz w:val="17"/>
                <w:szCs w:val="17"/>
              </w:rPr>
            </w:pPr>
            <w:r>
              <w:rPr>
                <w:sz w:val="17"/>
                <w:szCs w:val="17"/>
              </w:rPr>
              <w:t>Lagged Haematological involvement</w:t>
            </w:r>
          </w:p>
        </w:tc>
        <w:tc>
          <w:tcPr>
            <w:tcW w:w="850" w:type="dxa"/>
          </w:tcPr>
          <w:p w:rsidR="006074C8" w:rsidRPr="00884EE7" w:rsidRDefault="006074C8" w:rsidP="00A14ADC">
            <w:pPr>
              <w:rPr>
                <w:sz w:val="17"/>
                <w:szCs w:val="17"/>
              </w:rPr>
            </w:pPr>
            <w:r>
              <w:rPr>
                <w:sz w:val="17"/>
                <w:szCs w:val="17"/>
              </w:rPr>
              <w:t>0</w:t>
            </w:r>
            <w:r w:rsidRPr="00E27713">
              <w:rPr>
                <w:sz w:val="17"/>
                <w:szCs w:val="17"/>
              </w:rPr>
              <w:t>.097</w:t>
            </w:r>
            <w:r>
              <w:rPr>
                <w:sz w:val="17"/>
                <w:szCs w:val="17"/>
              </w:rPr>
              <w:t>8</w:t>
            </w:r>
          </w:p>
        </w:tc>
        <w:tc>
          <w:tcPr>
            <w:tcW w:w="851" w:type="dxa"/>
          </w:tcPr>
          <w:p w:rsidR="006074C8" w:rsidRPr="00884EE7" w:rsidRDefault="006074C8" w:rsidP="00A14ADC">
            <w:pPr>
              <w:rPr>
                <w:sz w:val="17"/>
                <w:szCs w:val="17"/>
              </w:rPr>
            </w:pPr>
            <w:r>
              <w:rPr>
                <w:sz w:val="17"/>
                <w:szCs w:val="17"/>
              </w:rPr>
              <w:t>0.0</w:t>
            </w:r>
            <w:r w:rsidR="001F552E">
              <w:rPr>
                <w:sz w:val="17"/>
                <w:szCs w:val="17"/>
              </w:rPr>
              <w:t>568</w:t>
            </w:r>
          </w:p>
        </w:tc>
        <w:tc>
          <w:tcPr>
            <w:tcW w:w="850" w:type="dxa"/>
          </w:tcPr>
          <w:p w:rsidR="006074C8" w:rsidRPr="00884EE7" w:rsidRDefault="006074C8" w:rsidP="00A14ADC">
            <w:pPr>
              <w:rPr>
                <w:sz w:val="17"/>
                <w:szCs w:val="17"/>
              </w:rPr>
            </w:pPr>
            <w:r>
              <w:rPr>
                <w:sz w:val="17"/>
                <w:szCs w:val="17"/>
              </w:rPr>
              <w:t>0</w:t>
            </w:r>
            <w:r w:rsidRPr="00E27713">
              <w:rPr>
                <w:sz w:val="17"/>
                <w:szCs w:val="17"/>
              </w:rPr>
              <w:t>.088</w:t>
            </w:r>
            <w:r>
              <w:rPr>
                <w:sz w:val="17"/>
                <w:szCs w:val="17"/>
              </w:rPr>
              <w:t>1</w:t>
            </w:r>
          </w:p>
        </w:tc>
        <w:tc>
          <w:tcPr>
            <w:tcW w:w="851" w:type="dxa"/>
          </w:tcPr>
          <w:p w:rsidR="006074C8" w:rsidRPr="00884EE7" w:rsidRDefault="006074C8" w:rsidP="00A14ADC">
            <w:pPr>
              <w:rPr>
                <w:sz w:val="17"/>
                <w:szCs w:val="17"/>
              </w:rPr>
            </w:pPr>
            <w:r>
              <w:rPr>
                <w:sz w:val="17"/>
                <w:szCs w:val="17"/>
              </w:rPr>
              <w:t>0.</w:t>
            </w:r>
            <w:r w:rsidR="001F552E">
              <w:rPr>
                <w:sz w:val="17"/>
                <w:szCs w:val="17"/>
              </w:rPr>
              <w:t>0573</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Pr>
                <w:sz w:val="17"/>
                <w:szCs w:val="17"/>
              </w:rPr>
              <w:t>0</w:t>
            </w:r>
            <w:r w:rsidRPr="004F5E2D">
              <w:rPr>
                <w:sz w:val="17"/>
                <w:szCs w:val="17"/>
              </w:rPr>
              <w:t>.1031</w:t>
            </w:r>
          </w:p>
        </w:tc>
        <w:tc>
          <w:tcPr>
            <w:tcW w:w="850" w:type="dxa"/>
          </w:tcPr>
          <w:p w:rsidR="006074C8" w:rsidRPr="00884EE7" w:rsidRDefault="006074C8" w:rsidP="00A14ADC">
            <w:pPr>
              <w:rPr>
                <w:sz w:val="17"/>
                <w:szCs w:val="17"/>
              </w:rPr>
            </w:pPr>
            <w:r>
              <w:rPr>
                <w:sz w:val="17"/>
                <w:szCs w:val="17"/>
              </w:rPr>
              <w:t>0</w:t>
            </w:r>
            <w:r w:rsidR="00F57325">
              <w:rPr>
                <w:sz w:val="17"/>
                <w:szCs w:val="17"/>
              </w:rPr>
              <w:t>.0606</w:t>
            </w:r>
          </w:p>
        </w:tc>
        <w:tc>
          <w:tcPr>
            <w:tcW w:w="851" w:type="dxa"/>
          </w:tcPr>
          <w:p w:rsidR="006074C8" w:rsidRPr="00884EE7" w:rsidRDefault="006074C8" w:rsidP="00A14ADC">
            <w:pPr>
              <w:rPr>
                <w:sz w:val="17"/>
                <w:szCs w:val="17"/>
              </w:rPr>
            </w:pPr>
            <w:r>
              <w:rPr>
                <w:sz w:val="17"/>
                <w:szCs w:val="17"/>
              </w:rPr>
              <w:t>0</w:t>
            </w:r>
            <w:r w:rsidRPr="00B5257F">
              <w:rPr>
                <w:sz w:val="17"/>
                <w:szCs w:val="17"/>
              </w:rPr>
              <w:t>.088</w:t>
            </w:r>
            <w:r>
              <w:rPr>
                <w:sz w:val="17"/>
                <w:szCs w:val="17"/>
              </w:rPr>
              <w:t>2</w:t>
            </w:r>
          </w:p>
        </w:tc>
        <w:tc>
          <w:tcPr>
            <w:tcW w:w="850" w:type="dxa"/>
          </w:tcPr>
          <w:p w:rsidR="006074C8" w:rsidRPr="00884EE7" w:rsidRDefault="006074C8" w:rsidP="00A14ADC">
            <w:pPr>
              <w:rPr>
                <w:sz w:val="17"/>
                <w:szCs w:val="17"/>
              </w:rPr>
            </w:pPr>
            <w:r>
              <w:rPr>
                <w:sz w:val="17"/>
                <w:szCs w:val="17"/>
              </w:rPr>
              <w:t>0.</w:t>
            </w:r>
            <w:r w:rsidR="001F552E">
              <w:rPr>
                <w:sz w:val="17"/>
                <w:szCs w:val="17"/>
              </w:rPr>
              <w:t>0558</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c>
          <w:tcPr>
            <w:tcW w:w="2861" w:type="dxa"/>
          </w:tcPr>
          <w:p w:rsidR="006074C8" w:rsidRDefault="0040291B" w:rsidP="00A14ADC">
            <w:pPr>
              <w:rPr>
                <w:sz w:val="17"/>
                <w:szCs w:val="17"/>
              </w:rPr>
            </w:pPr>
            <w:r>
              <w:rPr>
                <w:sz w:val="17"/>
                <w:szCs w:val="17"/>
              </w:rPr>
              <w:t xml:space="preserve">Lagged anaemia </w:t>
            </w:r>
          </w:p>
        </w:tc>
        <w:tc>
          <w:tcPr>
            <w:tcW w:w="850" w:type="dxa"/>
          </w:tcPr>
          <w:p w:rsidR="006074C8" w:rsidRPr="00884EE7" w:rsidRDefault="006074C8" w:rsidP="00A14ADC">
            <w:pPr>
              <w:rPr>
                <w:sz w:val="17"/>
                <w:szCs w:val="17"/>
              </w:rPr>
            </w:pPr>
            <w:r>
              <w:rPr>
                <w:sz w:val="17"/>
                <w:szCs w:val="17"/>
              </w:rPr>
              <w:t>0</w:t>
            </w:r>
            <w:r w:rsidRPr="00E27713">
              <w:rPr>
                <w:sz w:val="17"/>
                <w:szCs w:val="17"/>
              </w:rPr>
              <w:t>.165</w:t>
            </w:r>
            <w:r>
              <w:rPr>
                <w:sz w:val="17"/>
                <w:szCs w:val="17"/>
              </w:rPr>
              <w:t>6</w:t>
            </w:r>
          </w:p>
        </w:tc>
        <w:tc>
          <w:tcPr>
            <w:tcW w:w="851" w:type="dxa"/>
          </w:tcPr>
          <w:p w:rsidR="006074C8" w:rsidRPr="00884EE7" w:rsidRDefault="001F552E" w:rsidP="00A14ADC">
            <w:pPr>
              <w:rPr>
                <w:sz w:val="17"/>
                <w:szCs w:val="17"/>
              </w:rPr>
            </w:pPr>
            <w:r>
              <w:rPr>
                <w:sz w:val="17"/>
                <w:szCs w:val="17"/>
              </w:rPr>
              <w:t>0.0468</w:t>
            </w:r>
          </w:p>
        </w:tc>
        <w:tc>
          <w:tcPr>
            <w:tcW w:w="850" w:type="dxa"/>
          </w:tcPr>
          <w:p w:rsidR="006074C8" w:rsidRPr="00884EE7" w:rsidRDefault="006074C8" w:rsidP="00A14ADC">
            <w:pPr>
              <w:rPr>
                <w:sz w:val="17"/>
                <w:szCs w:val="17"/>
              </w:rPr>
            </w:pPr>
            <w:r>
              <w:rPr>
                <w:sz w:val="17"/>
                <w:szCs w:val="17"/>
              </w:rPr>
              <w:t>0</w:t>
            </w:r>
            <w:r w:rsidRPr="00E27713">
              <w:rPr>
                <w:sz w:val="17"/>
                <w:szCs w:val="17"/>
              </w:rPr>
              <w:t>.162</w:t>
            </w:r>
            <w:r>
              <w:rPr>
                <w:sz w:val="17"/>
                <w:szCs w:val="17"/>
              </w:rPr>
              <w:t>5</w:t>
            </w:r>
          </w:p>
        </w:tc>
        <w:tc>
          <w:tcPr>
            <w:tcW w:w="851" w:type="dxa"/>
          </w:tcPr>
          <w:p w:rsidR="006074C8" w:rsidRPr="00884EE7" w:rsidRDefault="001F552E" w:rsidP="00F44407">
            <w:pPr>
              <w:rPr>
                <w:sz w:val="17"/>
                <w:szCs w:val="17"/>
              </w:rPr>
            </w:pPr>
            <w:r>
              <w:rPr>
                <w:sz w:val="17"/>
                <w:szCs w:val="17"/>
              </w:rPr>
              <w:t>0.0482</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Pr>
                <w:sz w:val="17"/>
                <w:szCs w:val="17"/>
              </w:rPr>
              <w:t>0</w:t>
            </w:r>
            <w:r w:rsidRPr="004F5E2D">
              <w:rPr>
                <w:sz w:val="17"/>
                <w:szCs w:val="17"/>
              </w:rPr>
              <w:t>.155</w:t>
            </w:r>
            <w:r>
              <w:rPr>
                <w:sz w:val="17"/>
                <w:szCs w:val="17"/>
              </w:rPr>
              <w:t>3</w:t>
            </w:r>
          </w:p>
        </w:tc>
        <w:tc>
          <w:tcPr>
            <w:tcW w:w="850" w:type="dxa"/>
          </w:tcPr>
          <w:p w:rsidR="006074C8" w:rsidRPr="00884EE7" w:rsidRDefault="00F57325" w:rsidP="00F44407">
            <w:pPr>
              <w:rPr>
                <w:sz w:val="17"/>
                <w:szCs w:val="17"/>
              </w:rPr>
            </w:pPr>
            <w:r>
              <w:rPr>
                <w:sz w:val="17"/>
                <w:szCs w:val="17"/>
              </w:rPr>
              <w:t>0.0481</w:t>
            </w:r>
          </w:p>
        </w:tc>
        <w:tc>
          <w:tcPr>
            <w:tcW w:w="851" w:type="dxa"/>
          </w:tcPr>
          <w:p w:rsidR="006074C8" w:rsidRPr="00884EE7" w:rsidRDefault="006074C8" w:rsidP="00A14ADC">
            <w:pPr>
              <w:rPr>
                <w:sz w:val="17"/>
                <w:szCs w:val="17"/>
              </w:rPr>
            </w:pPr>
            <w:r>
              <w:rPr>
                <w:sz w:val="17"/>
                <w:szCs w:val="17"/>
              </w:rPr>
              <w:t>0</w:t>
            </w:r>
            <w:r w:rsidRPr="00B5257F">
              <w:rPr>
                <w:sz w:val="17"/>
                <w:szCs w:val="17"/>
              </w:rPr>
              <w:t>.16</w:t>
            </w:r>
            <w:r>
              <w:rPr>
                <w:sz w:val="17"/>
                <w:szCs w:val="17"/>
              </w:rPr>
              <w:t>20</w:t>
            </w:r>
          </w:p>
        </w:tc>
        <w:tc>
          <w:tcPr>
            <w:tcW w:w="850" w:type="dxa"/>
          </w:tcPr>
          <w:p w:rsidR="006074C8" w:rsidRPr="00884EE7" w:rsidRDefault="006074C8" w:rsidP="00F44407">
            <w:pPr>
              <w:rPr>
                <w:sz w:val="17"/>
                <w:szCs w:val="17"/>
              </w:rPr>
            </w:pPr>
            <w:r>
              <w:rPr>
                <w:sz w:val="17"/>
                <w:szCs w:val="17"/>
              </w:rPr>
              <w:t>0.</w:t>
            </w:r>
            <w:r w:rsidR="001F552E">
              <w:rPr>
                <w:sz w:val="17"/>
                <w:szCs w:val="17"/>
              </w:rPr>
              <w:t>1620</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Default="0040291B" w:rsidP="00A14ADC">
            <w:pPr>
              <w:rPr>
                <w:sz w:val="17"/>
                <w:szCs w:val="17"/>
              </w:rPr>
            </w:pPr>
            <w:r>
              <w:rPr>
                <w:sz w:val="17"/>
                <w:szCs w:val="17"/>
              </w:rPr>
              <w:t>Lagged r</w:t>
            </w:r>
            <w:r w:rsidR="006074C8">
              <w:rPr>
                <w:sz w:val="17"/>
                <w:szCs w:val="17"/>
              </w:rPr>
              <w:t>enal involvement</w:t>
            </w: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.3044</w:t>
            </w:r>
          </w:p>
        </w:tc>
        <w:tc>
          <w:tcPr>
            <w:tcW w:w="851" w:type="dxa"/>
          </w:tcPr>
          <w:p w:rsidR="006074C8" w:rsidRPr="00884EE7" w:rsidRDefault="001F552E" w:rsidP="00A14ADC">
            <w:pPr>
              <w:rPr>
                <w:sz w:val="17"/>
                <w:szCs w:val="17"/>
              </w:rPr>
            </w:pPr>
            <w:r>
              <w:rPr>
                <w:sz w:val="17"/>
                <w:szCs w:val="17"/>
              </w:rPr>
              <w:t>0.0542</w:t>
            </w: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.3468</w:t>
            </w:r>
          </w:p>
        </w:tc>
        <w:tc>
          <w:tcPr>
            <w:tcW w:w="851" w:type="dxa"/>
          </w:tcPr>
          <w:p w:rsidR="006074C8" w:rsidRPr="00884EE7" w:rsidRDefault="001F552E" w:rsidP="00F44407">
            <w:pPr>
              <w:rPr>
                <w:sz w:val="17"/>
                <w:szCs w:val="17"/>
              </w:rPr>
            </w:pPr>
            <w:r>
              <w:rPr>
                <w:sz w:val="17"/>
                <w:szCs w:val="17"/>
              </w:rPr>
              <w:t>0.0573</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sidRPr="004F5E2D">
              <w:rPr>
                <w:sz w:val="17"/>
                <w:szCs w:val="17"/>
              </w:rPr>
              <w:t>-</w:t>
            </w:r>
            <w:r>
              <w:rPr>
                <w:sz w:val="17"/>
                <w:szCs w:val="17"/>
              </w:rPr>
              <w:t>0</w:t>
            </w:r>
            <w:r w:rsidRPr="004F5E2D">
              <w:rPr>
                <w:sz w:val="17"/>
                <w:szCs w:val="17"/>
              </w:rPr>
              <w:t>.3033</w:t>
            </w:r>
          </w:p>
        </w:tc>
        <w:tc>
          <w:tcPr>
            <w:tcW w:w="850" w:type="dxa"/>
          </w:tcPr>
          <w:p w:rsidR="006074C8" w:rsidRPr="00884EE7" w:rsidRDefault="00F57325" w:rsidP="00F44407">
            <w:pPr>
              <w:rPr>
                <w:sz w:val="17"/>
                <w:szCs w:val="17"/>
              </w:rPr>
            </w:pPr>
            <w:r>
              <w:rPr>
                <w:sz w:val="17"/>
                <w:szCs w:val="17"/>
              </w:rPr>
              <w:t>0.0524</w:t>
            </w:r>
          </w:p>
        </w:tc>
        <w:tc>
          <w:tcPr>
            <w:tcW w:w="851" w:type="dxa"/>
          </w:tcPr>
          <w:p w:rsidR="006074C8" w:rsidRDefault="006074C8" w:rsidP="00A14ADC">
            <w:pPr>
              <w:rPr>
                <w:sz w:val="17"/>
                <w:szCs w:val="17"/>
              </w:rPr>
            </w:pPr>
            <w:r w:rsidRPr="00B5257F">
              <w:rPr>
                <w:sz w:val="17"/>
                <w:szCs w:val="17"/>
              </w:rPr>
              <w:t>-</w:t>
            </w:r>
            <w:r>
              <w:rPr>
                <w:sz w:val="17"/>
                <w:szCs w:val="17"/>
              </w:rPr>
              <w:t>0</w:t>
            </w:r>
            <w:r w:rsidRPr="00B5257F">
              <w:rPr>
                <w:sz w:val="17"/>
                <w:szCs w:val="17"/>
              </w:rPr>
              <w:t>.347</w:t>
            </w:r>
            <w:r>
              <w:rPr>
                <w:sz w:val="17"/>
                <w:szCs w:val="17"/>
              </w:rPr>
              <w:t>3</w:t>
            </w:r>
          </w:p>
        </w:tc>
        <w:tc>
          <w:tcPr>
            <w:tcW w:w="850" w:type="dxa"/>
          </w:tcPr>
          <w:p w:rsidR="006074C8" w:rsidRDefault="001F552E" w:rsidP="00F44407">
            <w:pPr>
              <w:rPr>
                <w:sz w:val="17"/>
                <w:szCs w:val="17"/>
              </w:rPr>
            </w:pPr>
            <w:r>
              <w:rPr>
                <w:sz w:val="17"/>
                <w:szCs w:val="17"/>
              </w:rPr>
              <w:t>0.0525</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884EE7" w:rsidRDefault="0040291B" w:rsidP="0040291B">
            <w:pPr>
              <w:rPr>
                <w:sz w:val="17"/>
                <w:szCs w:val="17"/>
              </w:rPr>
            </w:pPr>
            <w:r>
              <w:rPr>
                <w:sz w:val="17"/>
                <w:szCs w:val="17"/>
              </w:rPr>
              <w:t>Lagged m</w:t>
            </w:r>
            <w:r w:rsidR="006074C8">
              <w:rPr>
                <w:sz w:val="17"/>
                <w:szCs w:val="17"/>
              </w:rPr>
              <w:t xml:space="preserve">ean steroid dose </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r>
              <w:rPr>
                <w:sz w:val="17"/>
                <w:szCs w:val="17"/>
              </w:rPr>
              <w:t>0</w:t>
            </w:r>
            <w:r w:rsidRPr="00E27713">
              <w:rPr>
                <w:sz w:val="17"/>
                <w:szCs w:val="17"/>
              </w:rPr>
              <w:t>.014</w:t>
            </w:r>
            <w:r>
              <w:rPr>
                <w:sz w:val="17"/>
                <w:szCs w:val="17"/>
              </w:rPr>
              <w:t>4</w:t>
            </w:r>
          </w:p>
        </w:tc>
        <w:tc>
          <w:tcPr>
            <w:tcW w:w="851" w:type="dxa"/>
          </w:tcPr>
          <w:p w:rsidR="006074C8" w:rsidRPr="00884EE7" w:rsidRDefault="001F552E" w:rsidP="00F44407">
            <w:pPr>
              <w:rPr>
                <w:sz w:val="17"/>
                <w:szCs w:val="17"/>
              </w:rPr>
            </w:pPr>
            <w:r>
              <w:rPr>
                <w:sz w:val="17"/>
                <w:szCs w:val="17"/>
              </w:rPr>
              <w:t>0.0042</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Pr>
                <w:sz w:val="17"/>
                <w:szCs w:val="17"/>
              </w:rPr>
              <w:t>0</w:t>
            </w:r>
            <w:r w:rsidRPr="00B5257F">
              <w:rPr>
                <w:sz w:val="17"/>
                <w:szCs w:val="17"/>
              </w:rPr>
              <w:t>.0146</w:t>
            </w:r>
          </w:p>
        </w:tc>
        <w:tc>
          <w:tcPr>
            <w:tcW w:w="850" w:type="dxa"/>
          </w:tcPr>
          <w:p w:rsidR="001F552E" w:rsidRPr="00884EE7" w:rsidRDefault="006074C8" w:rsidP="00F44407">
            <w:pPr>
              <w:rPr>
                <w:sz w:val="17"/>
                <w:szCs w:val="17"/>
              </w:rPr>
            </w:pPr>
            <w:r>
              <w:rPr>
                <w:sz w:val="17"/>
                <w:szCs w:val="17"/>
              </w:rPr>
              <w:t>0.</w:t>
            </w:r>
            <w:r w:rsidR="001F552E">
              <w:rPr>
                <w:sz w:val="17"/>
                <w:szCs w:val="17"/>
              </w:rPr>
              <w:t>0373</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884EE7" w:rsidRDefault="0040291B" w:rsidP="0040291B">
            <w:pPr>
              <w:rPr>
                <w:sz w:val="17"/>
                <w:szCs w:val="17"/>
              </w:rPr>
            </w:pPr>
            <w:r>
              <w:rPr>
                <w:sz w:val="17"/>
                <w:szCs w:val="17"/>
              </w:rPr>
              <w:t>Lagged t</w:t>
            </w:r>
            <w:r w:rsidR="006074C8">
              <w:rPr>
                <w:sz w:val="17"/>
                <w:szCs w:val="17"/>
              </w:rPr>
              <w:t xml:space="preserve">reatment with </w:t>
            </w:r>
            <w:r>
              <w:rPr>
                <w:sz w:val="17"/>
                <w:szCs w:val="17"/>
              </w:rPr>
              <w:t>anti-malarials</w:t>
            </w:r>
            <w:r w:rsidR="006074C8">
              <w:rPr>
                <w:sz w:val="17"/>
                <w:szCs w:val="17"/>
              </w:rPr>
              <w:t xml:space="preserve"> </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.010</w:t>
            </w:r>
            <w:r>
              <w:rPr>
                <w:sz w:val="17"/>
                <w:szCs w:val="17"/>
              </w:rPr>
              <w:t>1</w:t>
            </w:r>
          </w:p>
        </w:tc>
        <w:tc>
          <w:tcPr>
            <w:tcW w:w="851" w:type="dxa"/>
          </w:tcPr>
          <w:p w:rsidR="006074C8" w:rsidRPr="00884EE7" w:rsidRDefault="006074C8" w:rsidP="00A14ADC">
            <w:pPr>
              <w:rPr>
                <w:sz w:val="17"/>
                <w:szCs w:val="17"/>
              </w:rPr>
            </w:pPr>
            <w:r>
              <w:rPr>
                <w:sz w:val="17"/>
                <w:szCs w:val="17"/>
              </w:rPr>
              <w:t>0.</w:t>
            </w:r>
            <w:r w:rsidR="001F552E">
              <w:rPr>
                <w:sz w:val="17"/>
                <w:szCs w:val="17"/>
              </w:rPr>
              <w:t>0373</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sidRPr="00B5257F">
              <w:rPr>
                <w:sz w:val="17"/>
                <w:szCs w:val="17"/>
              </w:rPr>
              <w:t>-</w:t>
            </w:r>
            <w:r>
              <w:rPr>
                <w:sz w:val="17"/>
                <w:szCs w:val="17"/>
              </w:rPr>
              <w:t>0</w:t>
            </w:r>
            <w:r w:rsidRPr="00B5257F">
              <w:rPr>
                <w:sz w:val="17"/>
                <w:szCs w:val="17"/>
              </w:rPr>
              <w:t>.0138</w:t>
            </w:r>
          </w:p>
        </w:tc>
        <w:tc>
          <w:tcPr>
            <w:tcW w:w="850" w:type="dxa"/>
          </w:tcPr>
          <w:p w:rsidR="006074C8" w:rsidRPr="00884EE7" w:rsidRDefault="006074C8" w:rsidP="00A14ADC">
            <w:pPr>
              <w:rPr>
                <w:sz w:val="17"/>
                <w:szCs w:val="17"/>
              </w:rPr>
            </w:pPr>
            <w:r>
              <w:rPr>
                <w:sz w:val="17"/>
                <w:szCs w:val="17"/>
              </w:rPr>
              <w:t>0.</w:t>
            </w:r>
            <w:r w:rsidR="001F552E">
              <w:rPr>
                <w:sz w:val="17"/>
                <w:szCs w:val="17"/>
              </w:rPr>
              <w:t>0393</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884EE7" w:rsidRDefault="0040291B" w:rsidP="00A14ADC">
            <w:pPr>
              <w:rPr>
                <w:sz w:val="17"/>
                <w:szCs w:val="17"/>
              </w:rPr>
            </w:pPr>
            <w:r>
              <w:rPr>
                <w:sz w:val="17"/>
                <w:szCs w:val="17"/>
              </w:rPr>
              <w:t>Lagged t</w:t>
            </w:r>
            <w:r w:rsidR="006074C8">
              <w:rPr>
                <w:sz w:val="17"/>
                <w:szCs w:val="17"/>
              </w:rPr>
              <w:t>reatment with immunosuppressants</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r w:rsidRPr="00E27713">
              <w:rPr>
                <w:sz w:val="17"/>
                <w:szCs w:val="17"/>
              </w:rPr>
              <w:t>-</w:t>
            </w:r>
            <w:r>
              <w:rPr>
                <w:sz w:val="17"/>
                <w:szCs w:val="17"/>
              </w:rPr>
              <w:t>0</w:t>
            </w:r>
            <w:r w:rsidRPr="00E27713">
              <w:rPr>
                <w:sz w:val="17"/>
                <w:szCs w:val="17"/>
              </w:rPr>
              <w:t>.0065</w:t>
            </w:r>
          </w:p>
        </w:tc>
        <w:tc>
          <w:tcPr>
            <w:tcW w:w="851" w:type="dxa"/>
          </w:tcPr>
          <w:p w:rsidR="006074C8" w:rsidRPr="00884EE7" w:rsidRDefault="006074C8" w:rsidP="00A14ADC">
            <w:pPr>
              <w:rPr>
                <w:sz w:val="17"/>
                <w:szCs w:val="17"/>
              </w:rPr>
            </w:pPr>
            <w:r>
              <w:rPr>
                <w:sz w:val="17"/>
                <w:szCs w:val="17"/>
              </w:rPr>
              <w:t>0.</w:t>
            </w:r>
            <w:r w:rsidR="001F552E">
              <w:rPr>
                <w:sz w:val="17"/>
                <w:szCs w:val="17"/>
              </w:rPr>
              <w:t>0432</w:t>
            </w: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p>
        </w:tc>
        <w:tc>
          <w:tcPr>
            <w:tcW w:w="850" w:type="dxa"/>
          </w:tcPr>
          <w:p w:rsidR="006074C8" w:rsidRPr="00884EE7" w:rsidRDefault="006074C8" w:rsidP="00A14ADC">
            <w:pPr>
              <w:rPr>
                <w:sz w:val="17"/>
                <w:szCs w:val="17"/>
              </w:rPr>
            </w:pPr>
          </w:p>
        </w:tc>
        <w:tc>
          <w:tcPr>
            <w:tcW w:w="851" w:type="dxa"/>
          </w:tcPr>
          <w:p w:rsidR="006074C8" w:rsidRPr="00884EE7" w:rsidRDefault="006074C8" w:rsidP="00A14ADC">
            <w:pPr>
              <w:rPr>
                <w:sz w:val="17"/>
                <w:szCs w:val="17"/>
              </w:rPr>
            </w:pPr>
            <w:r w:rsidRPr="00B5257F">
              <w:rPr>
                <w:sz w:val="17"/>
                <w:szCs w:val="17"/>
              </w:rPr>
              <w:t>-</w:t>
            </w:r>
            <w:r>
              <w:rPr>
                <w:sz w:val="17"/>
                <w:szCs w:val="17"/>
              </w:rPr>
              <w:t>0</w:t>
            </w:r>
            <w:r w:rsidRPr="00B5257F">
              <w:rPr>
                <w:sz w:val="17"/>
                <w:szCs w:val="17"/>
              </w:rPr>
              <w:t>.0081</w:t>
            </w:r>
          </w:p>
        </w:tc>
        <w:tc>
          <w:tcPr>
            <w:tcW w:w="850" w:type="dxa"/>
          </w:tcPr>
          <w:p w:rsidR="006074C8" w:rsidRPr="00884EE7" w:rsidRDefault="006074C8" w:rsidP="00A14ADC">
            <w:pPr>
              <w:rPr>
                <w:sz w:val="17"/>
                <w:szCs w:val="17"/>
              </w:rPr>
            </w:pPr>
            <w:r>
              <w:rPr>
                <w:sz w:val="17"/>
                <w:szCs w:val="17"/>
              </w:rPr>
              <w:t>0.</w:t>
            </w:r>
            <w:r w:rsidR="001F552E">
              <w:rPr>
                <w:sz w:val="17"/>
                <w:szCs w:val="17"/>
              </w:rPr>
              <w:t>0453</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884EE7" w:rsidRDefault="006074C8" w:rsidP="00A14ADC">
            <w:pPr>
              <w:rPr>
                <w:sz w:val="17"/>
                <w:szCs w:val="17"/>
              </w:rPr>
            </w:pPr>
            <w:r>
              <w:rPr>
                <w:sz w:val="17"/>
                <w:szCs w:val="17"/>
              </w:rPr>
              <w:t>Constant</w:t>
            </w:r>
          </w:p>
        </w:tc>
        <w:tc>
          <w:tcPr>
            <w:tcW w:w="850" w:type="dxa"/>
          </w:tcPr>
          <w:p w:rsidR="006074C8" w:rsidRPr="00884EE7" w:rsidRDefault="006074C8" w:rsidP="00A14ADC">
            <w:pPr>
              <w:rPr>
                <w:sz w:val="17"/>
                <w:szCs w:val="17"/>
              </w:rPr>
            </w:pPr>
            <w:r w:rsidRPr="00E27713">
              <w:rPr>
                <w:sz w:val="17"/>
                <w:szCs w:val="17"/>
              </w:rPr>
              <w:t>1.0189</w:t>
            </w:r>
          </w:p>
        </w:tc>
        <w:tc>
          <w:tcPr>
            <w:tcW w:w="851" w:type="dxa"/>
          </w:tcPr>
          <w:p w:rsidR="006074C8" w:rsidRPr="00884EE7" w:rsidRDefault="001F552E" w:rsidP="00A14ADC">
            <w:pPr>
              <w:rPr>
                <w:sz w:val="17"/>
                <w:szCs w:val="17"/>
              </w:rPr>
            </w:pPr>
            <w:r>
              <w:rPr>
                <w:sz w:val="17"/>
                <w:szCs w:val="17"/>
              </w:rPr>
              <w:t>0.2285</w:t>
            </w:r>
          </w:p>
        </w:tc>
        <w:tc>
          <w:tcPr>
            <w:tcW w:w="850" w:type="dxa"/>
          </w:tcPr>
          <w:p w:rsidR="006074C8" w:rsidRPr="00884EE7" w:rsidRDefault="006074C8" w:rsidP="00A14ADC">
            <w:pPr>
              <w:rPr>
                <w:sz w:val="17"/>
                <w:szCs w:val="17"/>
              </w:rPr>
            </w:pPr>
            <w:r>
              <w:rPr>
                <w:sz w:val="17"/>
                <w:szCs w:val="17"/>
              </w:rPr>
              <w:t>0</w:t>
            </w:r>
            <w:r w:rsidRPr="00E27713">
              <w:rPr>
                <w:sz w:val="17"/>
                <w:szCs w:val="17"/>
              </w:rPr>
              <w:t>.8414</w:t>
            </w:r>
          </w:p>
        </w:tc>
        <w:tc>
          <w:tcPr>
            <w:tcW w:w="851" w:type="dxa"/>
          </w:tcPr>
          <w:p w:rsidR="006074C8" w:rsidRPr="00884EE7" w:rsidRDefault="001F552E" w:rsidP="00F44407">
            <w:pPr>
              <w:rPr>
                <w:sz w:val="17"/>
                <w:szCs w:val="17"/>
              </w:rPr>
            </w:pPr>
            <w:r>
              <w:rPr>
                <w:sz w:val="17"/>
                <w:szCs w:val="17"/>
              </w:rPr>
              <w:t>0.2339</w:t>
            </w:r>
          </w:p>
        </w:tc>
        <w:tc>
          <w:tcPr>
            <w:tcW w:w="850" w:type="dxa"/>
          </w:tcPr>
          <w:p w:rsidR="006074C8" w:rsidRPr="00884EE7" w:rsidRDefault="006074C8" w:rsidP="00A14ADC">
            <w:pPr>
              <w:rPr>
                <w:sz w:val="17"/>
                <w:szCs w:val="17"/>
              </w:rPr>
            </w:pPr>
            <w:r w:rsidRPr="004F5E2D">
              <w:rPr>
                <w:sz w:val="17"/>
                <w:szCs w:val="17"/>
              </w:rPr>
              <w:t>1.5348</w:t>
            </w:r>
          </w:p>
        </w:tc>
        <w:tc>
          <w:tcPr>
            <w:tcW w:w="851" w:type="dxa"/>
          </w:tcPr>
          <w:p w:rsidR="006074C8" w:rsidRPr="00884EE7" w:rsidRDefault="006074C8" w:rsidP="00F44407">
            <w:pPr>
              <w:rPr>
                <w:sz w:val="17"/>
                <w:szCs w:val="17"/>
              </w:rPr>
            </w:pPr>
            <w:r>
              <w:rPr>
                <w:sz w:val="17"/>
                <w:szCs w:val="17"/>
              </w:rPr>
              <w:t>0.</w:t>
            </w:r>
            <w:r w:rsidR="001F552E">
              <w:rPr>
                <w:sz w:val="17"/>
                <w:szCs w:val="17"/>
              </w:rPr>
              <w:t>2321</w:t>
            </w:r>
          </w:p>
        </w:tc>
        <w:tc>
          <w:tcPr>
            <w:tcW w:w="851" w:type="dxa"/>
          </w:tcPr>
          <w:p w:rsidR="006074C8" w:rsidRPr="00884EE7" w:rsidRDefault="006074C8" w:rsidP="00A14ADC">
            <w:pPr>
              <w:rPr>
                <w:sz w:val="17"/>
                <w:szCs w:val="17"/>
              </w:rPr>
            </w:pPr>
            <w:r w:rsidRPr="004F5E2D">
              <w:rPr>
                <w:sz w:val="17"/>
                <w:szCs w:val="17"/>
              </w:rPr>
              <w:t>1.488</w:t>
            </w:r>
            <w:r>
              <w:rPr>
                <w:sz w:val="17"/>
                <w:szCs w:val="17"/>
              </w:rPr>
              <w:t>9</w:t>
            </w:r>
          </w:p>
        </w:tc>
        <w:tc>
          <w:tcPr>
            <w:tcW w:w="850" w:type="dxa"/>
          </w:tcPr>
          <w:p w:rsidR="006074C8" w:rsidRPr="00884EE7" w:rsidRDefault="00F57325" w:rsidP="00F44407">
            <w:pPr>
              <w:rPr>
                <w:sz w:val="17"/>
                <w:szCs w:val="17"/>
              </w:rPr>
            </w:pPr>
            <w:r>
              <w:rPr>
                <w:sz w:val="17"/>
                <w:szCs w:val="17"/>
              </w:rPr>
              <w:t>0.2787</w:t>
            </w:r>
          </w:p>
        </w:tc>
        <w:tc>
          <w:tcPr>
            <w:tcW w:w="851" w:type="dxa"/>
          </w:tcPr>
          <w:p w:rsidR="006074C8" w:rsidRPr="00884EE7" w:rsidRDefault="006074C8" w:rsidP="00A14ADC">
            <w:pPr>
              <w:rPr>
                <w:sz w:val="17"/>
                <w:szCs w:val="17"/>
              </w:rPr>
            </w:pPr>
            <w:r>
              <w:rPr>
                <w:sz w:val="17"/>
                <w:szCs w:val="17"/>
              </w:rPr>
              <w:t>0</w:t>
            </w:r>
            <w:r w:rsidRPr="00B5257F">
              <w:rPr>
                <w:sz w:val="17"/>
                <w:szCs w:val="17"/>
              </w:rPr>
              <w:t>.877</w:t>
            </w:r>
            <w:r>
              <w:rPr>
                <w:sz w:val="17"/>
                <w:szCs w:val="17"/>
              </w:rPr>
              <w:t>7</w:t>
            </w:r>
          </w:p>
        </w:tc>
        <w:tc>
          <w:tcPr>
            <w:tcW w:w="850" w:type="dxa"/>
          </w:tcPr>
          <w:p w:rsidR="006074C8" w:rsidRPr="00884EE7" w:rsidRDefault="006074C8" w:rsidP="00F44407">
            <w:pPr>
              <w:rPr>
                <w:sz w:val="17"/>
                <w:szCs w:val="17"/>
              </w:rPr>
            </w:pPr>
            <w:r>
              <w:rPr>
                <w:sz w:val="17"/>
                <w:szCs w:val="17"/>
              </w:rPr>
              <w:t>0.</w:t>
            </w:r>
            <w:r w:rsidR="001F552E">
              <w:rPr>
                <w:sz w:val="17"/>
                <w:szCs w:val="17"/>
              </w:rPr>
              <w:t>2551</w:t>
            </w:r>
          </w:p>
        </w:tc>
        <w:tc>
          <w:tcPr>
            <w:tcW w:w="851" w:type="dxa"/>
          </w:tcPr>
          <w:p w:rsidR="006074C8" w:rsidRDefault="006074C8" w:rsidP="00A14ADC">
            <w:pPr>
              <w:rPr>
                <w:sz w:val="17"/>
                <w:szCs w:val="17"/>
              </w:rPr>
            </w:pPr>
            <w:r w:rsidRPr="00B5257F">
              <w:rPr>
                <w:sz w:val="17"/>
                <w:szCs w:val="17"/>
              </w:rPr>
              <w:t>2.1102</w:t>
            </w:r>
          </w:p>
        </w:tc>
        <w:tc>
          <w:tcPr>
            <w:tcW w:w="851" w:type="dxa"/>
          </w:tcPr>
          <w:p w:rsidR="006074C8" w:rsidRDefault="001F552E" w:rsidP="00F44407">
            <w:pPr>
              <w:rPr>
                <w:sz w:val="17"/>
                <w:szCs w:val="17"/>
              </w:rPr>
            </w:pPr>
            <w:r>
              <w:rPr>
                <w:sz w:val="17"/>
                <w:szCs w:val="17"/>
              </w:rPr>
              <w:t>0.2685</w:t>
            </w:r>
          </w:p>
        </w:tc>
      </w:tr>
      <w:tr w:rsidR="006074C8" w:rsidRPr="00884EE7" w:rsidTr="00A14ADC">
        <w:trPr>
          <w:trHeight w:val="47"/>
        </w:trPr>
        <w:tc>
          <w:tcPr>
            <w:tcW w:w="2861" w:type="dxa"/>
          </w:tcPr>
          <w:p w:rsidR="006074C8" w:rsidRDefault="006074C8" w:rsidP="00A14ADC">
            <w:pPr>
              <w:rPr>
                <w:sz w:val="17"/>
                <w:szCs w:val="17"/>
              </w:rPr>
            </w:pPr>
            <w:r>
              <w:rPr>
                <w:sz w:val="17"/>
                <w:szCs w:val="17"/>
              </w:rPr>
              <w:t>Sigma ui</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r>
              <w:rPr>
                <w:sz w:val="17"/>
                <w:szCs w:val="17"/>
              </w:rPr>
              <w:t>0</w:t>
            </w:r>
            <w:r w:rsidRPr="004F5E2D">
              <w:rPr>
                <w:sz w:val="17"/>
                <w:szCs w:val="17"/>
              </w:rPr>
              <w:t>.385</w:t>
            </w:r>
            <w:r>
              <w:rPr>
                <w:sz w:val="17"/>
                <w:szCs w:val="17"/>
              </w:rPr>
              <w:t>8</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Pr>
                <w:sz w:val="17"/>
                <w:szCs w:val="17"/>
              </w:rPr>
              <w:t>0</w:t>
            </w:r>
            <w:r w:rsidRPr="00B5257F">
              <w:rPr>
                <w:sz w:val="17"/>
                <w:szCs w:val="17"/>
              </w:rPr>
              <w:t>.0983</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Pr>
                <w:sz w:val="17"/>
                <w:szCs w:val="17"/>
              </w:rPr>
              <w:t>0</w:t>
            </w:r>
            <w:r w:rsidRPr="00B5257F">
              <w:rPr>
                <w:sz w:val="17"/>
                <w:szCs w:val="17"/>
              </w:rPr>
              <w:t>.404</w:t>
            </w:r>
            <w:r>
              <w:rPr>
                <w:sz w:val="17"/>
                <w:szCs w:val="17"/>
              </w:rPr>
              <w:t>3</w:t>
            </w: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657507" w:rsidRDefault="006074C8" w:rsidP="00A14ADC">
            <w:pPr>
              <w:rPr>
                <w:sz w:val="17"/>
                <w:szCs w:val="17"/>
                <w:vertAlign w:val="superscript"/>
              </w:rPr>
            </w:pPr>
            <w:r>
              <w:rPr>
                <w:sz w:val="17"/>
                <w:szCs w:val="17"/>
              </w:rPr>
              <w:t>Within R</w:t>
            </w:r>
            <w:r>
              <w:rPr>
                <w:sz w:val="17"/>
                <w:szCs w:val="17"/>
                <w:vertAlign w:val="superscript"/>
              </w:rPr>
              <w:t>2</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r w:rsidRPr="004F5E2D">
              <w:rPr>
                <w:sz w:val="17"/>
                <w:szCs w:val="17"/>
              </w:rPr>
              <w:t>0.3525</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sidRPr="00B5257F">
              <w:rPr>
                <w:sz w:val="17"/>
                <w:szCs w:val="17"/>
              </w:rPr>
              <w:t>0.3512</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sidRPr="00B5257F">
              <w:rPr>
                <w:sz w:val="17"/>
                <w:szCs w:val="17"/>
              </w:rPr>
              <w:t>0.3610</w:t>
            </w:r>
          </w:p>
        </w:tc>
        <w:tc>
          <w:tcPr>
            <w:tcW w:w="851" w:type="dxa"/>
          </w:tcPr>
          <w:p w:rsidR="006074C8" w:rsidRDefault="006074C8" w:rsidP="00A14ADC">
            <w:pPr>
              <w:rPr>
                <w:sz w:val="17"/>
                <w:szCs w:val="17"/>
              </w:rPr>
            </w:pPr>
          </w:p>
        </w:tc>
      </w:tr>
      <w:tr w:rsidR="006074C8" w:rsidRPr="00884EE7" w:rsidTr="00A14ADC">
        <w:trPr>
          <w:trHeight w:val="47"/>
        </w:trPr>
        <w:tc>
          <w:tcPr>
            <w:tcW w:w="2861" w:type="dxa"/>
          </w:tcPr>
          <w:p w:rsidR="006074C8" w:rsidRPr="00657507" w:rsidRDefault="006074C8" w:rsidP="00A14ADC">
            <w:pPr>
              <w:rPr>
                <w:sz w:val="17"/>
                <w:szCs w:val="17"/>
                <w:vertAlign w:val="superscript"/>
              </w:rPr>
            </w:pPr>
            <w:r>
              <w:rPr>
                <w:sz w:val="17"/>
                <w:szCs w:val="17"/>
              </w:rPr>
              <w:t>Overall R</w:t>
            </w:r>
            <w:r>
              <w:rPr>
                <w:sz w:val="17"/>
                <w:szCs w:val="17"/>
                <w:vertAlign w:val="superscript"/>
              </w:rPr>
              <w:t>2</w:t>
            </w:r>
          </w:p>
        </w:tc>
        <w:tc>
          <w:tcPr>
            <w:tcW w:w="850" w:type="dxa"/>
          </w:tcPr>
          <w:p w:rsidR="006074C8" w:rsidRDefault="006074C8" w:rsidP="00A14ADC">
            <w:pPr>
              <w:rPr>
                <w:sz w:val="17"/>
                <w:szCs w:val="17"/>
              </w:rPr>
            </w:pPr>
            <w:r w:rsidRPr="00E27713">
              <w:rPr>
                <w:sz w:val="17"/>
                <w:szCs w:val="17"/>
              </w:rPr>
              <w:t>0.1963</w:t>
            </w: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r w:rsidRPr="00E27713">
              <w:rPr>
                <w:sz w:val="17"/>
                <w:szCs w:val="17"/>
              </w:rPr>
              <w:t>0.2019</w:t>
            </w:r>
          </w:p>
        </w:tc>
        <w:tc>
          <w:tcPr>
            <w:tcW w:w="851" w:type="dxa"/>
          </w:tcPr>
          <w:p w:rsidR="006074C8" w:rsidRDefault="006074C8" w:rsidP="00A14ADC">
            <w:pPr>
              <w:rPr>
                <w:sz w:val="17"/>
                <w:szCs w:val="17"/>
              </w:rPr>
            </w:pPr>
          </w:p>
        </w:tc>
        <w:tc>
          <w:tcPr>
            <w:tcW w:w="850" w:type="dxa"/>
          </w:tcPr>
          <w:p w:rsidR="006074C8" w:rsidRDefault="006074C8" w:rsidP="00A14ADC">
            <w:pPr>
              <w:rPr>
                <w:sz w:val="17"/>
                <w:szCs w:val="17"/>
              </w:rPr>
            </w:pPr>
            <w:r w:rsidRPr="004F5E2D">
              <w:rPr>
                <w:sz w:val="17"/>
                <w:szCs w:val="17"/>
              </w:rPr>
              <w:t>0.1699</w:t>
            </w:r>
          </w:p>
        </w:tc>
        <w:tc>
          <w:tcPr>
            <w:tcW w:w="851" w:type="dxa"/>
          </w:tcPr>
          <w:p w:rsidR="006074C8" w:rsidRDefault="006074C8" w:rsidP="00A14ADC">
            <w:pPr>
              <w:rPr>
                <w:sz w:val="17"/>
                <w:szCs w:val="17"/>
              </w:rPr>
            </w:pPr>
          </w:p>
        </w:tc>
        <w:tc>
          <w:tcPr>
            <w:tcW w:w="851" w:type="dxa"/>
          </w:tcPr>
          <w:p w:rsidR="006074C8" w:rsidRDefault="006074C8" w:rsidP="00A14ADC">
            <w:pPr>
              <w:rPr>
                <w:sz w:val="17"/>
                <w:szCs w:val="17"/>
              </w:rPr>
            </w:pPr>
            <w:r w:rsidRPr="004F5E2D">
              <w:rPr>
                <w:sz w:val="17"/>
                <w:szCs w:val="17"/>
              </w:rPr>
              <w:t>0.1957</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sidRPr="00B5257F">
              <w:rPr>
                <w:sz w:val="17"/>
                <w:szCs w:val="17"/>
              </w:rPr>
              <w:t>0.2019</w:t>
            </w:r>
          </w:p>
        </w:tc>
        <w:tc>
          <w:tcPr>
            <w:tcW w:w="850" w:type="dxa"/>
          </w:tcPr>
          <w:p w:rsidR="006074C8" w:rsidRDefault="006074C8" w:rsidP="00A14ADC">
            <w:pPr>
              <w:rPr>
                <w:sz w:val="17"/>
                <w:szCs w:val="17"/>
              </w:rPr>
            </w:pPr>
          </w:p>
        </w:tc>
        <w:tc>
          <w:tcPr>
            <w:tcW w:w="851" w:type="dxa"/>
          </w:tcPr>
          <w:p w:rsidR="006074C8" w:rsidRDefault="006074C8" w:rsidP="00A14ADC">
            <w:pPr>
              <w:rPr>
                <w:sz w:val="17"/>
                <w:szCs w:val="17"/>
              </w:rPr>
            </w:pPr>
            <w:r w:rsidRPr="00B5257F">
              <w:rPr>
                <w:sz w:val="17"/>
                <w:szCs w:val="17"/>
              </w:rPr>
              <w:t>0.1699</w:t>
            </w:r>
          </w:p>
        </w:tc>
        <w:tc>
          <w:tcPr>
            <w:tcW w:w="851" w:type="dxa"/>
          </w:tcPr>
          <w:p w:rsidR="006074C8" w:rsidRDefault="006074C8" w:rsidP="00A14ADC">
            <w:pPr>
              <w:rPr>
                <w:sz w:val="17"/>
                <w:szCs w:val="17"/>
              </w:rPr>
            </w:pPr>
          </w:p>
        </w:tc>
      </w:tr>
      <w:tr w:rsidR="006074C8" w:rsidRPr="00884EE7" w:rsidTr="00A14ADC">
        <w:trPr>
          <w:trHeight w:val="47"/>
        </w:trPr>
        <w:tc>
          <w:tcPr>
            <w:tcW w:w="2861" w:type="dxa"/>
            <w:tcBorders>
              <w:bottom w:val="single" w:sz="4" w:space="0" w:color="auto"/>
            </w:tcBorders>
          </w:tcPr>
          <w:p w:rsidR="006074C8" w:rsidRDefault="006074C8" w:rsidP="00A14ADC">
            <w:pPr>
              <w:rPr>
                <w:sz w:val="17"/>
                <w:szCs w:val="17"/>
              </w:rPr>
            </w:pPr>
            <w:r>
              <w:rPr>
                <w:sz w:val="18"/>
                <w:szCs w:val="18"/>
              </w:rPr>
              <w:t>Intraclass correlation</w:t>
            </w:r>
          </w:p>
        </w:tc>
        <w:tc>
          <w:tcPr>
            <w:tcW w:w="850"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p>
        </w:tc>
        <w:tc>
          <w:tcPr>
            <w:tcW w:w="850"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p>
        </w:tc>
        <w:tc>
          <w:tcPr>
            <w:tcW w:w="850"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r>
              <w:rPr>
                <w:sz w:val="17"/>
                <w:szCs w:val="17"/>
              </w:rPr>
              <w:t>0</w:t>
            </w:r>
            <w:r w:rsidRPr="004F5E2D">
              <w:rPr>
                <w:sz w:val="17"/>
                <w:szCs w:val="17"/>
              </w:rPr>
              <w:t>.0609</w:t>
            </w:r>
          </w:p>
        </w:tc>
        <w:tc>
          <w:tcPr>
            <w:tcW w:w="850"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r>
              <w:rPr>
                <w:sz w:val="17"/>
                <w:szCs w:val="17"/>
              </w:rPr>
              <w:t>0</w:t>
            </w:r>
            <w:r w:rsidRPr="00B5257F">
              <w:rPr>
                <w:sz w:val="17"/>
                <w:szCs w:val="17"/>
              </w:rPr>
              <w:t>.004</w:t>
            </w:r>
          </w:p>
        </w:tc>
        <w:tc>
          <w:tcPr>
            <w:tcW w:w="850" w:type="dxa"/>
            <w:tcBorders>
              <w:bottom w:val="single" w:sz="4" w:space="0" w:color="auto"/>
            </w:tcBorders>
          </w:tcPr>
          <w:p w:rsidR="006074C8" w:rsidRDefault="006074C8" w:rsidP="00A14ADC">
            <w:pPr>
              <w:rPr>
                <w:sz w:val="17"/>
                <w:szCs w:val="17"/>
              </w:rPr>
            </w:pPr>
          </w:p>
        </w:tc>
        <w:tc>
          <w:tcPr>
            <w:tcW w:w="851" w:type="dxa"/>
            <w:tcBorders>
              <w:bottom w:val="single" w:sz="4" w:space="0" w:color="auto"/>
            </w:tcBorders>
          </w:tcPr>
          <w:p w:rsidR="006074C8" w:rsidRDefault="006074C8" w:rsidP="00A14ADC">
            <w:pPr>
              <w:rPr>
                <w:sz w:val="17"/>
                <w:szCs w:val="17"/>
              </w:rPr>
            </w:pPr>
            <w:r>
              <w:rPr>
                <w:sz w:val="17"/>
                <w:szCs w:val="17"/>
              </w:rPr>
              <w:t>0</w:t>
            </w:r>
            <w:r w:rsidRPr="00B5257F">
              <w:rPr>
                <w:sz w:val="17"/>
                <w:szCs w:val="17"/>
              </w:rPr>
              <w:t>.066</w:t>
            </w:r>
            <w:r>
              <w:rPr>
                <w:sz w:val="17"/>
                <w:szCs w:val="17"/>
              </w:rPr>
              <w:t>2</w:t>
            </w:r>
          </w:p>
        </w:tc>
        <w:tc>
          <w:tcPr>
            <w:tcW w:w="851" w:type="dxa"/>
            <w:tcBorders>
              <w:bottom w:val="single" w:sz="4" w:space="0" w:color="auto"/>
            </w:tcBorders>
          </w:tcPr>
          <w:p w:rsidR="006074C8" w:rsidRDefault="006074C8" w:rsidP="00A14ADC">
            <w:pPr>
              <w:rPr>
                <w:sz w:val="17"/>
                <w:szCs w:val="17"/>
              </w:rPr>
            </w:pPr>
          </w:p>
        </w:tc>
      </w:tr>
      <w:tr w:rsidR="006074C8" w:rsidRPr="00CD16C3" w:rsidTr="0087718E">
        <w:tc>
          <w:tcPr>
            <w:tcW w:w="13068" w:type="dxa"/>
            <w:gridSpan w:val="13"/>
            <w:tcBorders>
              <w:top w:val="single" w:sz="4" w:space="0" w:color="auto"/>
              <w:bottom w:val="single" w:sz="12" w:space="0" w:color="auto"/>
            </w:tcBorders>
          </w:tcPr>
          <w:p w:rsidR="006074C8" w:rsidRPr="00F57325" w:rsidRDefault="006074C8" w:rsidP="00F44407">
            <w:pPr>
              <w:rPr>
                <w:sz w:val="17"/>
                <w:szCs w:val="17"/>
                <w:lang w:val="fr-CA"/>
              </w:rPr>
            </w:pPr>
            <w:r w:rsidRPr="00F57325">
              <w:rPr>
                <w:sz w:val="17"/>
                <w:szCs w:val="17"/>
                <w:lang w:val="fr-CA"/>
              </w:rPr>
              <w:t>log = Natural logarithm</w:t>
            </w:r>
            <w:r w:rsidR="0040291B" w:rsidRPr="00F57325">
              <w:rPr>
                <w:sz w:val="17"/>
                <w:szCs w:val="17"/>
                <w:lang w:val="fr-CA"/>
              </w:rPr>
              <w:t xml:space="preserve">; </w:t>
            </w:r>
            <w:r w:rsidR="00F57325" w:rsidRPr="00F57325">
              <w:rPr>
                <w:sz w:val="17"/>
                <w:szCs w:val="17"/>
                <w:lang w:val="fr-CA"/>
              </w:rPr>
              <w:t>SE Standard error</w:t>
            </w:r>
          </w:p>
        </w:tc>
      </w:tr>
    </w:tbl>
    <w:p w:rsidR="006074C8" w:rsidRPr="00F57325" w:rsidRDefault="006074C8" w:rsidP="006074C8">
      <w:pPr>
        <w:rPr>
          <w:lang w:val="fr-CA"/>
        </w:rPr>
        <w:sectPr w:rsidR="006074C8" w:rsidRPr="00F57325" w:rsidSect="006A3B1E">
          <w:pgSz w:w="16838" w:h="11906" w:orient="landscape"/>
          <w:pgMar w:top="1440" w:right="1440" w:bottom="1440" w:left="2268" w:header="708" w:footer="708" w:gutter="0"/>
          <w:cols w:space="708"/>
          <w:docGrid w:linePitch="360"/>
        </w:sectPr>
      </w:pPr>
    </w:p>
    <w:p w:rsidR="006074C8" w:rsidRDefault="00F85B65" w:rsidP="006074C8">
      <w:pPr>
        <w:pStyle w:val="Heading4"/>
      </w:pPr>
      <w:bookmarkStart w:id="317" w:name="_Toc278533925"/>
      <w:bookmarkStart w:id="318" w:name="_Toc278533985"/>
      <w:bookmarkStart w:id="319" w:name="_Toc279009256"/>
      <w:r>
        <w:t xml:space="preserve">Mean Annual </w:t>
      </w:r>
      <w:r w:rsidR="006074C8">
        <w:t>Steroid dose model</w:t>
      </w:r>
      <w:bookmarkEnd w:id="317"/>
      <w:bookmarkEnd w:id="318"/>
      <w:bookmarkEnd w:id="319"/>
    </w:p>
    <w:p w:rsidR="00A03F95" w:rsidRPr="00EF4F45" w:rsidRDefault="00E729BA" w:rsidP="00097A11">
      <w:fldSimple w:instr=" REF _Ref271616867 \h  \* MERGEFORMAT ">
        <w:r w:rsidR="004911B7">
          <w:t xml:space="preserve">Table </w:t>
        </w:r>
        <w:r w:rsidR="004911B7">
          <w:rPr>
            <w:noProof/>
          </w:rPr>
          <w:t>30</w:t>
        </w:r>
      </w:fldSimple>
      <w:r w:rsidR="006074C8">
        <w:t xml:space="preserve"> details the results of three </w:t>
      </w:r>
      <w:r w:rsidR="00097A11">
        <w:t xml:space="preserve">regression </w:t>
      </w:r>
      <w:r w:rsidR="006074C8">
        <w:t xml:space="preserve">models that have developed to estimate steroid dose. </w:t>
      </w:r>
      <w:r w:rsidR="0040291B">
        <w:t>A</w:t>
      </w:r>
      <w:r w:rsidR="006074C8">
        <w:t xml:space="preserve">verage </w:t>
      </w:r>
      <w:r w:rsidR="00F85B65">
        <w:t xml:space="preserve">annual </w:t>
      </w:r>
      <w:r w:rsidR="006074C8">
        <w:t xml:space="preserve">SLEDAI score increases the </w:t>
      </w:r>
      <w:r w:rsidR="00F85B65">
        <w:t xml:space="preserve">average annual </w:t>
      </w:r>
      <w:r w:rsidR="006074C8">
        <w:t>steroid dose</w:t>
      </w:r>
      <w:r w:rsidR="00F85B65">
        <w:t xml:space="preserve"> in the same year</w:t>
      </w:r>
      <w:r w:rsidR="006074C8">
        <w:t xml:space="preserve">. </w:t>
      </w:r>
      <w:r w:rsidR="0040291B">
        <w:t xml:space="preserve">Gender and African American ethnicity increase steroid dose. </w:t>
      </w:r>
      <w:r w:rsidR="006074C8">
        <w:t>Most of the individual items of the SLEDAI were statistically significant predictors of steroid dose independent of the composit</w:t>
      </w:r>
      <w:r w:rsidR="0040291B">
        <w:t xml:space="preserve">e SLEDAI scores in Model 1. </w:t>
      </w:r>
      <w:r w:rsidR="006074C8">
        <w:t xml:space="preserve">Model 3 reports the results of a reduced </w:t>
      </w:r>
      <w:r w:rsidR="00097A11">
        <w:t>regression</w:t>
      </w:r>
      <w:r w:rsidR="006074C8">
        <w:t xml:space="preserve"> model where only the composite SLEDAI score was included. </w:t>
      </w:r>
      <w:r w:rsidR="00EF4F45">
        <w:t>The R</w:t>
      </w:r>
      <w:r w:rsidR="00EF4F45">
        <w:rPr>
          <w:vertAlign w:val="superscript"/>
        </w:rPr>
        <w:t>2</w:t>
      </w:r>
      <w:r w:rsidR="00EF4F45">
        <w:t xml:space="preserve"> values are very low for all models, suggesting that the covariates only explain a small proportion of the variation in steroid dose.</w:t>
      </w:r>
    </w:p>
    <w:p w:rsidR="006074C8" w:rsidRDefault="006074C8" w:rsidP="00234693">
      <w:pPr>
        <w:pStyle w:val="Caption"/>
      </w:pPr>
      <w:bookmarkStart w:id="320" w:name="_Ref271616867"/>
      <w:bookmarkStart w:id="321" w:name="_Toc279009295"/>
      <w:r>
        <w:t xml:space="preserve">Table </w:t>
      </w:r>
      <w:fldSimple w:instr=" SEQ Table \* ARABIC ">
        <w:r w:rsidR="004911B7">
          <w:rPr>
            <w:noProof/>
          </w:rPr>
          <w:t>30</w:t>
        </w:r>
      </w:fldSimple>
      <w:bookmarkEnd w:id="320"/>
      <w:r>
        <w:t xml:space="preserve">: Results of the steroid dose </w:t>
      </w:r>
      <w:r w:rsidR="00097A11">
        <w:t xml:space="preserve">regression </w:t>
      </w:r>
      <w:r>
        <w:t>models</w:t>
      </w:r>
      <w:bookmarkEnd w:id="321"/>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263"/>
        <w:gridCol w:w="1036"/>
        <w:gridCol w:w="938"/>
        <w:gridCol w:w="1093"/>
        <w:gridCol w:w="995"/>
        <w:gridCol w:w="1094"/>
        <w:gridCol w:w="995"/>
      </w:tblGrid>
      <w:tr w:rsidR="006074C8" w:rsidRPr="00AE66A7" w:rsidTr="0087718E">
        <w:tc>
          <w:tcPr>
            <w:tcW w:w="2660" w:type="dxa"/>
            <w:tcBorders>
              <w:top w:val="single" w:sz="12" w:space="0" w:color="auto"/>
              <w:bottom w:val="nil"/>
            </w:tcBorders>
          </w:tcPr>
          <w:p w:rsidR="006074C8" w:rsidRPr="00AE66A7" w:rsidRDefault="006074C8" w:rsidP="00FB7FA6">
            <w:pPr>
              <w:spacing w:after="0" w:line="276" w:lineRule="auto"/>
              <w:rPr>
                <w:sz w:val="18"/>
                <w:szCs w:val="18"/>
              </w:rPr>
            </w:pPr>
          </w:p>
        </w:tc>
        <w:tc>
          <w:tcPr>
            <w:tcW w:w="2083" w:type="dxa"/>
            <w:gridSpan w:val="2"/>
            <w:tcBorders>
              <w:top w:val="single" w:sz="12" w:space="0" w:color="auto"/>
              <w:bottom w:val="nil"/>
            </w:tcBorders>
          </w:tcPr>
          <w:p w:rsidR="006074C8" w:rsidRPr="00AE66A7" w:rsidRDefault="006074C8" w:rsidP="00FB7FA6">
            <w:pPr>
              <w:spacing w:after="0" w:line="276" w:lineRule="auto"/>
              <w:rPr>
                <w:sz w:val="18"/>
                <w:szCs w:val="18"/>
              </w:rPr>
            </w:pPr>
            <w:r w:rsidRPr="00AE66A7">
              <w:rPr>
                <w:sz w:val="18"/>
                <w:szCs w:val="18"/>
              </w:rPr>
              <w:t>Model 1 Random effects organ involvement</w:t>
            </w:r>
          </w:p>
        </w:tc>
        <w:tc>
          <w:tcPr>
            <w:tcW w:w="2249" w:type="dxa"/>
            <w:gridSpan w:val="2"/>
            <w:tcBorders>
              <w:top w:val="single" w:sz="12" w:space="0" w:color="auto"/>
              <w:bottom w:val="nil"/>
            </w:tcBorders>
          </w:tcPr>
          <w:p w:rsidR="006074C8" w:rsidRPr="00AE66A7" w:rsidRDefault="006074C8" w:rsidP="00FB7FA6">
            <w:pPr>
              <w:spacing w:after="0" w:line="276" w:lineRule="auto"/>
              <w:rPr>
                <w:sz w:val="18"/>
                <w:szCs w:val="18"/>
              </w:rPr>
            </w:pPr>
            <w:r w:rsidRPr="00AE66A7">
              <w:rPr>
                <w:sz w:val="18"/>
                <w:szCs w:val="18"/>
              </w:rPr>
              <w:t>Model 2 Random effects reduced model</w:t>
            </w:r>
          </w:p>
        </w:tc>
        <w:tc>
          <w:tcPr>
            <w:tcW w:w="2250" w:type="dxa"/>
            <w:gridSpan w:val="2"/>
            <w:tcBorders>
              <w:top w:val="single" w:sz="12" w:space="0" w:color="auto"/>
              <w:bottom w:val="nil"/>
            </w:tcBorders>
          </w:tcPr>
          <w:p w:rsidR="006074C8" w:rsidRPr="00AE66A7" w:rsidRDefault="006074C8" w:rsidP="00FB7FA6">
            <w:pPr>
              <w:spacing w:after="0" w:line="276" w:lineRule="auto"/>
              <w:rPr>
                <w:sz w:val="18"/>
                <w:szCs w:val="18"/>
              </w:rPr>
            </w:pPr>
            <w:r w:rsidRPr="00AE66A7">
              <w:rPr>
                <w:sz w:val="18"/>
                <w:szCs w:val="18"/>
              </w:rPr>
              <w:t>Model 3 Random effects reduced model with demographics</w:t>
            </w:r>
          </w:p>
        </w:tc>
      </w:tr>
      <w:tr w:rsidR="006074C8" w:rsidRPr="00AE66A7" w:rsidTr="00A14ADC">
        <w:tc>
          <w:tcPr>
            <w:tcW w:w="2660" w:type="dxa"/>
            <w:tcBorders>
              <w:top w:val="nil"/>
              <w:bottom w:val="single" w:sz="4" w:space="0" w:color="auto"/>
            </w:tcBorders>
          </w:tcPr>
          <w:p w:rsidR="006074C8" w:rsidRPr="00AE66A7" w:rsidRDefault="006074C8" w:rsidP="00FB7FA6">
            <w:pPr>
              <w:spacing w:after="0" w:line="276" w:lineRule="auto"/>
              <w:rPr>
                <w:sz w:val="18"/>
                <w:szCs w:val="18"/>
              </w:rPr>
            </w:pPr>
          </w:p>
        </w:tc>
        <w:tc>
          <w:tcPr>
            <w:tcW w:w="1041"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Coefficient</w:t>
            </w:r>
          </w:p>
        </w:tc>
        <w:tc>
          <w:tcPr>
            <w:tcW w:w="1042"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SE</w:t>
            </w:r>
          </w:p>
        </w:tc>
        <w:tc>
          <w:tcPr>
            <w:tcW w:w="1124"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Coefficient</w:t>
            </w: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SE</w:t>
            </w: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Coefficient</w:t>
            </w: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SE</w:t>
            </w:r>
          </w:p>
        </w:tc>
      </w:tr>
      <w:tr w:rsidR="006074C8" w:rsidRPr="00AE66A7" w:rsidTr="00A14ADC">
        <w:tc>
          <w:tcPr>
            <w:tcW w:w="2660"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Average SLEDAI score</w:t>
            </w:r>
          </w:p>
        </w:tc>
        <w:tc>
          <w:tcPr>
            <w:tcW w:w="1041"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0.3792</w:t>
            </w:r>
          </w:p>
        </w:tc>
        <w:tc>
          <w:tcPr>
            <w:tcW w:w="1042"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0.0743</w:t>
            </w:r>
          </w:p>
        </w:tc>
        <w:tc>
          <w:tcPr>
            <w:tcW w:w="1124"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0.7769</w:t>
            </w:r>
          </w:p>
        </w:tc>
        <w:tc>
          <w:tcPr>
            <w:tcW w:w="1125"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0.0546</w:t>
            </w:r>
          </w:p>
        </w:tc>
        <w:tc>
          <w:tcPr>
            <w:tcW w:w="1125"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.6980</w:t>
            </w:r>
          </w:p>
        </w:tc>
        <w:tc>
          <w:tcPr>
            <w:tcW w:w="1125" w:type="dxa"/>
            <w:tcBorders>
              <w:top w:val="single" w:sz="4" w:space="0" w:color="auto"/>
            </w:tcBorders>
          </w:tcPr>
          <w:p w:rsidR="006074C8" w:rsidRPr="00AE66A7" w:rsidRDefault="006074C8" w:rsidP="00FB7FA6">
            <w:pPr>
              <w:spacing w:after="0" w:line="276" w:lineRule="auto"/>
              <w:rPr>
                <w:sz w:val="18"/>
                <w:szCs w:val="18"/>
              </w:rPr>
            </w:pPr>
            <w:r w:rsidRPr="00AE66A7">
              <w:rPr>
                <w:sz w:val="18"/>
                <w:szCs w:val="18"/>
              </w:rPr>
              <w:t>.0550</w:t>
            </w: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CNS involvement</w:t>
            </w:r>
          </w:p>
        </w:tc>
        <w:tc>
          <w:tcPr>
            <w:tcW w:w="1041" w:type="dxa"/>
          </w:tcPr>
          <w:p w:rsidR="006074C8" w:rsidRPr="00AE66A7" w:rsidRDefault="006074C8" w:rsidP="00FB7FA6">
            <w:pPr>
              <w:spacing w:after="0" w:line="276" w:lineRule="auto"/>
              <w:rPr>
                <w:sz w:val="18"/>
                <w:szCs w:val="18"/>
              </w:rPr>
            </w:pPr>
            <w:r w:rsidRPr="00AE66A7">
              <w:rPr>
                <w:sz w:val="18"/>
                <w:szCs w:val="18"/>
              </w:rPr>
              <w:t>2.0839</w:t>
            </w:r>
          </w:p>
        </w:tc>
        <w:tc>
          <w:tcPr>
            <w:tcW w:w="1042" w:type="dxa"/>
          </w:tcPr>
          <w:p w:rsidR="006074C8" w:rsidRPr="00AE66A7" w:rsidRDefault="006074C8" w:rsidP="00FB7FA6">
            <w:pPr>
              <w:spacing w:after="0" w:line="276" w:lineRule="auto"/>
              <w:rPr>
                <w:sz w:val="18"/>
                <w:szCs w:val="18"/>
              </w:rPr>
            </w:pPr>
            <w:r w:rsidRPr="00AE66A7">
              <w:rPr>
                <w:sz w:val="18"/>
                <w:szCs w:val="18"/>
              </w:rPr>
              <w:t>0.4281</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Vasculitis</w:t>
            </w:r>
          </w:p>
        </w:tc>
        <w:tc>
          <w:tcPr>
            <w:tcW w:w="1041" w:type="dxa"/>
          </w:tcPr>
          <w:p w:rsidR="006074C8" w:rsidRPr="00AE66A7" w:rsidRDefault="006074C8" w:rsidP="00FB7FA6">
            <w:pPr>
              <w:spacing w:after="0" w:line="276" w:lineRule="auto"/>
              <w:rPr>
                <w:sz w:val="18"/>
                <w:szCs w:val="18"/>
              </w:rPr>
            </w:pPr>
            <w:r w:rsidRPr="00AE66A7">
              <w:rPr>
                <w:sz w:val="18"/>
                <w:szCs w:val="18"/>
              </w:rPr>
              <w:t>2.7900</w:t>
            </w:r>
          </w:p>
        </w:tc>
        <w:tc>
          <w:tcPr>
            <w:tcW w:w="1042" w:type="dxa"/>
          </w:tcPr>
          <w:p w:rsidR="006074C8" w:rsidRPr="00AE66A7" w:rsidRDefault="006074C8" w:rsidP="00FB7FA6">
            <w:pPr>
              <w:spacing w:after="0" w:line="276" w:lineRule="auto"/>
              <w:rPr>
                <w:sz w:val="18"/>
                <w:szCs w:val="18"/>
              </w:rPr>
            </w:pPr>
            <w:r w:rsidRPr="00AE66A7">
              <w:rPr>
                <w:sz w:val="18"/>
                <w:szCs w:val="18"/>
              </w:rPr>
              <w:t>.6037</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Renal involvement</w:t>
            </w:r>
          </w:p>
        </w:tc>
        <w:tc>
          <w:tcPr>
            <w:tcW w:w="1041" w:type="dxa"/>
          </w:tcPr>
          <w:p w:rsidR="006074C8" w:rsidRPr="00AE66A7" w:rsidRDefault="006074C8" w:rsidP="00FB7FA6">
            <w:pPr>
              <w:spacing w:after="0" w:line="276" w:lineRule="auto"/>
              <w:rPr>
                <w:sz w:val="18"/>
                <w:szCs w:val="18"/>
              </w:rPr>
            </w:pPr>
            <w:r w:rsidRPr="00AE66A7">
              <w:rPr>
                <w:sz w:val="18"/>
                <w:szCs w:val="18"/>
              </w:rPr>
              <w:t>2.3081</w:t>
            </w:r>
          </w:p>
        </w:tc>
        <w:tc>
          <w:tcPr>
            <w:tcW w:w="1042" w:type="dxa"/>
          </w:tcPr>
          <w:p w:rsidR="006074C8" w:rsidRPr="00AE66A7" w:rsidRDefault="006074C8" w:rsidP="00FB7FA6">
            <w:pPr>
              <w:spacing w:after="0" w:line="276" w:lineRule="auto"/>
              <w:rPr>
                <w:sz w:val="18"/>
                <w:szCs w:val="18"/>
              </w:rPr>
            </w:pPr>
            <w:r w:rsidRPr="00AE66A7">
              <w:rPr>
                <w:sz w:val="18"/>
                <w:szCs w:val="18"/>
              </w:rPr>
              <w:t>0.2178</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Musculoskeletal involvement</w:t>
            </w:r>
          </w:p>
        </w:tc>
        <w:tc>
          <w:tcPr>
            <w:tcW w:w="1041" w:type="dxa"/>
          </w:tcPr>
          <w:p w:rsidR="006074C8" w:rsidRPr="00AE66A7" w:rsidRDefault="006074C8" w:rsidP="00FB7FA6">
            <w:pPr>
              <w:spacing w:after="0" w:line="276" w:lineRule="auto"/>
              <w:rPr>
                <w:sz w:val="18"/>
                <w:szCs w:val="18"/>
              </w:rPr>
            </w:pPr>
            <w:r w:rsidRPr="00AE66A7">
              <w:rPr>
                <w:sz w:val="18"/>
                <w:szCs w:val="18"/>
              </w:rPr>
              <w:t>0.5491</w:t>
            </w:r>
          </w:p>
        </w:tc>
        <w:tc>
          <w:tcPr>
            <w:tcW w:w="1042" w:type="dxa"/>
          </w:tcPr>
          <w:p w:rsidR="006074C8" w:rsidRPr="00AE66A7" w:rsidRDefault="006074C8" w:rsidP="00FB7FA6">
            <w:pPr>
              <w:spacing w:after="0" w:line="276" w:lineRule="auto"/>
              <w:rPr>
                <w:sz w:val="18"/>
                <w:szCs w:val="18"/>
              </w:rPr>
            </w:pPr>
            <w:r w:rsidRPr="00AE66A7">
              <w:rPr>
                <w:sz w:val="18"/>
                <w:szCs w:val="18"/>
              </w:rPr>
              <w:t>0.2033</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Increased DNA binding</w:t>
            </w:r>
          </w:p>
        </w:tc>
        <w:tc>
          <w:tcPr>
            <w:tcW w:w="1041" w:type="dxa"/>
          </w:tcPr>
          <w:p w:rsidR="006074C8" w:rsidRPr="00AE66A7" w:rsidRDefault="006074C8" w:rsidP="00FB7FA6">
            <w:pPr>
              <w:spacing w:after="0" w:line="276" w:lineRule="auto"/>
              <w:rPr>
                <w:sz w:val="18"/>
                <w:szCs w:val="18"/>
              </w:rPr>
            </w:pPr>
            <w:r w:rsidRPr="00AE66A7">
              <w:rPr>
                <w:sz w:val="18"/>
                <w:szCs w:val="18"/>
              </w:rPr>
              <w:t>0.9744</w:t>
            </w:r>
          </w:p>
        </w:tc>
        <w:tc>
          <w:tcPr>
            <w:tcW w:w="1042" w:type="dxa"/>
          </w:tcPr>
          <w:p w:rsidR="006074C8" w:rsidRPr="00AE66A7" w:rsidRDefault="006074C8" w:rsidP="00FB7FA6">
            <w:pPr>
              <w:spacing w:after="0" w:line="276" w:lineRule="auto"/>
              <w:rPr>
                <w:sz w:val="18"/>
                <w:szCs w:val="18"/>
              </w:rPr>
            </w:pPr>
            <w:r w:rsidRPr="00AE66A7">
              <w:rPr>
                <w:sz w:val="18"/>
                <w:szCs w:val="18"/>
              </w:rPr>
              <w:t>0.2046</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Low complement</w:t>
            </w:r>
          </w:p>
        </w:tc>
        <w:tc>
          <w:tcPr>
            <w:tcW w:w="1041" w:type="dxa"/>
          </w:tcPr>
          <w:p w:rsidR="006074C8" w:rsidRPr="00AE66A7" w:rsidRDefault="006074C8" w:rsidP="00FB7FA6">
            <w:pPr>
              <w:spacing w:after="0" w:line="276" w:lineRule="auto"/>
              <w:rPr>
                <w:sz w:val="18"/>
                <w:szCs w:val="18"/>
              </w:rPr>
            </w:pPr>
          </w:p>
        </w:tc>
        <w:tc>
          <w:tcPr>
            <w:tcW w:w="1042" w:type="dxa"/>
          </w:tcPr>
          <w:p w:rsidR="006074C8" w:rsidRPr="00AE66A7" w:rsidRDefault="006074C8" w:rsidP="00FB7FA6">
            <w:pPr>
              <w:spacing w:after="0" w:line="276" w:lineRule="auto"/>
              <w:rPr>
                <w:sz w:val="18"/>
                <w:szCs w:val="18"/>
              </w:rPr>
            </w:pP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Skin involvement</w:t>
            </w:r>
          </w:p>
        </w:tc>
        <w:tc>
          <w:tcPr>
            <w:tcW w:w="1041" w:type="dxa"/>
          </w:tcPr>
          <w:p w:rsidR="006074C8" w:rsidRPr="00AE66A7" w:rsidRDefault="006074C8" w:rsidP="00FB7FA6">
            <w:pPr>
              <w:spacing w:after="0" w:line="276" w:lineRule="auto"/>
              <w:rPr>
                <w:sz w:val="18"/>
                <w:szCs w:val="18"/>
              </w:rPr>
            </w:pPr>
            <w:r w:rsidRPr="00AE66A7">
              <w:rPr>
                <w:sz w:val="18"/>
                <w:szCs w:val="18"/>
              </w:rPr>
              <w:t>0.0041</w:t>
            </w:r>
          </w:p>
        </w:tc>
        <w:tc>
          <w:tcPr>
            <w:tcW w:w="1042" w:type="dxa"/>
          </w:tcPr>
          <w:p w:rsidR="006074C8" w:rsidRPr="00AE66A7" w:rsidRDefault="006074C8" w:rsidP="00FB7FA6">
            <w:pPr>
              <w:spacing w:after="0" w:line="276" w:lineRule="auto"/>
              <w:rPr>
                <w:sz w:val="18"/>
                <w:szCs w:val="18"/>
              </w:rPr>
            </w:pPr>
            <w:r w:rsidRPr="00AE66A7">
              <w:rPr>
                <w:sz w:val="18"/>
                <w:szCs w:val="18"/>
              </w:rPr>
              <w:t>0.1518</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Pr>
          <w:p w:rsidR="006074C8" w:rsidRPr="00AE66A7" w:rsidRDefault="006074C8" w:rsidP="00FB7FA6">
            <w:pPr>
              <w:spacing w:after="0" w:line="276" w:lineRule="auto"/>
              <w:rPr>
                <w:sz w:val="18"/>
                <w:szCs w:val="18"/>
              </w:rPr>
            </w:pPr>
            <w:r w:rsidRPr="00AE66A7">
              <w:rPr>
                <w:sz w:val="18"/>
                <w:szCs w:val="18"/>
              </w:rPr>
              <w:t>Serositis</w:t>
            </w:r>
          </w:p>
        </w:tc>
        <w:tc>
          <w:tcPr>
            <w:tcW w:w="1041" w:type="dxa"/>
          </w:tcPr>
          <w:p w:rsidR="006074C8" w:rsidRPr="00AE66A7" w:rsidRDefault="006074C8" w:rsidP="00FB7FA6">
            <w:pPr>
              <w:spacing w:after="0" w:line="276" w:lineRule="auto"/>
              <w:rPr>
                <w:sz w:val="18"/>
                <w:szCs w:val="18"/>
              </w:rPr>
            </w:pPr>
            <w:r w:rsidRPr="00AE66A7">
              <w:rPr>
                <w:sz w:val="18"/>
                <w:szCs w:val="18"/>
              </w:rPr>
              <w:t>1.0848</w:t>
            </w:r>
          </w:p>
        </w:tc>
        <w:tc>
          <w:tcPr>
            <w:tcW w:w="1042" w:type="dxa"/>
          </w:tcPr>
          <w:p w:rsidR="006074C8" w:rsidRPr="00AE66A7" w:rsidRDefault="006074C8" w:rsidP="00FB7FA6">
            <w:pPr>
              <w:spacing w:after="0" w:line="276" w:lineRule="auto"/>
              <w:rPr>
                <w:sz w:val="18"/>
                <w:szCs w:val="18"/>
              </w:rPr>
            </w:pPr>
            <w:r w:rsidRPr="00AE66A7">
              <w:rPr>
                <w:sz w:val="18"/>
                <w:szCs w:val="18"/>
              </w:rPr>
              <w:t>0.2776</w:t>
            </w:r>
          </w:p>
        </w:tc>
        <w:tc>
          <w:tcPr>
            <w:tcW w:w="1124"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c>
          <w:tcPr>
            <w:tcW w:w="1125" w:type="dxa"/>
          </w:tcPr>
          <w:p w:rsidR="006074C8" w:rsidRPr="00AE66A7" w:rsidRDefault="006074C8" w:rsidP="00FB7FA6">
            <w:pPr>
              <w:spacing w:after="0" w:line="276" w:lineRule="auto"/>
              <w:rPr>
                <w:sz w:val="18"/>
                <w:szCs w:val="18"/>
              </w:rPr>
            </w:pPr>
          </w:p>
        </w:tc>
      </w:tr>
      <w:tr w:rsidR="006074C8" w:rsidRPr="00AE66A7" w:rsidTr="00A14ADC">
        <w:tc>
          <w:tcPr>
            <w:tcW w:w="2660" w:type="dxa"/>
            <w:tcBorders>
              <w:bottom w:val="nil"/>
            </w:tcBorders>
          </w:tcPr>
          <w:p w:rsidR="006074C8" w:rsidRPr="00AE66A7" w:rsidRDefault="006074C8" w:rsidP="00FB7FA6">
            <w:pPr>
              <w:spacing w:after="0" w:line="276" w:lineRule="auto"/>
              <w:rPr>
                <w:sz w:val="18"/>
                <w:szCs w:val="18"/>
              </w:rPr>
            </w:pPr>
            <w:r w:rsidRPr="00AE66A7">
              <w:rPr>
                <w:sz w:val="18"/>
                <w:szCs w:val="18"/>
              </w:rPr>
              <w:t>Hematology</w:t>
            </w:r>
          </w:p>
        </w:tc>
        <w:tc>
          <w:tcPr>
            <w:tcW w:w="1041" w:type="dxa"/>
            <w:tcBorders>
              <w:bottom w:val="nil"/>
            </w:tcBorders>
          </w:tcPr>
          <w:p w:rsidR="006074C8" w:rsidRPr="00AE66A7" w:rsidRDefault="006074C8" w:rsidP="00FB7FA6">
            <w:pPr>
              <w:spacing w:after="0" w:line="276" w:lineRule="auto"/>
              <w:rPr>
                <w:sz w:val="18"/>
                <w:szCs w:val="18"/>
              </w:rPr>
            </w:pPr>
          </w:p>
        </w:tc>
        <w:tc>
          <w:tcPr>
            <w:tcW w:w="1042" w:type="dxa"/>
            <w:tcBorders>
              <w:bottom w:val="nil"/>
            </w:tcBorders>
          </w:tcPr>
          <w:p w:rsidR="006074C8" w:rsidRPr="00AE66A7" w:rsidRDefault="006074C8" w:rsidP="00FB7FA6">
            <w:pPr>
              <w:spacing w:after="0" w:line="276" w:lineRule="auto"/>
              <w:rPr>
                <w:sz w:val="18"/>
                <w:szCs w:val="18"/>
              </w:rPr>
            </w:pPr>
          </w:p>
        </w:tc>
        <w:tc>
          <w:tcPr>
            <w:tcW w:w="1124" w:type="dxa"/>
            <w:tcBorders>
              <w:bottom w:val="nil"/>
            </w:tcBorders>
          </w:tcPr>
          <w:p w:rsidR="006074C8" w:rsidRPr="00AE66A7" w:rsidRDefault="006074C8" w:rsidP="00FB7FA6">
            <w:pPr>
              <w:spacing w:after="0" w:line="276" w:lineRule="auto"/>
              <w:rPr>
                <w:sz w:val="18"/>
                <w:szCs w:val="18"/>
              </w:rPr>
            </w:pPr>
          </w:p>
        </w:tc>
        <w:tc>
          <w:tcPr>
            <w:tcW w:w="1125" w:type="dxa"/>
            <w:tcBorders>
              <w:bottom w:val="nil"/>
            </w:tcBorders>
          </w:tcPr>
          <w:p w:rsidR="006074C8" w:rsidRPr="00AE66A7" w:rsidRDefault="006074C8" w:rsidP="00FB7FA6">
            <w:pPr>
              <w:spacing w:after="0" w:line="276" w:lineRule="auto"/>
              <w:rPr>
                <w:sz w:val="18"/>
                <w:szCs w:val="18"/>
              </w:rPr>
            </w:pPr>
          </w:p>
        </w:tc>
        <w:tc>
          <w:tcPr>
            <w:tcW w:w="1125" w:type="dxa"/>
            <w:tcBorders>
              <w:bottom w:val="nil"/>
            </w:tcBorders>
          </w:tcPr>
          <w:p w:rsidR="006074C8" w:rsidRPr="00AE66A7" w:rsidRDefault="006074C8" w:rsidP="00FB7FA6">
            <w:pPr>
              <w:spacing w:after="0" w:line="276" w:lineRule="auto"/>
              <w:rPr>
                <w:sz w:val="18"/>
                <w:szCs w:val="18"/>
              </w:rPr>
            </w:pPr>
          </w:p>
        </w:tc>
        <w:tc>
          <w:tcPr>
            <w:tcW w:w="1125" w:type="dxa"/>
            <w:tcBorders>
              <w:bottom w:val="nil"/>
            </w:tcBorders>
          </w:tcPr>
          <w:p w:rsidR="006074C8" w:rsidRPr="00AE66A7" w:rsidRDefault="006074C8" w:rsidP="00FB7FA6">
            <w:pPr>
              <w:spacing w:after="0" w:line="276" w:lineRule="auto"/>
              <w:rPr>
                <w:sz w:val="18"/>
                <w:szCs w:val="18"/>
              </w:rPr>
            </w:pPr>
          </w:p>
        </w:tc>
      </w:tr>
      <w:tr w:rsidR="006074C8" w:rsidRPr="00AE66A7" w:rsidTr="00A14ADC">
        <w:tc>
          <w:tcPr>
            <w:tcW w:w="2660" w:type="dxa"/>
            <w:tcBorders>
              <w:top w:val="nil"/>
              <w:bottom w:val="nil"/>
            </w:tcBorders>
          </w:tcPr>
          <w:p w:rsidR="006074C8" w:rsidRPr="00AE66A7" w:rsidRDefault="006074C8" w:rsidP="00FB7FA6">
            <w:pPr>
              <w:spacing w:after="0" w:line="276" w:lineRule="auto"/>
              <w:rPr>
                <w:sz w:val="18"/>
                <w:szCs w:val="18"/>
              </w:rPr>
            </w:pPr>
            <w:r w:rsidRPr="00AE66A7">
              <w:rPr>
                <w:sz w:val="18"/>
                <w:szCs w:val="18"/>
              </w:rPr>
              <w:t>African American Ethnicity</w:t>
            </w:r>
          </w:p>
        </w:tc>
        <w:tc>
          <w:tcPr>
            <w:tcW w:w="1041" w:type="dxa"/>
            <w:tcBorders>
              <w:top w:val="nil"/>
              <w:bottom w:val="nil"/>
            </w:tcBorders>
          </w:tcPr>
          <w:p w:rsidR="006074C8" w:rsidRPr="00AE66A7" w:rsidRDefault="006074C8" w:rsidP="00FB7FA6">
            <w:pPr>
              <w:spacing w:after="0" w:line="276" w:lineRule="auto"/>
              <w:rPr>
                <w:sz w:val="18"/>
                <w:szCs w:val="18"/>
              </w:rPr>
            </w:pPr>
          </w:p>
        </w:tc>
        <w:tc>
          <w:tcPr>
            <w:tcW w:w="1042" w:type="dxa"/>
            <w:tcBorders>
              <w:top w:val="nil"/>
              <w:bottom w:val="nil"/>
            </w:tcBorders>
          </w:tcPr>
          <w:p w:rsidR="006074C8" w:rsidRPr="00AE66A7" w:rsidRDefault="006074C8" w:rsidP="00FB7FA6">
            <w:pPr>
              <w:spacing w:after="0" w:line="276" w:lineRule="auto"/>
              <w:rPr>
                <w:sz w:val="18"/>
                <w:szCs w:val="18"/>
              </w:rPr>
            </w:pPr>
          </w:p>
        </w:tc>
        <w:tc>
          <w:tcPr>
            <w:tcW w:w="1124"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2.1032</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0.3108</w:t>
            </w:r>
          </w:p>
        </w:tc>
      </w:tr>
      <w:tr w:rsidR="006074C8" w:rsidRPr="00AE66A7" w:rsidTr="00A14ADC">
        <w:tc>
          <w:tcPr>
            <w:tcW w:w="2660" w:type="dxa"/>
            <w:tcBorders>
              <w:top w:val="nil"/>
              <w:bottom w:val="nil"/>
            </w:tcBorders>
          </w:tcPr>
          <w:p w:rsidR="006074C8" w:rsidRPr="00AE66A7" w:rsidRDefault="006074C8" w:rsidP="00FB7FA6">
            <w:pPr>
              <w:spacing w:after="0" w:line="276" w:lineRule="auto"/>
              <w:rPr>
                <w:sz w:val="18"/>
                <w:szCs w:val="18"/>
              </w:rPr>
            </w:pPr>
            <w:r w:rsidRPr="00AE66A7">
              <w:rPr>
                <w:sz w:val="18"/>
                <w:szCs w:val="18"/>
              </w:rPr>
              <w:t>Male</w:t>
            </w:r>
          </w:p>
        </w:tc>
        <w:tc>
          <w:tcPr>
            <w:tcW w:w="1041" w:type="dxa"/>
            <w:tcBorders>
              <w:top w:val="nil"/>
              <w:bottom w:val="nil"/>
            </w:tcBorders>
          </w:tcPr>
          <w:p w:rsidR="006074C8" w:rsidRPr="00AE66A7" w:rsidRDefault="006074C8" w:rsidP="00FB7FA6">
            <w:pPr>
              <w:spacing w:after="0" w:line="276" w:lineRule="auto"/>
              <w:rPr>
                <w:sz w:val="18"/>
                <w:szCs w:val="18"/>
              </w:rPr>
            </w:pPr>
          </w:p>
        </w:tc>
        <w:tc>
          <w:tcPr>
            <w:tcW w:w="1042" w:type="dxa"/>
            <w:tcBorders>
              <w:top w:val="nil"/>
              <w:bottom w:val="nil"/>
            </w:tcBorders>
          </w:tcPr>
          <w:p w:rsidR="006074C8" w:rsidRPr="00AE66A7" w:rsidRDefault="006074C8" w:rsidP="00FB7FA6">
            <w:pPr>
              <w:spacing w:after="0" w:line="276" w:lineRule="auto"/>
              <w:rPr>
                <w:sz w:val="18"/>
                <w:szCs w:val="18"/>
              </w:rPr>
            </w:pPr>
          </w:p>
        </w:tc>
        <w:tc>
          <w:tcPr>
            <w:tcW w:w="1124"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1.1249</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0.6537</w:t>
            </w:r>
          </w:p>
        </w:tc>
      </w:tr>
      <w:tr w:rsidR="006074C8" w:rsidRPr="00AE66A7" w:rsidTr="00A14ADC">
        <w:tc>
          <w:tcPr>
            <w:tcW w:w="2660" w:type="dxa"/>
            <w:tcBorders>
              <w:top w:val="nil"/>
              <w:bottom w:val="nil"/>
            </w:tcBorders>
          </w:tcPr>
          <w:p w:rsidR="006074C8" w:rsidRPr="00AE66A7" w:rsidRDefault="006074C8" w:rsidP="00FB7FA6">
            <w:pPr>
              <w:spacing w:after="0" w:line="276" w:lineRule="auto"/>
              <w:rPr>
                <w:sz w:val="18"/>
                <w:szCs w:val="18"/>
              </w:rPr>
            </w:pPr>
            <w:r w:rsidRPr="00AE66A7">
              <w:rPr>
                <w:sz w:val="18"/>
                <w:szCs w:val="18"/>
              </w:rPr>
              <w:t>Log age</w:t>
            </w:r>
          </w:p>
        </w:tc>
        <w:tc>
          <w:tcPr>
            <w:tcW w:w="1041" w:type="dxa"/>
            <w:tcBorders>
              <w:top w:val="nil"/>
              <w:bottom w:val="nil"/>
            </w:tcBorders>
          </w:tcPr>
          <w:p w:rsidR="006074C8" w:rsidRPr="00AE66A7" w:rsidRDefault="006074C8" w:rsidP="00FB7FA6">
            <w:pPr>
              <w:spacing w:after="0" w:line="276" w:lineRule="auto"/>
              <w:rPr>
                <w:sz w:val="18"/>
                <w:szCs w:val="18"/>
              </w:rPr>
            </w:pPr>
          </w:p>
        </w:tc>
        <w:tc>
          <w:tcPr>
            <w:tcW w:w="1042" w:type="dxa"/>
            <w:tcBorders>
              <w:top w:val="nil"/>
              <w:bottom w:val="nil"/>
            </w:tcBorders>
          </w:tcPr>
          <w:p w:rsidR="006074C8" w:rsidRPr="00AE66A7" w:rsidRDefault="006074C8" w:rsidP="00FB7FA6">
            <w:pPr>
              <w:spacing w:after="0" w:line="276" w:lineRule="auto"/>
              <w:rPr>
                <w:sz w:val="18"/>
                <w:szCs w:val="18"/>
              </w:rPr>
            </w:pPr>
          </w:p>
        </w:tc>
        <w:tc>
          <w:tcPr>
            <w:tcW w:w="1124"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-4.4497</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0.5366</w:t>
            </w:r>
          </w:p>
        </w:tc>
      </w:tr>
      <w:tr w:rsidR="006074C8" w:rsidRPr="00AE66A7" w:rsidTr="00A14ADC">
        <w:tc>
          <w:tcPr>
            <w:tcW w:w="2660" w:type="dxa"/>
            <w:tcBorders>
              <w:top w:val="nil"/>
              <w:bottom w:val="nil"/>
            </w:tcBorders>
          </w:tcPr>
          <w:p w:rsidR="006074C8" w:rsidRPr="00AE66A7" w:rsidRDefault="006074C8" w:rsidP="00FB7FA6">
            <w:pPr>
              <w:spacing w:after="0" w:line="276" w:lineRule="auto"/>
              <w:rPr>
                <w:sz w:val="18"/>
                <w:szCs w:val="18"/>
              </w:rPr>
            </w:pPr>
            <w:r w:rsidRPr="00AE66A7">
              <w:rPr>
                <w:sz w:val="18"/>
                <w:szCs w:val="18"/>
              </w:rPr>
              <w:t>Constant</w:t>
            </w:r>
          </w:p>
        </w:tc>
        <w:tc>
          <w:tcPr>
            <w:tcW w:w="1041" w:type="dxa"/>
            <w:tcBorders>
              <w:top w:val="nil"/>
              <w:bottom w:val="nil"/>
            </w:tcBorders>
          </w:tcPr>
          <w:p w:rsidR="006074C8" w:rsidRPr="00AE66A7" w:rsidRDefault="006074C8" w:rsidP="00FB7FA6">
            <w:pPr>
              <w:spacing w:after="0" w:line="276" w:lineRule="auto"/>
              <w:rPr>
                <w:sz w:val="18"/>
                <w:szCs w:val="18"/>
              </w:rPr>
            </w:pPr>
            <w:r w:rsidRPr="00AE66A7">
              <w:rPr>
                <w:sz w:val="18"/>
                <w:szCs w:val="18"/>
              </w:rPr>
              <w:t>3.2854</w:t>
            </w:r>
          </w:p>
        </w:tc>
        <w:tc>
          <w:tcPr>
            <w:tcW w:w="1042" w:type="dxa"/>
            <w:tcBorders>
              <w:top w:val="nil"/>
              <w:bottom w:val="nil"/>
            </w:tcBorders>
          </w:tcPr>
          <w:p w:rsidR="006074C8" w:rsidRPr="00AE66A7" w:rsidRDefault="006074C8" w:rsidP="00FB7FA6">
            <w:pPr>
              <w:spacing w:after="0" w:line="276" w:lineRule="auto"/>
              <w:rPr>
                <w:sz w:val="18"/>
                <w:szCs w:val="18"/>
              </w:rPr>
            </w:pPr>
            <w:r w:rsidRPr="00AE66A7">
              <w:rPr>
                <w:sz w:val="18"/>
                <w:szCs w:val="18"/>
              </w:rPr>
              <w:t>0.1751</w:t>
            </w:r>
          </w:p>
        </w:tc>
        <w:tc>
          <w:tcPr>
            <w:tcW w:w="1124" w:type="dxa"/>
            <w:tcBorders>
              <w:top w:val="nil"/>
              <w:bottom w:val="nil"/>
            </w:tcBorders>
          </w:tcPr>
          <w:p w:rsidR="006074C8" w:rsidRPr="00AE66A7" w:rsidRDefault="006074C8" w:rsidP="00FB7FA6">
            <w:pPr>
              <w:spacing w:after="0" w:line="276" w:lineRule="auto"/>
              <w:rPr>
                <w:sz w:val="18"/>
                <w:szCs w:val="18"/>
              </w:rPr>
            </w:pPr>
            <w:r w:rsidRPr="00AE66A7">
              <w:rPr>
                <w:sz w:val="18"/>
                <w:szCs w:val="18"/>
              </w:rPr>
              <w:t>3.4753</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0.1783</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19.2511</w:t>
            </w:r>
          </w:p>
        </w:tc>
        <w:tc>
          <w:tcPr>
            <w:tcW w:w="1125" w:type="dxa"/>
            <w:tcBorders>
              <w:top w:val="nil"/>
              <w:bottom w:val="nil"/>
            </w:tcBorders>
          </w:tcPr>
          <w:p w:rsidR="006074C8" w:rsidRPr="00AE66A7" w:rsidRDefault="006074C8" w:rsidP="00FB7FA6">
            <w:pPr>
              <w:spacing w:after="0" w:line="276" w:lineRule="auto"/>
              <w:rPr>
                <w:sz w:val="18"/>
                <w:szCs w:val="18"/>
              </w:rPr>
            </w:pPr>
            <w:r w:rsidRPr="00AE66A7">
              <w:rPr>
                <w:sz w:val="18"/>
                <w:szCs w:val="18"/>
              </w:rPr>
              <w:t>2.0197</w:t>
            </w:r>
          </w:p>
        </w:tc>
      </w:tr>
      <w:tr w:rsidR="006074C8" w:rsidRPr="00AE66A7" w:rsidTr="00A14ADC">
        <w:tc>
          <w:tcPr>
            <w:tcW w:w="2660" w:type="dxa"/>
            <w:tcBorders>
              <w:top w:val="nil"/>
              <w:bottom w:val="single" w:sz="4" w:space="0" w:color="auto"/>
            </w:tcBorders>
          </w:tcPr>
          <w:p w:rsidR="006074C8" w:rsidRPr="00AE66A7" w:rsidRDefault="006074C8" w:rsidP="00FB7FA6">
            <w:pPr>
              <w:spacing w:after="0" w:line="276" w:lineRule="auto"/>
              <w:rPr>
                <w:sz w:val="18"/>
                <w:szCs w:val="18"/>
                <w:vertAlign w:val="superscript"/>
              </w:rPr>
            </w:pPr>
            <w:r w:rsidRPr="00AE66A7">
              <w:rPr>
                <w:sz w:val="18"/>
                <w:szCs w:val="18"/>
              </w:rPr>
              <w:t>R</w:t>
            </w:r>
            <w:r w:rsidRPr="00AE66A7">
              <w:rPr>
                <w:sz w:val="18"/>
                <w:szCs w:val="18"/>
                <w:vertAlign w:val="superscript"/>
              </w:rPr>
              <w:t>2</w:t>
            </w:r>
          </w:p>
        </w:tc>
        <w:tc>
          <w:tcPr>
            <w:tcW w:w="1041"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0.1702</w:t>
            </w:r>
          </w:p>
        </w:tc>
        <w:tc>
          <w:tcPr>
            <w:tcW w:w="1042" w:type="dxa"/>
            <w:tcBorders>
              <w:top w:val="nil"/>
              <w:bottom w:val="single" w:sz="4" w:space="0" w:color="auto"/>
            </w:tcBorders>
          </w:tcPr>
          <w:p w:rsidR="006074C8" w:rsidRPr="00AE66A7" w:rsidRDefault="006074C8" w:rsidP="00FB7FA6">
            <w:pPr>
              <w:spacing w:after="0" w:line="276" w:lineRule="auto"/>
              <w:rPr>
                <w:sz w:val="18"/>
                <w:szCs w:val="18"/>
              </w:rPr>
            </w:pPr>
          </w:p>
        </w:tc>
        <w:tc>
          <w:tcPr>
            <w:tcW w:w="1124"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0.1389</w:t>
            </w: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r w:rsidRPr="00AE66A7">
              <w:rPr>
                <w:sz w:val="18"/>
                <w:szCs w:val="18"/>
              </w:rPr>
              <w:t>0.1532</w:t>
            </w:r>
          </w:p>
        </w:tc>
        <w:tc>
          <w:tcPr>
            <w:tcW w:w="1125" w:type="dxa"/>
            <w:tcBorders>
              <w:top w:val="nil"/>
              <w:bottom w:val="single" w:sz="4" w:space="0" w:color="auto"/>
            </w:tcBorders>
          </w:tcPr>
          <w:p w:rsidR="006074C8" w:rsidRPr="00AE66A7" w:rsidRDefault="006074C8" w:rsidP="00FB7FA6">
            <w:pPr>
              <w:spacing w:after="0" w:line="276" w:lineRule="auto"/>
              <w:rPr>
                <w:sz w:val="18"/>
                <w:szCs w:val="18"/>
              </w:rPr>
            </w:pPr>
          </w:p>
        </w:tc>
      </w:tr>
      <w:tr w:rsidR="006074C8" w:rsidRPr="00AE66A7" w:rsidTr="0087718E">
        <w:trPr>
          <w:trHeight w:val="20"/>
        </w:trPr>
        <w:tc>
          <w:tcPr>
            <w:tcW w:w="2660" w:type="dxa"/>
            <w:tcBorders>
              <w:top w:val="single" w:sz="4" w:space="0" w:color="auto"/>
              <w:bottom w:val="single" w:sz="12" w:space="0" w:color="auto"/>
            </w:tcBorders>
          </w:tcPr>
          <w:p w:rsidR="006074C8" w:rsidRPr="00AE66A7" w:rsidRDefault="006074C8" w:rsidP="00FB7FA6">
            <w:pPr>
              <w:spacing w:after="0" w:afterAutospacing="0" w:line="276" w:lineRule="auto"/>
              <w:rPr>
                <w:sz w:val="16"/>
                <w:szCs w:val="16"/>
              </w:rPr>
            </w:pPr>
            <w:r w:rsidRPr="00AE66A7">
              <w:rPr>
                <w:sz w:val="16"/>
                <w:szCs w:val="16"/>
              </w:rPr>
              <w:t>SE standard error</w:t>
            </w:r>
          </w:p>
        </w:tc>
        <w:tc>
          <w:tcPr>
            <w:tcW w:w="1041"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c>
          <w:tcPr>
            <w:tcW w:w="1042"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c>
          <w:tcPr>
            <w:tcW w:w="1124"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c>
          <w:tcPr>
            <w:tcW w:w="1125"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c>
          <w:tcPr>
            <w:tcW w:w="1125"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c>
          <w:tcPr>
            <w:tcW w:w="1125" w:type="dxa"/>
            <w:tcBorders>
              <w:top w:val="single" w:sz="4" w:space="0" w:color="auto"/>
              <w:bottom w:val="single" w:sz="12" w:space="0" w:color="auto"/>
            </w:tcBorders>
          </w:tcPr>
          <w:p w:rsidR="006074C8" w:rsidRPr="00AE66A7" w:rsidRDefault="006074C8" w:rsidP="00FB7FA6">
            <w:pPr>
              <w:spacing w:after="0" w:afterAutospacing="0" w:line="276" w:lineRule="auto"/>
              <w:rPr>
                <w:sz w:val="18"/>
                <w:szCs w:val="18"/>
              </w:rPr>
            </w:pPr>
          </w:p>
        </w:tc>
      </w:tr>
    </w:tbl>
    <w:p w:rsidR="006074C8" w:rsidRDefault="006074C8" w:rsidP="006074C8">
      <w:pPr>
        <w:spacing w:after="0"/>
      </w:pPr>
    </w:p>
    <w:p w:rsidR="006074C8" w:rsidRDefault="00641AAD" w:rsidP="006074C8">
      <w:pPr>
        <w:pStyle w:val="Heading3"/>
      </w:pPr>
      <w:bookmarkStart w:id="322" w:name="_Ref354930159"/>
      <w:bookmarkStart w:id="323" w:name="_Toc379467619"/>
      <w:r>
        <w:t>Results of Mortality and Organ Damage</w:t>
      </w:r>
      <w:bookmarkEnd w:id="322"/>
      <w:bookmarkEnd w:id="323"/>
    </w:p>
    <w:p w:rsidR="006074C8" w:rsidRPr="0087718E" w:rsidRDefault="006074C8" w:rsidP="0087718E">
      <w:pPr>
        <w:pStyle w:val="Heading4"/>
        <w:rPr>
          <w:rStyle w:val="Emphasis"/>
          <w:spacing w:val="10"/>
          <w:sz w:val="22"/>
        </w:rPr>
      </w:pPr>
      <w:bookmarkStart w:id="324" w:name="_Ref354831951"/>
      <w:r w:rsidRPr="0087718E">
        <w:rPr>
          <w:rStyle w:val="Emphasis"/>
          <w:spacing w:val="10"/>
          <w:sz w:val="22"/>
        </w:rPr>
        <w:t>Mortality</w:t>
      </w:r>
      <w:bookmarkEnd w:id="324"/>
    </w:p>
    <w:p w:rsidR="006074C8" w:rsidRDefault="006074C8" w:rsidP="004C0BF9">
      <w:r>
        <w:t xml:space="preserve">Individual univariate analyses were conducted for each of the covariates described in the Methods section. The univariate analysis was run using an exponential survival curve. The results of the univariate regressions can be found in column 1 of </w:t>
      </w:r>
      <w:fldSimple w:instr=" REF _Ref275761515 \h  \* MERGEFORMAT ">
        <w:r w:rsidR="004911B7">
          <w:t xml:space="preserve">Table </w:t>
        </w:r>
        <w:r w:rsidR="004911B7">
          <w:rPr>
            <w:noProof/>
          </w:rPr>
          <w:t>31</w:t>
        </w:r>
      </w:fldSimple>
      <w:r>
        <w:t xml:space="preserve">. Most of the variables found to be statistically significant in the univariate analysis were included in the multivariate stepwise covariate selection process. Log-transformed age was not included in favour of age at diagnosis and log of disease duration. The results of the </w:t>
      </w:r>
      <w:r w:rsidR="00097A11">
        <w:t>multivariate</w:t>
      </w:r>
      <w:r>
        <w:t xml:space="preserve"> </w:t>
      </w:r>
      <w:r w:rsidR="00097A11">
        <w:t xml:space="preserve">survival </w:t>
      </w:r>
      <w:r>
        <w:t xml:space="preserve">model with an exponential distribution can be found in </w:t>
      </w:r>
      <w:fldSimple w:instr=" REF _Ref274837223 \h  \* MERGEFORMAT ">
        <w:r w:rsidR="004911B7">
          <w:t xml:space="preserve">Table </w:t>
        </w:r>
        <w:r w:rsidR="004911B7">
          <w:rPr>
            <w:noProof/>
          </w:rPr>
          <w:t>31</w:t>
        </w:r>
      </w:fldSimple>
      <w:r w:rsidR="00F85B65">
        <w:t xml:space="preserve"> in column</w:t>
      </w:r>
      <w:r>
        <w:t xml:space="preserve"> 2. The choice of parametric survival distribution affects the underlying hazard rate and can introduce time dependency into the</w:t>
      </w:r>
      <w:r w:rsidR="00097A11">
        <w:t xml:space="preserve"> survival</w:t>
      </w:r>
      <w:r>
        <w:t xml:space="preserve"> model. The parametric distribution was selected based on AIC goodness of fit criteria. The Weibull distribution was found to have the </w:t>
      </w:r>
      <w:r w:rsidR="004C0BF9">
        <w:t>lowest AIC</w:t>
      </w:r>
      <w:r>
        <w:t xml:space="preserve"> according to this criterion. The results of the Weibull</w:t>
      </w:r>
      <w:r w:rsidR="00097A11">
        <w:t xml:space="preserve"> survival</w:t>
      </w:r>
      <w:r>
        <w:t xml:space="preserve"> model are reported in column 3. </w:t>
      </w:r>
    </w:p>
    <w:p w:rsidR="006074C8" w:rsidRDefault="006074C8" w:rsidP="001E3503">
      <w:r>
        <w:t xml:space="preserve">Analysis of the African American ethnicity and age at diagnosis were found to be independent predictors of mortality in the </w:t>
      </w:r>
      <w:r w:rsidR="001E3503">
        <w:t xml:space="preserve">Weibull </w:t>
      </w:r>
      <w:r w:rsidR="00097A11">
        <w:t xml:space="preserve">survival </w:t>
      </w:r>
      <w:r>
        <w:t xml:space="preserve">model. Adjusted mean SLEDAI has a relative large and statistically significant impact on mortality. Each increase in the </w:t>
      </w:r>
      <w:r w:rsidR="008978F8">
        <w:t xml:space="preserve">adjusted mean </w:t>
      </w:r>
      <w:r>
        <w:t>SLEDAI score increases the risk of mortality by 2</w:t>
      </w:r>
      <w:r w:rsidR="008978F8">
        <w:t>4.6</w:t>
      </w:r>
      <w:r>
        <w:t xml:space="preserve">%, suggesting a strong relationship between </w:t>
      </w:r>
      <w:r w:rsidR="005742BB">
        <w:t xml:space="preserve">disease activity and mortality. </w:t>
      </w:r>
      <w:r>
        <w:t>Haematological involvement has an independent impact on the risk of mortality in addition to the increase in risk found with the SLEDAI, such that the presence of haematological involvement increases the risk of mortality by 2</w:t>
      </w:r>
      <w:r w:rsidR="008978F8">
        <w:t>34</w:t>
      </w:r>
      <w:r>
        <w:t xml:space="preserve">%. </w:t>
      </w:r>
    </w:p>
    <w:p w:rsidR="006074C8" w:rsidRDefault="006074C8" w:rsidP="008978F8">
      <w:r>
        <w:t>A number of variables were included in the</w:t>
      </w:r>
      <w:r w:rsidR="00097A11">
        <w:t xml:space="preserve"> survival</w:t>
      </w:r>
      <w:r>
        <w:t xml:space="preserve"> model to account for the effects of organ damage on risk of mortality. Cardiovascular damage was only statistically significant in the exponential </w:t>
      </w:r>
      <w:r w:rsidR="00097A11">
        <w:t xml:space="preserve">survival </w:t>
      </w:r>
      <w:r>
        <w:t>model so was excluded from the analysis. However, renal damage, musculoskeletal damage, gastrointestinal, and peripheral vascular damage all increase the risk of mortality. Diabetes and malignancy were also associated with mortality. Finally, infection events were known to be a cause of mortality in SLE patients and the covariate suggests that infection increases the risk of mortality by 2</w:t>
      </w:r>
      <w:r w:rsidR="008978F8">
        <w:t>79</w:t>
      </w:r>
      <w:r>
        <w:t>%.</w:t>
      </w:r>
    </w:p>
    <w:p w:rsidR="006074C8" w:rsidRDefault="008978F8" w:rsidP="008978F8">
      <w:r>
        <w:t>T</w:t>
      </w:r>
      <w:r w:rsidR="006074C8">
        <w:t xml:space="preserve">he covariate for disease duration was not statistically significant; however the size of the </w:t>
      </w:r>
      <w:r>
        <w:t>p</w:t>
      </w:r>
      <w:r w:rsidRPr="008978F8">
        <w:t xml:space="preserve">arametric distribution parameter </w:t>
      </w:r>
      <w:r w:rsidR="006074C8">
        <w:t xml:space="preserve">indicates that the baseline hazard increases over time. In column 4 haematological involvement and </w:t>
      </w:r>
      <w:r w:rsidR="005742BB">
        <w:t>a</w:t>
      </w:r>
      <w:r w:rsidR="0040291B">
        <w:t>nti-malarials</w:t>
      </w:r>
      <w:r w:rsidR="006074C8">
        <w:t xml:space="preserve"> were removed from the </w:t>
      </w:r>
      <w:r w:rsidR="00097A11">
        <w:t xml:space="preserve">survival </w:t>
      </w:r>
      <w:r w:rsidR="006074C8">
        <w:t xml:space="preserve">model. Model </w:t>
      </w:r>
      <w:r w:rsidR="0033661C">
        <w:t>4</w:t>
      </w:r>
      <w:r w:rsidR="006074C8">
        <w:t xml:space="preserve"> can be used in </w:t>
      </w:r>
      <w:r>
        <w:t>a less complex simulation in which the natural history of haematological involvement and anti-malarials were not included</w:t>
      </w:r>
      <w:r w:rsidR="006074C8">
        <w:t xml:space="preserve">. </w:t>
      </w:r>
    </w:p>
    <w:p w:rsidR="006074C8" w:rsidRDefault="006074C8" w:rsidP="006074C8">
      <w:pPr>
        <w:sectPr w:rsidR="006074C8" w:rsidSect="006A3B1E">
          <w:type w:val="continuous"/>
          <w:pgSz w:w="11906" w:h="16838"/>
          <w:pgMar w:top="1440" w:right="1440" w:bottom="1440" w:left="2268" w:header="708" w:footer="708" w:gutter="0"/>
          <w:cols w:space="708"/>
          <w:docGrid w:linePitch="360"/>
        </w:sectPr>
      </w:pPr>
    </w:p>
    <w:p w:rsidR="006074C8" w:rsidRDefault="006074C8" w:rsidP="00234693">
      <w:pPr>
        <w:pStyle w:val="Caption"/>
      </w:pPr>
      <w:bookmarkStart w:id="325" w:name="_Ref274837223"/>
      <w:bookmarkStart w:id="326" w:name="_Ref275761515"/>
      <w:bookmarkStart w:id="327" w:name="_Toc279009296"/>
      <w:r>
        <w:t xml:space="preserve">Table </w:t>
      </w:r>
      <w:fldSimple w:instr=" SEQ Table \* ARABIC ">
        <w:r w:rsidR="004911B7">
          <w:rPr>
            <w:noProof/>
          </w:rPr>
          <w:t>31</w:t>
        </w:r>
      </w:fldSimple>
      <w:bookmarkEnd w:id="325"/>
      <w:bookmarkEnd w:id="326"/>
      <w:r>
        <w:t>: Results of the Mortality analysis</w:t>
      </w:r>
      <w:bookmarkEnd w:id="327"/>
      <w:r>
        <w:t xml:space="preserve"> with log baseline hazard, hazard ratios, distribution parameters, and standard errors in brackets</w:t>
      </w:r>
    </w:p>
    <w:tbl>
      <w:tblPr>
        <w:tblStyle w:val="TableGrid"/>
        <w:tblW w:w="856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3147"/>
        <w:gridCol w:w="1353"/>
        <w:gridCol w:w="107"/>
        <w:gridCol w:w="1247"/>
        <w:gridCol w:w="213"/>
        <w:gridCol w:w="1141"/>
        <w:gridCol w:w="319"/>
        <w:gridCol w:w="1035"/>
      </w:tblGrid>
      <w:tr w:rsidR="0033661C" w:rsidRPr="008C5306" w:rsidTr="0087718E">
        <w:tc>
          <w:tcPr>
            <w:tcW w:w="3147" w:type="dxa"/>
            <w:tcBorders>
              <w:top w:val="single" w:sz="12" w:space="0" w:color="auto"/>
              <w:bottom w:val="nil"/>
            </w:tcBorders>
          </w:tcPr>
          <w:p w:rsidR="0033661C" w:rsidRPr="008C5306" w:rsidRDefault="0033661C" w:rsidP="00A14ADC">
            <w:pPr>
              <w:pStyle w:val="ListParagraph1"/>
              <w:rPr>
                <w:sz w:val="16"/>
                <w:szCs w:val="16"/>
              </w:rPr>
            </w:pPr>
          </w:p>
        </w:tc>
        <w:tc>
          <w:tcPr>
            <w:tcW w:w="1353" w:type="dxa"/>
            <w:tcBorders>
              <w:top w:val="single" w:sz="12" w:space="0" w:color="auto"/>
              <w:bottom w:val="nil"/>
            </w:tcBorders>
          </w:tcPr>
          <w:p w:rsidR="0033661C" w:rsidRPr="008C5306" w:rsidRDefault="0033661C" w:rsidP="00A14ADC">
            <w:pPr>
              <w:pStyle w:val="ListParagraph1"/>
              <w:jc w:val="center"/>
              <w:rPr>
                <w:sz w:val="16"/>
                <w:szCs w:val="16"/>
              </w:rPr>
            </w:pPr>
            <w:r w:rsidRPr="008C5306">
              <w:rPr>
                <w:sz w:val="16"/>
                <w:szCs w:val="16"/>
              </w:rPr>
              <w:t>1</w:t>
            </w:r>
          </w:p>
        </w:tc>
        <w:tc>
          <w:tcPr>
            <w:tcW w:w="1354" w:type="dxa"/>
            <w:gridSpan w:val="2"/>
            <w:tcBorders>
              <w:top w:val="single" w:sz="12" w:space="0" w:color="auto"/>
              <w:bottom w:val="nil"/>
            </w:tcBorders>
          </w:tcPr>
          <w:p w:rsidR="0033661C" w:rsidRPr="008C5306" w:rsidRDefault="0033661C" w:rsidP="00A14ADC">
            <w:pPr>
              <w:pStyle w:val="ListParagraph1"/>
              <w:jc w:val="center"/>
              <w:rPr>
                <w:sz w:val="16"/>
                <w:szCs w:val="16"/>
              </w:rPr>
            </w:pPr>
            <w:r w:rsidRPr="008C5306">
              <w:rPr>
                <w:sz w:val="16"/>
                <w:szCs w:val="16"/>
              </w:rPr>
              <w:t>2</w:t>
            </w:r>
          </w:p>
        </w:tc>
        <w:tc>
          <w:tcPr>
            <w:tcW w:w="1354" w:type="dxa"/>
            <w:gridSpan w:val="2"/>
            <w:tcBorders>
              <w:top w:val="single" w:sz="12" w:space="0" w:color="auto"/>
              <w:bottom w:val="nil"/>
            </w:tcBorders>
          </w:tcPr>
          <w:p w:rsidR="0033661C" w:rsidRPr="008C5306" w:rsidRDefault="0033661C" w:rsidP="00A14ADC">
            <w:pPr>
              <w:pStyle w:val="ListParagraph1"/>
              <w:jc w:val="center"/>
              <w:rPr>
                <w:sz w:val="16"/>
                <w:szCs w:val="16"/>
              </w:rPr>
            </w:pPr>
            <w:r w:rsidRPr="008C5306">
              <w:rPr>
                <w:sz w:val="16"/>
                <w:szCs w:val="16"/>
              </w:rPr>
              <w:t>3</w:t>
            </w:r>
          </w:p>
        </w:tc>
        <w:tc>
          <w:tcPr>
            <w:tcW w:w="1354" w:type="dxa"/>
            <w:gridSpan w:val="2"/>
            <w:tcBorders>
              <w:top w:val="single" w:sz="12" w:space="0" w:color="auto"/>
              <w:bottom w:val="nil"/>
            </w:tcBorders>
          </w:tcPr>
          <w:p w:rsidR="0033661C" w:rsidRPr="008C5306" w:rsidRDefault="0033661C" w:rsidP="00A14ADC">
            <w:pPr>
              <w:pStyle w:val="ListParagraph1"/>
              <w:jc w:val="center"/>
              <w:rPr>
                <w:sz w:val="16"/>
                <w:szCs w:val="16"/>
              </w:rPr>
            </w:pPr>
            <w:r>
              <w:rPr>
                <w:sz w:val="16"/>
                <w:szCs w:val="16"/>
              </w:rPr>
              <w:t>4</w:t>
            </w:r>
          </w:p>
        </w:tc>
      </w:tr>
      <w:tr w:rsidR="0033661C" w:rsidRPr="008C5306" w:rsidTr="0087718E">
        <w:trPr>
          <w:trHeight w:val="252"/>
        </w:trPr>
        <w:tc>
          <w:tcPr>
            <w:tcW w:w="3147" w:type="dxa"/>
            <w:tcBorders>
              <w:top w:val="nil"/>
              <w:bottom w:val="nil"/>
            </w:tcBorders>
          </w:tcPr>
          <w:p w:rsidR="0033661C" w:rsidRPr="008C5306" w:rsidRDefault="0033661C" w:rsidP="00A14ADC">
            <w:pPr>
              <w:pStyle w:val="ListParagraph1"/>
              <w:rPr>
                <w:sz w:val="16"/>
                <w:szCs w:val="16"/>
                <w:lang w:val="fr-CA"/>
              </w:rPr>
            </w:pPr>
          </w:p>
        </w:tc>
        <w:tc>
          <w:tcPr>
            <w:tcW w:w="1353" w:type="dxa"/>
            <w:tcBorders>
              <w:top w:val="nil"/>
              <w:bottom w:val="nil"/>
            </w:tcBorders>
          </w:tcPr>
          <w:p w:rsidR="0033661C" w:rsidRPr="008C5306" w:rsidRDefault="0033661C" w:rsidP="00A14ADC">
            <w:pPr>
              <w:pStyle w:val="ListParagraph1"/>
              <w:rPr>
                <w:sz w:val="16"/>
                <w:szCs w:val="16"/>
              </w:rPr>
            </w:pPr>
            <w:r w:rsidRPr="008C5306">
              <w:rPr>
                <w:sz w:val="16"/>
                <w:szCs w:val="16"/>
              </w:rPr>
              <w:t xml:space="preserve">Univariate analysis </w:t>
            </w:r>
          </w:p>
        </w:tc>
        <w:tc>
          <w:tcPr>
            <w:tcW w:w="1354" w:type="dxa"/>
            <w:gridSpan w:val="2"/>
            <w:tcBorders>
              <w:top w:val="nil"/>
              <w:bottom w:val="nil"/>
            </w:tcBorders>
          </w:tcPr>
          <w:p w:rsidR="0033661C" w:rsidRPr="008C5306" w:rsidRDefault="0033661C" w:rsidP="00A14ADC">
            <w:pPr>
              <w:pStyle w:val="ListParagraph1"/>
              <w:rPr>
                <w:sz w:val="16"/>
                <w:szCs w:val="16"/>
              </w:rPr>
            </w:pPr>
            <w:r w:rsidRPr="008C5306">
              <w:rPr>
                <w:sz w:val="16"/>
                <w:szCs w:val="16"/>
              </w:rPr>
              <w:t>Covariate selection</w:t>
            </w:r>
          </w:p>
        </w:tc>
        <w:tc>
          <w:tcPr>
            <w:tcW w:w="1354" w:type="dxa"/>
            <w:gridSpan w:val="2"/>
            <w:tcBorders>
              <w:top w:val="nil"/>
              <w:bottom w:val="nil"/>
            </w:tcBorders>
          </w:tcPr>
          <w:p w:rsidR="0033661C" w:rsidRPr="008C5306" w:rsidRDefault="0033661C" w:rsidP="00A14ADC">
            <w:pPr>
              <w:pStyle w:val="ListParagraph1"/>
              <w:rPr>
                <w:sz w:val="16"/>
                <w:szCs w:val="16"/>
              </w:rPr>
            </w:pPr>
            <w:r w:rsidRPr="008C5306">
              <w:rPr>
                <w:sz w:val="16"/>
                <w:szCs w:val="16"/>
              </w:rPr>
              <w:t>Distribution selected</w:t>
            </w:r>
          </w:p>
        </w:tc>
        <w:tc>
          <w:tcPr>
            <w:tcW w:w="1354" w:type="dxa"/>
            <w:gridSpan w:val="2"/>
            <w:tcBorders>
              <w:top w:val="nil"/>
              <w:bottom w:val="nil"/>
            </w:tcBorders>
          </w:tcPr>
          <w:p w:rsidR="0033661C" w:rsidRPr="008C5306" w:rsidRDefault="0033661C" w:rsidP="0033661C">
            <w:pPr>
              <w:pStyle w:val="ListParagraph1"/>
              <w:rPr>
                <w:sz w:val="16"/>
                <w:szCs w:val="16"/>
              </w:rPr>
            </w:pPr>
            <w:r>
              <w:rPr>
                <w:sz w:val="16"/>
                <w:szCs w:val="16"/>
              </w:rPr>
              <w:t>Reduced analysis for CE model</w:t>
            </w:r>
          </w:p>
        </w:tc>
      </w:tr>
      <w:tr w:rsidR="0033661C" w:rsidRPr="008C5306" w:rsidTr="0087718E">
        <w:trPr>
          <w:trHeight w:val="252"/>
        </w:trPr>
        <w:tc>
          <w:tcPr>
            <w:tcW w:w="3147" w:type="dxa"/>
            <w:tcBorders>
              <w:top w:val="nil"/>
              <w:bottom w:val="nil"/>
            </w:tcBorders>
          </w:tcPr>
          <w:p w:rsidR="0033661C" w:rsidRPr="0033661C" w:rsidRDefault="0033661C" w:rsidP="00A14ADC">
            <w:pPr>
              <w:pStyle w:val="ListParagraph1"/>
              <w:rPr>
                <w:sz w:val="16"/>
                <w:szCs w:val="16"/>
              </w:rPr>
            </w:pPr>
          </w:p>
        </w:tc>
        <w:tc>
          <w:tcPr>
            <w:tcW w:w="1353" w:type="dxa"/>
            <w:tcBorders>
              <w:top w:val="nil"/>
              <w:bottom w:val="nil"/>
            </w:tcBorders>
          </w:tcPr>
          <w:p w:rsidR="0033661C" w:rsidRPr="008C5306" w:rsidRDefault="0033661C" w:rsidP="00A14ADC">
            <w:pPr>
              <w:pStyle w:val="ListParagraph1"/>
              <w:rPr>
                <w:sz w:val="16"/>
                <w:szCs w:val="16"/>
              </w:rPr>
            </w:pPr>
            <w:r w:rsidRPr="008C5306">
              <w:rPr>
                <w:sz w:val="16"/>
                <w:szCs w:val="16"/>
              </w:rPr>
              <w:t>Exponential</w:t>
            </w:r>
          </w:p>
        </w:tc>
        <w:tc>
          <w:tcPr>
            <w:tcW w:w="1354" w:type="dxa"/>
            <w:gridSpan w:val="2"/>
            <w:tcBorders>
              <w:top w:val="nil"/>
              <w:bottom w:val="nil"/>
            </w:tcBorders>
          </w:tcPr>
          <w:p w:rsidR="0033661C" w:rsidRPr="008C5306" w:rsidRDefault="0033661C" w:rsidP="00A14ADC">
            <w:pPr>
              <w:pStyle w:val="ListParagraph1"/>
              <w:rPr>
                <w:sz w:val="16"/>
                <w:szCs w:val="16"/>
              </w:rPr>
            </w:pPr>
            <w:r w:rsidRPr="008C5306">
              <w:rPr>
                <w:sz w:val="16"/>
                <w:szCs w:val="16"/>
              </w:rPr>
              <w:t>Exponential</w:t>
            </w:r>
          </w:p>
        </w:tc>
        <w:tc>
          <w:tcPr>
            <w:tcW w:w="1354" w:type="dxa"/>
            <w:gridSpan w:val="2"/>
            <w:tcBorders>
              <w:top w:val="nil"/>
              <w:bottom w:val="nil"/>
            </w:tcBorders>
          </w:tcPr>
          <w:p w:rsidR="0033661C" w:rsidRPr="008C5306" w:rsidRDefault="0033661C" w:rsidP="00A14ADC">
            <w:pPr>
              <w:pStyle w:val="ListParagraph1"/>
              <w:rPr>
                <w:sz w:val="16"/>
                <w:szCs w:val="16"/>
              </w:rPr>
            </w:pPr>
            <w:r w:rsidRPr="008C5306">
              <w:rPr>
                <w:sz w:val="16"/>
                <w:szCs w:val="16"/>
              </w:rPr>
              <w:t>Weibull</w:t>
            </w:r>
          </w:p>
        </w:tc>
        <w:tc>
          <w:tcPr>
            <w:tcW w:w="1354" w:type="dxa"/>
            <w:gridSpan w:val="2"/>
            <w:tcBorders>
              <w:top w:val="nil"/>
              <w:bottom w:val="nil"/>
            </w:tcBorders>
          </w:tcPr>
          <w:p w:rsidR="0033661C" w:rsidRPr="008C5306" w:rsidRDefault="0033661C" w:rsidP="00A14ADC">
            <w:pPr>
              <w:pStyle w:val="ListParagraph1"/>
              <w:rPr>
                <w:sz w:val="16"/>
                <w:szCs w:val="16"/>
              </w:rPr>
            </w:pPr>
            <w:r w:rsidRPr="008C5306">
              <w:rPr>
                <w:sz w:val="16"/>
                <w:szCs w:val="16"/>
              </w:rPr>
              <w:t>Weibull</w:t>
            </w:r>
          </w:p>
        </w:tc>
      </w:tr>
      <w:tr w:rsidR="0033661C" w:rsidRPr="008C5306" w:rsidTr="0087718E">
        <w:tc>
          <w:tcPr>
            <w:tcW w:w="3147" w:type="dxa"/>
            <w:tcBorders>
              <w:top w:val="nil"/>
              <w:bottom w:val="single" w:sz="4" w:space="0" w:color="auto"/>
            </w:tcBorders>
          </w:tcPr>
          <w:p w:rsidR="0033661C" w:rsidRPr="008C5306" w:rsidRDefault="0033661C" w:rsidP="00A14ADC">
            <w:pPr>
              <w:pStyle w:val="ListParagraph1"/>
              <w:rPr>
                <w:sz w:val="16"/>
                <w:szCs w:val="16"/>
                <w:lang w:val="fr-CA"/>
              </w:rPr>
            </w:pPr>
          </w:p>
        </w:tc>
        <w:tc>
          <w:tcPr>
            <w:tcW w:w="1353" w:type="dxa"/>
            <w:tcBorders>
              <w:top w:val="nil"/>
              <w:bottom w:val="single" w:sz="4" w:space="0" w:color="auto"/>
            </w:tcBorders>
          </w:tcPr>
          <w:p w:rsidR="0033661C" w:rsidRPr="008C5306" w:rsidRDefault="0033661C" w:rsidP="00A14ADC">
            <w:pPr>
              <w:pStyle w:val="ListParagraph1"/>
              <w:rPr>
                <w:sz w:val="16"/>
                <w:szCs w:val="16"/>
              </w:rPr>
            </w:pPr>
            <w:r w:rsidRPr="008C5306">
              <w:rPr>
                <w:sz w:val="16"/>
                <w:szCs w:val="16"/>
              </w:rPr>
              <w:t>Hazard ratio</w:t>
            </w:r>
          </w:p>
        </w:tc>
        <w:tc>
          <w:tcPr>
            <w:tcW w:w="1354" w:type="dxa"/>
            <w:gridSpan w:val="2"/>
            <w:tcBorders>
              <w:top w:val="nil"/>
              <w:bottom w:val="single" w:sz="4" w:space="0" w:color="auto"/>
            </w:tcBorders>
          </w:tcPr>
          <w:p w:rsidR="0033661C" w:rsidRPr="008C5306" w:rsidRDefault="0033661C" w:rsidP="00A14ADC">
            <w:pPr>
              <w:pStyle w:val="ListParagraph1"/>
              <w:rPr>
                <w:sz w:val="16"/>
                <w:szCs w:val="16"/>
              </w:rPr>
            </w:pPr>
            <w:r w:rsidRPr="008C5306">
              <w:rPr>
                <w:sz w:val="16"/>
                <w:szCs w:val="16"/>
              </w:rPr>
              <w:t>Hazard ratio</w:t>
            </w:r>
          </w:p>
        </w:tc>
        <w:tc>
          <w:tcPr>
            <w:tcW w:w="1354" w:type="dxa"/>
            <w:gridSpan w:val="2"/>
            <w:tcBorders>
              <w:top w:val="nil"/>
              <w:bottom w:val="single" w:sz="4" w:space="0" w:color="auto"/>
            </w:tcBorders>
          </w:tcPr>
          <w:p w:rsidR="0033661C" w:rsidRPr="008C5306" w:rsidRDefault="0033661C" w:rsidP="00A14ADC">
            <w:pPr>
              <w:pStyle w:val="ListParagraph1"/>
              <w:rPr>
                <w:sz w:val="16"/>
                <w:szCs w:val="16"/>
              </w:rPr>
            </w:pPr>
            <w:r w:rsidRPr="008C5306">
              <w:rPr>
                <w:sz w:val="16"/>
                <w:szCs w:val="16"/>
              </w:rPr>
              <w:t>Hazard ratio</w:t>
            </w:r>
          </w:p>
        </w:tc>
        <w:tc>
          <w:tcPr>
            <w:tcW w:w="1354" w:type="dxa"/>
            <w:gridSpan w:val="2"/>
            <w:tcBorders>
              <w:top w:val="nil"/>
              <w:bottom w:val="single" w:sz="4" w:space="0" w:color="auto"/>
            </w:tcBorders>
          </w:tcPr>
          <w:p w:rsidR="0033661C" w:rsidRPr="008C5306" w:rsidRDefault="0033661C" w:rsidP="00A14ADC">
            <w:pPr>
              <w:pStyle w:val="ListParagraph1"/>
              <w:rPr>
                <w:sz w:val="16"/>
                <w:szCs w:val="16"/>
              </w:rPr>
            </w:pPr>
            <w:r w:rsidRPr="008C5306">
              <w:rPr>
                <w:sz w:val="16"/>
                <w:szCs w:val="16"/>
              </w:rPr>
              <w:t>Hazard ratio</w:t>
            </w:r>
          </w:p>
        </w:tc>
      </w:tr>
      <w:tr w:rsidR="0033661C" w:rsidRPr="008C5306" w:rsidTr="0087718E">
        <w:tc>
          <w:tcPr>
            <w:tcW w:w="3147" w:type="dxa"/>
            <w:tcBorders>
              <w:top w:val="single" w:sz="4" w:space="0" w:color="auto"/>
            </w:tcBorders>
          </w:tcPr>
          <w:p w:rsidR="0033661C" w:rsidRPr="008C5306" w:rsidRDefault="0033661C" w:rsidP="00A14ADC">
            <w:pPr>
              <w:pStyle w:val="ListParagraph1"/>
              <w:rPr>
                <w:sz w:val="16"/>
                <w:szCs w:val="16"/>
              </w:rPr>
            </w:pPr>
            <w:r w:rsidRPr="008C5306">
              <w:rPr>
                <w:sz w:val="16"/>
                <w:szCs w:val="16"/>
              </w:rPr>
              <w:t>Male</w:t>
            </w:r>
          </w:p>
        </w:tc>
        <w:tc>
          <w:tcPr>
            <w:tcW w:w="1353" w:type="dxa"/>
            <w:tcBorders>
              <w:top w:val="single" w:sz="4" w:space="0" w:color="auto"/>
            </w:tcBorders>
          </w:tcPr>
          <w:p w:rsidR="0033661C" w:rsidRPr="008C5306" w:rsidRDefault="0033661C" w:rsidP="00A14ADC">
            <w:pPr>
              <w:pStyle w:val="ListParagraph1"/>
              <w:rPr>
                <w:sz w:val="16"/>
                <w:szCs w:val="16"/>
                <w:lang w:val="en-US"/>
              </w:rPr>
            </w:pPr>
            <w:r w:rsidRPr="008C5306">
              <w:rPr>
                <w:sz w:val="16"/>
                <w:szCs w:val="16"/>
                <w:lang w:val="en-US"/>
              </w:rPr>
              <w:t>1.736*</w:t>
            </w:r>
          </w:p>
        </w:tc>
        <w:tc>
          <w:tcPr>
            <w:tcW w:w="1354" w:type="dxa"/>
            <w:gridSpan w:val="2"/>
            <w:tcBorders>
              <w:top w:val="single" w:sz="4" w:space="0" w:color="auto"/>
            </w:tcBorders>
            <w:vAlign w:val="bottom"/>
          </w:tcPr>
          <w:p w:rsidR="0033661C" w:rsidRPr="008C5306" w:rsidRDefault="0033661C" w:rsidP="00A14ADC">
            <w:pPr>
              <w:pStyle w:val="ListParagraph1"/>
              <w:rPr>
                <w:color w:val="000000"/>
                <w:sz w:val="16"/>
                <w:szCs w:val="16"/>
              </w:rPr>
            </w:pPr>
          </w:p>
        </w:tc>
        <w:tc>
          <w:tcPr>
            <w:tcW w:w="1354" w:type="dxa"/>
            <w:gridSpan w:val="2"/>
            <w:tcBorders>
              <w:top w:val="single" w:sz="4" w:space="0" w:color="auto"/>
            </w:tcBorders>
            <w:vAlign w:val="bottom"/>
          </w:tcPr>
          <w:p w:rsidR="0033661C" w:rsidRPr="008C5306" w:rsidRDefault="0033661C" w:rsidP="00A14ADC">
            <w:pPr>
              <w:pStyle w:val="ListParagraph1"/>
              <w:rPr>
                <w:color w:val="000000"/>
                <w:sz w:val="16"/>
                <w:szCs w:val="16"/>
              </w:rPr>
            </w:pPr>
          </w:p>
        </w:tc>
        <w:tc>
          <w:tcPr>
            <w:tcW w:w="1354" w:type="dxa"/>
            <w:gridSpan w:val="2"/>
            <w:tcBorders>
              <w:top w:val="single" w:sz="4" w:space="0" w:color="auto"/>
            </w:tcBorders>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Pr>
                <w:sz w:val="16"/>
                <w:szCs w:val="16"/>
              </w:rPr>
              <w:t>African American ethnicity</w:t>
            </w:r>
          </w:p>
        </w:tc>
        <w:tc>
          <w:tcPr>
            <w:tcW w:w="1353" w:type="dxa"/>
          </w:tcPr>
          <w:p w:rsidR="0033661C" w:rsidRPr="008C5306" w:rsidRDefault="0033661C" w:rsidP="00A14ADC">
            <w:pPr>
              <w:pStyle w:val="ListParagraph1"/>
              <w:rPr>
                <w:sz w:val="16"/>
                <w:szCs w:val="16"/>
                <w:lang w:val="en-US"/>
              </w:rPr>
            </w:pPr>
            <w:r w:rsidRPr="008C5306">
              <w:rPr>
                <w:sz w:val="16"/>
                <w:szCs w:val="16"/>
                <w:lang w:val="en-US"/>
              </w:rPr>
              <w:t>2.243***</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2.4386 (0.6093)</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2.104</w:t>
            </w:r>
            <w:r>
              <w:rPr>
                <w:color w:val="000000"/>
                <w:sz w:val="16"/>
                <w:szCs w:val="16"/>
              </w:rPr>
              <w:t>1 (0.5281)</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2.2889</w:t>
            </w:r>
            <w:r>
              <w:rPr>
                <w:color w:val="000000"/>
                <w:sz w:val="16"/>
                <w:szCs w:val="16"/>
              </w:rPr>
              <w:t xml:space="preserve"> (0.5761)</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Age at diagnosis</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1.029***</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1.0370 (0.0095)</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1.0344</w:t>
            </w:r>
            <w:r>
              <w:rPr>
                <w:color w:val="000000"/>
                <w:sz w:val="16"/>
                <w:szCs w:val="16"/>
              </w:rPr>
              <w:t xml:space="preserve"> (0.0090)</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1.0347</w:t>
            </w:r>
            <w:r>
              <w:rPr>
                <w:color w:val="000000"/>
                <w:sz w:val="16"/>
                <w:szCs w:val="16"/>
              </w:rPr>
              <w:t xml:space="preserve"> (0.0091)</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Past smoker at baseline</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1.802***</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Cholesterol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1.005***</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1.0037 (0.0015)</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1.0041</w:t>
            </w:r>
            <w:r>
              <w:rPr>
                <w:color w:val="000000"/>
                <w:sz w:val="16"/>
                <w:szCs w:val="16"/>
              </w:rPr>
              <w:t xml:space="preserve"> (0.0015)</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1.0048</w:t>
            </w:r>
            <w:r>
              <w:rPr>
                <w:color w:val="000000"/>
                <w:sz w:val="16"/>
                <w:szCs w:val="16"/>
              </w:rPr>
              <w:t xml:space="preserve"> (0.0014)</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Hypertension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3.148***</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Obese at baseline</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1.126</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Anticardiolipid antibody positive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0.000</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Lupus Anticoagulant positive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1.696*</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Log of age</w:t>
            </w:r>
          </w:p>
        </w:tc>
        <w:tc>
          <w:tcPr>
            <w:tcW w:w="1353" w:type="dxa"/>
          </w:tcPr>
          <w:p w:rsidR="0033661C" w:rsidRPr="008C5306" w:rsidRDefault="0033661C" w:rsidP="00A14ADC">
            <w:pPr>
              <w:pStyle w:val="ListParagraph1"/>
              <w:rPr>
                <w:sz w:val="16"/>
                <w:szCs w:val="16"/>
                <w:lang w:val="en-US"/>
              </w:rPr>
            </w:pPr>
            <w:r w:rsidRPr="008C5306">
              <w:rPr>
                <w:sz w:val="16"/>
                <w:szCs w:val="16"/>
                <w:lang w:val="en-US"/>
              </w:rPr>
              <w:t>9.827***</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Log of disease duration</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1.933***</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1.5391 (0.2537)</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rPr>
          <w:trHeight w:val="118"/>
        </w:trPr>
        <w:tc>
          <w:tcPr>
            <w:tcW w:w="3147" w:type="dxa"/>
          </w:tcPr>
          <w:p w:rsidR="0033661C" w:rsidRPr="008978F8" w:rsidRDefault="0033661C" w:rsidP="00A14ADC">
            <w:pPr>
              <w:pStyle w:val="ListParagraph1"/>
              <w:rPr>
                <w:b/>
                <w:bCs/>
                <w:sz w:val="16"/>
                <w:szCs w:val="16"/>
              </w:rPr>
            </w:pPr>
            <w:r w:rsidRPr="008978F8">
              <w:rPr>
                <w:b/>
                <w:bCs/>
                <w:sz w:val="16"/>
                <w:szCs w:val="16"/>
              </w:rPr>
              <w:t>Adjusted Mean SLEDAI at last visit</w:t>
            </w:r>
          </w:p>
        </w:tc>
        <w:tc>
          <w:tcPr>
            <w:tcW w:w="1353" w:type="dxa"/>
          </w:tcPr>
          <w:p w:rsidR="0033661C" w:rsidRPr="008978F8" w:rsidRDefault="0033661C" w:rsidP="00A14ADC">
            <w:pPr>
              <w:pStyle w:val="ListParagraph1"/>
              <w:rPr>
                <w:b/>
                <w:bCs/>
                <w:sz w:val="16"/>
                <w:szCs w:val="16"/>
                <w:lang w:val="en-US"/>
              </w:rPr>
            </w:pPr>
            <w:r w:rsidRPr="008978F8">
              <w:rPr>
                <w:b/>
                <w:bCs/>
                <w:sz w:val="16"/>
                <w:szCs w:val="16"/>
                <w:lang w:val="en-US"/>
              </w:rPr>
              <w:t>1.216***</w:t>
            </w:r>
          </w:p>
        </w:tc>
        <w:tc>
          <w:tcPr>
            <w:tcW w:w="1354" w:type="dxa"/>
            <w:gridSpan w:val="2"/>
            <w:vAlign w:val="bottom"/>
          </w:tcPr>
          <w:p w:rsidR="0033661C" w:rsidRPr="008978F8" w:rsidRDefault="0033661C" w:rsidP="00A14ADC">
            <w:pPr>
              <w:pStyle w:val="ListParagraph1"/>
              <w:rPr>
                <w:b/>
                <w:bCs/>
                <w:color w:val="000000"/>
                <w:sz w:val="16"/>
                <w:szCs w:val="16"/>
              </w:rPr>
            </w:pPr>
            <w:r w:rsidRPr="008978F8">
              <w:rPr>
                <w:b/>
                <w:bCs/>
                <w:color w:val="000000"/>
                <w:sz w:val="16"/>
                <w:szCs w:val="16"/>
              </w:rPr>
              <w:t>1.1898 (0.0545)</w:t>
            </w:r>
          </w:p>
        </w:tc>
        <w:tc>
          <w:tcPr>
            <w:tcW w:w="1354" w:type="dxa"/>
            <w:gridSpan w:val="2"/>
            <w:vAlign w:val="bottom"/>
          </w:tcPr>
          <w:p w:rsidR="0033661C" w:rsidRPr="008978F8" w:rsidRDefault="0033661C" w:rsidP="00A14ADC">
            <w:pPr>
              <w:pStyle w:val="ListParagraph1"/>
              <w:rPr>
                <w:b/>
                <w:bCs/>
                <w:color w:val="000000"/>
                <w:sz w:val="16"/>
                <w:szCs w:val="16"/>
              </w:rPr>
            </w:pPr>
            <w:r w:rsidRPr="008978F8">
              <w:rPr>
                <w:b/>
                <w:bCs/>
                <w:color w:val="000000"/>
                <w:sz w:val="16"/>
                <w:szCs w:val="16"/>
              </w:rPr>
              <w:t>1.2462 (0.0678)</w:t>
            </w:r>
          </w:p>
        </w:tc>
        <w:tc>
          <w:tcPr>
            <w:tcW w:w="1354" w:type="dxa"/>
            <w:gridSpan w:val="2"/>
          </w:tcPr>
          <w:p w:rsidR="0033661C" w:rsidRPr="008978F8" w:rsidRDefault="0033661C" w:rsidP="00A14ADC">
            <w:pPr>
              <w:pStyle w:val="ListParagraph1"/>
              <w:rPr>
                <w:b/>
                <w:bCs/>
                <w:color w:val="000000"/>
                <w:sz w:val="16"/>
                <w:szCs w:val="16"/>
              </w:rPr>
            </w:pPr>
            <w:r w:rsidRPr="008978F8">
              <w:rPr>
                <w:b/>
                <w:bCs/>
                <w:color w:val="000000"/>
                <w:sz w:val="16"/>
                <w:szCs w:val="16"/>
              </w:rPr>
              <w:t>1.3064 (0.0671)</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 xml:space="preserve">Cumulative average </w:t>
            </w:r>
            <w:r>
              <w:rPr>
                <w:sz w:val="16"/>
                <w:szCs w:val="16"/>
              </w:rPr>
              <w:t>steroid</w:t>
            </w:r>
            <w:r w:rsidRPr="008C5306">
              <w:rPr>
                <w:sz w:val="16"/>
                <w:szCs w:val="16"/>
              </w:rPr>
              <w:t xml:space="preserve"> dose at last visit</w:t>
            </w:r>
          </w:p>
        </w:tc>
        <w:tc>
          <w:tcPr>
            <w:tcW w:w="1353" w:type="dxa"/>
          </w:tcPr>
          <w:p w:rsidR="0033661C" w:rsidRPr="008C5306" w:rsidRDefault="0033661C" w:rsidP="00A14ADC">
            <w:pPr>
              <w:pStyle w:val="ListParagraph1"/>
              <w:rPr>
                <w:sz w:val="16"/>
                <w:szCs w:val="16"/>
                <w:lang w:val="fr-CA"/>
              </w:rPr>
            </w:pPr>
            <w:r w:rsidRPr="008C5306">
              <w:rPr>
                <w:sz w:val="16"/>
                <w:szCs w:val="16"/>
                <w:lang w:val="fr-CA"/>
              </w:rPr>
              <w:t>1.001***</w:t>
            </w:r>
          </w:p>
        </w:tc>
        <w:tc>
          <w:tcPr>
            <w:tcW w:w="1354" w:type="dxa"/>
            <w:gridSpan w:val="2"/>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Cytotoxic treatment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1.904***</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Pr>
                <w:sz w:val="16"/>
                <w:szCs w:val="16"/>
              </w:rPr>
              <w:t>Anti-malarials</w:t>
            </w:r>
            <w:r w:rsidRPr="008C5306">
              <w:rPr>
                <w:sz w:val="16"/>
                <w:szCs w:val="16"/>
              </w:rPr>
              <w:t xml:space="preserve"> treatment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0.592**</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0.6142 (0.1414)</w:t>
            </w:r>
          </w:p>
        </w:tc>
        <w:tc>
          <w:tcPr>
            <w:tcW w:w="1354" w:type="dxa"/>
            <w:gridSpan w:val="2"/>
            <w:vAlign w:val="bottom"/>
          </w:tcPr>
          <w:p w:rsidR="0033661C" w:rsidRPr="008C5306" w:rsidRDefault="0033661C" w:rsidP="00A14ADC">
            <w:pPr>
              <w:pStyle w:val="ListParagraph1"/>
              <w:rPr>
                <w:color w:val="000000"/>
                <w:sz w:val="16"/>
                <w:szCs w:val="16"/>
              </w:rPr>
            </w:pPr>
            <w:r>
              <w:rPr>
                <w:color w:val="000000"/>
                <w:sz w:val="16"/>
                <w:szCs w:val="16"/>
              </w:rPr>
              <w:t>0.5721 (0.1321)</w:t>
            </w: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Neuropsychiatric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2.140</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Musculoskeletal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0.956</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Renal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2.628***</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1.7534</w:t>
            </w:r>
            <w:r>
              <w:rPr>
                <w:color w:val="000000"/>
                <w:sz w:val="16"/>
                <w:szCs w:val="16"/>
              </w:rPr>
              <w:t xml:space="preserve"> (0.4991)</w:t>
            </w: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Skin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0.831</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Vasculitis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1.872</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Haematological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2.410***</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2.1904 (0.6544)</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2.3247</w:t>
            </w:r>
            <w:r>
              <w:rPr>
                <w:color w:val="000000"/>
                <w:sz w:val="16"/>
                <w:szCs w:val="16"/>
              </w:rPr>
              <w:t xml:space="preserve"> (0.6979)</w:t>
            </w: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Serositis involvement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1.344</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DNA binding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1.348</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Low complement at last visit</w:t>
            </w:r>
          </w:p>
        </w:tc>
        <w:tc>
          <w:tcPr>
            <w:tcW w:w="1353" w:type="dxa"/>
          </w:tcPr>
          <w:p w:rsidR="0033661C" w:rsidRPr="008C5306" w:rsidRDefault="0033661C" w:rsidP="00A14ADC">
            <w:pPr>
              <w:pStyle w:val="ListParagraph1"/>
              <w:rPr>
                <w:sz w:val="16"/>
                <w:szCs w:val="16"/>
                <w:lang w:val="en-US"/>
              </w:rPr>
            </w:pPr>
            <w:r w:rsidRPr="008C5306">
              <w:rPr>
                <w:sz w:val="16"/>
                <w:szCs w:val="16"/>
                <w:lang w:val="en-US"/>
              </w:rPr>
              <w:t>1.383</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SLICC/ACR</w:t>
            </w:r>
            <w:r w:rsidR="002C404F">
              <w:rPr>
                <w:sz w:val="16"/>
                <w:szCs w:val="16"/>
              </w:rPr>
              <w:t xml:space="preserve"> DI</w:t>
            </w:r>
            <w:r w:rsidRPr="008C5306">
              <w:rPr>
                <w:sz w:val="16"/>
                <w:szCs w:val="16"/>
              </w:rPr>
              <w:t xml:space="preserve"> score at last visit</w:t>
            </w:r>
          </w:p>
        </w:tc>
        <w:tc>
          <w:tcPr>
            <w:tcW w:w="1353" w:type="dxa"/>
          </w:tcPr>
          <w:p w:rsidR="0033661C" w:rsidRPr="008C5306" w:rsidRDefault="0033661C" w:rsidP="00A14ADC">
            <w:pPr>
              <w:pStyle w:val="ListParagraph1"/>
              <w:rPr>
                <w:sz w:val="16"/>
                <w:szCs w:val="16"/>
              </w:rPr>
            </w:pPr>
            <w:r w:rsidRPr="008C5306">
              <w:rPr>
                <w:sz w:val="16"/>
                <w:szCs w:val="16"/>
              </w:rPr>
              <w:t>1.465***</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Cardiovascular damage score at last visit</w:t>
            </w:r>
          </w:p>
        </w:tc>
        <w:tc>
          <w:tcPr>
            <w:tcW w:w="1353" w:type="dxa"/>
          </w:tcPr>
          <w:p w:rsidR="0033661C" w:rsidRPr="008C5306" w:rsidRDefault="0033661C" w:rsidP="00A14ADC">
            <w:pPr>
              <w:pStyle w:val="ListParagraph1"/>
              <w:rPr>
                <w:sz w:val="16"/>
                <w:szCs w:val="16"/>
              </w:rPr>
            </w:pPr>
            <w:r w:rsidRPr="008C5306">
              <w:rPr>
                <w:sz w:val="16"/>
                <w:szCs w:val="16"/>
              </w:rPr>
              <w:t>2.432***</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1.4003 (0.2200)</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1.4020</w:t>
            </w:r>
            <w:r>
              <w:rPr>
                <w:color w:val="000000"/>
                <w:sz w:val="16"/>
                <w:szCs w:val="16"/>
              </w:rPr>
              <w:t xml:space="preserve"> (0.2234)</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1.5275</w:t>
            </w:r>
            <w:r>
              <w:rPr>
                <w:color w:val="000000"/>
                <w:sz w:val="16"/>
                <w:szCs w:val="16"/>
              </w:rPr>
              <w:t xml:space="preserve"> (0.2399)</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Renal damage score at last visit</w:t>
            </w:r>
          </w:p>
        </w:tc>
        <w:tc>
          <w:tcPr>
            <w:tcW w:w="1353" w:type="dxa"/>
          </w:tcPr>
          <w:p w:rsidR="0033661C" w:rsidRPr="008C5306" w:rsidRDefault="0033661C" w:rsidP="00A14ADC">
            <w:pPr>
              <w:pStyle w:val="ListParagraph1"/>
              <w:rPr>
                <w:sz w:val="16"/>
                <w:szCs w:val="16"/>
              </w:rPr>
            </w:pPr>
            <w:r w:rsidRPr="008C5306">
              <w:rPr>
                <w:sz w:val="16"/>
                <w:szCs w:val="16"/>
              </w:rPr>
              <w:t>2.758***</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2.0529 (0.4931)</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1.7408</w:t>
            </w:r>
            <w:r>
              <w:rPr>
                <w:color w:val="000000"/>
                <w:sz w:val="16"/>
                <w:szCs w:val="16"/>
              </w:rPr>
              <w:t xml:space="preserve"> (0.4240)</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2.0039</w:t>
            </w:r>
            <w:r>
              <w:rPr>
                <w:color w:val="000000"/>
                <w:sz w:val="16"/>
                <w:szCs w:val="16"/>
              </w:rPr>
              <w:t xml:space="preserve"> (0.4672)</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Neuropsychiatric damage score at last visit</w:t>
            </w:r>
          </w:p>
        </w:tc>
        <w:tc>
          <w:tcPr>
            <w:tcW w:w="1353" w:type="dxa"/>
          </w:tcPr>
          <w:p w:rsidR="0033661C" w:rsidRPr="008C5306" w:rsidRDefault="0033661C" w:rsidP="00A14ADC">
            <w:pPr>
              <w:pStyle w:val="ListParagraph1"/>
              <w:rPr>
                <w:sz w:val="16"/>
                <w:szCs w:val="16"/>
              </w:rPr>
            </w:pPr>
            <w:r w:rsidRPr="008C5306">
              <w:rPr>
                <w:sz w:val="16"/>
                <w:szCs w:val="16"/>
              </w:rPr>
              <w:t>1.743***</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Musculoskeletal damage score at last visit</w:t>
            </w:r>
          </w:p>
        </w:tc>
        <w:tc>
          <w:tcPr>
            <w:tcW w:w="1353" w:type="dxa"/>
          </w:tcPr>
          <w:p w:rsidR="0033661C" w:rsidRPr="008C5306" w:rsidRDefault="0033661C" w:rsidP="00A14ADC">
            <w:pPr>
              <w:pStyle w:val="ListParagraph1"/>
              <w:rPr>
                <w:sz w:val="16"/>
                <w:szCs w:val="16"/>
              </w:rPr>
            </w:pPr>
            <w:r w:rsidRPr="008C5306">
              <w:rPr>
                <w:sz w:val="16"/>
                <w:szCs w:val="16"/>
              </w:rPr>
              <w:t>2.167***</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1.3991</w:t>
            </w:r>
            <w:r>
              <w:rPr>
                <w:color w:val="000000"/>
                <w:sz w:val="16"/>
                <w:szCs w:val="16"/>
              </w:rPr>
              <w:t xml:space="preserve"> (0.1824)</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1.3801</w:t>
            </w:r>
            <w:r>
              <w:rPr>
                <w:color w:val="000000"/>
                <w:sz w:val="16"/>
                <w:szCs w:val="16"/>
              </w:rPr>
              <w:t xml:space="preserve"> (0.1767)</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1.2860</w:t>
            </w:r>
            <w:r>
              <w:rPr>
                <w:color w:val="000000"/>
                <w:sz w:val="16"/>
                <w:szCs w:val="16"/>
              </w:rPr>
              <w:t xml:space="preserve"> (0.1672)</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Ocular damage score at last visit</w:t>
            </w:r>
          </w:p>
        </w:tc>
        <w:tc>
          <w:tcPr>
            <w:tcW w:w="1353" w:type="dxa"/>
          </w:tcPr>
          <w:p w:rsidR="0033661C" w:rsidRPr="008C5306" w:rsidRDefault="0033661C" w:rsidP="00A14ADC">
            <w:pPr>
              <w:pStyle w:val="ListParagraph1"/>
              <w:rPr>
                <w:sz w:val="16"/>
                <w:szCs w:val="16"/>
              </w:rPr>
            </w:pPr>
            <w:r w:rsidRPr="008C5306">
              <w:rPr>
                <w:sz w:val="16"/>
                <w:szCs w:val="16"/>
              </w:rPr>
              <w:t>2.421***</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Pulmonary damage score at last visit</w:t>
            </w:r>
          </w:p>
        </w:tc>
        <w:tc>
          <w:tcPr>
            <w:tcW w:w="1353" w:type="dxa"/>
          </w:tcPr>
          <w:p w:rsidR="0033661C" w:rsidRPr="008C5306" w:rsidRDefault="0033661C" w:rsidP="00A14ADC">
            <w:pPr>
              <w:pStyle w:val="ListParagraph1"/>
              <w:rPr>
                <w:sz w:val="16"/>
                <w:szCs w:val="16"/>
              </w:rPr>
            </w:pPr>
            <w:r w:rsidRPr="008C5306">
              <w:rPr>
                <w:sz w:val="16"/>
                <w:szCs w:val="16"/>
              </w:rPr>
              <w:t>1.536**</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Peripheral vascular damage at last visit</w:t>
            </w:r>
          </w:p>
        </w:tc>
        <w:tc>
          <w:tcPr>
            <w:tcW w:w="1353" w:type="dxa"/>
          </w:tcPr>
          <w:p w:rsidR="0033661C" w:rsidRPr="008C5306" w:rsidRDefault="0033661C" w:rsidP="00A14ADC">
            <w:pPr>
              <w:pStyle w:val="ListParagraph1"/>
              <w:rPr>
                <w:sz w:val="16"/>
                <w:szCs w:val="16"/>
              </w:rPr>
            </w:pPr>
            <w:r w:rsidRPr="008C5306">
              <w:rPr>
                <w:sz w:val="16"/>
                <w:szCs w:val="16"/>
              </w:rPr>
              <w:t>3.134***</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2.5151</w:t>
            </w:r>
            <w:r>
              <w:rPr>
                <w:color w:val="000000"/>
                <w:sz w:val="16"/>
                <w:szCs w:val="16"/>
              </w:rPr>
              <w:t xml:space="preserve"> (0.5945)</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2.4659</w:t>
            </w:r>
            <w:r>
              <w:rPr>
                <w:color w:val="000000"/>
                <w:sz w:val="16"/>
                <w:szCs w:val="16"/>
              </w:rPr>
              <w:t xml:space="preserve"> (0.5676)</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2.1982</w:t>
            </w:r>
            <w:r>
              <w:rPr>
                <w:color w:val="000000"/>
                <w:sz w:val="16"/>
                <w:szCs w:val="16"/>
              </w:rPr>
              <w:t xml:space="preserve"> (0.5024)</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Gastrointestinal damage score at last visit</w:t>
            </w:r>
          </w:p>
        </w:tc>
        <w:tc>
          <w:tcPr>
            <w:tcW w:w="1353" w:type="dxa"/>
          </w:tcPr>
          <w:p w:rsidR="0033661C" w:rsidRPr="008C5306" w:rsidRDefault="0033661C" w:rsidP="00A14ADC">
            <w:pPr>
              <w:pStyle w:val="ListParagraph1"/>
              <w:rPr>
                <w:sz w:val="16"/>
                <w:szCs w:val="16"/>
              </w:rPr>
            </w:pPr>
            <w:r w:rsidRPr="008C5306">
              <w:rPr>
                <w:sz w:val="16"/>
                <w:szCs w:val="16"/>
              </w:rPr>
              <w:t>2.191***</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1.7632</w:t>
            </w:r>
            <w:r>
              <w:rPr>
                <w:color w:val="000000"/>
                <w:sz w:val="16"/>
                <w:szCs w:val="16"/>
              </w:rPr>
              <w:t xml:space="preserve"> (0.4066)</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1.9663</w:t>
            </w:r>
            <w:r>
              <w:rPr>
                <w:color w:val="000000"/>
                <w:sz w:val="16"/>
                <w:szCs w:val="16"/>
              </w:rPr>
              <w:t xml:space="preserve"> (0.4425)</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1.8861</w:t>
            </w:r>
            <w:r>
              <w:rPr>
                <w:color w:val="000000"/>
                <w:sz w:val="16"/>
                <w:szCs w:val="16"/>
              </w:rPr>
              <w:t xml:space="preserve"> (0.4238)</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Skin damage score at last visit</w:t>
            </w:r>
          </w:p>
        </w:tc>
        <w:tc>
          <w:tcPr>
            <w:tcW w:w="1353" w:type="dxa"/>
          </w:tcPr>
          <w:p w:rsidR="0033661C" w:rsidRPr="008C5306" w:rsidRDefault="0033661C" w:rsidP="00A14ADC">
            <w:pPr>
              <w:pStyle w:val="ListParagraph1"/>
              <w:rPr>
                <w:sz w:val="16"/>
                <w:szCs w:val="16"/>
              </w:rPr>
            </w:pPr>
            <w:r w:rsidRPr="008C5306">
              <w:rPr>
                <w:sz w:val="16"/>
                <w:szCs w:val="16"/>
              </w:rPr>
              <w:t>1.938***</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Diabetes score at last visit</w:t>
            </w:r>
          </w:p>
        </w:tc>
        <w:tc>
          <w:tcPr>
            <w:tcW w:w="1353" w:type="dxa"/>
          </w:tcPr>
          <w:p w:rsidR="0033661C" w:rsidRPr="008C5306" w:rsidRDefault="0033661C" w:rsidP="00A14ADC">
            <w:pPr>
              <w:pStyle w:val="ListParagraph1"/>
              <w:rPr>
                <w:sz w:val="16"/>
                <w:szCs w:val="16"/>
              </w:rPr>
            </w:pPr>
            <w:r w:rsidRPr="008C5306">
              <w:rPr>
                <w:sz w:val="16"/>
                <w:szCs w:val="16"/>
              </w:rPr>
              <w:t>3.753***</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Gonadal failure score at last visit</w:t>
            </w:r>
          </w:p>
        </w:tc>
        <w:tc>
          <w:tcPr>
            <w:tcW w:w="1353" w:type="dxa"/>
          </w:tcPr>
          <w:p w:rsidR="0033661C" w:rsidRPr="008C5306" w:rsidRDefault="0033661C" w:rsidP="00A14ADC">
            <w:pPr>
              <w:pStyle w:val="ListParagraph1"/>
              <w:rPr>
                <w:sz w:val="16"/>
                <w:szCs w:val="16"/>
              </w:rPr>
            </w:pPr>
            <w:r w:rsidRPr="008C5306">
              <w:rPr>
                <w:sz w:val="16"/>
                <w:szCs w:val="16"/>
              </w:rPr>
              <w:t>1.045</w:t>
            </w: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tcPr>
          <w:p w:rsidR="0033661C" w:rsidRPr="008C5306" w:rsidRDefault="0033661C" w:rsidP="00A14ADC">
            <w:pPr>
              <w:pStyle w:val="ListParagraph1"/>
              <w:rPr>
                <w:color w:val="000000"/>
                <w:sz w:val="16"/>
                <w:szCs w:val="16"/>
              </w:rPr>
            </w:pP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Malignancy score</w:t>
            </w:r>
          </w:p>
        </w:tc>
        <w:tc>
          <w:tcPr>
            <w:tcW w:w="1353" w:type="dxa"/>
          </w:tcPr>
          <w:p w:rsidR="0033661C" w:rsidRPr="008C5306" w:rsidRDefault="0033661C" w:rsidP="00A14ADC">
            <w:pPr>
              <w:pStyle w:val="ListParagraph1"/>
              <w:rPr>
                <w:sz w:val="16"/>
                <w:szCs w:val="16"/>
              </w:rPr>
            </w:pPr>
            <w:r w:rsidRPr="008C5306">
              <w:rPr>
                <w:sz w:val="16"/>
                <w:szCs w:val="16"/>
              </w:rPr>
              <w:t>2.940***</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3.0724</w:t>
            </w:r>
            <w:r>
              <w:rPr>
                <w:color w:val="000000"/>
                <w:sz w:val="16"/>
                <w:szCs w:val="16"/>
              </w:rPr>
              <w:t xml:space="preserve"> (0.8095)</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2.7104</w:t>
            </w:r>
            <w:r>
              <w:rPr>
                <w:color w:val="000000"/>
                <w:sz w:val="16"/>
                <w:szCs w:val="16"/>
              </w:rPr>
              <w:t xml:space="preserve"> (0.7117)</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2.9774</w:t>
            </w:r>
            <w:r>
              <w:rPr>
                <w:color w:val="000000"/>
                <w:sz w:val="16"/>
                <w:szCs w:val="16"/>
              </w:rPr>
              <w:t xml:space="preserve"> (0.7751)</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Any infection at last visit</w:t>
            </w:r>
          </w:p>
        </w:tc>
        <w:tc>
          <w:tcPr>
            <w:tcW w:w="1353" w:type="dxa"/>
          </w:tcPr>
          <w:p w:rsidR="0033661C" w:rsidRPr="008C5306" w:rsidRDefault="0033661C" w:rsidP="00A14ADC">
            <w:pPr>
              <w:pStyle w:val="ListParagraph1"/>
              <w:rPr>
                <w:sz w:val="16"/>
                <w:szCs w:val="16"/>
              </w:rPr>
            </w:pPr>
            <w:r w:rsidRPr="008C5306">
              <w:rPr>
                <w:sz w:val="16"/>
                <w:szCs w:val="16"/>
              </w:rPr>
              <w:t>2.916***</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2.7215</w:t>
            </w:r>
            <w:r>
              <w:rPr>
                <w:color w:val="000000"/>
                <w:sz w:val="16"/>
                <w:szCs w:val="16"/>
              </w:rPr>
              <w:t xml:space="preserve"> (0.9647)</w:t>
            </w: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2.7912</w:t>
            </w:r>
            <w:r>
              <w:rPr>
                <w:color w:val="000000"/>
                <w:sz w:val="16"/>
                <w:szCs w:val="16"/>
              </w:rPr>
              <w:t xml:space="preserve"> (0.9900)</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2.6101</w:t>
            </w:r>
            <w:r>
              <w:rPr>
                <w:color w:val="000000"/>
                <w:sz w:val="16"/>
                <w:szCs w:val="16"/>
              </w:rPr>
              <w:t xml:space="preserve"> (0.9247)</w:t>
            </w:r>
          </w:p>
        </w:tc>
      </w:tr>
      <w:tr w:rsidR="0033661C" w:rsidRPr="008C5306" w:rsidTr="0087718E">
        <w:tc>
          <w:tcPr>
            <w:tcW w:w="3147" w:type="dxa"/>
          </w:tcPr>
          <w:p w:rsidR="0033661C" w:rsidRPr="008C5306" w:rsidRDefault="0033661C" w:rsidP="00A14ADC">
            <w:pPr>
              <w:pStyle w:val="ListParagraph1"/>
              <w:rPr>
                <w:sz w:val="16"/>
                <w:szCs w:val="16"/>
              </w:rPr>
            </w:pPr>
            <w:r>
              <w:rPr>
                <w:sz w:val="16"/>
                <w:szCs w:val="16"/>
              </w:rPr>
              <w:t>Log b</w:t>
            </w:r>
            <w:r w:rsidRPr="008C5306">
              <w:rPr>
                <w:sz w:val="16"/>
                <w:szCs w:val="16"/>
              </w:rPr>
              <w:t>aseline hazard</w:t>
            </w:r>
          </w:p>
        </w:tc>
        <w:tc>
          <w:tcPr>
            <w:tcW w:w="1353" w:type="dxa"/>
          </w:tcPr>
          <w:p w:rsidR="0033661C" w:rsidRPr="008C5306" w:rsidRDefault="0033661C" w:rsidP="00A14ADC">
            <w:pPr>
              <w:pStyle w:val="ListParagraph1"/>
              <w:rPr>
                <w:sz w:val="16"/>
                <w:szCs w:val="16"/>
              </w:rPr>
            </w:pPr>
          </w:p>
        </w:tc>
        <w:tc>
          <w:tcPr>
            <w:tcW w:w="1354" w:type="dxa"/>
            <w:gridSpan w:val="2"/>
          </w:tcPr>
          <w:p w:rsidR="0033661C" w:rsidRPr="008C5306" w:rsidRDefault="0033661C" w:rsidP="00A14ADC">
            <w:pPr>
              <w:pStyle w:val="ListParagraph1"/>
              <w:rPr>
                <w:color w:val="000000"/>
                <w:sz w:val="16"/>
                <w:szCs w:val="16"/>
              </w:rPr>
            </w:pPr>
            <w:r>
              <w:rPr>
                <w:color w:val="000000"/>
                <w:sz w:val="16"/>
                <w:szCs w:val="16"/>
              </w:rPr>
              <w:t>-9.3321 (0.7101)</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-10.4149</w:t>
            </w:r>
            <w:r>
              <w:rPr>
                <w:color w:val="000000"/>
                <w:sz w:val="16"/>
                <w:szCs w:val="16"/>
              </w:rPr>
              <w:t xml:space="preserve"> (0.7379)</w:t>
            </w:r>
          </w:p>
        </w:tc>
        <w:tc>
          <w:tcPr>
            <w:tcW w:w="1354" w:type="dxa"/>
            <w:gridSpan w:val="2"/>
          </w:tcPr>
          <w:p w:rsidR="0033661C" w:rsidRPr="008C5306" w:rsidRDefault="0033661C" w:rsidP="00A14ADC">
            <w:pPr>
              <w:pStyle w:val="ListParagraph1"/>
              <w:rPr>
                <w:color w:val="000000"/>
                <w:sz w:val="16"/>
                <w:szCs w:val="16"/>
              </w:rPr>
            </w:pPr>
            <w:r w:rsidRPr="008C5306">
              <w:rPr>
                <w:sz w:val="16"/>
                <w:szCs w:val="16"/>
              </w:rPr>
              <w:t>-10.6985</w:t>
            </w:r>
            <w:r>
              <w:rPr>
                <w:sz w:val="16"/>
                <w:szCs w:val="16"/>
              </w:rPr>
              <w:t xml:space="preserve"> (0.7252)</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Parametric distribution parameter</w:t>
            </w:r>
          </w:p>
        </w:tc>
        <w:tc>
          <w:tcPr>
            <w:tcW w:w="1353" w:type="dxa"/>
          </w:tcPr>
          <w:p w:rsidR="0033661C" w:rsidRPr="008C5306" w:rsidRDefault="0033661C" w:rsidP="00A14ADC">
            <w:pPr>
              <w:pStyle w:val="ListParagraph1"/>
              <w:rPr>
                <w:sz w:val="16"/>
                <w:szCs w:val="16"/>
              </w:rPr>
            </w:pPr>
          </w:p>
        </w:tc>
        <w:tc>
          <w:tcPr>
            <w:tcW w:w="1354" w:type="dxa"/>
            <w:gridSpan w:val="2"/>
            <w:vAlign w:val="bottom"/>
          </w:tcPr>
          <w:p w:rsidR="0033661C" w:rsidRPr="008C5306" w:rsidRDefault="0033661C" w:rsidP="00A14ADC">
            <w:pPr>
              <w:pStyle w:val="ListParagraph1"/>
              <w:rPr>
                <w:color w:val="000000"/>
                <w:sz w:val="16"/>
                <w:szCs w:val="16"/>
              </w:rPr>
            </w:pPr>
          </w:p>
        </w:tc>
        <w:tc>
          <w:tcPr>
            <w:tcW w:w="1354" w:type="dxa"/>
            <w:gridSpan w:val="2"/>
            <w:vAlign w:val="bottom"/>
          </w:tcPr>
          <w:p w:rsidR="0033661C" w:rsidRPr="008C5306" w:rsidRDefault="0033661C" w:rsidP="00A14ADC">
            <w:pPr>
              <w:pStyle w:val="ListParagraph1"/>
              <w:rPr>
                <w:color w:val="000000"/>
                <w:sz w:val="16"/>
                <w:szCs w:val="16"/>
              </w:rPr>
            </w:pPr>
            <w:r w:rsidRPr="008C5306">
              <w:rPr>
                <w:color w:val="000000"/>
                <w:sz w:val="16"/>
                <w:szCs w:val="16"/>
              </w:rPr>
              <w:t>1.8143</w:t>
            </w:r>
            <w:r>
              <w:rPr>
                <w:color w:val="000000"/>
                <w:sz w:val="16"/>
                <w:szCs w:val="16"/>
              </w:rPr>
              <w:t xml:space="preserve"> (0.1620)</w:t>
            </w:r>
          </w:p>
        </w:tc>
        <w:tc>
          <w:tcPr>
            <w:tcW w:w="1354" w:type="dxa"/>
            <w:gridSpan w:val="2"/>
          </w:tcPr>
          <w:p w:rsidR="0033661C" w:rsidRPr="008C5306" w:rsidRDefault="0033661C" w:rsidP="00A14ADC">
            <w:pPr>
              <w:pStyle w:val="ListParagraph1"/>
              <w:rPr>
                <w:color w:val="000000"/>
                <w:sz w:val="16"/>
                <w:szCs w:val="16"/>
              </w:rPr>
            </w:pPr>
            <w:r w:rsidRPr="008C5306">
              <w:rPr>
                <w:color w:val="000000"/>
                <w:sz w:val="16"/>
                <w:szCs w:val="16"/>
              </w:rPr>
              <w:t>1.7507</w:t>
            </w:r>
            <w:r>
              <w:rPr>
                <w:color w:val="000000"/>
                <w:sz w:val="16"/>
                <w:szCs w:val="16"/>
              </w:rPr>
              <w:t xml:space="preserve"> (0.0907)</w:t>
            </w:r>
          </w:p>
        </w:tc>
      </w:tr>
      <w:tr w:rsidR="0033661C" w:rsidRPr="008C5306" w:rsidTr="0087718E">
        <w:tc>
          <w:tcPr>
            <w:tcW w:w="3147" w:type="dxa"/>
          </w:tcPr>
          <w:p w:rsidR="0033661C" w:rsidRPr="008C5306" w:rsidRDefault="0033661C" w:rsidP="00A14ADC">
            <w:pPr>
              <w:pStyle w:val="ListParagraph1"/>
              <w:rPr>
                <w:sz w:val="16"/>
                <w:szCs w:val="16"/>
              </w:rPr>
            </w:pPr>
            <w:r w:rsidRPr="008C5306">
              <w:rPr>
                <w:sz w:val="16"/>
                <w:szCs w:val="16"/>
              </w:rPr>
              <w:t xml:space="preserve">Chi-squared </w:t>
            </w:r>
          </w:p>
        </w:tc>
        <w:tc>
          <w:tcPr>
            <w:tcW w:w="1353" w:type="dxa"/>
          </w:tcPr>
          <w:p w:rsidR="0033661C" w:rsidRPr="008C5306" w:rsidRDefault="0033661C" w:rsidP="00A14ADC">
            <w:pPr>
              <w:pStyle w:val="ListParagraph1"/>
              <w:rPr>
                <w:sz w:val="16"/>
                <w:szCs w:val="16"/>
              </w:rPr>
            </w:pPr>
          </w:p>
        </w:tc>
        <w:tc>
          <w:tcPr>
            <w:tcW w:w="1354" w:type="dxa"/>
            <w:gridSpan w:val="2"/>
          </w:tcPr>
          <w:p w:rsidR="0033661C" w:rsidRPr="008C5306" w:rsidRDefault="0033661C" w:rsidP="00A14ADC">
            <w:pPr>
              <w:pStyle w:val="ListParagraph1"/>
              <w:rPr>
                <w:sz w:val="16"/>
                <w:szCs w:val="16"/>
              </w:rPr>
            </w:pPr>
            <w:r w:rsidRPr="008C5306">
              <w:rPr>
                <w:sz w:val="16"/>
                <w:szCs w:val="16"/>
              </w:rPr>
              <w:t>154.93***</w:t>
            </w:r>
          </w:p>
        </w:tc>
        <w:tc>
          <w:tcPr>
            <w:tcW w:w="1354" w:type="dxa"/>
            <w:gridSpan w:val="2"/>
          </w:tcPr>
          <w:p w:rsidR="0033661C" w:rsidRPr="008C5306" w:rsidRDefault="0033661C" w:rsidP="00A14ADC">
            <w:pPr>
              <w:pStyle w:val="ListParagraph1"/>
              <w:rPr>
                <w:sz w:val="16"/>
                <w:szCs w:val="16"/>
              </w:rPr>
            </w:pPr>
            <w:r w:rsidRPr="008C5306">
              <w:rPr>
                <w:sz w:val="16"/>
                <w:szCs w:val="16"/>
              </w:rPr>
              <w:t>150.8***</w:t>
            </w:r>
          </w:p>
        </w:tc>
        <w:tc>
          <w:tcPr>
            <w:tcW w:w="1354" w:type="dxa"/>
            <w:gridSpan w:val="2"/>
          </w:tcPr>
          <w:p w:rsidR="0033661C" w:rsidRPr="008C5306" w:rsidRDefault="0033661C" w:rsidP="00A14ADC">
            <w:pPr>
              <w:pStyle w:val="ListParagraph1"/>
              <w:rPr>
                <w:sz w:val="16"/>
                <w:szCs w:val="16"/>
              </w:rPr>
            </w:pPr>
            <w:r w:rsidRPr="008C5306">
              <w:rPr>
                <w:sz w:val="16"/>
                <w:szCs w:val="16"/>
              </w:rPr>
              <w:t>132.87***</w:t>
            </w:r>
          </w:p>
        </w:tc>
      </w:tr>
      <w:tr w:rsidR="0033661C" w:rsidRPr="008C5306" w:rsidTr="0087718E">
        <w:trPr>
          <w:trHeight w:val="241"/>
        </w:trPr>
        <w:tc>
          <w:tcPr>
            <w:tcW w:w="3147" w:type="dxa"/>
            <w:tcBorders>
              <w:bottom w:val="single" w:sz="4" w:space="0" w:color="auto"/>
            </w:tcBorders>
          </w:tcPr>
          <w:p w:rsidR="0033661C" w:rsidRPr="008C5306" w:rsidRDefault="0033661C" w:rsidP="00A14ADC">
            <w:pPr>
              <w:pStyle w:val="ListParagraph1"/>
              <w:rPr>
                <w:sz w:val="16"/>
                <w:szCs w:val="16"/>
              </w:rPr>
            </w:pPr>
            <w:r w:rsidRPr="008C5306">
              <w:rPr>
                <w:sz w:val="16"/>
                <w:szCs w:val="16"/>
              </w:rPr>
              <w:t>AIC</w:t>
            </w:r>
          </w:p>
        </w:tc>
        <w:tc>
          <w:tcPr>
            <w:tcW w:w="1353" w:type="dxa"/>
            <w:tcBorders>
              <w:bottom w:val="single" w:sz="4" w:space="0" w:color="auto"/>
            </w:tcBorders>
          </w:tcPr>
          <w:p w:rsidR="0033661C" w:rsidRPr="008C5306" w:rsidRDefault="0033661C" w:rsidP="00A14ADC">
            <w:pPr>
              <w:pStyle w:val="ListParagraph1"/>
              <w:rPr>
                <w:i/>
                <w:iCs/>
                <w:sz w:val="16"/>
                <w:szCs w:val="16"/>
              </w:rPr>
            </w:pPr>
          </w:p>
        </w:tc>
        <w:tc>
          <w:tcPr>
            <w:tcW w:w="1354" w:type="dxa"/>
            <w:gridSpan w:val="2"/>
            <w:tcBorders>
              <w:bottom w:val="single" w:sz="4" w:space="0" w:color="auto"/>
            </w:tcBorders>
            <w:vAlign w:val="bottom"/>
          </w:tcPr>
          <w:p w:rsidR="0033661C" w:rsidRPr="008C5306" w:rsidRDefault="0033661C" w:rsidP="00A14ADC">
            <w:pPr>
              <w:pStyle w:val="ListParagraph1"/>
              <w:rPr>
                <w:color w:val="000000"/>
                <w:sz w:val="16"/>
                <w:szCs w:val="16"/>
              </w:rPr>
            </w:pPr>
            <w:r w:rsidRPr="008C5306">
              <w:rPr>
                <w:color w:val="000000"/>
                <w:sz w:val="16"/>
                <w:szCs w:val="16"/>
              </w:rPr>
              <w:t>490.40</w:t>
            </w:r>
          </w:p>
        </w:tc>
        <w:tc>
          <w:tcPr>
            <w:tcW w:w="1354" w:type="dxa"/>
            <w:gridSpan w:val="2"/>
            <w:tcBorders>
              <w:bottom w:val="single" w:sz="4" w:space="0" w:color="auto"/>
            </w:tcBorders>
            <w:vAlign w:val="bottom"/>
          </w:tcPr>
          <w:p w:rsidR="0033661C" w:rsidRPr="008C5306" w:rsidRDefault="0033661C" w:rsidP="00A14ADC">
            <w:pPr>
              <w:pStyle w:val="ListParagraph1"/>
              <w:rPr>
                <w:color w:val="000000"/>
                <w:sz w:val="16"/>
                <w:szCs w:val="16"/>
              </w:rPr>
            </w:pPr>
            <w:r w:rsidRPr="008C5306">
              <w:rPr>
                <w:color w:val="000000"/>
                <w:sz w:val="16"/>
                <w:szCs w:val="16"/>
              </w:rPr>
              <w:t>487.24</w:t>
            </w:r>
          </w:p>
        </w:tc>
        <w:tc>
          <w:tcPr>
            <w:tcW w:w="1354" w:type="dxa"/>
            <w:gridSpan w:val="2"/>
            <w:tcBorders>
              <w:bottom w:val="single" w:sz="4" w:space="0" w:color="auto"/>
            </w:tcBorders>
          </w:tcPr>
          <w:p w:rsidR="0033661C" w:rsidRPr="008C5306" w:rsidRDefault="0033661C" w:rsidP="00A14ADC">
            <w:pPr>
              <w:pStyle w:val="ListParagraph1"/>
              <w:rPr>
                <w:sz w:val="16"/>
                <w:szCs w:val="16"/>
              </w:rPr>
            </w:pPr>
            <w:r w:rsidRPr="008C5306">
              <w:rPr>
                <w:sz w:val="16"/>
                <w:szCs w:val="16"/>
              </w:rPr>
              <w:t>499.21</w:t>
            </w:r>
          </w:p>
        </w:tc>
      </w:tr>
      <w:tr w:rsidR="00F44407" w:rsidRPr="008C5306" w:rsidTr="0087718E">
        <w:trPr>
          <w:trHeight w:val="241"/>
        </w:trPr>
        <w:tc>
          <w:tcPr>
            <w:tcW w:w="3147" w:type="dxa"/>
            <w:tcBorders>
              <w:top w:val="single" w:sz="4" w:space="0" w:color="auto"/>
              <w:bottom w:val="single" w:sz="12" w:space="0" w:color="auto"/>
            </w:tcBorders>
          </w:tcPr>
          <w:p w:rsidR="00F44407" w:rsidRPr="008C5306" w:rsidRDefault="00F44407" w:rsidP="00A14ADC">
            <w:pPr>
              <w:pStyle w:val="ListParagraph1"/>
              <w:rPr>
                <w:sz w:val="16"/>
                <w:szCs w:val="16"/>
              </w:rPr>
            </w:pPr>
            <w:r>
              <w:rPr>
                <w:sz w:val="16"/>
                <w:szCs w:val="16"/>
              </w:rPr>
              <w:t>* p&lt;0.1, **p&lt;0.05, *** p&lt;0.01</w:t>
            </w:r>
          </w:p>
        </w:tc>
        <w:tc>
          <w:tcPr>
            <w:tcW w:w="1460" w:type="dxa"/>
            <w:gridSpan w:val="2"/>
            <w:tcBorders>
              <w:top w:val="single" w:sz="4" w:space="0" w:color="auto"/>
              <w:bottom w:val="single" w:sz="12" w:space="0" w:color="auto"/>
            </w:tcBorders>
          </w:tcPr>
          <w:p w:rsidR="00F44407" w:rsidRPr="008C5306" w:rsidRDefault="00F44407" w:rsidP="00A14ADC">
            <w:pPr>
              <w:pStyle w:val="ListParagraph1"/>
              <w:rPr>
                <w:i/>
                <w:iCs/>
                <w:sz w:val="16"/>
                <w:szCs w:val="16"/>
              </w:rPr>
            </w:pPr>
          </w:p>
        </w:tc>
        <w:tc>
          <w:tcPr>
            <w:tcW w:w="1460" w:type="dxa"/>
            <w:gridSpan w:val="2"/>
            <w:tcBorders>
              <w:top w:val="single" w:sz="4" w:space="0" w:color="auto"/>
              <w:bottom w:val="single" w:sz="12" w:space="0" w:color="auto"/>
            </w:tcBorders>
            <w:vAlign w:val="bottom"/>
          </w:tcPr>
          <w:p w:rsidR="00F44407" w:rsidRPr="008C5306" w:rsidRDefault="00F44407" w:rsidP="00A14ADC">
            <w:pPr>
              <w:pStyle w:val="ListParagraph1"/>
              <w:rPr>
                <w:color w:val="000000"/>
                <w:sz w:val="16"/>
                <w:szCs w:val="16"/>
              </w:rPr>
            </w:pPr>
          </w:p>
        </w:tc>
        <w:tc>
          <w:tcPr>
            <w:tcW w:w="1460" w:type="dxa"/>
            <w:gridSpan w:val="2"/>
            <w:tcBorders>
              <w:top w:val="single" w:sz="4" w:space="0" w:color="auto"/>
              <w:bottom w:val="single" w:sz="12" w:space="0" w:color="auto"/>
            </w:tcBorders>
            <w:vAlign w:val="bottom"/>
          </w:tcPr>
          <w:p w:rsidR="00F44407" w:rsidRPr="008C5306" w:rsidRDefault="00F44407" w:rsidP="00A14ADC">
            <w:pPr>
              <w:pStyle w:val="ListParagraph1"/>
              <w:rPr>
                <w:color w:val="000000"/>
                <w:sz w:val="16"/>
                <w:szCs w:val="16"/>
              </w:rPr>
            </w:pPr>
          </w:p>
        </w:tc>
        <w:tc>
          <w:tcPr>
            <w:tcW w:w="1035" w:type="dxa"/>
            <w:tcBorders>
              <w:top w:val="single" w:sz="4" w:space="0" w:color="auto"/>
              <w:bottom w:val="single" w:sz="12" w:space="0" w:color="auto"/>
            </w:tcBorders>
          </w:tcPr>
          <w:p w:rsidR="00F44407" w:rsidRPr="008C5306" w:rsidRDefault="00F44407" w:rsidP="00A14ADC">
            <w:pPr>
              <w:pStyle w:val="ListParagraph1"/>
              <w:rPr>
                <w:sz w:val="16"/>
                <w:szCs w:val="16"/>
              </w:rPr>
            </w:pPr>
          </w:p>
        </w:tc>
      </w:tr>
    </w:tbl>
    <w:p w:rsidR="006074C8" w:rsidRPr="0087718E" w:rsidRDefault="006074C8" w:rsidP="0087718E">
      <w:pPr>
        <w:pStyle w:val="Heading4"/>
        <w:rPr>
          <w:rStyle w:val="Emphasis"/>
          <w:spacing w:val="10"/>
          <w:sz w:val="22"/>
        </w:rPr>
      </w:pPr>
      <w:bookmarkStart w:id="328" w:name="_Ref354830113"/>
      <w:r w:rsidRPr="0087718E">
        <w:rPr>
          <w:rStyle w:val="Emphasis"/>
          <w:spacing w:val="10"/>
          <w:sz w:val="22"/>
        </w:rPr>
        <w:t>Organ Damage Analyses</w:t>
      </w:r>
      <w:bookmarkEnd w:id="328"/>
    </w:p>
    <w:p w:rsidR="006074C8" w:rsidRPr="0033661C" w:rsidRDefault="0033661C" w:rsidP="001D0663">
      <w:r>
        <w:t xml:space="preserve">Univariate analyses were run to identify covariates that were associated with the 12 organ systems from the SLICC/ACR </w:t>
      </w:r>
      <w:r w:rsidR="00E94D16">
        <w:t>Damage Index</w:t>
      </w:r>
      <w:r>
        <w:t xml:space="preserve">. The results of the univariate analyses are reported in Appendix </w:t>
      </w:r>
      <w:r w:rsidR="007F49FE">
        <w:t>6</w:t>
      </w:r>
      <w:r>
        <w:t xml:space="preserve">. </w:t>
      </w:r>
      <w:r w:rsidR="006074C8">
        <w:t xml:space="preserve">The statistically significant variables in the univariate analysis were implemented into a process of backward induction to derive a suitable multivariate </w:t>
      </w:r>
      <w:r w:rsidR="00097A11">
        <w:t xml:space="preserve">survival </w:t>
      </w:r>
      <w:r w:rsidR="006074C8">
        <w:t xml:space="preserve">model. The AIC statistics were compared to find an appropriate parametric distribution for the </w:t>
      </w:r>
      <w:r w:rsidR="00097A11">
        <w:t xml:space="preserve">survival </w:t>
      </w:r>
      <w:r w:rsidR="006074C8">
        <w:t>model. The results of the multivariate analyses with individual organ systems variable</w:t>
      </w:r>
      <w:r w:rsidR="008978F8">
        <w:t>, such as skin involvement or renal involvement</w:t>
      </w:r>
      <w:r w:rsidR="006074C8">
        <w:t xml:space="preserve">, cytotoxic treatment and </w:t>
      </w:r>
      <w:r w:rsidR="008978F8">
        <w:t xml:space="preserve">treatment with </w:t>
      </w:r>
      <w:r>
        <w:t>a</w:t>
      </w:r>
      <w:r w:rsidR="0040291B">
        <w:t>nti-malarials</w:t>
      </w:r>
      <w:r w:rsidR="008978F8">
        <w:t xml:space="preserve"> as covariates</w:t>
      </w:r>
      <w:r w:rsidR="006074C8">
        <w:t xml:space="preserve"> are reported i</w:t>
      </w:r>
      <w:r w:rsidR="006074C8" w:rsidRPr="00E913AD">
        <w:rPr>
          <w:szCs w:val="22"/>
        </w:rPr>
        <w:t xml:space="preserve">n </w:t>
      </w:r>
      <w:fldSimple w:instr=" REF _Ref332119802 \h  \* MERGEFORMAT ">
        <w:r w:rsidR="004911B7" w:rsidRPr="004911B7">
          <w:rPr>
            <w:szCs w:val="22"/>
          </w:rPr>
          <w:t xml:space="preserve">Table </w:t>
        </w:r>
        <w:r w:rsidR="004911B7" w:rsidRPr="004911B7">
          <w:rPr>
            <w:noProof/>
            <w:szCs w:val="22"/>
          </w:rPr>
          <w:t>32</w:t>
        </w:r>
      </w:fldSimple>
      <w:r w:rsidR="006074C8">
        <w:rPr>
          <w:szCs w:val="22"/>
        </w:rPr>
        <w:t xml:space="preserve">. These </w:t>
      </w:r>
      <w:r w:rsidR="00097A11">
        <w:rPr>
          <w:szCs w:val="22"/>
        </w:rPr>
        <w:t xml:space="preserve">survival </w:t>
      </w:r>
      <w:r w:rsidR="006074C8">
        <w:rPr>
          <w:szCs w:val="22"/>
        </w:rPr>
        <w:t xml:space="preserve">models can be used in a </w:t>
      </w:r>
      <w:r w:rsidR="002C404F">
        <w:rPr>
          <w:szCs w:val="22"/>
        </w:rPr>
        <w:t>BCTS</w:t>
      </w:r>
      <w:r w:rsidR="006074C8">
        <w:rPr>
          <w:szCs w:val="22"/>
        </w:rPr>
        <w:t xml:space="preserve"> where data on the organs involved were simulated in the SLEDAI. </w:t>
      </w:r>
    </w:p>
    <w:p w:rsidR="006074C8" w:rsidRDefault="006074C8" w:rsidP="00062477">
      <w:r>
        <w:rPr>
          <w:szCs w:val="22"/>
        </w:rPr>
        <w:t xml:space="preserve">The functional forms of the </w:t>
      </w:r>
      <w:r w:rsidR="00097A11">
        <w:rPr>
          <w:szCs w:val="22"/>
        </w:rPr>
        <w:t xml:space="preserve">survival </w:t>
      </w:r>
      <w:r>
        <w:rPr>
          <w:szCs w:val="22"/>
        </w:rPr>
        <w:t>model vary between organ systems. The exponential</w:t>
      </w:r>
      <w:r w:rsidR="00097A11">
        <w:rPr>
          <w:szCs w:val="22"/>
        </w:rPr>
        <w:t xml:space="preserve"> survival</w:t>
      </w:r>
      <w:r>
        <w:rPr>
          <w:szCs w:val="22"/>
        </w:rPr>
        <w:t xml:space="preserve"> model is used to describe peripheral vascular, gastrointestinal, diabetes, malignancy and gonadal failure. The Weibull distribution was selected for musculoskeletal, neuropsychiatric and ocular damage. The Gompertz was only selected for cardiovascular damage. The Loglogistic form was selected for </w:t>
      </w:r>
      <w:r w:rsidR="00062477">
        <w:rPr>
          <w:szCs w:val="22"/>
        </w:rPr>
        <w:t>p</w:t>
      </w:r>
      <w:r>
        <w:rPr>
          <w:szCs w:val="22"/>
        </w:rPr>
        <w:t xml:space="preserve">ulmonary, skin and </w:t>
      </w:r>
      <w:r w:rsidR="00062477">
        <w:rPr>
          <w:szCs w:val="22"/>
        </w:rPr>
        <w:t>r</w:t>
      </w:r>
      <w:r>
        <w:rPr>
          <w:szCs w:val="22"/>
        </w:rPr>
        <w:t>enal damage</w:t>
      </w:r>
      <w:r w:rsidR="001E3503">
        <w:rPr>
          <w:szCs w:val="22"/>
        </w:rPr>
        <w:t xml:space="preserve"> because the AIC indicated that the loglogistic form fit the data better than exponential, Weibull or Gompertz</w:t>
      </w:r>
      <w:r>
        <w:rPr>
          <w:szCs w:val="22"/>
        </w:rPr>
        <w:t xml:space="preserve">.   </w:t>
      </w:r>
    </w:p>
    <w:p w:rsidR="001D0663" w:rsidRDefault="00103A65" w:rsidP="000F6DFC">
      <w:r>
        <w:t xml:space="preserve">The statistical analyses identified several risk factors for organ damage. </w:t>
      </w:r>
      <w:r w:rsidR="004C0BF9">
        <w:t>In these analyses t</w:t>
      </w:r>
      <w:r w:rsidR="006074C8" w:rsidRPr="00AE66A7">
        <w:t xml:space="preserve">raditional risk factors for cardiovascular events such as age at diagnosis, log of disease duration, hypertension, and cholesterol were found to be significant risk factors in the SLE population. AMS and serositis involvement were strong, statistically significant predictors of cardiovascular damage. A weak relationship was identified for average </w:t>
      </w:r>
      <w:r w:rsidR="000F6DFC">
        <w:t>steroid</w:t>
      </w:r>
      <w:r w:rsidR="00D34A5E">
        <w:t xml:space="preserve"> </w:t>
      </w:r>
      <w:r w:rsidR="006074C8" w:rsidRPr="00AE66A7">
        <w:t>dose</w:t>
      </w:r>
      <w:r w:rsidR="001D0663">
        <w:t xml:space="preserve"> increasing cardiovascular damage</w:t>
      </w:r>
      <w:r w:rsidR="006074C8" w:rsidRPr="00AE66A7">
        <w:t xml:space="preserve">. </w:t>
      </w:r>
    </w:p>
    <w:p w:rsidR="006074C8" w:rsidRDefault="006074C8" w:rsidP="000F6DFC">
      <w:r w:rsidRPr="00AE66A7">
        <w:t xml:space="preserve">AMS and renal involvement had a significant effect in increasing the risk of renal damage. </w:t>
      </w:r>
      <w:r w:rsidR="001D0663">
        <w:t xml:space="preserve">For </w:t>
      </w:r>
      <w:r w:rsidR="001D0663" w:rsidRPr="00AE66A7">
        <w:t xml:space="preserve">musculoskeletal damage </w:t>
      </w:r>
      <w:r w:rsidR="001D0663">
        <w:t>significant increased hazard was associated with a</w:t>
      </w:r>
      <w:r w:rsidRPr="00AE66A7">
        <w:t xml:space="preserve">verage </w:t>
      </w:r>
      <w:r w:rsidR="000F6DFC">
        <w:t>steroid</w:t>
      </w:r>
      <w:r w:rsidRPr="00AE66A7">
        <w:t xml:space="preserve"> dose, a history of immunosupressive treatment, log of age, and previous damage</w:t>
      </w:r>
      <w:r w:rsidR="001D0663">
        <w:t xml:space="preserve">. </w:t>
      </w:r>
      <w:r w:rsidRPr="00AE66A7">
        <w:t xml:space="preserve">Neuropsychiatric involvement on the SLEDAI, cholesterol, hypertension, log of age and average prednisone dose were associated with neuropsychiatric damage. The analyses for pulmonary damage found that serositis, increased DNA binding and renal involvement were all significant risk factors. Average </w:t>
      </w:r>
      <w:r w:rsidR="000F6DFC">
        <w:t>steroid</w:t>
      </w:r>
      <w:r w:rsidRPr="00AE66A7">
        <w:t xml:space="preserve"> dose and anticardiolipin were also associated with a higher risk of damage in the pulmonary system. Smoking, cholesterol and lupus anticoagulant were found to be significantly related to peripheral vascular damage. Average prednisone dose and vasculitis were associated with gastrointestinal damage. Log of age was a strong and significant predictor of ocular damage. Average corticosteroid dose and neuropsychiatric involvement were also retained in the ocular</w:t>
      </w:r>
      <w:r w:rsidR="00097A11">
        <w:t xml:space="preserve"> survival</w:t>
      </w:r>
      <w:r w:rsidRPr="00AE66A7">
        <w:t xml:space="preserve"> model. The analysis found that African American ethnicity, smoking, and skin involvement was associated with shorter time to skin damage, whereas </w:t>
      </w:r>
      <w:r w:rsidR="0033661C">
        <w:t>anti-malarials</w:t>
      </w:r>
      <w:r w:rsidRPr="00AE66A7">
        <w:t xml:space="preserve"> increases time to skin damage. Log of age, African American ethnicity, prednisone dose and renal involvement were associated with diabetes. High cholesterol, log of disease duration, age at diagnosis, history of cytotoxic treatment, and previous damage were predictors of malignancy. Cholesterol, </w:t>
      </w:r>
      <w:r w:rsidR="000F6DFC">
        <w:t>steroid</w:t>
      </w:r>
      <w:r w:rsidRPr="00AE66A7">
        <w:t xml:space="preserve"> and cytotoxic treatment predicted gonadal failure.</w:t>
      </w:r>
    </w:p>
    <w:p w:rsidR="001D0663" w:rsidRDefault="001D0663" w:rsidP="001D0663">
      <w:pPr>
        <w:rPr>
          <w:szCs w:val="22"/>
        </w:rPr>
      </w:pPr>
      <w:r>
        <w:t xml:space="preserve">Similar results were identified in the less complex risk models reported in </w:t>
      </w:r>
      <w:r w:rsidR="00E729BA">
        <w:rPr>
          <w:szCs w:val="22"/>
        </w:rPr>
        <w:fldChar w:fldCharType="begin"/>
      </w:r>
      <w:r>
        <w:rPr>
          <w:szCs w:val="22"/>
        </w:rPr>
        <w:instrText xml:space="preserve"> REF _Ref332119844 \h </w:instrText>
      </w:r>
      <w:r w:rsidR="00E729BA">
        <w:rPr>
          <w:szCs w:val="22"/>
        </w:rPr>
      </w:r>
      <w:r w:rsidR="00E729BA">
        <w:rPr>
          <w:szCs w:val="22"/>
        </w:rPr>
        <w:fldChar w:fldCharType="separate"/>
      </w:r>
      <w:r w:rsidR="004911B7">
        <w:t xml:space="preserve">Table </w:t>
      </w:r>
      <w:r w:rsidR="004911B7">
        <w:rPr>
          <w:noProof/>
        </w:rPr>
        <w:t>33</w:t>
      </w:r>
      <w:r w:rsidR="00E729BA">
        <w:rPr>
          <w:szCs w:val="22"/>
        </w:rPr>
        <w:fldChar w:fldCharType="end"/>
      </w:r>
      <w:r>
        <w:rPr>
          <w:szCs w:val="22"/>
        </w:rPr>
        <w:t>. However, skin damage and pulmonary damage include a covariate for adjusted mean SLEDAI.</w:t>
      </w:r>
    </w:p>
    <w:p w:rsidR="001D0663" w:rsidRDefault="001D0663" w:rsidP="00736835">
      <w:pPr>
        <w:sectPr w:rsidR="001D0663" w:rsidSect="006A3B1E">
          <w:pgSz w:w="11906" w:h="16838"/>
          <w:pgMar w:top="1440" w:right="1440" w:bottom="1440" w:left="2268" w:header="708" w:footer="708" w:gutter="0"/>
          <w:cols w:space="708"/>
          <w:docGrid w:linePitch="360"/>
        </w:sectPr>
      </w:pPr>
      <w:r>
        <w:rPr>
          <w:szCs w:val="22"/>
        </w:rPr>
        <w:t xml:space="preserve">In summary, the statistical analyses generated 14 detailed statistical models from which time-varying probabilities of organ damage and mortality can be generated. I also report 14 statistical models </w:t>
      </w:r>
      <w:r w:rsidR="00736835">
        <w:rPr>
          <w:szCs w:val="22"/>
        </w:rPr>
        <w:t xml:space="preserve">which did not include disease activity organ system as covariates </w:t>
      </w:r>
      <w:r>
        <w:rPr>
          <w:szCs w:val="22"/>
        </w:rPr>
        <w:t>for use in a CE model where organ involvement for disease activi</w:t>
      </w:r>
      <w:r w:rsidR="00CD4E0C">
        <w:rPr>
          <w:szCs w:val="22"/>
        </w:rPr>
        <w:t>ty and non-steroid treatment were</w:t>
      </w:r>
      <w:r>
        <w:rPr>
          <w:szCs w:val="22"/>
        </w:rPr>
        <w:t xml:space="preserve"> not </w:t>
      </w:r>
      <w:r w:rsidR="00736835">
        <w:rPr>
          <w:szCs w:val="22"/>
        </w:rPr>
        <w:t>simulated</w:t>
      </w:r>
      <w:r>
        <w:rPr>
          <w:szCs w:val="22"/>
        </w:rPr>
        <w:t>.</w:t>
      </w:r>
    </w:p>
    <w:p w:rsidR="006074C8" w:rsidRPr="00293A0B" w:rsidRDefault="006074C8" w:rsidP="00234693">
      <w:pPr>
        <w:pStyle w:val="Caption"/>
      </w:pPr>
      <w:bookmarkStart w:id="329" w:name="_Ref332119802"/>
      <w:r w:rsidRPr="00293A0B">
        <w:t xml:space="preserve">Table </w:t>
      </w:r>
      <w:r w:rsidR="00E729BA" w:rsidRPr="00293A0B">
        <w:fldChar w:fldCharType="begin"/>
      </w:r>
      <w:r w:rsidRPr="00293A0B">
        <w:instrText xml:space="preserve"> SEQ Table \* ARABIC </w:instrText>
      </w:r>
      <w:r w:rsidR="00E729BA" w:rsidRPr="00293A0B">
        <w:fldChar w:fldCharType="separate"/>
      </w:r>
      <w:r w:rsidR="004911B7">
        <w:rPr>
          <w:noProof/>
        </w:rPr>
        <w:t>32</w:t>
      </w:r>
      <w:r w:rsidR="00E729BA" w:rsidRPr="00293A0B">
        <w:fldChar w:fldCharType="end"/>
      </w:r>
      <w:bookmarkEnd w:id="329"/>
      <w:r w:rsidRPr="00293A0B">
        <w:t>: Results of the multi</w:t>
      </w:r>
      <w:r w:rsidR="00016F0E">
        <w:t>ple covariate</w:t>
      </w:r>
      <w:r w:rsidRPr="00293A0B">
        <w:t xml:space="preserve"> analyses for </w:t>
      </w:r>
      <w:r w:rsidR="001D0663">
        <w:t>time to occurrence of</w:t>
      </w:r>
      <w:r w:rsidRPr="00293A0B">
        <w:t xml:space="preserve"> organ </w:t>
      </w:r>
      <w:r w:rsidR="001D0663">
        <w:t xml:space="preserve">damage </w:t>
      </w:r>
      <w:r w:rsidRPr="00293A0B">
        <w:t>with organ involvement disease activity covariates</w:t>
      </w:r>
    </w:p>
    <w:tbl>
      <w:tblPr>
        <w:tblStyle w:val="TableGrid"/>
        <w:tblW w:w="1335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289"/>
        <w:gridCol w:w="838"/>
        <w:gridCol w:w="839"/>
        <w:gridCol w:w="839"/>
        <w:gridCol w:w="838"/>
        <w:gridCol w:w="839"/>
        <w:gridCol w:w="839"/>
        <w:gridCol w:w="838"/>
        <w:gridCol w:w="839"/>
        <w:gridCol w:w="839"/>
        <w:gridCol w:w="838"/>
        <w:gridCol w:w="839"/>
        <w:gridCol w:w="839"/>
      </w:tblGrid>
      <w:tr w:rsidR="006074C8" w:rsidRPr="003755EE" w:rsidTr="0087718E">
        <w:trPr>
          <w:trHeight w:val="20"/>
        </w:trPr>
        <w:tc>
          <w:tcPr>
            <w:tcW w:w="3289" w:type="dxa"/>
            <w:tcBorders>
              <w:top w:val="single" w:sz="12" w:space="0" w:color="auto"/>
              <w:bottom w:val="nil"/>
            </w:tcBorders>
          </w:tcPr>
          <w:p w:rsidR="006074C8" w:rsidRPr="00C54DED" w:rsidRDefault="006074C8" w:rsidP="00A14ADC">
            <w:pPr>
              <w:pStyle w:val="ListParagraph1"/>
              <w:rPr>
                <w:sz w:val="15"/>
                <w:szCs w:val="15"/>
              </w:rPr>
            </w:pPr>
          </w:p>
        </w:tc>
        <w:tc>
          <w:tcPr>
            <w:tcW w:w="838"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Cardio.</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Renal</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MSK</w:t>
            </w:r>
          </w:p>
        </w:tc>
        <w:tc>
          <w:tcPr>
            <w:tcW w:w="838"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Neuro.</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Pulmonary</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P. Vascular</w:t>
            </w:r>
          </w:p>
        </w:tc>
        <w:tc>
          <w:tcPr>
            <w:tcW w:w="838"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Gastro.</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Ocular</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Skin</w:t>
            </w:r>
          </w:p>
        </w:tc>
        <w:tc>
          <w:tcPr>
            <w:tcW w:w="838"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Diabetes</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Malignancy</w:t>
            </w:r>
          </w:p>
        </w:tc>
        <w:tc>
          <w:tcPr>
            <w:tcW w:w="839" w:type="dxa"/>
            <w:tcBorders>
              <w:top w:val="single" w:sz="12" w:space="0" w:color="auto"/>
              <w:bottom w:val="nil"/>
            </w:tcBorders>
          </w:tcPr>
          <w:p w:rsidR="006074C8" w:rsidRPr="003755EE" w:rsidRDefault="006074C8" w:rsidP="00A14ADC">
            <w:pPr>
              <w:pStyle w:val="ListParagraph1"/>
              <w:jc w:val="center"/>
              <w:rPr>
                <w:sz w:val="15"/>
                <w:szCs w:val="15"/>
              </w:rPr>
            </w:pPr>
            <w:r w:rsidRPr="003755EE">
              <w:rPr>
                <w:sz w:val="15"/>
                <w:szCs w:val="15"/>
              </w:rPr>
              <w:t xml:space="preserve">Gonadal </w:t>
            </w:r>
          </w:p>
        </w:tc>
      </w:tr>
      <w:tr w:rsidR="006074C8" w:rsidRPr="003755EE" w:rsidTr="0087718E">
        <w:trPr>
          <w:trHeight w:val="20"/>
        </w:trPr>
        <w:tc>
          <w:tcPr>
            <w:tcW w:w="3289" w:type="dxa"/>
            <w:tcBorders>
              <w:top w:val="nil"/>
              <w:bottom w:val="single" w:sz="4" w:space="0" w:color="auto"/>
            </w:tcBorders>
          </w:tcPr>
          <w:p w:rsidR="006074C8" w:rsidRPr="003755EE" w:rsidRDefault="006074C8" w:rsidP="00A14ADC">
            <w:pPr>
              <w:pStyle w:val="ListParagraph1"/>
              <w:rPr>
                <w:sz w:val="15"/>
                <w:szCs w:val="15"/>
              </w:rPr>
            </w:pPr>
          </w:p>
        </w:tc>
        <w:tc>
          <w:tcPr>
            <w:tcW w:w="838"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Gompertz</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Loglogistic</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Weibull</w:t>
            </w:r>
          </w:p>
        </w:tc>
        <w:tc>
          <w:tcPr>
            <w:tcW w:w="838"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Weibull</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Loglogistic</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Exponential</w:t>
            </w:r>
          </w:p>
        </w:tc>
        <w:tc>
          <w:tcPr>
            <w:tcW w:w="838"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Exponential</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Weibull</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Loglogistic</w:t>
            </w:r>
          </w:p>
        </w:tc>
        <w:tc>
          <w:tcPr>
            <w:tcW w:w="838" w:type="dxa"/>
            <w:tcBorders>
              <w:top w:val="nil"/>
              <w:bottom w:val="single" w:sz="4" w:space="0" w:color="auto"/>
            </w:tcBorders>
          </w:tcPr>
          <w:p w:rsidR="006074C8" w:rsidRPr="003755EE" w:rsidRDefault="006074C8" w:rsidP="00A14ADC">
            <w:pPr>
              <w:pStyle w:val="ListParagraph1"/>
              <w:jc w:val="center"/>
              <w:rPr>
                <w:sz w:val="15"/>
                <w:szCs w:val="15"/>
              </w:rPr>
            </w:pPr>
            <w:r w:rsidRPr="003755EE">
              <w:rPr>
                <w:sz w:val="15"/>
                <w:szCs w:val="15"/>
              </w:rPr>
              <w:t>Exponential</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Exponential</w:t>
            </w:r>
          </w:p>
        </w:tc>
        <w:tc>
          <w:tcPr>
            <w:tcW w:w="839" w:type="dxa"/>
            <w:tcBorders>
              <w:top w:val="nil"/>
              <w:bottom w:val="single" w:sz="4" w:space="0" w:color="auto"/>
            </w:tcBorders>
          </w:tcPr>
          <w:p w:rsidR="006074C8" w:rsidRPr="003755EE" w:rsidRDefault="006074C8" w:rsidP="00A14ADC">
            <w:pPr>
              <w:pStyle w:val="ListParagraph1"/>
              <w:jc w:val="center"/>
              <w:rPr>
                <w:color w:val="000000"/>
                <w:sz w:val="15"/>
                <w:szCs w:val="15"/>
              </w:rPr>
            </w:pPr>
            <w:r w:rsidRPr="003755EE">
              <w:rPr>
                <w:color w:val="000000"/>
                <w:sz w:val="15"/>
                <w:szCs w:val="15"/>
              </w:rPr>
              <w:t>Exponential</w:t>
            </w:r>
          </w:p>
        </w:tc>
      </w:tr>
      <w:tr w:rsidR="006074C8" w:rsidRPr="003755EE" w:rsidTr="0087718E">
        <w:trPr>
          <w:trHeight w:val="20"/>
        </w:trPr>
        <w:tc>
          <w:tcPr>
            <w:tcW w:w="3289" w:type="dxa"/>
            <w:tcBorders>
              <w:top w:val="single" w:sz="4" w:space="0" w:color="auto"/>
            </w:tcBorders>
          </w:tcPr>
          <w:p w:rsidR="006074C8" w:rsidRPr="00902B54" w:rsidRDefault="006074C8" w:rsidP="00A14ADC">
            <w:pPr>
              <w:pStyle w:val="ListParagraph1"/>
              <w:rPr>
                <w:szCs w:val="18"/>
              </w:rPr>
            </w:pPr>
            <w:r>
              <w:rPr>
                <w:sz w:val="16"/>
                <w:szCs w:val="16"/>
              </w:rPr>
              <w:t>African American ethnicity</w:t>
            </w:r>
          </w:p>
        </w:tc>
        <w:tc>
          <w:tcPr>
            <w:tcW w:w="838"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8"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8"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r w:rsidRPr="003755EE">
              <w:rPr>
                <w:color w:val="000000"/>
                <w:sz w:val="15"/>
                <w:szCs w:val="15"/>
              </w:rPr>
              <w:t>0.0874 (0.0671)</w:t>
            </w:r>
          </w:p>
        </w:tc>
        <w:tc>
          <w:tcPr>
            <w:tcW w:w="838" w:type="dxa"/>
            <w:tcBorders>
              <w:top w:val="single" w:sz="4" w:space="0" w:color="auto"/>
            </w:tcBorders>
          </w:tcPr>
          <w:p w:rsidR="006074C8" w:rsidRPr="003755EE" w:rsidRDefault="006074C8" w:rsidP="00A14ADC">
            <w:pPr>
              <w:pStyle w:val="ListParagraph1"/>
              <w:rPr>
                <w:sz w:val="15"/>
                <w:szCs w:val="15"/>
              </w:rPr>
            </w:pPr>
            <w:r w:rsidRPr="003755EE">
              <w:rPr>
                <w:sz w:val="15"/>
                <w:szCs w:val="15"/>
              </w:rPr>
              <w:t>2.0703</w:t>
            </w:r>
            <w:r>
              <w:rPr>
                <w:sz w:val="15"/>
                <w:szCs w:val="15"/>
              </w:rPr>
              <w:t xml:space="preserve"> (0.5885)</w:t>
            </w:r>
          </w:p>
        </w:tc>
        <w:tc>
          <w:tcPr>
            <w:tcW w:w="839" w:type="dxa"/>
            <w:tcBorders>
              <w:top w:val="single" w:sz="4" w:space="0" w:color="auto"/>
            </w:tcBorders>
            <w:vAlign w:val="bottom"/>
          </w:tcPr>
          <w:p w:rsidR="006074C8" w:rsidRPr="003755EE" w:rsidRDefault="006074C8" w:rsidP="00A14ADC">
            <w:pPr>
              <w:pStyle w:val="ListParagraph1"/>
              <w:rPr>
                <w:color w:val="000000"/>
                <w:sz w:val="15"/>
                <w:szCs w:val="15"/>
              </w:rPr>
            </w:pPr>
          </w:p>
        </w:tc>
        <w:tc>
          <w:tcPr>
            <w:tcW w:w="839" w:type="dxa"/>
            <w:tcBorders>
              <w:top w:val="single" w:sz="4" w:space="0" w:color="auto"/>
            </w:tcBorders>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Age at diagnosis</w:t>
            </w:r>
          </w:p>
        </w:tc>
        <w:tc>
          <w:tcPr>
            <w:tcW w:w="838" w:type="dxa"/>
          </w:tcPr>
          <w:p w:rsidR="006074C8" w:rsidRPr="003755EE" w:rsidRDefault="006074C8" w:rsidP="00A14ADC">
            <w:pPr>
              <w:pStyle w:val="ListParagraph1"/>
              <w:rPr>
                <w:sz w:val="15"/>
                <w:szCs w:val="15"/>
              </w:rPr>
            </w:pPr>
            <w:r w:rsidRPr="003755EE">
              <w:rPr>
                <w:sz w:val="15"/>
                <w:szCs w:val="15"/>
              </w:rPr>
              <w:t>1.0479 (0.0080)</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r w:rsidRPr="003755EE">
              <w:rPr>
                <w:color w:val="000000"/>
                <w:sz w:val="15"/>
                <w:szCs w:val="15"/>
              </w:rPr>
              <w:t>1.0259</w:t>
            </w:r>
            <w:r>
              <w:rPr>
                <w:color w:val="000000"/>
                <w:sz w:val="15"/>
                <w:szCs w:val="15"/>
              </w:rPr>
              <w:t xml:space="preserve"> (0.0077)</w:t>
            </w: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Past smoker at baseline</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1.9814</w:t>
            </w:r>
            <w:r>
              <w:rPr>
                <w:sz w:val="15"/>
                <w:szCs w:val="15"/>
              </w:rPr>
              <w:t xml:space="preserve"> (0.5732)</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0.1584 (0.1058)</w:t>
            </w: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Cholesterol at last visit</w:t>
            </w:r>
          </w:p>
        </w:tc>
        <w:tc>
          <w:tcPr>
            <w:tcW w:w="838" w:type="dxa"/>
          </w:tcPr>
          <w:p w:rsidR="006074C8" w:rsidRPr="003755EE" w:rsidRDefault="006074C8" w:rsidP="00A14ADC">
            <w:pPr>
              <w:pStyle w:val="ListParagraph1"/>
              <w:rPr>
                <w:sz w:val="15"/>
                <w:szCs w:val="15"/>
              </w:rPr>
            </w:pPr>
            <w:r w:rsidRPr="003755EE">
              <w:rPr>
                <w:sz w:val="15"/>
                <w:szCs w:val="15"/>
              </w:rPr>
              <w:t>1.0027 (0.0013)</w:t>
            </w:r>
          </w:p>
        </w:tc>
        <w:tc>
          <w:tcPr>
            <w:tcW w:w="839" w:type="dxa"/>
          </w:tcPr>
          <w:p w:rsidR="006074C8" w:rsidRPr="003755EE" w:rsidRDefault="006074C8" w:rsidP="00A14ADC">
            <w:pPr>
              <w:pStyle w:val="ListParagraph1"/>
              <w:rPr>
                <w:sz w:val="15"/>
                <w:szCs w:val="15"/>
              </w:rPr>
            </w:pPr>
            <w:r w:rsidRPr="003755EE">
              <w:rPr>
                <w:sz w:val="15"/>
                <w:szCs w:val="15"/>
              </w:rPr>
              <w:t>0.9922 (0.0037)</w:t>
            </w: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1.0034 (0.0012)</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1.0049</w:t>
            </w:r>
            <w:r>
              <w:rPr>
                <w:sz w:val="15"/>
                <w:szCs w:val="15"/>
              </w:rPr>
              <w:t xml:space="preserve"> (0.0014)</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0.9906 (0.0024)</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1.0044</w:t>
            </w:r>
            <w:r>
              <w:rPr>
                <w:color w:val="000000"/>
                <w:sz w:val="15"/>
                <w:szCs w:val="15"/>
              </w:rPr>
              <w:t xml:space="preserve"> (0.0017)</w:t>
            </w: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Hypertension at last visit</w:t>
            </w:r>
          </w:p>
        </w:tc>
        <w:tc>
          <w:tcPr>
            <w:tcW w:w="838" w:type="dxa"/>
          </w:tcPr>
          <w:p w:rsidR="006074C8" w:rsidRPr="003755EE" w:rsidRDefault="006074C8" w:rsidP="00A14ADC">
            <w:pPr>
              <w:pStyle w:val="ListParagraph1"/>
              <w:rPr>
                <w:sz w:val="15"/>
                <w:szCs w:val="15"/>
              </w:rPr>
            </w:pPr>
            <w:r w:rsidRPr="003755EE">
              <w:rPr>
                <w:sz w:val="15"/>
                <w:szCs w:val="15"/>
              </w:rPr>
              <w:t>2.2692 (0.5408)</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1.8038 (0.2974)</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Pr>
                <w:sz w:val="15"/>
                <w:szCs w:val="15"/>
              </w:rPr>
              <w:t>2.2216 (0.7229)</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1.4793</w:t>
            </w:r>
            <w:r>
              <w:rPr>
                <w:sz w:val="15"/>
                <w:szCs w:val="15"/>
              </w:rPr>
              <w:t xml:space="preserve"> (0.2597)</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Anticardiolipid antibody positive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r>
              <w:rPr>
                <w:sz w:val="15"/>
                <w:szCs w:val="15"/>
              </w:rPr>
              <w:t>0.2918 (0.1249)</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Lupus Anticoagulant positive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Pr>
                <w:sz w:val="15"/>
                <w:szCs w:val="15"/>
              </w:rPr>
              <w:t>2.2758 (0.7800)</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Log of age</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2.6446 (0.5583)</w:t>
            </w: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2.4353 (0.6385)</w:t>
            </w:r>
          </w:p>
        </w:tc>
        <w:tc>
          <w:tcPr>
            <w:tcW w:w="839" w:type="dxa"/>
          </w:tcPr>
          <w:p w:rsidR="006074C8" w:rsidRPr="003755EE" w:rsidRDefault="006074C8" w:rsidP="00A14ADC">
            <w:pPr>
              <w:pStyle w:val="ListParagraph1"/>
              <w:rPr>
                <w:sz w:val="15"/>
                <w:szCs w:val="15"/>
              </w:rPr>
            </w:pPr>
            <w:r>
              <w:rPr>
                <w:sz w:val="15"/>
                <w:szCs w:val="15"/>
              </w:rPr>
              <w:t>0.1824 (0.0743)</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Pr>
                <w:sz w:val="15"/>
                <w:szCs w:val="15"/>
              </w:rPr>
              <w:t>9.7554 (2.8792)</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r w:rsidRPr="003755EE">
              <w:rPr>
                <w:sz w:val="15"/>
                <w:szCs w:val="15"/>
              </w:rPr>
              <w:t>9.8192</w:t>
            </w:r>
            <w:r>
              <w:rPr>
                <w:sz w:val="15"/>
                <w:szCs w:val="15"/>
              </w:rPr>
              <w:t xml:space="preserve"> (4.9752)</w:t>
            </w: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Log of disease duration</w:t>
            </w:r>
          </w:p>
        </w:tc>
        <w:tc>
          <w:tcPr>
            <w:tcW w:w="838" w:type="dxa"/>
          </w:tcPr>
          <w:p w:rsidR="006074C8" w:rsidRPr="003755EE" w:rsidRDefault="006074C8" w:rsidP="00A14ADC">
            <w:pPr>
              <w:pStyle w:val="ListParagraph1"/>
              <w:rPr>
                <w:sz w:val="15"/>
                <w:szCs w:val="15"/>
              </w:rPr>
            </w:pPr>
            <w:r w:rsidRPr="003755EE">
              <w:rPr>
                <w:sz w:val="15"/>
                <w:szCs w:val="15"/>
              </w:rPr>
              <w:t>1.8532 (0.2646)</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1.3486 (0.1867)</w:t>
            </w: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1D0663" w:rsidRDefault="006074C8" w:rsidP="00A14ADC">
            <w:pPr>
              <w:pStyle w:val="ListParagraph1"/>
              <w:rPr>
                <w:b/>
                <w:bCs/>
                <w:szCs w:val="18"/>
              </w:rPr>
            </w:pPr>
            <w:r w:rsidRPr="001D0663">
              <w:rPr>
                <w:b/>
                <w:bCs/>
                <w:szCs w:val="18"/>
              </w:rPr>
              <w:t>Adjusted Mean SLEDAI at last visit</w:t>
            </w:r>
          </w:p>
        </w:tc>
        <w:tc>
          <w:tcPr>
            <w:tcW w:w="838" w:type="dxa"/>
          </w:tcPr>
          <w:p w:rsidR="006074C8" w:rsidRPr="001D0663" w:rsidRDefault="006074C8" w:rsidP="00A14ADC">
            <w:pPr>
              <w:pStyle w:val="ListParagraph1"/>
              <w:rPr>
                <w:b/>
                <w:bCs/>
                <w:sz w:val="15"/>
                <w:szCs w:val="15"/>
              </w:rPr>
            </w:pPr>
            <w:r w:rsidRPr="001D0663">
              <w:rPr>
                <w:b/>
                <w:bCs/>
                <w:sz w:val="15"/>
                <w:szCs w:val="15"/>
              </w:rPr>
              <w:t>1.1585 (0.0454)</w:t>
            </w:r>
          </w:p>
        </w:tc>
        <w:tc>
          <w:tcPr>
            <w:tcW w:w="839" w:type="dxa"/>
          </w:tcPr>
          <w:p w:rsidR="006074C8" w:rsidRPr="001D0663" w:rsidRDefault="006074C8" w:rsidP="00A14ADC">
            <w:pPr>
              <w:pStyle w:val="ListParagraph1"/>
              <w:rPr>
                <w:b/>
                <w:bCs/>
                <w:sz w:val="15"/>
                <w:szCs w:val="15"/>
              </w:rPr>
            </w:pPr>
            <w:r w:rsidRPr="001D0663">
              <w:rPr>
                <w:b/>
                <w:bCs/>
                <w:sz w:val="15"/>
                <w:szCs w:val="15"/>
              </w:rPr>
              <w:t>0.8190 (0.0658)</w:t>
            </w:r>
          </w:p>
        </w:tc>
        <w:tc>
          <w:tcPr>
            <w:tcW w:w="839" w:type="dxa"/>
          </w:tcPr>
          <w:p w:rsidR="006074C8" w:rsidRPr="001D0663" w:rsidRDefault="006074C8" w:rsidP="00A14ADC">
            <w:pPr>
              <w:pStyle w:val="ListParagraph1"/>
              <w:rPr>
                <w:b/>
                <w:bCs/>
                <w:sz w:val="15"/>
                <w:szCs w:val="15"/>
              </w:rPr>
            </w:pPr>
          </w:p>
        </w:tc>
        <w:tc>
          <w:tcPr>
            <w:tcW w:w="838" w:type="dxa"/>
            <w:vAlign w:val="bottom"/>
          </w:tcPr>
          <w:p w:rsidR="006074C8" w:rsidRPr="001D0663" w:rsidRDefault="006074C8" w:rsidP="00A14ADC">
            <w:pPr>
              <w:pStyle w:val="ListParagraph1"/>
              <w:rPr>
                <w:b/>
                <w:bCs/>
                <w:color w:val="000000"/>
                <w:sz w:val="15"/>
                <w:szCs w:val="15"/>
              </w:rPr>
            </w:pPr>
          </w:p>
        </w:tc>
        <w:tc>
          <w:tcPr>
            <w:tcW w:w="839" w:type="dxa"/>
          </w:tcPr>
          <w:p w:rsidR="006074C8" w:rsidRPr="001D0663" w:rsidRDefault="006074C8" w:rsidP="00A14ADC">
            <w:pPr>
              <w:pStyle w:val="ListParagraph1"/>
              <w:rPr>
                <w:b/>
                <w:bCs/>
                <w:sz w:val="15"/>
                <w:szCs w:val="15"/>
              </w:rPr>
            </w:pPr>
          </w:p>
        </w:tc>
        <w:tc>
          <w:tcPr>
            <w:tcW w:w="839" w:type="dxa"/>
          </w:tcPr>
          <w:p w:rsidR="006074C8" w:rsidRPr="001D0663" w:rsidRDefault="006074C8" w:rsidP="00A14ADC">
            <w:pPr>
              <w:pStyle w:val="ListParagraph1"/>
              <w:rPr>
                <w:b/>
                <w:bCs/>
                <w:sz w:val="15"/>
                <w:szCs w:val="15"/>
              </w:rPr>
            </w:pPr>
          </w:p>
        </w:tc>
        <w:tc>
          <w:tcPr>
            <w:tcW w:w="838" w:type="dxa"/>
          </w:tcPr>
          <w:p w:rsidR="006074C8" w:rsidRPr="001D0663" w:rsidRDefault="006074C8" w:rsidP="00A14ADC">
            <w:pPr>
              <w:pStyle w:val="ListParagraph1"/>
              <w:rPr>
                <w:b/>
                <w:bCs/>
                <w:sz w:val="15"/>
                <w:szCs w:val="15"/>
              </w:rPr>
            </w:pPr>
          </w:p>
        </w:tc>
        <w:tc>
          <w:tcPr>
            <w:tcW w:w="839" w:type="dxa"/>
          </w:tcPr>
          <w:p w:rsidR="006074C8" w:rsidRPr="001D0663" w:rsidRDefault="006074C8" w:rsidP="00A14ADC">
            <w:pPr>
              <w:pStyle w:val="ListParagraph1"/>
              <w:rPr>
                <w:b/>
                <w:bCs/>
                <w:sz w:val="15"/>
                <w:szCs w:val="15"/>
              </w:rPr>
            </w:pPr>
          </w:p>
        </w:tc>
        <w:tc>
          <w:tcPr>
            <w:tcW w:w="839" w:type="dxa"/>
          </w:tcPr>
          <w:p w:rsidR="006074C8" w:rsidRPr="001D0663" w:rsidRDefault="006074C8" w:rsidP="00A14ADC">
            <w:pPr>
              <w:pStyle w:val="ListParagraph1"/>
              <w:rPr>
                <w:b/>
                <w:bCs/>
                <w:sz w:val="15"/>
                <w:szCs w:val="15"/>
              </w:rPr>
            </w:pPr>
          </w:p>
        </w:tc>
        <w:tc>
          <w:tcPr>
            <w:tcW w:w="838" w:type="dxa"/>
          </w:tcPr>
          <w:p w:rsidR="006074C8" w:rsidRPr="001D0663" w:rsidRDefault="006074C8" w:rsidP="00A14ADC">
            <w:pPr>
              <w:pStyle w:val="ListParagraph1"/>
              <w:rPr>
                <w:b/>
                <w:bCs/>
                <w:sz w:val="15"/>
                <w:szCs w:val="15"/>
              </w:rPr>
            </w:pPr>
          </w:p>
        </w:tc>
        <w:tc>
          <w:tcPr>
            <w:tcW w:w="839" w:type="dxa"/>
            <w:vAlign w:val="bottom"/>
          </w:tcPr>
          <w:p w:rsidR="006074C8" w:rsidRPr="001D0663" w:rsidRDefault="006074C8" w:rsidP="00A14ADC">
            <w:pPr>
              <w:pStyle w:val="ListParagraph1"/>
              <w:rPr>
                <w:b/>
                <w:bCs/>
                <w:color w:val="000000"/>
                <w:sz w:val="15"/>
                <w:szCs w:val="15"/>
              </w:rPr>
            </w:pPr>
          </w:p>
        </w:tc>
        <w:tc>
          <w:tcPr>
            <w:tcW w:w="839" w:type="dxa"/>
          </w:tcPr>
          <w:p w:rsidR="006074C8" w:rsidRPr="001D0663" w:rsidRDefault="006074C8" w:rsidP="00A14ADC">
            <w:pPr>
              <w:pStyle w:val="ListParagraph1"/>
              <w:rPr>
                <w:b/>
                <w:bCs/>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 xml:space="preserve">Cumulative average </w:t>
            </w:r>
            <w:r>
              <w:rPr>
                <w:szCs w:val="18"/>
              </w:rPr>
              <w:t>steroid</w:t>
            </w:r>
            <w:r w:rsidRPr="00902B54">
              <w:rPr>
                <w:szCs w:val="18"/>
              </w:rPr>
              <w:t xml:space="preserve"> dose at last visit</w:t>
            </w:r>
          </w:p>
        </w:tc>
        <w:tc>
          <w:tcPr>
            <w:tcW w:w="838" w:type="dxa"/>
          </w:tcPr>
          <w:p w:rsidR="006074C8" w:rsidRPr="003755EE" w:rsidRDefault="006074C8" w:rsidP="00A14ADC">
            <w:pPr>
              <w:pStyle w:val="ListParagraph1"/>
              <w:rPr>
                <w:sz w:val="15"/>
                <w:szCs w:val="15"/>
              </w:rPr>
            </w:pPr>
            <w:r w:rsidRPr="003755EE">
              <w:rPr>
                <w:sz w:val="15"/>
                <w:szCs w:val="15"/>
              </w:rPr>
              <w:t>1.0012 (0.0004)</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1.0012 (0.0002)</w:t>
            </w:r>
          </w:p>
        </w:tc>
        <w:tc>
          <w:tcPr>
            <w:tcW w:w="838" w:type="dxa"/>
          </w:tcPr>
          <w:p w:rsidR="006074C8" w:rsidRPr="003755EE" w:rsidRDefault="006074C8" w:rsidP="00A14ADC">
            <w:pPr>
              <w:pStyle w:val="ListParagraph1"/>
              <w:rPr>
                <w:color w:val="000000"/>
                <w:sz w:val="15"/>
                <w:szCs w:val="15"/>
              </w:rPr>
            </w:pPr>
            <w:r w:rsidRPr="003755EE">
              <w:rPr>
                <w:color w:val="000000"/>
                <w:sz w:val="15"/>
                <w:szCs w:val="15"/>
              </w:rPr>
              <w:t>1.0004 (0.0026)</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r w:rsidRPr="003755EE">
              <w:rPr>
                <w:sz w:val="15"/>
                <w:szCs w:val="15"/>
              </w:rPr>
              <w:t>1.0008</w:t>
            </w:r>
            <w:r>
              <w:rPr>
                <w:sz w:val="15"/>
                <w:szCs w:val="15"/>
              </w:rPr>
              <w:t xml:space="preserve"> (0.0004)</w:t>
            </w:r>
          </w:p>
        </w:tc>
        <w:tc>
          <w:tcPr>
            <w:tcW w:w="839" w:type="dxa"/>
          </w:tcPr>
          <w:p w:rsidR="006074C8" w:rsidRPr="003755EE" w:rsidRDefault="006074C8" w:rsidP="00A14ADC">
            <w:pPr>
              <w:pStyle w:val="ListParagraph1"/>
              <w:rPr>
                <w:sz w:val="15"/>
                <w:szCs w:val="15"/>
              </w:rPr>
            </w:pPr>
            <w:r>
              <w:rPr>
                <w:sz w:val="15"/>
                <w:szCs w:val="15"/>
              </w:rPr>
              <w:t>1.0013 (0.0002)</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r>
              <w:rPr>
                <w:sz w:val="15"/>
                <w:szCs w:val="15"/>
              </w:rPr>
              <w:t>1.0012 (0.0004)</w:t>
            </w:r>
          </w:p>
        </w:tc>
        <w:tc>
          <w:tcPr>
            <w:tcW w:w="839" w:type="dxa"/>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1.0017</w:t>
            </w:r>
            <w:r>
              <w:rPr>
                <w:color w:val="000000"/>
                <w:sz w:val="15"/>
                <w:szCs w:val="15"/>
              </w:rPr>
              <w:t xml:space="preserve"> (0.0004)</w:t>
            </w: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Cytotoxic treatment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1.2955 (0.1624)</w:t>
            </w: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r>
              <w:rPr>
                <w:color w:val="000000"/>
                <w:sz w:val="15"/>
                <w:szCs w:val="15"/>
              </w:rPr>
              <w:t>2.3074 (0.9870)</w:t>
            </w:r>
          </w:p>
        </w:tc>
      </w:tr>
      <w:tr w:rsidR="006074C8" w:rsidRPr="003755EE" w:rsidTr="0087718E">
        <w:trPr>
          <w:trHeight w:val="20"/>
        </w:trPr>
        <w:tc>
          <w:tcPr>
            <w:tcW w:w="3289" w:type="dxa"/>
          </w:tcPr>
          <w:p w:rsidR="006074C8" w:rsidRPr="00902B54" w:rsidRDefault="0040291B" w:rsidP="00A14ADC">
            <w:pPr>
              <w:pStyle w:val="ListParagraph1"/>
              <w:rPr>
                <w:szCs w:val="18"/>
              </w:rPr>
            </w:pPr>
            <w:r>
              <w:rPr>
                <w:szCs w:val="18"/>
              </w:rPr>
              <w:t>Anti-malarials</w:t>
            </w:r>
            <w:r w:rsidR="006074C8" w:rsidRPr="00902B54">
              <w:rPr>
                <w:szCs w:val="18"/>
              </w:rPr>
              <w:t xml:space="preserve"> treatment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4.4640 (2.6656)</w:t>
            </w: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r>
              <w:rPr>
                <w:color w:val="000000"/>
                <w:sz w:val="15"/>
                <w:szCs w:val="15"/>
              </w:rPr>
              <w:t>0.3896 (0.1604)</w:t>
            </w: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Neuropsychiatric involvement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7.9842 (1.7761)</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Pr>
                <w:sz w:val="15"/>
                <w:szCs w:val="15"/>
              </w:rPr>
              <w:t>2.1807 (0.8494)</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Renal involvement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0.0257 (0.0226)</w:t>
            </w: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r>
              <w:rPr>
                <w:sz w:val="15"/>
                <w:szCs w:val="15"/>
              </w:rPr>
              <w:t>0.4234 (0.1178)</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r w:rsidRPr="003755EE">
              <w:rPr>
                <w:sz w:val="15"/>
                <w:szCs w:val="15"/>
              </w:rPr>
              <w:t>2.4083</w:t>
            </w:r>
            <w:r>
              <w:rPr>
                <w:sz w:val="15"/>
                <w:szCs w:val="15"/>
              </w:rPr>
              <w:t xml:space="preserve"> (0.0812)</w:t>
            </w: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Skin involvement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r w:rsidRPr="003755EE">
              <w:rPr>
                <w:sz w:val="15"/>
                <w:szCs w:val="15"/>
              </w:rPr>
              <w:t>0.0866 (0.0595)</w:t>
            </w: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Vasculitis at last visit</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r>
              <w:rPr>
                <w:sz w:val="15"/>
                <w:szCs w:val="15"/>
              </w:rPr>
              <w:t>5.2815 (2.7295)</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Serositis involvement at last visit</w:t>
            </w:r>
          </w:p>
        </w:tc>
        <w:tc>
          <w:tcPr>
            <w:tcW w:w="838" w:type="dxa"/>
          </w:tcPr>
          <w:p w:rsidR="006074C8" w:rsidRPr="003755EE" w:rsidRDefault="006074C8" w:rsidP="00A14ADC">
            <w:pPr>
              <w:pStyle w:val="ListParagraph1"/>
              <w:rPr>
                <w:sz w:val="15"/>
                <w:szCs w:val="15"/>
              </w:rPr>
            </w:pPr>
            <w:r w:rsidRPr="003755EE">
              <w:rPr>
                <w:sz w:val="15"/>
                <w:szCs w:val="15"/>
              </w:rPr>
              <w:t>3.0638 (1.2134)</w:t>
            </w: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sz w:val="15"/>
                <w:szCs w:val="15"/>
              </w:rPr>
            </w:pPr>
            <w:r>
              <w:rPr>
                <w:sz w:val="15"/>
                <w:szCs w:val="15"/>
              </w:rPr>
              <w:t>0.1062 (0.0431)</w:t>
            </w: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DNA binding at last visit</w:t>
            </w: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0.6176 (0.1410)</w:t>
            </w:r>
          </w:p>
        </w:tc>
        <w:tc>
          <w:tcPr>
            <w:tcW w:w="839" w:type="dxa"/>
            <w:vAlign w:val="bottom"/>
          </w:tcPr>
          <w:p w:rsidR="006074C8" w:rsidRPr="003755EE" w:rsidRDefault="006074C8" w:rsidP="00A14ADC">
            <w:pPr>
              <w:pStyle w:val="ListParagraph1"/>
              <w:rPr>
                <w:color w:val="000000"/>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SLICC/ACR</w:t>
            </w:r>
            <w:r w:rsidR="002C404F">
              <w:rPr>
                <w:szCs w:val="18"/>
              </w:rPr>
              <w:t xml:space="preserve"> DI</w:t>
            </w:r>
            <w:r w:rsidRPr="00902B54">
              <w:rPr>
                <w:szCs w:val="18"/>
              </w:rPr>
              <w:t xml:space="preserve"> score at last visit</w:t>
            </w: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r w:rsidRPr="003755EE">
              <w:rPr>
                <w:color w:val="000000"/>
                <w:sz w:val="15"/>
                <w:szCs w:val="15"/>
              </w:rPr>
              <w:t>1.1084 (0.0308)</w:t>
            </w: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0.8542 (0.0477)</w:t>
            </w:r>
          </w:p>
        </w:tc>
        <w:tc>
          <w:tcPr>
            <w:tcW w:w="839" w:type="dxa"/>
            <w:vAlign w:val="bottom"/>
          </w:tcPr>
          <w:p w:rsidR="006074C8" w:rsidRPr="003755EE" w:rsidRDefault="006074C8" w:rsidP="00A14ADC">
            <w:pPr>
              <w:pStyle w:val="ListParagraph1"/>
              <w:rPr>
                <w:color w:val="000000"/>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p>
        </w:tc>
        <w:tc>
          <w:tcPr>
            <w:tcW w:w="838" w:type="dxa"/>
          </w:tcPr>
          <w:p w:rsidR="006074C8" w:rsidRPr="003755EE" w:rsidRDefault="006074C8" w:rsidP="00A14ADC">
            <w:pPr>
              <w:pStyle w:val="ListParagraph1"/>
              <w:rPr>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1.2014 (1.2014)</w:t>
            </w:r>
          </w:p>
        </w:tc>
        <w:tc>
          <w:tcPr>
            <w:tcW w:w="839" w:type="dxa"/>
          </w:tcPr>
          <w:p w:rsidR="006074C8" w:rsidRPr="003755EE" w:rsidRDefault="006074C8" w:rsidP="00A14ADC">
            <w:pPr>
              <w:pStyle w:val="ListParagraph1"/>
              <w:rPr>
                <w:color w:val="000000"/>
                <w:sz w:val="15"/>
                <w:szCs w:val="15"/>
              </w:rPr>
            </w:pP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Baseline hazard</w:t>
            </w:r>
          </w:p>
        </w:tc>
        <w:tc>
          <w:tcPr>
            <w:tcW w:w="838" w:type="dxa"/>
          </w:tcPr>
          <w:p w:rsidR="006074C8" w:rsidRPr="003755EE" w:rsidRDefault="006074C8" w:rsidP="00A14ADC">
            <w:pPr>
              <w:pStyle w:val="ListParagraph1"/>
              <w:rPr>
                <w:color w:val="000000"/>
                <w:sz w:val="15"/>
                <w:szCs w:val="15"/>
              </w:rPr>
            </w:pPr>
            <w:r w:rsidRPr="003755EE">
              <w:rPr>
                <w:sz w:val="15"/>
                <w:szCs w:val="15"/>
              </w:rPr>
              <w:t>-8.8971 (0.5605)</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10.2576 (1.6567)</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-7.4545 (0.8019)</w:t>
            </w:r>
          </w:p>
        </w:tc>
        <w:tc>
          <w:tcPr>
            <w:tcW w:w="838" w:type="dxa"/>
          </w:tcPr>
          <w:p w:rsidR="006074C8" w:rsidRPr="003755EE" w:rsidRDefault="006074C8" w:rsidP="00A14ADC">
            <w:pPr>
              <w:pStyle w:val="ListParagraph1"/>
              <w:rPr>
                <w:color w:val="000000"/>
                <w:sz w:val="15"/>
                <w:szCs w:val="15"/>
              </w:rPr>
            </w:pPr>
            <w:r w:rsidRPr="003755EE">
              <w:rPr>
                <w:color w:val="000000"/>
                <w:sz w:val="15"/>
                <w:szCs w:val="15"/>
              </w:rPr>
              <w:t>-8.0924 (0.9883)</w:t>
            </w:r>
          </w:p>
        </w:tc>
        <w:tc>
          <w:tcPr>
            <w:tcW w:w="839" w:type="dxa"/>
          </w:tcPr>
          <w:p w:rsidR="006074C8" w:rsidRPr="003755EE" w:rsidRDefault="006074C8" w:rsidP="00A14ADC">
            <w:pPr>
              <w:pStyle w:val="ListParagraph1"/>
              <w:rPr>
                <w:color w:val="000000"/>
                <w:sz w:val="15"/>
                <w:szCs w:val="15"/>
              </w:rPr>
            </w:pPr>
            <w:r>
              <w:rPr>
                <w:color w:val="000000"/>
                <w:sz w:val="15"/>
                <w:szCs w:val="15"/>
              </w:rPr>
              <w:t>11.5193 (1.6366)</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-7.3112</w:t>
            </w:r>
            <w:r>
              <w:rPr>
                <w:color w:val="000000"/>
                <w:sz w:val="15"/>
                <w:szCs w:val="15"/>
              </w:rPr>
              <w:t xml:space="preserve"> (0.4140)</w:t>
            </w:r>
          </w:p>
        </w:tc>
        <w:tc>
          <w:tcPr>
            <w:tcW w:w="838" w:type="dxa"/>
          </w:tcPr>
          <w:p w:rsidR="006074C8" w:rsidRPr="003755EE" w:rsidRDefault="006074C8" w:rsidP="00A14ADC">
            <w:pPr>
              <w:pStyle w:val="ListParagraph1"/>
              <w:rPr>
                <w:color w:val="000000"/>
                <w:sz w:val="15"/>
                <w:szCs w:val="15"/>
              </w:rPr>
            </w:pPr>
            <w:r w:rsidRPr="003755EE">
              <w:rPr>
                <w:color w:val="000000"/>
                <w:sz w:val="15"/>
                <w:szCs w:val="15"/>
              </w:rPr>
              <w:t>-5.0532</w:t>
            </w:r>
            <w:r>
              <w:rPr>
                <w:color w:val="000000"/>
                <w:sz w:val="15"/>
                <w:szCs w:val="15"/>
              </w:rPr>
              <w:t xml:space="preserve"> (0.1526)</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-12.814</w:t>
            </w:r>
            <w:r>
              <w:rPr>
                <w:color w:val="000000"/>
                <w:sz w:val="15"/>
                <w:szCs w:val="15"/>
              </w:rPr>
              <w:t xml:space="preserve"> (1.1373)</w:t>
            </w:r>
          </w:p>
        </w:tc>
        <w:tc>
          <w:tcPr>
            <w:tcW w:w="839" w:type="dxa"/>
          </w:tcPr>
          <w:p w:rsidR="006074C8" w:rsidRPr="003755EE" w:rsidRDefault="006074C8" w:rsidP="00A14ADC">
            <w:pPr>
              <w:pStyle w:val="ListParagraph1"/>
              <w:rPr>
                <w:color w:val="000000"/>
                <w:sz w:val="15"/>
                <w:szCs w:val="15"/>
              </w:rPr>
            </w:pPr>
            <w:r w:rsidRPr="003755EE">
              <w:rPr>
                <w:color w:val="000000"/>
                <w:sz w:val="15"/>
                <w:szCs w:val="15"/>
              </w:rPr>
              <w:t>9.1549 (1.8185)</w:t>
            </w:r>
          </w:p>
        </w:tc>
        <w:tc>
          <w:tcPr>
            <w:tcW w:w="838" w:type="dxa"/>
          </w:tcPr>
          <w:p w:rsidR="006074C8" w:rsidRPr="003755EE" w:rsidRDefault="006074C8" w:rsidP="00A14ADC">
            <w:pPr>
              <w:pStyle w:val="ListParagraph1"/>
              <w:rPr>
                <w:color w:val="000000"/>
                <w:sz w:val="15"/>
                <w:szCs w:val="15"/>
              </w:rPr>
            </w:pPr>
            <w:r>
              <w:rPr>
                <w:color w:val="000000"/>
                <w:sz w:val="15"/>
                <w:szCs w:val="15"/>
              </w:rPr>
              <w:t>-14.672 (2.0155)</w:t>
            </w:r>
          </w:p>
        </w:tc>
        <w:tc>
          <w:tcPr>
            <w:tcW w:w="839" w:type="dxa"/>
          </w:tcPr>
          <w:p w:rsidR="006074C8" w:rsidRPr="003755EE" w:rsidRDefault="006074C8" w:rsidP="00A14ADC">
            <w:pPr>
              <w:pStyle w:val="ListParagraph1"/>
              <w:rPr>
                <w:color w:val="000000"/>
                <w:sz w:val="15"/>
                <w:szCs w:val="15"/>
              </w:rPr>
            </w:pPr>
            <w:r>
              <w:rPr>
                <w:color w:val="000000"/>
                <w:sz w:val="15"/>
                <w:szCs w:val="15"/>
              </w:rPr>
              <w:t>-4.8090 (0.6016)</w:t>
            </w:r>
          </w:p>
        </w:tc>
        <w:tc>
          <w:tcPr>
            <w:tcW w:w="839" w:type="dxa"/>
          </w:tcPr>
          <w:p w:rsidR="006074C8" w:rsidRPr="003755EE" w:rsidRDefault="006074C8" w:rsidP="00A14ADC">
            <w:pPr>
              <w:pStyle w:val="ListParagraph1"/>
              <w:rPr>
                <w:color w:val="000000"/>
                <w:sz w:val="15"/>
                <w:szCs w:val="15"/>
              </w:rPr>
            </w:pPr>
            <w:r>
              <w:rPr>
                <w:color w:val="000000"/>
                <w:sz w:val="15"/>
                <w:szCs w:val="15"/>
              </w:rPr>
              <w:t>-7.2658 (0.5077)</w:t>
            </w:r>
          </w:p>
        </w:tc>
      </w:tr>
      <w:tr w:rsidR="006074C8" w:rsidRPr="003755EE" w:rsidTr="0087718E">
        <w:trPr>
          <w:trHeight w:val="20"/>
        </w:trPr>
        <w:tc>
          <w:tcPr>
            <w:tcW w:w="3289" w:type="dxa"/>
          </w:tcPr>
          <w:p w:rsidR="006074C8" w:rsidRPr="00902B54" w:rsidRDefault="006074C8" w:rsidP="00A14ADC">
            <w:pPr>
              <w:pStyle w:val="ListParagraph1"/>
              <w:rPr>
                <w:szCs w:val="18"/>
              </w:rPr>
            </w:pPr>
            <w:r w:rsidRPr="00902B54">
              <w:rPr>
                <w:szCs w:val="18"/>
              </w:rPr>
              <w:t>Parametric distribution parameter</w:t>
            </w: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-0.04446 (0.0253)</w:t>
            </w:r>
          </w:p>
        </w:tc>
        <w:tc>
          <w:tcPr>
            <w:tcW w:w="839" w:type="dxa"/>
            <w:vAlign w:val="bottom"/>
          </w:tcPr>
          <w:p w:rsidR="006074C8" w:rsidRPr="003755EE" w:rsidRDefault="006074C8" w:rsidP="00A14ADC">
            <w:pPr>
              <w:pStyle w:val="ListParagraph1"/>
              <w:rPr>
                <w:color w:val="000000"/>
                <w:sz w:val="15"/>
                <w:szCs w:val="15"/>
              </w:rPr>
            </w:pPr>
            <w:r w:rsidRPr="003755EE">
              <w:rPr>
                <w:color w:val="000000"/>
                <w:sz w:val="15"/>
                <w:szCs w:val="15"/>
              </w:rPr>
              <w:t>1.4942 (0.2951)</w:t>
            </w:r>
          </w:p>
        </w:tc>
        <w:tc>
          <w:tcPr>
            <w:tcW w:w="839" w:type="dxa"/>
            <w:vAlign w:val="bottom"/>
          </w:tcPr>
          <w:p w:rsidR="006074C8" w:rsidRPr="003755EE" w:rsidRDefault="006074C8" w:rsidP="00A14ADC">
            <w:pPr>
              <w:pStyle w:val="ListParagraph1"/>
              <w:rPr>
                <w:color w:val="000000"/>
                <w:sz w:val="15"/>
                <w:szCs w:val="15"/>
              </w:rPr>
            </w:pPr>
            <w:r w:rsidRPr="003755EE">
              <w:rPr>
                <w:color w:val="000000"/>
                <w:sz w:val="15"/>
                <w:szCs w:val="15"/>
              </w:rPr>
              <w:t>0.8544 (0.0483)</w:t>
            </w:r>
          </w:p>
        </w:tc>
        <w:tc>
          <w:tcPr>
            <w:tcW w:w="838" w:type="dxa"/>
            <w:vAlign w:val="bottom"/>
          </w:tcPr>
          <w:p w:rsidR="006074C8" w:rsidRPr="003755EE" w:rsidRDefault="006074C8" w:rsidP="00A14ADC">
            <w:pPr>
              <w:pStyle w:val="ListParagraph1"/>
              <w:rPr>
                <w:color w:val="000000"/>
                <w:sz w:val="15"/>
                <w:szCs w:val="15"/>
              </w:rPr>
            </w:pPr>
            <w:r w:rsidRPr="003755EE">
              <w:rPr>
                <w:color w:val="000000"/>
                <w:sz w:val="15"/>
                <w:szCs w:val="15"/>
              </w:rPr>
              <w:t>0.8254 (0.0546)</w:t>
            </w: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1.1486 (0.0845)</w:t>
            </w:r>
          </w:p>
        </w:tc>
        <w:tc>
          <w:tcPr>
            <w:tcW w:w="839" w:type="dxa"/>
            <w:vAlign w:val="bottom"/>
          </w:tcPr>
          <w:p w:rsidR="006074C8" w:rsidRPr="003755EE" w:rsidRDefault="006074C8" w:rsidP="00A14ADC">
            <w:pPr>
              <w:pStyle w:val="ListParagraph1"/>
              <w:rPr>
                <w:color w:val="000000"/>
                <w:sz w:val="15"/>
                <w:szCs w:val="15"/>
              </w:rPr>
            </w:pPr>
          </w:p>
        </w:tc>
        <w:tc>
          <w:tcPr>
            <w:tcW w:w="838" w:type="dxa"/>
            <w:vAlign w:val="bottom"/>
          </w:tcPr>
          <w:p w:rsidR="006074C8" w:rsidRPr="003755EE" w:rsidRDefault="006074C8" w:rsidP="00A14ADC">
            <w:pPr>
              <w:pStyle w:val="ListParagraph1"/>
              <w:rPr>
                <w:color w:val="000000"/>
                <w:sz w:val="15"/>
                <w:szCs w:val="15"/>
              </w:rPr>
            </w:pPr>
          </w:p>
        </w:tc>
        <w:tc>
          <w:tcPr>
            <w:tcW w:w="839" w:type="dxa"/>
            <w:vAlign w:val="bottom"/>
          </w:tcPr>
          <w:p w:rsidR="006074C8" w:rsidRPr="003755EE" w:rsidRDefault="006074C8" w:rsidP="00A14ADC">
            <w:pPr>
              <w:pStyle w:val="ListParagraph1"/>
              <w:rPr>
                <w:color w:val="000000"/>
                <w:sz w:val="15"/>
                <w:szCs w:val="15"/>
              </w:rPr>
            </w:pPr>
            <w:r>
              <w:rPr>
                <w:color w:val="000000"/>
                <w:sz w:val="15"/>
                <w:szCs w:val="15"/>
              </w:rPr>
              <w:t>0.8027 (0.0566)</w:t>
            </w:r>
          </w:p>
        </w:tc>
        <w:tc>
          <w:tcPr>
            <w:tcW w:w="839" w:type="dxa"/>
            <w:vAlign w:val="bottom"/>
          </w:tcPr>
          <w:p w:rsidR="006074C8" w:rsidRPr="003755EE" w:rsidRDefault="006074C8" w:rsidP="00A14ADC">
            <w:pPr>
              <w:pStyle w:val="ListParagraph1"/>
              <w:rPr>
                <w:color w:val="000000"/>
                <w:sz w:val="15"/>
                <w:szCs w:val="15"/>
              </w:rPr>
            </w:pPr>
            <w:r w:rsidRPr="003755EE">
              <w:rPr>
                <w:color w:val="000000"/>
                <w:sz w:val="15"/>
                <w:szCs w:val="15"/>
              </w:rPr>
              <w:t>1.4128 (0.3422)</w:t>
            </w:r>
          </w:p>
        </w:tc>
        <w:tc>
          <w:tcPr>
            <w:tcW w:w="838"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c>
          <w:tcPr>
            <w:tcW w:w="839" w:type="dxa"/>
          </w:tcPr>
          <w:p w:rsidR="006074C8" w:rsidRPr="003755EE" w:rsidRDefault="006074C8" w:rsidP="00A14ADC">
            <w:pPr>
              <w:pStyle w:val="ListParagraph1"/>
              <w:rPr>
                <w:sz w:val="15"/>
                <w:szCs w:val="15"/>
              </w:rPr>
            </w:pPr>
          </w:p>
        </w:tc>
      </w:tr>
      <w:tr w:rsidR="006074C8" w:rsidRPr="003755EE" w:rsidTr="0087718E">
        <w:trPr>
          <w:trHeight w:val="20"/>
        </w:trPr>
        <w:tc>
          <w:tcPr>
            <w:tcW w:w="3289" w:type="dxa"/>
            <w:tcBorders>
              <w:bottom w:val="single" w:sz="12" w:space="0" w:color="auto"/>
            </w:tcBorders>
          </w:tcPr>
          <w:p w:rsidR="006074C8" w:rsidRPr="00902B54" w:rsidRDefault="006074C8" w:rsidP="00A14ADC">
            <w:pPr>
              <w:pStyle w:val="ListParagraph1"/>
              <w:rPr>
                <w:szCs w:val="18"/>
              </w:rPr>
            </w:pPr>
            <w:r w:rsidRPr="00902B54">
              <w:rPr>
                <w:szCs w:val="18"/>
              </w:rPr>
              <w:t xml:space="preserve">Chi-squared </w:t>
            </w:r>
          </w:p>
        </w:tc>
        <w:tc>
          <w:tcPr>
            <w:tcW w:w="838"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117.62</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101.0</w:t>
            </w:r>
            <w:r>
              <w:rPr>
                <w:sz w:val="15"/>
                <w:szCs w:val="15"/>
              </w:rPr>
              <w:t>6</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101.32</w:t>
            </w:r>
          </w:p>
        </w:tc>
        <w:tc>
          <w:tcPr>
            <w:tcW w:w="838"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110.17</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86.79</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27.95</w:t>
            </w:r>
          </w:p>
        </w:tc>
        <w:tc>
          <w:tcPr>
            <w:tcW w:w="838"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10.83</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108.27</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35.15</w:t>
            </w:r>
          </w:p>
        </w:tc>
        <w:tc>
          <w:tcPr>
            <w:tcW w:w="838" w:type="dxa"/>
            <w:tcBorders>
              <w:bottom w:val="single" w:sz="12" w:space="0" w:color="auto"/>
            </w:tcBorders>
          </w:tcPr>
          <w:p w:rsidR="006074C8" w:rsidRPr="003755EE" w:rsidRDefault="006074C8" w:rsidP="00A14ADC">
            <w:pPr>
              <w:pStyle w:val="ListParagraph1"/>
              <w:rPr>
                <w:sz w:val="15"/>
                <w:szCs w:val="15"/>
              </w:rPr>
            </w:pPr>
            <w:r>
              <w:rPr>
                <w:sz w:val="15"/>
                <w:szCs w:val="15"/>
              </w:rPr>
              <w:t>39.86</w:t>
            </w:r>
          </w:p>
        </w:tc>
        <w:tc>
          <w:tcPr>
            <w:tcW w:w="839" w:type="dxa"/>
            <w:tcBorders>
              <w:bottom w:val="single" w:sz="12" w:space="0" w:color="auto"/>
            </w:tcBorders>
          </w:tcPr>
          <w:p w:rsidR="006074C8" w:rsidRPr="003755EE" w:rsidRDefault="006074C8" w:rsidP="00A14ADC">
            <w:pPr>
              <w:pStyle w:val="ListParagraph1"/>
              <w:rPr>
                <w:sz w:val="15"/>
                <w:szCs w:val="15"/>
              </w:rPr>
            </w:pPr>
            <w:r>
              <w:rPr>
                <w:sz w:val="15"/>
                <w:szCs w:val="15"/>
              </w:rPr>
              <w:t>58.34</w:t>
            </w:r>
          </w:p>
        </w:tc>
        <w:tc>
          <w:tcPr>
            <w:tcW w:w="839" w:type="dxa"/>
            <w:tcBorders>
              <w:bottom w:val="single" w:sz="12" w:space="0" w:color="auto"/>
            </w:tcBorders>
          </w:tcPr>
          <w:p w:rsidR="006074C8" w:rsidRPr="003755EE" w:rsidRDefault="006074C8" w:rsidP="00A14ADC">
            <w:pPr>
              <w:pStyle w:val="ListParagraph1"/>
              <w:rPr>
                <w:sz w:val="15"/>
                <w:szCs w:val="15"/>
              </w:rPr>
            </w:pPr>
            <w:r w:rsidRPr="003755EE">
              <w:rPr>
                <w:sz w:val="15"/>
                <w:szCs w:val="15"/>
              </w:rPr>
              <w:t>43.80</w:t>
            </w:r>
          </w:p>
        </w:tc>
      </w:tr>
    </w:tbl>
    <w:p w:rsidR="006074C8" w:rsidRPr="005D3675" w:rsidRDefault="006074C8" w:rsidP="00234693">
      <w:pPr>
        <w:pStyle w:val="Caption"/>
      </w:pPr>
      <w:bookmarkStart w:id="330" w:name="_Ref332119844"/>
      <w:r>
        <w:t xml:space="preserve">Table </w:t>
      </w:r>
      <w:fldSimple w:instr=" SEQ Table \* ARABIC ">
        <w:r w:rsidR="004911B7">
          <w:rPr>
            <w:noProof/>
          </w:rPr>
          <w:t>33</w:t>
        </w:r>
      </w:fldSimple>
      <w:bookmarkEnd w:id="330"/>
      <w:r>
        <w:t>: Results of the multivariate analyses for each</w:t>
      </w:r>
      <w:r w:rsidR="001D0663">
        <w:t xml:space="preserve"> time to occurrence of</w:t>
      </w:r>
      <w:r>
        <w:t xml:space="preserve"> organ </w:t>
      </w:r>
      <w:r w:rsidR="001D0663">
        <w:t xml:space="preserve">damage </w:t>
      </w:r>
      <w:r>
        <w:t xml:space="preserve">with AMS forced into the </w:t>
      </w:r>
      <w:r w:rsidR="00097A11">
        <w:t xml:space="preserve">survival </w:t>
      </w:r>
      <w:r>
        <w:t xml:space="preserve">models and </w:t>
      </w:r>
      <w:r w:rsidR="0040291B">
        <w:t>anti-malarials</w:t>
      </w:r>
      <w:r>
        <w:t xml:space="preserve"> and cytotoxic treatments removed</w:t>
      </w:r>
    </w:p>
    <w:tbl>
      <w:tblPr>
        <w:tblStyle w:val="TableGrid"/>
        <w:tblW w:w="1318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147"/>
        <w:gridCol w:w="836"/>
        <w:gridCol w:w="836"/>
        <w:gridCol w:w="837"/>
        <w:gridCol w:w="836"/>
        <w:gridCol w:w="836"/>
        <w:gridCol w:w="837"/>
        <w:gridCol w:w="836"/>
        <w:gridCol w:w="836"/>
        <w:gridCol w:w="837"/>
        <w:gridCol w:w="836"/>
        <w:gridCol w:w="836"/>
        <w:gridCol w:w="837"/>
      </w:tblGrid>
      <w:tr w:rsidR="006074C8" w:rsidRPr="006B3ED2" w:rsidTr="0087718E">
        <w:trPr>
          <w:trHeight w:val="138"/>
        </w:trPr>
        <w:tc>
          <w:tcPr>
            <w:tcW w:w="3147" w:type="dxa"/>
            <w:tcBorders>
              <w:top w:val="single" w:sz="12" w:space="0" w:color="auto"/>
              <w:bottom w:val="nil"/>
            </w:tcBorders>
          </w:tcPr>
          <w:p w:rsidR="006074C8" w:rsidRPr="00C54DED" w:rsidRDefault="006074C8" w:rsidP="00A14ADC">
            <w:pPr>
              <w:pStyle w:val="ListParagraph1"/>
              <w:rPr>
                <w:sz w:val="16"/>
                <w:szCs w:val="16"/>
              </w:rPr>
            </w:pP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Cardio.</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Renal</w:t>
            </w:r>
          </w:p>
        </w:tc>
        <w:tc>
          <w:tcPr>
            <w:tcW w:w="837"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MSK</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Neuro.</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Pulmonary</w:t>
            </w:r>
          </w:p>
        </w:tc>
        <w:tc>
          <w:tcPr>
            <w:tcW w:w="837"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P</w:t>
            </w:r>
            <w:r>
              <w:rPr>
                <w:sz w:val="16"/>
                <w:szCs w:val="16"/>
              </w:rPr>
              <w:t>. V</w:t>
            </w:r>
            <w:r w:rsidRPr="006B3ED2">
              <w:rPr>
                <w:sz w:val="16"/>
                <w:szCs w:val="16"/>
              </w:rPr>
              <w:t>ascular</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Gastro.</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Ocular</w:t>
            </w:r>
          </w:p>
        </w:tc>
        <w:tc>
          <w:tcPr>
            <w:tcW w:w="837"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Skin</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Diabetes</w:t>
            </w:r>
          </w:p>
        </w:tc>
        <w:tc>
          <w:tcPr>
            <w:tcW w:w="836"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Malignancy</w:t>
            </w:r>
          </w:p>
        </w:tc>
        <w:tc>
          <w:tcPr>
            <w:tcW w:w="837" w:type="dxa"/>
            <w:tcBorders>
              <w:top w:val="single" w:sz="12" w:space="0" w:color="auto"/>
              <w:bottom w:val="nil"/>
            </w:tcBorders>
          </w:tcPr>
          <w:p w:rsidR="006074C8" w:rsidRPr="006B3ED2" w:rsidRDefault="006074C8" w:rsidP="00A14ADC">
            <w:pPr>
              <w:pStyle w:val="ListParagraph1"/>
              <w:jc w:val="center"/>
              <w:rPr>
                <w:sz w:val="16"/>
                <w:szCs w:val="16"/>
              </w:rPr>
            </w:pPr>
            <w:r w:rsidRPr="006B3ED2">
              <w:rPr>
                <w:sz w:val="16"/>
                <w:szCs w:val="16"/>
              </w:rPr>
              <w:t xml:space="preserve">Gonadal </w:t>
            </w:r>
          </w:p>
        </w:tc>
      </w:tr>
      <w:tr w:rsidR="006074C8" w:rsidRPr="006B3ED2" w:rsidTr="0087718E">
        <w:tc>
          <w:tcPr>
            <w:tcW w:w="3147" w:type="dxa"/>
            <w:tcBorders>
              <w:top w:val="nil"/>
              <w:bottom w:val="single" w:sz="4" w:space="0" w:color="auto"/>
            </w:tcBorders>
          </w:tcPr>
          <w:p w:rsidR="006074C8" w:rsidRPr="006B3ED2" w:rsidRDefault="006074C8" w:rsidP="00A14ADC">
            <w:pPr>
              <w:pStyle w:val="ListParagraph1"/>
              <w:rPr>
                <w:sz w:val="16"/>
                <w:szCs w:val="16"/>
              </w:rPr>
            </w:pP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Gompertz</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Pr>
                <w:color w:val="000000"/>
                <w:sz w:val="16"/>
                <w:szCs w:val="16"/>
              </w:rPr>
              <w:t>Loglogistic</w:t>
            </w:r>
          </w:p>
        </w:tc>
        <w:tc>
          <w:tcPr>
            <w:tcW w:w="837"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Weibull</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Weibull</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Pr>
                <w:color w:val="000000"/>
                <w:sz w:val="16"/>
                <w:szCs w:val="16"/>
              </w:rPr>
              <w:t>Loglogistic</w:t>
            </w:r>
          </w:p>
        </w:tc>
        <w:tc>
          <w:tcPr>
            <w:tcW w:w="837"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Exponential</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Exponential</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Weibull</w:t>
            </w:r>
          </w:p>
        </w:tc>
        <w:tc>
          <w:tcPr>
            <w:tcW w:w="837" w:type="dxa"/>
            <w:tcBorders>
              <w:top w:val="nil"/>
              <w:bottom w:val="single" w:sz="4" w:space="0" w:color="auto"/>
            </w:tcBorders>
          </w:tcPr>
          <w:p w:rsidR="006074C8" w:rsidRPr="006B3ED2" w:rsidRDefault="006074C8" w:rsidP="00A14ADC">
            <w:pPr>
              <w:pStyle w:val="ListParagraph1"/>
              <w:jc w:val="center"/>
              <w:rPr>
                <w:color w:val="000000"/>
                <w:sz w:val="16"/>
                <w:szCs w:val="16"/>
              </w:rPr>
            </w:pPr>
            <w:r>
              <w:rPr>
                <w:color w:val="000000"/>
                <w:sz w:val="16"/>
                <w:szCs w:val="16"/>
              </w:rPr>
              <w:t>Loglogistic</w:t>
            </w:r>
          </w:p>
        </w:tc>
        <w:tc>
          <w:tcPr>
            <w:tcW w:w="836" w:type="dxa"/>
            <w:tcBorders>
              <w:top w:val="nil"/>
              <w:bottom w:val="single" w:sz="4" w:space="0" w:color="auto"/>
            </w:tcBorders>
          </w:tcPr>
          <w:p w:rsidR="006074C8" w:rsidRPr="006B3ED2" w:rsidRDefault="006074C8" w:rsidP="00A14ADC">
            <w:pPr>
              <w:pStyle w:val="ListParagraph1"/>
              <w:jc w:val="center"/>
              <w:rPr>
                <w:sz w:val="16"/>
                <w:szCs w:val="16"/>
              </w:rPr>
            </w:pPr>
            <w:r w:rsidRPr="006B3ED2">
              <w:rPr>
                <w:sz w:val="16"/>
                <w:szCs w:val="16"/>
              </w:rPr>
              <w:t>Exponential</w:t>
            </w:r>
          </w:p>
        </w:tc>
        <w:tc>
          <w:tcPr>
            <w:tcW w:w="836"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Exponential</w:t>
            </w:r>
          </w:p>
        </w:tc>
        <w:tc>
          <w:tcPr>
            <w:tcW w:w="837" w:type="dxa"/>
            <w:tcBorders>
              <w:top w:val="nil"/>
              <w:bottom w:val="single" w:sz="4" w:space="0" w:color="auto"/>
            </w:tcBorders>
          </w:tcPr>
          <w:p w:rsidR="006074C8" w:rsidRPr="006B3ED2" w:rsidRDefault="006074C8" w:rsidP="00A14ADC">
            <w:pPr>
              <w:pStyle w:val="ListParagraph1"/>
              <w:jc w:val="center"/>
              <w:rPr>
                <w:color w:val="000000"/>
                <w:sz w:val="16"/>
                <w:szCs w:val="16"/>
              </w:rPr>
            </w:pPr>
            <w:r w:rsidRPr="006B3ED2">
              <w:rPr>
                <w:color w:val="000000"/>
                <w:sz w:val="16"/>
                <w:szCs w:val="16"/>
              </w:rPr>
              <w:t>Exponential</w:t>
            </w:r>
          </w:p>
        </w:tc>
      </w:tr>
      <w:tr w:rsidR="006074C8" w:rsidRPr="006B3ED2" w:rsidTr="0087718E">
        <w:tc>
          <w:tcPr>
            <w:tcW w:w="3147" w:type="dxa"/>
            <w:tcBorders>
              <w:top w:val="single" w:sz="4" w:space="0" w:color="auto"/>
            </w:tcBorders>
          </w:tcPr>
          <w:p w:rsidR="006074C8" w:rsidRPr="006B3ED2" w:rsidRDefault="006074C8" w:rsidP="00A14ADC">
            <w:pPr>
              <w:pStyle w:val="ListParagraph1"/>
              <w:rPr>
                <w:sz w:val="16"/>
                <w:szCs w:val="16"/>
              </w:rPr>
            </w:pPr>
            <w:r>
              <w:rPr>
                <w:sz w:val="16"/>
                <w:szCs w:val="16"/>
              </w:rPr>
              <w:t>African American ethnicity</w:t>
            </w:r>
          </w:p>
        </w:tc>
        <w:tc>
          <w:tcPr>
            <w:tcW w:w="836" w:type="dxa"/>
            <w:tcBorders>
              <w:top w:val="single" w:sz="4" w:space="0" w:color="auto"/>
            </w:tcBorders>
            <w:vAlign w:val="bottom"/>
          </w:tcPr>
          <w:p w:rsidR="006074C8" w:rsidRPr="006B3ED2" w:rsidRDefault="006074C8" w:rsidP="00A14ADC">
            <w:pPr>
              <w:pStyle w:val="ListParagraph1"/>
              <w:rPr>
                <w:color w:val="000000"/>
                <w:sz w:val="16"/>
                <w:szCs w:val="16"/>
              </w:rPr>
            </w:pPr>
          </w:p>
        </w:tc>
        <w:tc>
          <w:tcPr>
            <w:tcW w:w="836" w:type="dxa"/>
            <w:tcBorders>
              <w:top w:val="single" w:sz="4" w:space="0" w:color="auto"/>
            </w:tcBorders>
          </w:tcPr>
          <w:p w:rsidR="006074C8" w:rsidRPr="006B3ED2" w:rsidRDefault="006074C8" w:rsidP="00A14ADC">
            <w:pPr>
              <w:pStyle w:val="ListParagraph1"/>
              <w:rPr>
                <w:color w:val="000000"/>
                <w:sz w:val="16"/>
                <w:szCs w:val="16"/>
              </w:rPr>
            </w:pPr>
          </w:p>
        </w:tc>
        <w:tc>
          <w:tcPr>
            <w:tcW w:w="837" w:type="dxa"/>
            <w:tcBorders>
              <w:top w:val="single" w:sz="4" w:space="0" w:color="auto"/>
            </w:tcBorders>
          </w:tcPr>
          <w:p w:rsidR="006074C8" w:rsidRPr="006B3ED2" w:rsidRDefault="006074C8" w:rsidP="00A14ADC">
            <w:pPr>
              <w:pStyle w:val="ListParagraph1"/>
              <w:rPr>
                <w:color w:val="000000"/>
                <w:sz w:val="16"/>
                <w:szCs w:val="16"/>
              </w:rPr>
            </w:pPr>
          </w:p>
        </w:tc>
        <w:tc>
          <w:tcPr>
            <w:tcW w:w="836" w:type="dxa"/>
            <w:tcBorders>
              <w:top w:val="single" w:sz="4" w:space="0" w:color="auto"/>
            </w:tcBorders>
          </w:tcPr>
          <w:p w:rsidR="006074C8" w:rsidRPr="006B3ED2" w:rsidRDefault="006074C8" w:rsidP="00A14ADC">
            <w:pPr>
              <w:pStyle w:val="ListParagraph1"/>
              <w:rPr>
                <w:color w:val="000000"/>
                <w:sz w:val="16"/>
                <w:szCs w:val="16"/>
              </w:rPr>
            </w:pPr>
          </w:p>
        </w:tc>
        <w:tc>
          <w:tcPr>
            <w:tcW w:w="836" w:type="dxa"/>
            <w:tcBorders>
              <w:top w:val="single" w:sz="4" w:space="0" w:color="auto"/>
            </w:tcBorders>
            <w:vAlign w:val="bottom"/>
          </w:tcPr>
          <w:p w:rsidR="006074C8" w:rsidRPr="006B3ED2" w:rsidRDefault="006074C8" w:rsidP="00A14ADC">
            <w:pPr>
              <w:pStyle w:val="ListParagraph1"/>
              <w:rPr>
                <w:color w:val="000000"/>
                <w:sz w:val="16"/>
                <w:szCs w:val="16"/>
              </w:rPr>
            </w:pPr>
          </w:p>
        </w:tc>
        <w:tc>
          <w:tcPr>
            <w:tcW w:w="837" w:type="dxa"/>
            <w:tcBorders>
              <w:top w:val="single" w:sz="4" w:space="0" w:color="auto"/>
            </w:tcBorders>
            <w:vAlign w:val="bottom"/>
          </w:tcPr>
          <w:p w:rsidR="006074C8" w:rsidRPr="006B3ED2" w:rsidRDefault="006074C8" w:rsidP="00A14ADC">
            <w:pPr>
              <w:pStyle w:val="ListParagraph1"/>
              <w:rPr>
                <w:color w:val="000000"/>
                <w:sz w:val="16"/>
                <w:szCs w:val="16"/>
              </w:rPr>
            </w:pPr>
          </w:p>
        </w:tc>
        <w:tc>
          <w:tcPr>
            <w:tcW w:w="836" w:type="dxa"/>
            <w:tcBorders>
              <w:top w:val="single" w:sz="4" w:space="0" w:color="auto"/>
            </w:tcBorders>
          </w:tcPr>
          <w:p w:rsidR="006074C8" w:rsidRPr="006B3ED2" w:rsidRDefault="006074C8" w:rsidP="00A14ADC">
            <w:pPr>
              <w:pStyle w:val="ListParagraph1"/>
              <w:rPr>
                <w:color w:val="000000"/>
                <w:sz w:val="16"/>
                <w:szCs w:val="16"/>
              </w:rPr>
            </w:pPr>
          </w:p>
        </w:tc>
        <w:tc>
          <w:tcPr>
            <w:tcW w:w="836" w:type="dxa"/>
            <w:tcBorders>
              <w:top w:val="single" w:sz="4" w:space="0" w:color="auto"/>
            </w:tcBorders>
          </w:tcPr>
          <w:p w:rsidR="006074C8" w:rsidRPr="006B3ED2" w:rsidRDefault="006074C8" w:rsidP="00A14ADC">
            <w:pPr>
              <w:pStyle w:val="ListParagraph1"/>
              <w:rPr>
                <w:color w:val="000000"/>
                <w:sz w:val="16"/>
                <w:szCs w:val="16"/>
              </w:rPr>
            </w:pPr>
          </w:p>
        </w:tc>
        <w:tc>
          <w:tcPr>
            <w:tcW w:w="837" w:type="dxa"/>
            <w:tcBorders>
              <w:top w:val="single" w:sz="4" w:space="0" w:color="auto"/>
            </w:tcBorders>
          </w:tcPr>
          <w:p w:rsidR="006074C8" w:rsidRPr="006B3ED2" w:rsidRDefault="006074C8" w:rsidP="00A14ADC">
            <w:pPr>
              <w:pStyle w:val="ListParagraph1"/>
              <w:rPr>
                <w:color w:val="000000"/>
                <w:sz w:val="16"/>
                <w:szCs w:val="16"/>
              </w:rPr>
            </w:pPr>
            <w:r>
              <w:rPr>
                <w:color w:val="000000"/>
                <w:sz w:val="16"/>
                <w:szCs w:val="16"/>
              </w:rPr>
              <w:t>0.2224 (0.1687)</w:t>
            </w:r>
          </w:p>
        </w:tc>
        <w:tc>
          <w:tcPr>
            <w:tcW w:w="836" w:type="dxa"/>
            <w:tcBorders>
              <w:top w:val="single" w:sz="4" w:space="0" w:color="auto"/>
            </w:tcBorders>
          </w:tcPr>
          <w:p w:rsidR="006074C8" w:rsidRPr="006B3ED2" w:rsidRDefault="006074C8" w:rsidP="00A14ADC">
            <w:pPr>
              <w:pStyle w:val="ListParagraph1"/>
              <w:rPr>
                <w:sz w:val="16"/>
                <w:szCs w:val="16"/>
              </w:rPr>
            </w:pPr>
            <w:r w:rsidRPr="006B3ED2">
              <w:rPr>
                <w:sz w:val="16"/>
                <w:szCs w:val="16"/>
              </w:rPr>
              <w:t>2.1836</w:t>
            </w:r>
            <w:r>
              <w:rPr>
                <w:sz w:val="16"/>
                <w:szCs w:val="16"/>
              </w:rPr>
              <w:t xml:space="preserve"> (0.6173)</w:t>
            </w:r>
          </w:p>
        </w:tc>
        <w:tc>
          <w:tcPr>
            <w:tcW w:w="836" w:type="dxa"/>
            <w:tcBorders>
              <w:top w:val="single" w:sz="4" w:space="0" w:color="auto"/>
            </w:tcBorders>
            <w:vAlign w:val="bottom"/>
          </w:tcPr>
          <w:p w:rsidR="006074C8" w:rsidRPr="006B3ED2" w:rsidRDefault="006074C8" w:rsidP="00A14ADC">
            <w:pPr>
              <w:pStyle w:val="ListParagraph1"/>
              <w:rPr>
                <w:color w:val="000000"/>
                <w:sz w:val="16"/>
                <w:szCs w:val="16"/>
              </w:rPr>
            </w:pPr>
          </w:p>
        </w:tc>
        <w:tc>
          <w:tcPr>
            <w:tcW w:w="837" w:type="dxa"/>
            <w:tcBorders>
              <w:top w:val="single" w:sz="4" w:space="0" w:color="auto"/>
            </w:tcBorders>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Age at diagnosis</w:t>
            </w: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1.0468</w:t>
            </w:r>
            <w:r>
              <w:rPr>
                <w:color w:val="000000"/>
                <w:sz w:val="16"/>
                <w:szCs w:val="16"/>
              </w:rPr>
              <w:t xml:space="preserve"> (0.0080)</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1.0259</w:t>
            </w:r>
            <w:r>
              <w:rPr>
                <w:color w:val="000000"/>
                <w:sz w:val="16"/>
                <w:szCs w:val="16"/>
              </w:rPr>
              <w:t xml:space="preserve"> (0.0077)</w:t>
            </w: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Past smoker at baseline</w:t>
            </w:r>
          </w:p>
        </w:tc>
        <w:tc>
          <w:tcPr>
            <w:tcW w:w="836"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r>
              <w:rPr>
                <w:sz w:val="16"/>
                <w:szCs w:val="16"/>
              </w:rPr>
              <w:t>1.9814 (0.5732)</w:t>
            </w: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r>
              <w:rPr>
                <w:color w:val="000000"/>
                <w:sz w:val="16"/>
                <w:szCs w:val="16"/>
              </w:rPr>
              <w:t>0.1959 (0.1473)</w:t>
            </w: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Cholesterol at last visit</w:t>
            </w: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1.0026</w:t>
            </w:r>
            <w:r>
              <w:rPr>
                <w:color w:val="000000"/>
                <w:sz w:val="16"/>
                <w:szCs w:val="16"/>
              </w:rPr>
              <w:t xml:space="preserve"> (0.0013)</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0.9842 (0.0062)</w:t>
            </w: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1.0034</w:t>
            </w:r>
            <w:r>
              <w:rPr>
                <w:color w:val="000000"/>
                <w:sz w:val="16"/>
                <w:szCs w:val="16"/>
              </w:rPr>
              <w:t xml:space="preserve"> (0.0012)</w:t>
            </w: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r>
              <w:rPr>
                <w:sz w:val="16"/>
                <w:szCs w:val="16"/>
              </w:rPr>
              <w:t>1.0049 (0.0014)</w:t>
            </w: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0.9906 (0.0024)</w:t>
            </w:r>
          </w:p>
        </w:tc>
        <w:tc>
          <w:tcPr>
            <w:tcW w:w="837" w:type="dxa"/>
          </w:tcPr>
          <w:p w:rsidR="006074C8" w:rsidRPr="006B3ED2" w:rsidRDefault="006074C8" w:rsidP="00A14ADC">
            <w:pPr>
              <w:pStyle w:val="ListParagraph1"/>
              <w:rPr>
                <w:color w:val="000000"/>
                <w:sz w:val="16"/>
                <w:szCs w:val="16"/>
              </w:rPr>
            </w:pPr>
            <w:r w:rsidRPr="006B3ED2">
              <w:rPr>
                <w:color w:val="000000"/>
                <w:sz w:val="16"/>
                <w:szCs w:val="16"/>
              </w:rPr>
              <w:t>1.0053</w:t>
            </w:r>
            <w:r>
              <w:rPr>
                <w:color w:val="000000"/>
                <w:sz w:val="16"/>
                <w:szCs w:val="16"/>
              </w:rPr>
              <w:t xml:space="preserve"> (0.0017)</w:t>
            </w: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Hypertension at last visit</w:t>
            </w: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2.2594</w:t>
            </w:r>
            <w:r>
              <w:rPr>
                <w:color w:val="000000"/>
                <w:sz w:val="16"/>
                <w:szCs w:val="16"/>
              </w:rPr>
              <w:t xml:space="preserve"> (0.5382)</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r>
              <w:rPr>
                <w:color w:val="000000"/>
                <w:sz w:val="16"/>
                <w:szCs w:val="16"/>
              </w:rPr>
              <w:t>1.7831 (0.2936)</w:t>
            </w: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r>
              <w:rPr>
                <w:sz w:val="16"/>
                <w:szCs w:val="16"/>
              </w:rPr>
              <w:t>2.2216 (0.7229)</w:t>
            </w: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r>
              <w:rPr>
                <w:color w:val="000000"/>
                <w:sz w:val="16"/>
                <w:szCs w:val="16"/>
              </w:rPr>
              <w:t>1.4783 (0.2594)</w:t>
            </w: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Anticardiolipid antibody positive at last visit</w:t>
            </w:r>
          </w:p>
        </w:tc>
        <w:tc>
          <w:tcPr>
            <w:tcW w:w="836"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0</w:t>
            </w:r>
            <w:r w:rsidRPr="006B3ED2">
              <w:rPr>
                <w:color w:val="000000"/>
                <w:sz w:val="16"/>
                <w:szCs w:val="16"/>
              </w:rPr>
              <w:t>.248</w:t>
            </w:r>
            <w:r>
              <w:rPr>
                <w:color w:val="000000"/>
                <w:sz w:val="16"/>
                <w:szCs w:val="16"/>
              </w:rPr>
              <w:t xml:space="preserve"> (0.1148)</w:t>
            </w:r>
          </w:p>
        </w:tc>
        <w:tc>
          <w:tcPr>
            <w:tcW w:w="837"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Lupus Anticoagulant positive at last visit</w:t>
            </w:r>
          </w:p>
        </w:tc>
        <w:tc>
          <w:tcPr>
            <w:tcW w:w="836"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r>
              <w:rPr>
                <w:sz w:val="16"/>
                <w:szCs w:val="16"/>
              </w:rPr>
              <w:t>2.2758 (0.7800)</w:t>
            </w: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Log of age</w:t>
            </w:r>
          </w:p>
        </w:tc>
        <w:tc>
          <w:tcPr>
            <w:tcW w:w="836"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r w:rsidRPr="006B3ED2">
              <w:rPr>
                <w:color w:val="000000"/>
                <w:sz w:val="16"/>
                <w:szCs w:val="16"/>
              </w:rPr>
              <w:t>2.5906</w:t>
            </w:r>
            <w:r>
              <w:rPr>
                <w:color w:val="000000"/>
                <w:sz w:val="16"/>
                <w:szCs w:val="16"/>
              </w:rPr>
              <w:t xml:space="preserve"> (0.5476)</w:t>
            </w:r>
          </w:p>
        </w:tc>
        <w:tc>
          <w:tcPr>
            <w:tcW w:w="836" w:type="dxa"/>
          </w:tcPr>
          <w:p w:rsidR="006074C8" w:rsidRPr="006B3ED2" w:rsidRDefault="006074C8" w:rsidP="00A14ADC">
            <w:pPr>
              <w:pStyle w:val="ListParagraph1"/>
              <w:rPr>
                <w:color w:val="000000"/>
                <w:sz w:val="16"/>
                <w:szCs w:val="16"/>
              </w:rPr>
            </w:pPr>
            <w:r>
              <w:rPr>
                <w:color w:val="000000"/>
                <w:sz w:val="16"/>
                <w:szCs w:val="16"/>
              </w:rPr>
              <w:t>2.4556 (0.6379)</w:t>
            </w: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0.2313 (0.0992)</w:t>
            </w:r>
          </w:p>
        </w:tc>
        <w:tc>
          <w:tcPr>
            <w:tcW w:w="837"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r>
              <w:rPr>
                <w:color w:val="000000"/>
                <w:sz w:val="16"/>
                <w:szCs w:val="16"/>
              </w:rPr>
              <w:t>9.7085 (2.8599)</w:t>
            </w: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r w:rsidRPr="006B3ED2">
              <w:rPr>
                <w:sz w:val="16"/>
                <w:szCs w:val="16"/>
              </w:rPr>
              <w:t>9.0</w:t>
            </w:r>
            <w:r>
              <w:rPr>
                <w:sz w:val="16"/>
                <w:szCs w:val="16"/>
              </w:rPr>
              <w:t>274 (4.5989)</w:t>
            </w: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Log of disease duration</w:t>
            </w: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1.8157</w:t>
            </w:r>
            <w:r>
              <w:rPr>
                <w:color w:val="000000"/>
                <w:sz w:val="16"/>
                <w:szCs w:val="16"/>
              </w:rPr>
              <w:t xml:space="preserve"> (0.2587)</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1.3486 (0.1867)</w:t>
            </w:r>
          </w:p>
        </w:tc>
        <w:tc>
          <w:tcPr>
            <w:tcW w:w="837" w:type="dxa"/>
          </w:tcPr>
          <w:p w:rsidR="006074C8" w:rsidRPr="006B3ED2" w:rsidRDefault="006074C8" w:rsidP="00A14ADC">
            <w:pPr>
              <w:pStyle w:val="ListParagraph1"/>
              <w:rPr>
                <w:color w:val="000000"/>
                <w:sz w:val="16"/>
                <w:szCs w:val="16"/>
              </w:rPr>
            </w:pPr>
          </w:p>
        </w:tc>
      </w:tr>
      <w:tr w:rsidR="006074C8" w:rsidRPr="006B3ED2" w:rsidTr="0087718E">
        <w:trPr>
          <w:trHeight w:val="118"/>
        </w:trPr>
        <w:tc>
          <w:tcPr>
            <w:tcW w:w="3147" w:type="dxa"/>
          </w:tcPr>
          <w:p w:rsidR="006074C8" w:rsidRPr="001D0663" w:rsidRDefault="006074C8" w:rsidP="00A14ADC">
            <w:pPr>
              <w:pStyle w:val="ListParagraph1"/>
              <w:rPr>
                <w:b/>
                <w:bCs/>
                <w:sz w:val="16"/>
                <w:szCs w:val="16"/>
              </w:rPr>
            </w:pPr>
            <w:r w:rsidRPr="001D0663">
              <w:rPr>
                <w:b/>
                <w:bCs/>
                <w:sz w:val="16"/>
                <w:szCs w:val="16"/>
              </w:rPr>
              <w:t>Adjusted Mean SLEDAI at last visit</w:t>
            </w:r>
          </w:p>
        </w:tc>
        <w:tc>
          <w:tcPr>
            <w:tcW w:w="836" w:type="dxa"/>
            <w:vAlign w:val="bottom"/>
          </w:tcPr>
          <w:p w:rsidR="006074C8" w:rsidRPr="001D0663" w:rsidRDefault="006074C8" w:rsidP="00A14ADC">
            <w:pPr>
              <w:pStyle w:val="ListParagraph1"/>
              <w:rPr>
                <w:b/>
                <w:bCs/>
                <w:color w:val="000000"/>
                <w:sz w:val="16"/>
                <w:szCs w:val="16"/>
              </w:rPr>
            </w:pPr>
            <w:r w:rsidRPr="001D0663">
              <w:rPr>
                <w:b/>
                <w:bCs/>
                <w:color w:val="000000"/>
                <w:sz w:val="16"/>
                <w:szCs w:val="16"/>
              </w:rPr>
              <w:t>1.1688 (0.0458)</w:t>
            </w:r>
          </w:p>
        </w:tc>
        <w:tc>
          <w:tcPr>
            <w:tcW w:w="836" w:type="dxa"/>
          </w:tcPr>
          <w:p w:rsidR="006074C8" w:rsidRPr="001D0663" w:rsidRDefault="006074C8" w:rsidP="00A14ADC">
            <w:pPr>
              <w:pStyle w:val="ListParagraph1"/>
              <w:rPr>
                <w:b/>
                <w:bCs/>
                <w:color w:val="000000"/>
                <w:sz w:val="16"/>
                <w:szCs w:val="16"/>
              </w:rPr>
            </w:pPr>
            <w:r w:rsidRPr="001D0663">
              <w:rPr>
                <w:b/>
                <w:bCs/>
                <w:color w:val="000000"/>
                <w:sz w:val="16"/>
                <w:szCs w:val="16"/>
              </w:rPr>
              <w:t>0.6361 (0.0701)</w:t>
            </w:r>
          </w:p>
        </w:tc>
        <w:tc>
          <w:tcPr>
            <w:tcW w:w="837" w:type="dxa"/>
          </w:tcPr>
          <w:p w:rsidR="006074C8" w:rsidRPr="001D0663" w:rsidRDefault="006074C8" w:rsidP="00A14ADC">
            <w:pPr>
              <w:pStyle w:val="ListParagraph1"/>
              <w:rPr>
                <w:b/>
                <w:bCs/>
                <w:color w:val="000000"/>
                <w:sz w:val="16"/>
                <w:szCs w:val="16"/>
              </w:rPr>
            </w:pPr>
          </w:p>
        </w:tc>
        <w:tc>
          <w:tcPr>
            <w:tcW w:w="836" w:type="dxa"/>
          </w:tcPr>
          <w:p w:rsidR="006074C8" w:rsidRPr="001D0663" w:rsidRDefault="006074C8" w:rsidP="00A14ADC">
            <w:pPr>
              <w:pStyle w:val="ListParagraph1"/>
              <w:rPr>
                <w:b/>
                <w:bCs/>
                <w:color w:val="000000"/>
                <w:sz w:val="16"/>
                <w:szCs w:val="16"/>
              </w:rPr>
            </w:pPr>
          </w:p>
        </w:tc>
        <w:tc>
          <w:tcPr>
            <w:tcW w:w="836" w:type="dxa"/>
            <w:vAlign w:val="bottom"/>
          </w:tcPr>
          <w:p w:rsidR="006074C8" w:rsidRPr="001D0663" w:rsidRDefault="006074C8" w:rsidP="00A14ADC">
            <w:pPr>
              <w:pStyle w:val="ListParagraph1"/>
              <w:rPr>
                <w:b/>
                <w:bCs/>
                <w:color w:val="000000"/>
                <w:sz w:val="16"/>
                <w:szCs w:val="16"/>
              </w:rPr>
            </w:pPr>
            <w:r w:rsidRPr="001D0663">
              <w:rPr>
                <w:b/>
                <w:bCs/>
                <w:color w:val="000000"/>
                <w:sz w:val="16"/>
                <w:szCs w:val="16"/>
              </w:rPr>
              <w:t>0.8906 (0.0404)</w:t>
            </w:r>
          </w:p>
        </w:tc>
        <w:tc>
          <w:tcPr>
            <w:tcW w:w="837" w:type="dxa"/>
          </w:tcPr>
          <w:p w:rsidR="006074C8" w:rsidRPr="001D0663" w:rsidRDefault="006074C8" w:rsidP="00A14ADC">
            <w:pPr>
              <w:pStyle w:val="ListParagraph1"/>
              <w:rPr>
                <w:b/>
                <w:bCs/>
                <w:sz w:val="16"/>
                <w:szCs w:val="16"/>
              </w:rPr>
            </w:pPr>
          </w:p>
        </w:tc>
        <w:tc>
          <w:tcPr>
            <w:tcW w:w="836" w:type="dxa"/>
          </w:tcPr>
          <w:p w:rsidR="006074C8" w:rsidRPr="001D0663" w:rsidRDefault="006074C8" w:rsidP="00A14ADC">
            <w:pPr>
              <w:pStyle w:val="ListParagraph1"/>
              <w:rPr>
                <w:b/>
                <w:bCs/>
                <w:sz w:val="16"/>
                <w:szCs w:val="16"/>
              </w:rPr>
            </w:pPr>
          </w:p>
        </w:tc>
        <w:tc>
          <w:tcPr>
            <w:tcW w:w="836" w:type="dxa"/>
          </w:tcPr>
          <w:p w:rsidR="006074C8" w:rsidRPr="001D0663" w:rsidRDefault="006074C8" w:rsidP="00A14ADC">
            <w:pPr>
              <w:pStyle w:val="ListParagraph1"/>
              <w:rPr>
                <w:b/>
                <w:bCs/>
                <w:color w:val="000000"/>
                <w:sz w:val="16"/>
                <w:szCs w:val="16"/>
              </w:rPr>
            </w:pPr>
          </w:p>
        </w:tc>
        <w:tc>
          <w:tcPr>
            <w:tcW w:w="837" w:type="dxa"/>
          </w:tcPr>
          <w:p w:rsidR="006074C8" w:rsidRPr="001D0663" w:rsidRDefault="006074C8" w:rsidP="00A14ADC">
            <w:pPr>
              <w:pStyle w:val="ListParagraph1"/>
              <w:rPr>
                <w:b/>
                <w:bCs/>
                <w:color w:val="000000"/>
                <w:sz w:val="16"/>
                <w:szCs w:val="16"/>
              </w:rPr>
            </w:pPr>
            <w:r w:rsidRPr="001D0663">
              <w:rPr>
                <w:b/>
                <w:bCs/>
                <w:color w:val="000000"/>
                <w:sz w:val="16"/>
                <w:szCs w:val="16"/>
              </w:rPr>
              <w:t>0.8115 (0.0805)</w:t>
            </w:r>
          </w:p>
        </w:tc>
        <w:tc>
          <w:tcPr>
            <w:tcW w:w="836" w:type="dxa"/>
          </w:tcPr>
          <w:p w:rsidR="006074C8" w:rsidRPr="001D0663" w:rsidRDefault="006074C8" w:rsidP="00A14ADC">
            <w:pPr>
              <w:pStyle w:val="ListParagraph1"/>
              <w:rPr>
                <w:b/>
                <w:bCs/>
                <w:sz w:val="16"/>
                <w:szCs w:val="16"/>
              </w:rPr>
            </w:pPr>
          </w:p>
        </w:tc>
        <w:tc>
          <w:tcPr>
            <w:tcW w:w="836" w:type="dxa"/>
            <w:vAlign w:val="bottom"/>
          </w:tcPr>
          <w:p w:rsidR="006074C8" w:rsidRPr="001D0663" w:rsidRDefault="006074C8" w:rsidP="00A14ADC">
            <w:pPr>
              <w:pStyle w:val="ListParagraph1"/>
              <w:rPr>
                <w:b/>
                <w:bCs/>
                <w:color w:val="000000"/>
                <w:sz w:val="16"/>
                <w:szCs w:val="16"/>
              </w:rPr>
            </w:pPr>
          </w:p>
        </w:tc>
        <w:tc>
          <w:tcPr>
            <w:tcW w:w="837" w:type="dxa"/>
          </w:tcPr>
          <w:p w:rsidR="006074C8" w:rsidRPr="001D0663" w:rsidRDefault="006074C8" w:rsidP="00A14ADC">
            <w:pPr>
              <w:pStyle w:val="ListParagraph1"/>
              <w:rPr>
                <w:b/>
                <w:bCs/>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 xml:space="preserve">Cumulative average </w:t>
            </w:r>
            <w:r>
              <w:rPr>
                <w:sz w:val="16"/>
                <w:szCs w:val="16"/>
              </w:rPr>
              <w:t>steroid</w:t>
            </w:r>
            <w:r w:rsidRPr="006B3ED2">
              <w:rPr>
                <w:sz w:val="16"/>
                <w:szCs w:val="16"/>
              </w:rPr>
              <w:t xml:space="preserve"> dose at last visit</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1.0011</w:t>
            </w:r>
            <w:r>
              <w:rPr>
                <w:color w:val="000000"/>
                <w:sz w:val="16"/>
                <w:szCs w:val="16"/>
              </w:rPr>
              <w:t xml:space="preserve"> (0.0004)</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r>
              <w:rPr>
                <w:color w:val="000000"/>
                <w:sz w:val="16"/>
                <w:szCs w:val="16"/>
              </w:rPr>
              <w:t>1.0013 (0.0002)</w:t>
            </w:r>
          </w:p>
        </w:tc>
        <w:tc>
          <w:tcPr>
            <w:tcW w:w="836" w:type="dxa"/>
          </w:tcPr>
          <w:p w:rsidR="006074C8" w:rsidRPr="006B3ED2" w:rsidRDefault="006074C8" w:rsidP="00A14ADC">
            <w:pPr>
              <w:pStyle w:val="ListParagraph1"/>
              <w:rPr>
                <w:color w:val="000000"/>
                <w:sz w:val="16"/>
                <w:szCs w:val="16"/>
              </w:rPr>
            </w:pPr>
            <w:r>
              <w:rPr>
                <w:color w:val="000000"/>
                <w:sz w:val="16"/>
                <w:szCs w:val="16"/>
              </w:rPr>
              <w:t>1.0006 (0.0003)</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sz w:val="16"/>
                <w:szCs w:val="16"/>
              </w:rPr>
            </w:pPr>
            <w:r w:rsidRPr="006B3ED2">
              <w:rPr>
                <w:sz w:val="16"/>
                <w:szCs w:val="16"/>
              </w:rPr>
              <w:t>1.00084</w:t>
            </w:r>
            <w:r>
              <w:rPr>
                <w:sz w:val="16"/>
                <w:szCs w:val="16"/>
              </w:rPr>
              <w:t xml:space="preserve"> (0.0004)</w:t>
            </w:r>
          </w:p>
        </w:tc>
        <w:tc>
          <w:tcPr>
            <w:tcW w:w="836" w:type="dxa"/>
          </w:tcPr>
          <w:p w:rsidR="006074C8" w:rsidRPr="006B3ED2" w:rsidRDefault="006074C8" w:rsidP="00A14ADC">
            <w:pPr>
              <w:pStyle w:val="ListParagraph1"/>
              <w:rPr>
                <w:color w:val="000000"/>
                <w:sz w:val="16"/>
                <w:szCs w:val="16"/>
              </w:rPr>
            </w:pPr>
            <w:r>
              <w:rPr>
                <w:color w:val="000000"/>
                <w:sz w:val="16"/>
                <w:szCs w:val="16"/>
              </w:rPr>
              <w:t>1.0013 (0.0002)</w:t>
            </w: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r>
              <w:rPr>
                <w:sz w:val="16"/>
                <w:szCs w:val="16"/>
              </w:rPr>
              <w:t>1.0015 (0.0004)</w:t>
            </w: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r>
              <w:rPr>
                <w:color w:val="000000"/>
                <w:sz w:val="16"/>
                <w:szCs w:val="16"/>
              </w:rPr>
              <w:t>1.0020 (0.0004)</w:t>
            </w: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SLICC/ACR</w:t>
            </w:r>
            <w:r w:rsidR="002C404F">
              <w:rPr>
                <w:sz w:val="16"/>
                <w:szCs w:val="16"/>
              </w:rPr>
              <w:t xml:space="preserve"> DI</w:t>
            </w:r>
            <w:r w:rsidRPr="006B3ED2">
              <w:rPr>
                <w:sz w:val="16"/>
                <w:szCs w:val="16"/>
              </w:rPr>
              <w:t xml:space="preserve"> score at last visit</w:t>
            </w:r>
          </w:p>
        </w:tc>
        <w:tc>
          <w:tcPr>
            <w:tcW w:w="836"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r>
              <w:rPr>
                <w:color w:val="000000"/>
                <w:sz w:val="16"/>
                <w:szCs w:val="16"/>
              </w:rPr>
              <w:t>1.1158 (0.0307)</w:t>
            </w: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0.8564 (0.0509)</w:t>
            </w:r>
          </w:p>
        </w:tc>
        <w:tc>
          <w:tcPr>
            <w:tcW w:w="837"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Diabetes score at last visit</w:t>
            </w:r>
          </w:p>
        </w:tc>
        <w:tc>
          <w:tcPr>
            <w:tcW w:w="836"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1.2014 (0.0481)</w:t>
            </w: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Baseline hazard</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-8.7642</w:t>
            </w:r>
            <w:r>
              <w:rPr>
                <w:color w:val="000000"/>
                <w:sz w:val="16"/>
                <w:szCs w:val="16"/>
              </w:rPr>
              <w:t xml:space="preserve"> (0.5548)</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12.228 (2.5711)</w:t>
            </w:r>
          </w:p>
        </w:tc>
        <w:tc>
          <w:tcPr>
            <w:tcW w:w="837" w:type="dxa"/>
          </w:tcPr>
          <w:p w:rsidR="006074C8" w:rsidRPr="006B3ED2" w:rsidRDefault="006074C8" w:rsidP="00A14ADC">
            <w:pPr>
              <w:pStyle w:val="ListParagraph1"/>
              <w:rPr>
                <w:color w:val="000000"/>
                <w:sz w:val="16"/>
                <w:szCs w:val="16"/>
              </w:rPr>
            </w:pPr>
            <w:r>
              <w:rPr>
                <w:color w:val="000000"/>
                <w:sz w:val="16"/>
                <w:szCs w:val="16"/>
              </w:rPr>
              <w:t>-7.3413 (0.8012)</w:t>
            </w:r>
          </w:p>
        </w:tc>
        <w:tc>
          <w:tcPr>
            <w:tcW w:w="836" w:type="dxa"/>
          </w:tcPr>
          <w:p w:rsidR="006074C8" w:rsidRPr="006B3ED2" w:rsidRDefault="006074C8" w:rsidP="00A14ADC">
            <w:pPr>
              <w:pStyle w:val="ListParagraph1"/>
              <w:rPr>
                <w:color w:val="000000"/>
                <w:sz w:val="16"/>
                <w:szCs w:val="16"/>
              </w:rPr>
            </w:pPr>
            <w:r>
              <w:rPr>
                <w:color w:val="000000"/>
                <w:sz w:val="16"/>
                <w:szCs w:val="16"/>
              </w:rPr>
              <w:t>-8.0130 (0.9809)</w:t>
            </w:r>
          </w:p>
        </w:tc>
        <w:tc>
          <w:tcPr>
            <w:tcW w:w="836" w:type="dxa"/>
          </w:tcPr>
          <w:p w:rsidR="006074C8" w:rsidRPr="006B3ED2" w:rsidRDefault="006074C8" w:rsidP="00A14ADC">
            <w:pPr>
              <w:pStyle w:val="ListParagraph1"/>
              <w:rPr>
                <w:color w:val="000000"/>
                <w:sz w:val="16"/>
                <w:szCs w:val="16"/>
              </w:rPr>
            </w:pPr>
            <w:r>
              <w:rPr>
                <w:color w:val="000000"/>
                <w:sz w:val="16"/>
                <w:szCs w:val="16"/>
              </w:rPr>
              <w:t>10.4723 (1.7603)</w:t>
            </w:r>
          </w:p>
        </w:tc>
        <w:tc>
          <w:tcPr>
            <w:tcW w:w="837" w:type="dxa"/>
          </w:tcPr>
          <w:p w:rsidR="006074C8" w:rsidRPr="006B3ED2" w:rsidRDefault="006074C8" w:rsidP="00A14ADC">
            <w:pPr>
              <w:pStyle w:val="ListParagraph1"/>
              <w:rPr>
                <w:color w:val="000000"/>
                <w:sz w:val="16"/>
                <w:szCs w:val="16"/>
              </w:rPr>
            </w:pPr>
            <w:r>
              <w:rPr>
                <w:color w:val="000000"/>
                <w:sz w:val="16"/>
                <w:szCs w:val="16"/>
              </w:rPr>
              <w:t>-7.3111 (0.4140)</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-5.0300</w:t>
            </w:r>
            <w:r>
              <w:rPr>
                <w:color w:val="000000"/>
                <w:sz w:val="16"/>
                <w:szCs w:val="16"/>
              </w:rPr>
              <w:t xml:space="preserve"> (0.1512)</w:t>
            </w:r>
          </w:p>
        </w:tc>
        <w:tc>
          <w:tcPr>
            <w:tcW w:w="836" w:type="dxa"/>
          </w:tcPr>
          <w:p w:rsidR="006074C8" w:rsidRPr="006B3ED2" w:rsidRDefault="006074C8" w:rsidP="00A14ADC">
            <w:pPr>
              <w:pStyle w:val="ListParagraph1"/>
              <w:rPr>
                <w:color w:val="000000"/>
                <w:sz w:val="16"/>
                <w:szCs w:val="16"/>
              </w:rPr>
            </w:pPr>
            <w:r>
              <w:rPr>
                <w:color w:val="000000"/>
                <w:sz w:val="16"/>
                <w:szCs w:val="16"/>
              </w:rPr>
              <w:t>-12.778 (1.1349)</w:t>
            </w:r>
          </w:p>
        </w:tc>
        <w:tc>
          <w:tcPr>
            <w:tcW w:w="837" w:type="dxa"/>
          </w:tcPr>
          <w:p w:rsidR="006074C8" w:rsidRPr="006B3ED2" w:rsidRDefault="006074C8" w:rsidP="00A14ADC">
            <w:pPr>
              <w:pStyle w:val="ListParagraph1"/>
              <w:rPr>
                <w:color w:val="000000"/>
                <w:sz w:val="16"/>
                <w:szCs w:val="16"/>
              </w:rPr>
            </w:pPr>
            <w:r>
              <w:rPr>
                <w:color w:val="000000"/>
                <w:sz w:val="16"/>
                <w:szCs w:val="16"/>
              </w:rPr>
              <w:t>9.7465 (1.9013)</w:t>
            </w:r>
          </w:p>
        </w:tc>
        <w:tc>
          <w:tcPr>
            <w:tcW w:w="836" w:type="dxa"/>
          </w:tcPr>
          <w:p w:rsidR="006074C8" w:rsidRPr="006B3ED2" w:rsidRDefault="006074C8" w:rsidP="00A14ADC">
            <w:pPr>
              <w:pStyle w:val="ListParagraph1"/>
              <w:rPr>
                <w:color w:val="000000"/>
                <w:sz w:val="16"/>
                <w:szCs w:val="16"/>
              </w:rPr>
            </w:pPr>
            <w:r>
              <w:rPr>
                <w:color w:val="000000"/>
                <w:sz w:val="16"/>
                <w:szCs w:val="16"/>
              </w:rPr>
              <w:t>-14.296 (2.0218)</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-4.8090</w:t>
            </w:r>
            <w:r>
              <w:rPr>
                <w:color w:val="000000"/>
                <w:sz w:val="16"/>
                <w:szCs w:val="16"/>
              </w:rPr>
              <w:t xml:space="preserve"> (0.6016)</w:t>
            </w:r>
          </w:p>
        </w:tc>
        <w:tc>
          <w:tcPr>
            <w:tcW w:w="837" w:type="dxa"/>
          </w:tcPr>
          <w:p w:rsidR="006074C8" w:rsidRPr="006B3ED2" w:rsidRDefault="006074C8" w:rsidP="00A14ADC">
            <w:pPr>
              <w:pStyle w:val="ListParagraph1"/>
              <w:rPr>
                <w:color w:val="000000"/>
                <w:sz w:val="16"/>
                <w:szCs w:val="16"/>
              </w:rPr>
            </w:pPr>
            <w:r>
              <w:rPr>
                <w:color w:val="000000"/>
                <w:sz w:val="16"/>
                <w:szCs w:val="16"/>
              </w:rPr>
              <w:t>-7.4845 (0.3877)</w:t>
            </w:r>
          </w:p>
        </w:tc>
      </w:tr>
      <w:tr w:rsidR="006074C8" w:rsidRPr="006B3ED2" w:rsidTr="0087718E">
        <w:tc>
          <w:tcPr>
            <w:tcW w:w="3147" w:type="dxa"/>
          </w:tcPr>
          <w:p w:rsidR="006074C8" w:rsidRPr="006B3ED2" w:rsidRDefault="006074C8" w:rsidP="00A14ADC">
            <w:pPr>
              <w:pStyle w:val="ListParagraph1"/>
              <w:rPr>
                <w:sz w:val="16"/>
                <w:szCs w:val="16"/>
              </w:rPr>
            </w:pPr>
            <w:r w:rsidRPr="006B3ED2">
              <w:rPr>
                <w:sz w:val="16"/>
                <w:szCs w:val="16"/>
              </w:rPr>
              <w:t>Parametric distribution parameter</w:t>
            </w:r>
          </w:p>
        </w:tc>
        <w:tc>
          <w:tcPr>
            <w:tcW w:w="836" w:type="dxa"/>
            <w:vAlign w:val="bottom"/>
          </w:tcPr>
          <w:p w:rsidR="006074C8" w:rsidRPr="006B3ED2" w:rsidRDefault="006074C8" w:rsidP="00A14ADC">
            <w:pPr>
              <w:pStyle w:val="ListParagraph1"/>
              <w:rPr>
                <w:color w:val="000000"/>
                <w:sz w:val="16"/>
                <w:szCs w:val="16"/>
              </w:rPr>
            </w:pPr>
            <w:r w:rsidRPr="006B3ED2">
              <w:rPr>
                <w:color w:val="000000"/>
                <w:sz w:val="16"/>
                <w:szCs w:val="16"/>
              </w:rPr>
              <w:t>-0.04475</w:t>
            </w:r>
            <w:r>
              <w:rPr>
                <w:color w:val="000000"/>
                <w:sz w:val="16"/>
                <w:szCs w:val="16"/>
              </w:rPr>
              <w:t xml:space="preserve"> (0.0254)</w:t>
            </w:r>
          </w:p>
        </w:tc>
        <w:tc>
          <w:tcPr>
            <w:tcW w:w="836" w:type="dxa"/>
          </w:tcPr>
          <w:p w:rsidR="006074C8" w:rsidRPr="006B3ED2" w:rsidRDefault="006074C8" w:rsidP="00A14ADC">
            <w:pPr>
              <w:pStyle w:val="ListParagraph1"/>
              <w:rPr>
                <w:color w:val="000000"/>
                <w:sz w:val="16"/>
                <w:szCs w:val="16"/>
              </w:rPr>
            </w:pPr>
            <w:r w:rsidRPr="006B3ED2">
              <w:rPr>
                <w:color w:val="000000"/>
                <w:sz w:val="16"/>
                <w:szCs w:val="16"/>
              </w:rPr>
              <w:t>1.7293 (0.2385)</w:t>
            </w:r>
          </w:p>
        </w:tc>
        <w:tc>
          <w:tcPr>
            <w:tcW w:w="837" w:type="dxa"/>
          </w:tcPr>
          <w:p w:rsidR="006074C8" w:rsidRPr="006B3ED2" w:rsidRDefault="006074C8" w:rsidP="00A14ADC">
            <w:pPr>
              <w:pStyle w:val="ListParagraph1"/>
              <w:rPr>
                <w:color w:val="000000"/>
                <w:sz w:val="16"/>
                <w:szCs w:val="16"/>
              </w:rPr>
            </w:pPr>
            <w:r>
              <w:rPr>
                <w:color w:val="000000"/>
                <w:sz w:val="16"/>
                <w:szCs w:val="16"/>
              </w:rPr>
              <w:t>0.8758 (0.0474)</w:t>
            </w:r>
          </w:p>
        </w:tc>
        <w:tc>
          <w:tcPr>
            <w:tcW w:w="836" w:type="dxa"/>
          </w:tcPr>
          <w:p w:rsidR="006074C8" w:rsidRPr="006B3ED2" w:rsidRDefault="006074C8" w:rsidP="00A14ADC">
            <w:pPr>
              <w:pStyle w:val="ListParagraph1"/>
              <w:rPr>
                <w:color w:val="000000"/>
                <w:sz w:val="16"/>
                <w:szCs w:val="16"/>
              </w:rPr>
            </w:pPr>
            <w:r>
              <w:rPr>
                <w:color w:val="000000"/>
                <w:sz w:val="16"/>
                <w:szCs w:val="16"/>
              </w:rPr>
              <w:t>0.8134 (0.0541)</w:t>
            </w:r>
          </w:p>
        </w:tc>
        <w:tc>
          <w:tcPr>
            <w:tcW w:w="836" w:type="dxa"/>
            <w:vAlign w:val="bottom"/>
          </w:tcPr>
          <w:p w:rsidR="006074C8" w:rsidRPr="006B3ED2" w:rsidRDefault="006074C8" w:rsidP="00A14ADC">
            <w:pPr>
              <w:pStyle w:val="ListParagraph1"/>
              <w:rPr>
                <w:color w:val="000000"/>
                <w:sz w:val="16"/>
                <w:szCs w:val="16"/>
              </w:rPr>
            </w:pPr>
            <w:r>
              <w:rPr>
                <w:color w:val="000000"/>
                <w:sz w:val="16"/>
                <w:szCs w:val="16"/>
              </w:rPr>
              <w:t>1.1136 (0.1092)</w:t>
            </w:r>
          </w:p>
        </w:tc>
        <w:tc>
          <w:tcPr>
            <w:tcW w:w="837" w:type="dxa"/>
            <w:vAlign w:val="bottom"/>
          </w:tcPr>
          <w:p w:rsidR="006074C8" w:rsidRPr="006B3ED2" w:rsidRDefault="006074C8" w:rsidP="00A14ADC">
            <w:pPr>
              <w:pStyle w:val="ListParagraph1"/>
              <w:rPr>
                <w:color w:val="000000"/>
                <w:sz w:val="16"/>
                <w:szCs w:val="16"/>
              </w:rPr>
            </w:pPr>
          </w:p>
        </w:tc>
        <w:tc>
          <w:tcPr>
            <w:tcW w:w="836" w:type="dxa"/>
          </w:tcPr>
          <w:p w:rsidR="006074C8" w:rsidRPr="006B3ED2" w:rsidRDefault="006074C8" w:rsidP="00A14ADC">
            <w:pPr>
              <w:pStyle w:val="ListParagraph1"/>
              <w:rPr>
                <w:sz w:val="16"/>
                <w:szCs w:val="16"/>
              </w:rPr>
            </w:pPr>
          </w:p>
        </w:tc>
        <w:tc>
          <w:tcPr>
            <w:tcW w:w="836" w:type="dxa"/>
          </w:tcPr>
          <w:p w:rsidR="006074C8" w:rsidRPr="006B3ED2" w:rsidRDefault="006074C8" w:rsidP="00A14ADC">
            <w:pPr>
              <w:pStyle w:val="ListParagraph1"/>
              <w:rPr>
                <w:color w:val="000000"/>
                <w:sz w:val="16"/>
                <w:szCs w:val="16"/>
              </w:rPr>
            </w:pPr>
            <w:r>
              <w:rPr>
                <w:color w:val="000000"/>
                <w:sz w:val="16"/>
                <w:szCs w:val="16"/>
              </w:rPr>
              <w:t>0.8006 (0.0566)</w:t>
            </w:r>
          </w:p>
        </w:tc>
        <w:tc>
          <w:tcPr>
            <w:tcW w:w="837" w:type="dxa"/>
          </w:tcPr>
          <w:p w:rsidR="006074C8" w:rsidRPr="006B3ED2" w:rsidRDefault="006074C8" w:rsidP="00A14ADC">
            <w:pPr>
              <w:pStyle w:val="ListParagraph1"/>
              <w:rPr>
                <w:color w:val="000000"/>
                <w:sz w:val="16"/>
                <w:szCs w:val="16"/>
              </w:rPr>
            </w:pPr>
            <w:r>
              <w:rPr>
                <w:color w:val="000000"/>
                <w:sz w:val="16"/>
                <w:szCs w:val="16"/>
              </w:rPr>
              <w:t>1.4414 (0.3533)</w:t>
            </w:r>
          </w:p>
        </w:tc>
        <w:tc>
          <w:tcPr>
            <w:tcW w:w="836" w:type="dxa"/>
          </w:tcPr>
          <w:p w:rsidR="006074C8" w:rsidRPr="006B3ED2" w:rsidRDefault="006074C8" w:rsidP="00A14ADC">
            <w:pPr>
              <w:pStyle w:val="ListParagraph1"/>
              <w:rPr>
                <w:color w:val="000000"/>
                <w:sz w:val="16"/>
                <w:szCs w:val="16"/>
              </w:rPr>
            </w:pPr>
          </w:p>
        </w:tc>
        <w:tc>
          <w:tcPr>
            <w:tcW w:w="836" w:type="dxa"/>
            <w:vAlign w:val="bottom"/>
          </w:tcPr>
          <w:p w:rsidR="006074C8" w:rsidRPr="006B3ED2" w:rsidRDefault="006074C8" w:rsidP="00A14ADC">
            <w:pPr>
              <w:pStyle w:val="ListParagraph1"/>
              <w:rPr>
                <w:color w:val="000000"/>
                <w:sz w:val="16"/>
                <w:szCs w:val="16"/>
              </w:rPr>
            </w:pPr>
          </w:p>
        </w:tc>
        <w:tc>
          <w:tcPr>
            <w:tcW w:w="837" w:type="dxa"/>
          </w:tcPr>
          <w:p w:rsidR="006074C8" w:rsidRPr="006B3ED2" w:rsidRDefault="006074C8" w:rsidP="00A14ADC">
            <w:pPr>
              <w:pStyle w:val="ListParagraph1"/>
              <w:rPr>
                <w:color w:val="000000"/>
                <w:sz w:val="16"/>
                <w:szCs w:val="16"/>
              </w:rPr>
            </w:pPr>
          </w:p>
        </w:tc>
      </w:tr>
      <w:tr w:rsidR="006074C8" w:rsidRPr="006B3ED2" w:rsidTr="0087718E">
        <w:tc>
          <w:tcPr>
            <w:tcW w:w="3147"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 xml:space="preserve">Chi-squared </w:t>
            </w:r>
          </w:p>
        </w:tc>
        <w:tc>
          <w:tcPr>
            <w:tcW w:w="836"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115.35</w:t>
            </w:r>
          </w:p>
        </w:tc>
        <w:tc>
          <w:tcPr>
            <w:tcW w:w="836" w:type="dxa"/>
            <w:tcBorders>
              <w:bottom w:val="single" w:sz="12" w:space="0" w:color="auto"/>
            </w:tcBorders>
          </w:tcPr>
          <w:p w:rsidR="006074C8" w:rsidRPr="006B3ED2" w:rsidRDefault="006074C8" w:rsidP="00A14ADC">
            <w:pPr>
              <w:pStyle w:val="ListParagraph1"/>
              <w:rPr>
                <w:sz w:val="16"/>
                <w:szCs w:val="16"/>
              </w:rPr>
            </w:pPr>
            <w:r>
              <w:rPr>
                <w:sz w:val="16"/>
                <w:szCs w:val="16"/>
              </w:rPr>
              <w:t>54.1</w:t>
            </w:r>
          </w:p>
        </w:tc>
        <w:tc>
          <w:tcPr>
            <w:tcW w:w="837"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97.03</w:t>
            </w:r>
          </w:p>
        </w:tc>
        <w:tc>
          <w:tcPr>
            <w:tcW w:w="836"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55.73</w:t>
            </w:r>
          </w:p>
        </w:tc>
        <w:tc>
          <w:tcPr>
            <w:tcW w:w="836" w:type="dxa"/>
            <w:tcBorders>
              <w:bottom w:val="single" w:sz="12" w:space="0" w:color="auto"/>
            </w:tcBorders>
          </w:tcPr>
          <w:p w:rsidR="006074C8" w:rsidRPr="006B3ED2" w:rsidRDefault="006074C8" w:rsidP="00A14ADC">
            <w:pPr>
              <w:pStyle w:val="ListParagraph1"/>
              <w:rPr>
                <w:sz w:val="16"/>
                <w:szCs w:val="16"/>
              </w:rPr>
            </w:pPr>
            <w:r>
              <w:rPr>
                <w:sz w:val="16"/>
                <w:szCs w:val="16"/>
              </w:rPr>
              <w:t>47.62</w:t>
            </w:r>
          </w:p>
        </w:tc>
        <w:tc>
          <w:tcPr>
            <w:tcW w:w="837" w:type="dxa"/>
            <w:tcBorders>
              <w:bottom w:val="single" w:sz="12" w:space="0" w:color="auto"/>
            </w:tcBorders>
          </w:tcPr>
          <w:p w:rsidR="006074C8" w:rsidRPr="006B3ED2" w:rsidRDefault="006074C8" w:rsidP="00A14ADC">
            <w:pPr>
              <w:pStyle w:val="ListParagraph1"/>
              <w:rPr>
                <w:sz w:val="16"/>
                <w:szCs w:val="16"/>
              </w:rPr>
            </w:pPr>
            <w:r>
              <w:rPr>
                <w:sz w:val="16"/>
                <w:szCs w:val="16"/>
              </w:rPr>
              <w:t>27.95</w:t>
            </w:r>
          </w:p>
        </w:tc>
        <w:tc>
          <w:tcPr>
            <w:tcW w:w="836" w:type="dxa"/>
            <w:tcBorders>
              <w:bottom w:val="single" w:sz="12" w:space="0" w:color="auto"/>
            </w:tcBorders>
          </w:tcPr>
          <w:p w:rsidR="006074C8" w:rsidRPr="006B3ED2" w:rsidRDefault="006074C8" w:rsidP="00A14ADC">
            <w:pPr>
              <w:pStyle w:val="ListParagraph1"/>
              <w:rPr>
                <w:color w:val="000000"/>
                <w:sz w:val="16"/>
                <w:szCs w:val="16"/>
              </w:rPr>
            </w:pPr>
            <w:r>
              <w:rPr>
                <w:color w:val="000000"/>
                <w:sz w:val="16"/>
                <w:szCs w:val="16"/>
              </w:rPr>
              <w:t>4.17</w:t>
            </w:r>
          </w:p>
        </w:tc>
        <w:tc>
          <w:tcPr>
            <w:tcW w:w="836"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105.06</w:t>
            </w:r>
          </w:p>
        </w:tc>
        <w:tc>
          <w:tcPr>
            <w:tcW w:w="837" w:type="dxa"/>
            <w:tcBorders>
              <w:bottom w:val="single" w:sz="12" w:space="0" w:color="auto"/>
            </w:tcBorders>
          </w:tcPr>
          <w:p w:rsidR="006074C8" w:rsidRPr="006B3ED2" w:rsidRDefault="006074C8" w:rsidP="00A14ADC">
            <w:pPr>
              <w:pStyle w:val="ListParagraph1"/>
              <w:rPr>
                <w:sz w:val="16"/>
                <w:szCs w:val="16"/>
              </w:rPr>
            </w:pPr>
            <w:r>
              <w:rPr>
                <w:sz w:val="16"/>
                <w:szCs w:val="16"/>
              </w:rPr>
              <w:t>22.25</w:t>
            </w:r>
          </w:p>
        </w:tc>
        <w:tc>
          <w:tcPr>
            <w:tcW w:w="836"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33.82</w:t>
            </w:r>
          </w:p>
        </w:tc>
        <w:tc>
          <w:tcPr>
            <w:tcW w:w="836"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58.34</w:t>
            </w:r>
          </w:p>
        </w:tc>
        <w:tc>
          <w:tcPr>
            <w:tcW w:w="837" w:type="dxa"/>
            <w:tcBorders>
              <w:bottom w:val="single" w:sz="12" w:space="0" w:color="auto"/>
            </w:tcBorders>
          </w:tcPr>
          <w:p w:rsidR="006074C8" w:rsidRPr="006B3ED2" w:rsidRDefault="006074C8" w:rsidP="00A14ADC">
            <w:pPr>
              <w:pStyle w:val="ListParagraph1"/>
              <w:rPr>
                <w:sz w:val="16"/>
                <w:szCs w:val="16"/>
              </w:rPr>
            </w:pPr>
            <w:r w:rsidRPr="006B3ED2">
              <w:rPr>
                <w:sz w:val="16"/>
                <w:szCs w:val="16"/>
              </w:rPr>
              <w:t>34.27</w:t>
            </w:r>
          </w:p>
        </w:tc>
      </w:tr>
    </w:tbl>
    <w:p w:rsidR="006074C8" w:rsidRPr="00154CE4" w:rsidRDefault="006074C8" w:rsidP="006074C8">
      <w:pPr>
        <w:sectPr w:rsidR="006074C8" w:rsidRPr="00154CE4" w:rsidSect="006A3B1E">
          <w:pgSz w:w="16838" w:h="11906" w:orient="landscape"/>
          <w:pgMar w:top="1440" w:right="1440" w:bottom="1440" w:left="2268" w:header="708" w:footer="708" w:gutter="0"/>
          <w:cols w:space="708"/>
          <w:docGrid w:linePitch="360"/>
        </w:sectPr>
      </w:pPr>
    </w:p>
    <w:p w:rsidR="006074C8" w:rsidRDefault="006074C8" w:rsidP="006074C8">
      <w:pPr>
        <w:spacing w:before="120" w:after="120" w:afterAutospacing="0" w:line="240" w:lineRule="auto"/>
        <w:sectPr w:rsidR="006074C8" w:rsidSect="006A3B1E">
          <w:type w:val="continuous"/>
          <w:pgSz w:w="16838" w:h="11906" w:orient="landscape"/>
          <w:pgMar w:top="1440" w:right="1440" w:bottom="1440" w:left="2268" w:header="709" w:footer="709" w:gutter="0"/>
          <w:cols w:space="708"/>
          <w:docGrid w:linePitch="360"/>
        </w:sectPr>
      </w:pPr>
    </w:p>
    <w:p w:rsidR="00D24BB7" w:rsidRDefault="00D24BB7" w:rsidP="006074C8">
      <w:pPr>
        <w:pStyle w:val="Heading2"/>
        <w:spacing w:after="100"/>
      </w:pPr>
      <w:bookmarkStart w:id="331" w:name="_Toc335043541"/>
      <w:bookmarkStart w:id="332" w:name="_Ref354930177"/>
      <w:bookmarkStart w:id="333" w:name="_Toc379467620"/>
      <w:r>
        <w:t>Simulation Validation Exercises</w:t>
      </w:r>
      <w:bookmarkEnd w:id="333"/>
    </w:p>
    <w:p w:rsidR="00D24BB7" w:rsidRDefault="00D24BB7" w:rsidP="00D24BB7">
      <w:pPr>
        <w:pStyle w:val="Heading3"/>
      </w:pPr>
      <w:bookmarkStart w:id="334" w:name="_Toc379467621"/>
      <w:r>
        <w:t>Validation of Longitudinal SLEDAI Scores Against Hopkins Lupus COhort</w:t>
      </w:r>
      <w:bookmarkEnd w:id="334"/>
    </w:p>
    <w:p w:rsidR="00CD4E0C" w:rsidRDefault="00CD4E0C" w:rsidP="001E3503">
      <w:pPr>
        <w:spacing w:after="0" w:afterAutospacing="0"/>
      </w:pPr>
      <w:r>
        <w:t xml:space="preserve">The simulation replicates most of the outcomes from the Hopkins Lupus Cohort with good accuracy. The proportion of patients with each SLEDAI item was recorded at every visit for five years and compared with those observed in the first five years of the Hopkins lupus Cohort. Graphical plots indicated that the simulated outcomes were close to the Hopkins data and that most of the Hopkins observations fell within the 95% percentile plots to indicate the upper and lower limits of the simulation (results not reported here). The simulation demonstrated </w:t>
      </w:r>
      <w:r w:rsidR="001E3503">
        <w:t>that</w:t>
      </w:r>
      <w:r>
        <w:t xml:space="preserve"> the proportion of patients </w:t>
      </w:r>
      <w:r w:rsidR="001E3503">
        <w:t xml:space="preserve">with any of the SLEDAI items declined over time. This trend was </w:t>
      </w:r>
      <w:r>
        <w:t xml:space="preserve">observed in the Hopkins cohort. </w:t>
      </w:r>
      <w:r w:rsidR="00E729BA">
        <w:fldChar w:fldCharType="begin"/>
      </w:r>
      <w:r>
        <w:instrText xml:space="preserve"> REF _Ref363303773 \h </w:instrText>
      </w:r>
      <w:r w:rsidR="00E729BA">
        <w:fldChar w:fldCharType="separate"/>
      </w:r>
      <w:r w:rsidR="004911B7">
        <w:t xml:space="preserve">Table </w:t>
      </w:r>
      <w:r w:rsidR="004911B7">
        <w:rPr>
          <w:noProof/>
        </w:rPr>
        <w:t>34</w:t>
      </w:r>
      <w:r w:rsidR="00E729BA">
        <w:fldChar w:fldCharType="end"/>
      </w:r>
      <w:r>
        <w:t xml:space="preserve"> reports summary results for statistical tests on the difference between the simulated proportion at each time point and the observed Hopkins data. In eighteen of the items of the SLEDAI the proportion of simulated outcomes that were statistically significantly different from the Hopkins data was less than 5%. Two items of the SLEDAI had more than 10% of simulated outcomes that were statistically significantly different. </w:t>
      </w:r>
    </w:p>
    <w:p w:rsidR="00CD4E0C" w:rsidRDefault="00CD4E0C" w:rsidP="00234693">
      <w:pPr>
        <w:pStyle w:val="Caption"/>
      </w:pPr>
      <w:bookmarkStart w:id="335" w:name="_Ref363303773"/>
      <w:r>
        <w:t xml:space="preserve">Table </w:t>
      </w:r>
      <w:fldSimple w:instr=" SEQ Table \* ARABIC ">
        <w:r w:rsidR="004911B7">
          <w:rPr>
            <w:noProof/>
          </w:rPr>
          <w:t>34</w:t>
        </w:r>
      </w:fldSimple>
      <w:bookmarkEnd w:id="335"/>
      <w:r>
        <w:t>:  Simulation results for the SLEDAI items and proportion of simulated outcomes within the 95% confidence interval of Hopkins results</w:t>
      </w:r>
      <w:r w:rsidR="0087718E">
        <w:t xml:space="preserve"> up to 5 years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Look w:val="04A0"/>
      </w:tblPr>
      <w:tblGrid>
        <w:gridCol w:w="2042"/>
        <w:gridCol w:w="2158"/>
        <w:gridCol w:w="2056"/>
        <w:gridCol w:w="2056"/>
      </w:tblGrid>
      <w:tr w:rsidR="00CD4E0C" w:rsidRPr="00FF492B" w:rsidTr="0087718E">
        <w:tc>
          <w:tcPr>
            <w:tcW w:w="2042" w:type="dxa"/>
            <w:tcBorders>
              <w:top w:val="single" w:sz="12" w:space="0" w:color="auto"/>
              <w:bottom w:val="single" w:sz="8" w:space="0" w:color="auto"/>
            </w:tcBorders>
          </w:tcPr>
          <w:p w:rsidR="00CD4E0C" w:rsidRPr="00FF492B" w:rsidRDefault="0087718E" w:rsidP="00CD4E0C">
            <w:pPr>
              <w:spacing w:line="240" w:lineRule="auto"/>
              <w:rPr>
                <w:sz w:val="18"/>
                <w:szCs w:val="18"/>
              </w:rPr>
            </w:pPr>
            <w:r>
              <w:rPr>
                <w:sz w:val="18"/>
                <w:szCs w:val="18"/>
              </w:rPr>
              <w:t>S</w:t>
            </w:r>
            <w:r w:rsidR="00CD4E0C" w:rsidRPr="00FF492B">
              <w:rPr>
                <w:sz w:val="18"/>
                <w:szCs w:val="18"/>
              </w:rPr>
              <w:t>LEDAI Item</w:t>
            </w:r>
          </w:p>
        </w:tc>
        <w:tc>
          <w:tcPr>
            <w:tcW w:w="2158" w:type="dxa"/>
            <w:tcBorders>
              <w:top w:val="single" w:sz="12" w:space="0" w:color="auto"/>
              <w:bottom w:val="single" w:sz="8" w:space="0" w:color="auto"/>
            </w:tcBorders>
          </w:tcPr>
          <w:p w:rsidR="00CD4E0C" w:rsidRPr="00FF492B" w:rsidRDefault="00CD4E0C" w:rsidP="0087718E">
            <w:pPr>
              <w:spacing w:line="240" w:lineRule="auto"/>
              <w:rPr>
                <w:sz w:val="18"/>
                <w:szCs w:val="18"/>
              </w:rPr>
            </w:pPr>
            <w:r w:rsidRPr="00FF492B">
              <w:rPr>
                <w:sz w:val="18"/>
                <w:szCs w:val="18"/>
              </w:rPr>
              <w:t xml:space="preserve">Proportion of events in Hopkins Lupus Cohort across all observations </w:t>
            </w:r>
          </w:p>
        </w:tc>
        <w:tc>
          <w:tcPr>
            <w:tcW w:w="2056" w:type="dxa"/>
            <w:tcBorders>
              <w:top w:val="single" w:sz="12" w:space="0" w:color="auto"/>
              <w:bottom w:val="single" w:sz="8" w:space="0" w:color="auto"/>
            </w:tcBorders>
          </w:tcPr>
          <w:p w:rsidR="00CD4E0C" w:rsidRPr="00FF492B" w:rsidRDefault="00CD4E0C" w:rsidP="0087718E">
            <w:pPr>
              <w:spacing w:line="240" w:lineRule="auto"/>
              <w:rPr>
                <w:sz w:val="18"/>
                <w:szCs w:val="18"/>
              </w:rPr>
            </w:pPr>
            <w:r w:rsidRPr="00FF492B">
              <w:rPr>
                <w:sz w:val="18"/>
                <w:szCs w:val="18"/>
              </w:rPr>
              <w:t xml:space="preserve">Average simulated proportions of events across all observations </w:t>
            </w:r>
          </w:p>
        </w:tc>
        <w:tc>
          <w:tcPr>
            <w:tcW w:w="2056" w:type="dxa"/>
            <w:tcBorders>
              <w:top w:val="single" w:sz="12" w:space="0" w:color="auto"/>
              <w:bottom w:val="single" w:sz="8" w:space="0" w:color="auto"/>
            </w:tcBorders>
          </w:tcPr>
          <w:p w:rsidR="00CD4E0C" w:rsidRPr="00FF492B" w:rsidRDefault="00CD4E0C" w:rsidP="00CD4E0C">
            <w:pPr>
              <w:spacing w:line="240" w:lineRule="auto"/>
              <w:rPr>
                <w:sz w:val="18"/>
                <w:szCs w:val="18"/>
              </w:rPr>
            </w:pPr>
            <w:r w:rsidRPr="00FF492B">
              <w:rPr>
                <w:sz w:val="18"/>
                <w:szCs w:val="18"/>
              </w:rPr>
              <w:t>Proportion of simulated observations significantly different from Cohort</w:t>
            </w:r>
          </w:p>
        </w:tc>
      </w:tr>
      <w:tr w:rsidR="00CD4E0C" w:rsidRPr="00FF492B" w:rsidTr="0087718E">
        <w:tc>
          <w:tcPr>
            <w:tcW w:w="2042" w:type="dxa"/>
            <w:tcBorders>
              <w:top w:val="single" w:sz="8" w:space="0" w:color="auto"/>
            </w:tcBorders>
          </w:tcPr>
          <w:p w:rsidR="00CD4E0C" w:rsidRPr="00FF492B" w:rsidRDefault="00CD4E0C" w:rsidP="00CD4E0C">
            <w:pPr>
              <w:spacing w:line="240" w:lineRule="auto"/>
              <w:rPr>
                <w:sz w:val="18"/>
                <w:szCs w:val="18"/>
              </w:rPr>
            </w:pPr>
            <w:r w:rsidRPr="00FF492B">
              <w:rPr>
                <w:sz w:val="18"/>
                <w:szCs w:val="18"/>
              </w:rPr>
              <w:t xml:space="preserve">Seizure </w:t>
            </w:r>
          </w:p>
        </w:tc>
        <w:tc>
          <w:tcPr>
            <w:tcW w:w="2158" w:type="dxa"/>
            <w:tcBorders>
              <w:top w:val="single" w:sz="8" w:space="0" w:color="auto"/>
            </w:tcBorders>
          </w:tcPr>
          <w:p w:rsidR="00CD4E0C" w:rsidRPr="00FF492B" w:rsidRDefault="00CD4E0C" w:rsidP="00CD4E0C">
            <w:pPr>
              <w:spacing w:line="240" w:lineRule="auto"/>
              <w:jc w:val="center"/>
              <w:rPr>
                <w:sz w:val="18"/>
                <w:szCs w:val="18"/>
              </w:rPr>
            </w:pPr>
            <w:r w:rsidRPr="00FF492B">
              <w:rPr>
                <w:sz w:val="18"/>
                <w:szCs w:val="18"/>
              </w:rPr>
              <w:t>0.002</w:t>
            </w:r>
          </w:p>
        </w:tc>
        <w:tc>
          <w:tcPr>
            <w:tcW w:w="2056" w:type="dxa"/>
            <w:tcBorders>
              <w:top w:val="single" w:sz="8" w:space="0" w:color="auto"/>
            </w:tcBorders>
          </w:tcPr>
          <w:p w:rsidR="00CD4E0C" w:rsidRPr="00FF492B" w:rsidRDefault="00CD4E0C" w:rsidP="00CD4E0C">
            <w:pPr>
              <w:spacing w:line="240" w:lineRule="auto"/>
              <w:jc w:val="center"/>
              <w:rPr>
                <w:sz w:val="18"/>
                <w:szCs w:val="18"/>
              </w:rPr>
            </w:pPr>
            <w:r w:rsidRPr="00FF492B">
              <w:rPr>
                <w:sz w:val="18"/>
                <w:szCs w:val="18"/>
              </w:rPr>
              <w:t>0.003</w:t>
            </w:r>
          </w:p>
        </w:tc>
        <w:tc>
          <w:tcPr>
            <w:tcW w:w="2056" w:type="dxa"/>
            <w:tcBorders>
              <w:top w:val="single" w:sz="8" w:space="0" w:color="auto"/>
            </w:tcBorders>
          </w:tcPr>
          <w:p w:rsidR="00CD4E0C" w:rsidRPr="00FF492B" w:rsidRDefault="00CD4E0C" w:rsidP="00CD4E0C">
            <w:pPr>
              <w:spacing w:line="240" w:lineRule="auto"/>
              <w:jc w:val="center"/>
              <w:rPr>
                <w:sz w:val="18"/>
                <w:szCs w:val="18"/>
              </w:rPr>
            </w:pPr>
            <w:r w:rsidRPr="00FF492B">
              <w:rPr>
                <w:sz w:val="18"/>
                <w:szCs w:val="18"/>
              </w:rPr>
              <w:t>0.017</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Psychosis</w:t>
            </w:r>
          </w:p>
        </w:tc>
        <w:tc>
          <w:tcPr>
            <w:tcW w:w="2158" w:type="dxa"/>
          </w:tcPr>
          <w:p w:rsidR="00CD4E0C" w:rsidRPr="00FF492B" w:rsidRDefault="00CD4E0C" w:rsidP="00CD4E0C">
            <w:pPr>
              <w:spacing w:line="240" w:lineRule="auto"/>
              <w:jc w:val="center"/>
              <w:rPr>
                <w:sz w:val="18"/>
                <w:szCs w:val="18"/>
              </w:rPr>
            </w:pPr>
            <w:r w:rsidRPr="00FF492B">
              <w:rPr>
                <w:sz w:val="18"/>
                <w:szCs w:val="18"/>
              </w:rPr>
              <w:t>0.001</w:t>
            </w:r>
          </w:p>
        </w:tc>
        <w:tc>
          <w:tcPr>
            <w:tcW w:w="2056" w:type="dxa"/>
          </w:tcPr>
          <w:p w:rsidR="00CD4E0C" w:rsidRPr="00FF492B" w:rsidRDefault="00CD4E0C" w:rsidP="00CD4E0C">
            <w:pPr>
              <w:spacing w:line="240" w:lineRule="auto"/>
              <w:jc w:val="center"/>
              <w:rPr>
                <w:sz w:val="18"/>
                <w:szCs w:val="18"/>
              </w:rPr>
            </w:pPr>
            <w:r w:rsidRPr="00FF492B">
              <w:rPr>
                <w:sz w:val="18"/>
                <w:szCs w:val="18"/>
              </w:rPr>
              <w:t>0.002</w:t>
            </w:r>
          </w:p>
        </w:tc>
        <w:tc>
          <w:tcPr>
            <w:tcW w:w="2056" w:type="dxa"/>
          </w:tcPr>
          <w:p w:rsidR="00CD4E0C" w:rsidRPr="00FF492B" w:rsidRDefault="00CD4E0C" w:rsidP="00CD4E0C">
            <w:pPr>
              <w:spacing w:line="240" w:lineRule="auto"/>
              <w:jc w:val="center"/>
              <w:rPr>
                <w:sz w:val="18"/>
                <w:szCs w:val="18"/>
              </w:rPr>
            </w:pPr>
            <w:r w:rsidRPr="00FF492B">
              <w:rPr>
                <w:sz w:val="18"/>
                <w:szCs w:val="18"/>
              </w:rPr>
              <w:t>0.014</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Organic Brain Syndrome</w:t>
            </w:r>
          </w:p>
        </w:tc>
        <w:tc>
          <w:tcPr>
            <w:tcW w:w="2158" w:type="dxa"/>
          </w:tcPr>
          <w:p w:rsidR="00CD4E0C" w:rsidRPr="00FF492B" w:rsidRDefault="00CD4E0C" w:rsidP="00CD4E0C">
            <w:pPr>
              <w:spacing w:line="240" w:lineRule="auto"/>
              <w:jc w:val="center"/>
              <w:rPr>
                <w:sz w:val="18"/>
                <w:szCs w:val="18"/>
              </w:rPr>
            </w:pPr>
            <w:r w:rsidRPr="00FF492B">
              <w:rPr>
                <w:sz w:val="18"/>
                <w:szCs w:val="18"/>
              </w:rPr>
              <w:t>0.004</w:t>
            </w:r>
          </w:p>
        </w:tc>
        <w:tc>
          <w:tcPr>
            <w:tcW w:w="2056" w:type="dxa"/>
          </w:tcPr>
          <w:p w:rsidR="00CD4E0C" w:rsidRPr="00FF492B" w:rsidRDefault="00CD4E0C" w:rsidP="00CD4E0C">
            <w:pPr>
              <w:spacing w:line="240" w:lineRule="auto"/>
              <w:jc w:val="center"/>
              <w:rPr>
                <w:sz w:val="18"/>
                <w:szCs w:val="18"/>
              </w:rPr>
            </w:pPr>
            <w:r w:rsidRPr="00FF492B">
              <w:rPr>
                <w:sz w:val="18"/>
                <w:szCs w:val="18"/>
              </w:rPr>
              <w:t>0.006</w:t>
            </w:r>
          </w:p>
        </w:tc>
        <w:tc>
          <w:tcPr>
            <w:tcW w:w="2056" w:type="dxa"/>
          </w:tcPr>
          <w:p w:rsidR="00CD4E0C" w:rsidRPr="00FF492B" w:rsidRDefault="00CD4E0C" w:rsidP="00CD4E0C">
            <w:pPr>
              <w:spacing w:line="240" w:lineRule="auto"/>
              <w:jc w:val="center"/>
              <w:rPr>
                <w:sz w:val="18"/>
                <w:szCs w:val="18"/>
              </w:rPr>
            </w:pPr>
            <w:r w:rsidRPr="00FF492B">
              <w:rPr>
                <w:sz w:val="18"/>
                <w:szCs w:val="18"/>
              </w:rPr>
              <w:t>0.030</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Visual Disturbance</w:t>
            </w:r>
          </w:p>
        </w:tc>
        <w:tc>
          <w:tcPr>
            <w:tcW w:w="2158" w:type="dxa"/>
          </w:tcPr>
          <w:p w:rsidR="00CD4E0C" w:rsidRPr="00FF492B" w:rsidRDefault="00CD4E0C" w:rsidP="00CD4E0C">
            <w:pPr>
              <w:spacing w:line="240" w:lineRule="auto"/>
              <w:jc w:val="center"/>
              <w:rPr>
                <w:sz w:val="18"/>
                <w:szCs w:val="18"/>
              </w:rPr>
            </w:pPr>
            <w:r w:rsidRPr="00FF492B">
              <w:rPr>
                <w:sz w:val="18"/>
                <w:szCs w:val="18"/>
              </w:rPr>
              <w:t>0.004</w:t>
            </w:r>
          </w:p>
        </w:tc>
        <w:tc>
          <w:tcPr>
            <w:tcW w:w="2056" w:type="dxa"/>
          </w:tcPr>
          <w:p w:rsidR="00CD4E0C" w:rsidRPr="00FF492B" w:rsidRDefault="00CD4E0C" w:rsidP="00CD4E0C">
            <w:pPr>
              <w:spacing w:line="240" w:lineRule="auto"/>
              <w:jc w:val="center"/>
              <w:rPr>
                <w:sz w:val="18"/>
                <w:szCs w:val="18"/>
              </w:rPr>
            </w:pPr>
            <w:r w:rsidRPr="00FF492B">
              <w:rPr>
                <w:sz w:val="18"/>
                <w:szCs w:val="18"/>
              </w:rPr>
              <w:t>0.004</w:t>
            </w:r>
          </w:p>
        </w:tc>
        <w:tc>
          <w:tcPr>
            <w:tcW w:w="2056" w:type="dxa"/>
          </w:tcPr>
          <w:p w:rsidR="00CD4E0C" w:rsidRPr="00FF492B" w:rsidRDefault="00CD4E0C" w:rsidP="00CD4E0C">
            <w:pPr>
              <w:spacing w:line="240" w:lineRule="auto"/>
              <w:jc w:val="center"/>
              <w:rPr>
                <w:sz w:val="18"/>
                <w:szCs w:val="18"/>
              </w:rPr>
            </w:pPr>
            <w:r w:rsidRPr="00FF492B">
              <w:rPr>
                <w:sz w:val="18"/>
                <w:szCs w:val="18"/>
              </w:rPr>
              <w:t>0.017</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Cranial Nerve Disorder</w:t>
            </w:r>
          </w:p>
        </w:tc>
        <w:tc>
          <w:tcPr>
            <w:tcW w:w="2158" w:type="dxa"/>
          </w:tcPr>
          <w:p w:rsidR="00CD4E0C" w:rsidRPr="00FF492B" w:rsidRDefault="00CD4E0C" w:rsidP="00CD4E0C">
            <w:pPr>
              <w:spacing w:line="240" w:lineRule="auto"/>
              <w:jc w:val="center"/>
              <w:rPr>
                <w:sz w:val="18"/>
                <w:szCs w:val="18"/>
              </w:rPr>
            </w:pPr>
            <w:r w:rsidRPr="00FF492B">
              <w:rPr>
                <w:sz w:val="18"/>
                <w:szCs w:val="18"/>
              </w:rPr>
              <w:t>0.005</w:t>
            </w:r>
          </w:p>
        </w:tc>
        <w:tc>
          <w:tcPr>
            <w:tcW w:w="2056" w:type="dxa"/>
          </w:tcPr>
          <w:p w:rsidR="00CD4E0C" w:rsidRPr="00FF492B" w:rsidRDefault="00CD4E0C" w:rsidP="00CD4E0C">
            <w:pPr>
              <w:spacing w:line="240" w:lineRule="auto"/>
              <w:jc w:val="center"/>
              <w:rPr>
                <w:sz w:val="18"/>
                <w:szCs w:val="18"/>
              </w:rPr>
            </w:pPr>
            <w:r w:rsidRPr="00FF492B">
              <w:rPr>
                <w:sz w:val="18"/>
                <w:szCs w:val="18"/>
              </w:rPr>
              <w:t>0.004</w:t>
            </w:r>
          </w:p>
        </w:tc>
        <w:tc>
          <w:tcPr>
            <w:tcW w:w="2056" w:type="dxa"/>
          </w:tcPr>
          <w:p w:rsidR="00CD4E0C" w:rsidRPr="00FF492B" w:rsidRDefault="00CD4E0C" w:rsidP="00CD4E0C">
            <w:pPr>
              <w:spacing w:line="240" w:lineRule="auto"/>
              <w:jc w:val="center"/>
              <w:rPr>
                <w:sz w:val="18"/>
                <w:szCs w:val="18"/>
              </w:rPr>
            </w:pPr>
            <w:r w:rsidRPr="00FF492B">
              <w:rPr>
                <w:sz w:val="18"/>
                <w:szCs w:val="18"/>
              </w:rPr>
              <w:t>0.005</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Lupus Headache</w:t>
            </w:r>
          </w:p>
        </w:tc>
        <w:tc>
          <w:tcPr>
            <w:tcW w:w="2158" w:type="dxa"/>
          </w:tcPr>
          <w:p w:rsidR="00CD4E0C" w:rsidRPr="00FF492B" w:rsidRDefault="00CD4E0C" w:rsidP="00CD4E0C">
            <w:pPr>
              <w:spacing w:line="240" w:lineRule="auto"/>
              <w:jc w:val="center"/>
              <w:rPr>
                <w:sz w:val="18"/>
                <w:szCs w:val="18"/>
              </w:rPr>
            </w:pPr>
            <w:r w:rsidRPr="00FF492B">
              <w:rPr>
                <w:sz w:val="18"/>
                <w:szCs w:val="18"/>
              </w:rPr>
              <w:t>0.009</w:t>
            </w:r>
          </w:p>
        </w:tc>
        <w:tc>
          <w:tcPr>
            <w:tcW w:w="2056" w:type="dxa"/>
          </w:tcPr>
          <w:p w:rsidR="00CD4E0C" w:rsidRPr="00FF492B" w:rsidRDefault="00CD4E0C" w:rsidP="00CD4E0C">
            <w:pPr>
              <w:spacing w:line="240" w:lineRule="auto"/>
              <w:jc w:val="center"/>
              <w:rPr>
                <w:sz w:val="18"/>
                <w:szCs w:val="18"/>
              </w:rPr>
            </w:pPr>
            <w:r w:rsidRPr="00FF492B">
              <w:rPr>
                <w:sz w:val="18"/>
                <w:szCs w:val="18"/>
              </w:rPr>
              <w:t>0.010</w:t>
            </w:r>
          </w:p>
        </w:tc>
        <w:tc>
          <w:tcPr>
            <w:tcW w:w="2056" w:type="dxa"/>
          </w:tcPr>
          <w:p w:rsidR="00CD4E0C" w:rsidRPr="00FF492B" w:rsidRDefault="00CD4E0C" w:rsidP="00CD4E0C">
            <w:pPr>
              <w:spacing w:line="240" w:lineRule="auto"/>
              <w:jc w:val="center"/>
              <w:rPr>
                <w:sz w:val="18"/>
                <w:szCs w:val="18"/>
              </w:rPr>
            </w:pPr>
            <w:r w:rsidRPr="00FF492B">
              <w:rPr>
                <w:sz w:val="18"/>
                <w:szCs w:val="18"/>
              </w:rPr>
              <w:t>0.029</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CVA</w:t>
            </w:r>
          </w:p>
        </w:tc>
        <w:tc>
          <w:tcPr>
            <w:tcW w:w="2158" w:type="dxa"/>
          </w:tcPr>
          <w:p w:rsidR="00CD4E0C" w:rsidRPr="00FF492B" w:rsidRDefault="00CD4E0C" w:rsidP="00CD4E0C">
            <w:pPr>
              <w:spacing w:line="240" w:lineRule="auto"/>
              <w:jc w:val="center"/>
              <w:rPr>
                <w:sz w:val="18"/>
                <w:szCs w:val="18"/>
              </w:rPr>
            </w:pPr>
            <w:r w:rsidRPr="00FF492B">
              <w:rPr>
                <w:sz w:val="18"/>
                <w:szCs w:val="18"/>
              </w:rPr>
              <w:t>0.001</w:t>
            </w:r>
          </w:p>
        </w:tc>
        <w:tc>
          <w:tcPr>
            <w:tcW w:w="2056" w:type="dxa"/>
          </w:tcPr>
          <w:p w:rsidR="00CD4E0C" w:rsidRPr="00FF492B" w:rsidRDefault="00CD4E0C" w:rsidP="00CD4E0C">
            <w:pPr>
              <w:spacing w:line="240" w:lineRule="auto"/>
              <w:jc w:val="center"/>
              <w:rPr>
                <w:sz w:val="18"/>
                <w:szCs w:val="18"/>
              </w:rPr>
            </w:pPr>
            <w:r w:rsidRPr="00FF492B">
              <w:rPr>
                <w:sz w:val="18"/>
                <w:szCs w:val="18"/>
              </w:rPr>
              <w:t>0.009</w:t>
            </w:r>
          </w:p>
        </w:tc>
        <w:tc>
          <w:tcPr>
            <w:tcW w:w="2056" w:type="dxa"/>
          </w:tcPr>
          <w:p w:rsidR="00CD4E0C" w:rsidRPr="00FF492B" w:rsidRDefault="00CD4E0C" w:rsidP="00CD4E0C">
            <w:pPr>
              <w:spacing w:line="240" w:lineRule="auto"/>
              <w:jc w:val="center"/>
              <w:rPr>
                <w:sz w:val="18"/>
                <w:szCs w:val="18"/>
              </w:rPr>
            </w:pPr>
            <w:r w:rsidRPr="00FF492B">
              <w:rPr>
                <w:sz w:val="18"/>
                <w:szCs w:val="18"/>
              </w:rPr>
              <w:t>0.029</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Vasculitis</w:t>
            </w:r>
          </w:p>
        </w:tc>
        <w:tc>
          <w:tcPr>
            <w:tcW w:w="2158" w:type="dxa"/>
          </w:tcPr>
          <w:p w:rsidR="00CD4E0C" w:rsidRPr="00FF492B" w:rsidRDefault="00CD4E0C" w:rsidP="00CD4E0C">
            <w:pPr>
              <w:spacing w:line="240" w:lineRule="auto"/>
              <w:jc w:val="center"/>
              <w:rPr>
                <w:sz w:val="18"/>
                <w:szCs w:val="18"/>
              </w:rPr>
            </w:pPr>
            <w:r w:rsidRPr="00FF492B">
              <w:rPr>
                <w:sz w:val="18"/>
                <w:szCs w:val="18"/>
              </w:rPr>
              <w:t>0.013</w:t>
            </w:r>
          </w:p>
        </w:tc>
        <w:tc>
          <w:tcPr>
            <w:tcW w:w="2056" w:type="dxa"/>
          </w:tcPr>
          <w:p w:rsidR="00CD4E0C" w:rsidRPr="00FF492B" w:rsidRDefault="00CD4E0C" w:rsidP="00CD4E0C">
            <w:pPr>
              <w:spacing w:line="240" w:lineRule="auto"/>
              <w:jc w:val="center"/>
              <w:rPr>
                <w:sz w:val="18"/>
                <w:szCs w:val="18"/>
              </w:rPr>
            </w:pPr>
            <w:r w:rsidRPr="00FF492B">
              <w:rPr>
                <w:sz w:val="18"/>
                <w:szCs w:val="18"/>
              </w:rPr>
              <w:t>0.015</w:t>
            </w:r>
          </w:p>
        </w:tc>
        <w:tc>
          <w:tcPr>
            <w:tcW w:w="2056" w:type="dxa"/>
          </w:tcPr>
          <w:p w:rsidR="00CD4E0C" w:rsidRPr="00FF492B" w:rsidRDefault="00CD4E0C" w:rsidP="00CD4E0C">
            <w:pPr>
              <w:spacing w:line="240" w:lineRule="auto"/>
              <w:jc w:val="center"/>
              <w:rPr>
                <w:sz w:val="18"/>
                <w:szCs w:val="18"/>
              </w:rPr>
            </w:pPr>
            <w:r w:rsidRPr="00FF492B">
              <w:rPr>
                <w:sz w:val="18"/>
                <w:szCs w:val="18"/>
              </w:rPr>
              <w:t>0.026</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Arthritis</w:t>
            </w:r>
          </w:p>
        </w:tc>
        <w:tc>
          <w:tcPr>
            <w:tcW w:w="2158" w:type="dxa"/>
          </w:tcPr>
          <w:p w:rsidR="00CD4E0C" w:rsidRPr="00FF492B" w:rsidRDefault="00CD4E0C" w:rsidP="00CD4E0C">
            <w:pPr>
              <w:spacing w:line="240" w:lineRule="auto"/>
              <w:jc w:val="center"/>
              <w:rPr>
                <w:sz w:val="18"/>
                <w:szCs w:val="18"/>
              </w:rPr>
            </w:pPr>
            <w:r w:rsidRPr="00FF492B">
              <w:rPr>
                <w:sz w:val="18"/>
                <w:szCs w:val="18"/>
              </w:rPr>
              <w:t>0.098</w:t>
            </w:r>
          </w:p>
        </w:tc>
        <w:tc>
          <w:tcPr>
            <w:tcW w:w="2056" w:type="dxa"/>
          </w:tcPr>
          <w:p w:rsidR="00CD4E0C" w:rsidRPr="00FF492B" w:rsidRDefault="00CD4E0C" w:rsidP="00CD4E0C">
            <w:pPr>
              <w:spacing w:line="240" w:lineRule="auto"/>
              <w:jc w:val="center"/>
              <w:rPr>
                <w:sz w:val="18"/>
                <w:szCs w:val="18"/>
              </w:rPr>
            </w:pPr>
            <w:r w:rsidRPr="00FF492B">
              <w:rPr>
                <w:sz w:val="18"/>
                <w:szCs w:val="18"/>
              </w:rPr>
              <w:t>0.079</w:t>
            </w:r>
          </w:p>
        </w:tc>
        <w:tc>
          <w:tcPr>
            <w:tcW w:w="2056" w:type="dxa"/>
          </w:tcPr>
          <w:p w:rsidR="00CD4E0C" w:rsidRPr="00FF492B" w:rsidRDefault="00CD4E0C" w:rsidP="00CD4E0C">
            <w:pPr>
              <w:spacing w:line="240" w:lineRule="auto"/>
              <w:jc w:val="center"/>
              <w:rPr>
                <w:sz w:val="18"/>
                <w:szCs w:val="18"/>
              </w:rPr>
            </w:pPr>
            <w:r w:rsidRPr="00FF492B">
              <w:rPr>
                <w:sz w:val="18"/>
                <w:szCs w:val="18"/>
              </w:rPr>
              <w:t>0.217*</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Myositis</w:t>
            </w:r>
          </w:p>
        </w:tc>
        <w:tc>
          <w:tcPr>
            <w:tcW w:w="2158" w:type="dxa"/>
          </w:tcPr>
          <w:p w:rsidR="00CD4E0C" w:rsidRPr="00FF492B" w:rsidRDefault="00CD4E0C" w:rsidP="00CD4E0C">
            <w:pPr>
              <w:spacing w:line="240" w:lineRule="auto"/>
              <w:jc w:val="center"/>
              <w:rPr>
                <w:sz w:val="18"/>
                <w:szCs w:val="18"/>
              </w:rPr>
            </w:pPr>
            <w:r w:rsidRPr="00FF492B">
              <w:rPr>
                <w:sz w:val="18"/>
                <w:szCs w:val="18"/>
              </w:rPr>
              <w:t>0.006</w:t>
            </w:r>
          </w:p>
        </w:tc>
        <w:tc>
          <w:tcPr>
            <w:tcW w:w="2056" w:type="dxa"/>
          </w:tcPr>
          <w:p w:rsidR="00CD4E0C" w:rsidRPr="00FF492B" w:rsidRDefault="00CD4E0C" w:rsidP="00CD4E0C">
            <w:pPr>
              <w:spacing w:line="240" w:lineRule="auto"/>
              <w:jc w:val="center"/>
              <w:rPr>
                <w:sz w:val="18"/>
                <w:szCs w:val="18"/>
              </w:rPr>
            </w:pPr>
            <w:r w:rsidRPr="00FF492B">
              <w:rPr>
                <w:sz w:val="18"/>
                <w:szCs w:val="18"/>
              </w:rPr>
              <w:t>0.006</w:t>
            </w:r>
          </w:p>
        </w:tc>
        <w:tc>
          <w:tcPr>
            <w:tcW w:w="2056" w:type="dxa"/>
          </w:tcPr>
          <w:p w:rsidR="00CD4E0C" w:rsidRPr="00FF492B" w:rsidRDefault="00CD4E0C" w:rsidP="00CD4E0C">
            <w:pPr>
              <w:spacing w:line="240" w:lineRule="auto"/>
              <w:jc w:val="center"/>
              <w:rPr>
                <w:sz w:val="18"/>
                <w:szCs w:val="18"/>
              </w:rPr>
            </w:pPr>
            <w:r w:rsidRPr="00FF492B">
              <w:rPr>
                <w:sz w:val="18"/>
                <w:szCs w:val="18"/>
              </w:rPr>
              <w:t>0.040</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Urinary Casts</w:t>
            </w:r>
          </w:p>
        </w:tc>
        <w:tc>
          <w:tcPr>
            <w:tcW w:w="2158" w:type="dxa"/>
          </w:tcPr>
          <w:p w:rsidR="00CD4E0C" w:rsidRPr="00FF492B" w:rsidRDefault="00CD4E0C" w:rsidP="00CD4E0C">
            <w:pPr>
              <w:spacing w:line="240" w:lineRule="auto"/>
              <w:jc w:val="center"/>
              <w:rPr>
                <w:sz w:val="18"/>
                <w:szCs w:val="18"/>
              </w:rPr>
            </w:pPr>
            <w:r w:rsidRPr="00FF492B">
              <w:rPr>
                <w:sz w:val="18"/>
                <w:szCs w:val="18"/>
              </w:rPr>
              <w:t>0.001</w:t>
            </w:r>
          </w:p>
        </w:tc>
        <w:tc>
          <w:tcPr>
            <w:tcW w:w="2056" w:type="dxa"/>
          </w:tcPr>
          <w:p w:rsidR="00CD4E0C" w:rsidRPr="00FF492B" w:rsidRDefault="00CD4E0C" w:rsidP="00CD4E0C">
            <w:pPr>
              <w:spacing w:line="240" w:lineRule="auto"/>
              <w:jc w:val="center"/>
              <w:rPr>
                <w:sz w:val="18"/>
                <w:szCs w:val="18"/>
              </w:rPr>
            </w:pPr>
            <w:r w:rsidRPr="00FF492B">
              <w:rPr>
                <w:sz w:val="18"/>
                <w:szCs w:val="18"/>
              </w:rPr>
              <w:t>0.001</w:t>
            </w:r>
          </w:p>
        </w:tc>
        <w:tc>
          <w:tcPr>
            <w:tcW w:w="2056" w:type="dxa"/>
          </w:tcPr>
          <w:p w:rsidR="00CD4E0C" w:rsidRPr="00FF492B" w:rsidRDefault="00CD4E0C" w:rsidP="00CD4E0C">
            <w:pPr>
              <w:spacing w:line="240" w:lineRule="auto"/>
              <w:jc w:val="center"/>
              <w:rPr>
                <w:sz w:val="18"/>
                <w:szCs w:val="18"/>
              </w:rPr>
            </w:pPr>
            <w:r w:rsidRPr="00FF492B">
              <w:rPr>
                <w:sz w:val="18"/>
                <w:szCs w:val="18"/>
              </w:rPr>
              <w:t>0.005</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Hematuria</w:t>
            </w:r>
          </w:p>
        </w:tc>
        <w:tc>
          <w:tcPr>
            <w:tcW w:w="2158" w:type="dxa"/>
          </w:tcPr>
          <w:p w:rsidR="00CD4E0C" w:rsidRPr="00FF492B" w:rsidRDefault="00CD4E0C" w:rsidP="00CD4E0C">
            <w:pPr>
              <w:spacing w:line="240" w:lineRule="auto"/>
              <w:jc w:val="center"/>
              <w:rPr>
                <w:sz w:val="18"/>
                <w:szCs w:val="18"/>
              </w:rPr>
            </w:pPr>
            <w:r w:rsidRPr="00FF492B">
              <w:rPr>
                <w:sz w:val="18"/>
                <w:szCs w:val="18"/>
              </w:rPr>
              <w:t>0.048</w:t>
            </w:r>
          </w:p>
        </w:tc>
        <w:tc>
          <w:tcPr>
            <w:tcW w:w="2056" w:type="dxa"/>
          </w:tcPr>
          <w:p w:rsidR="00CD4E0C" w:rsidRPr="00FF492B" w:rsidRDefault="00CD4E0C" w:rsidP="00CD4E0C">
            <w:pPr>
              <w:spacing w:line="240" w:lineRule="auto"/>
              <w:jc w:val="center"/>
              <w:rPr>
                <w:sz w:val="18"/>
                <w:szCs w:val="18"/>
              </w:rPr>
            </w:pPr>
            <w:r w:rsidRPr="00FF492B">
              <w:rPr>
                <w:sz w:val="18"/>
                <w:szCs w:val="18"/>
              </w:rPr>
              <w:t>0.049</w:t>
            </w:r>
          </w:p>
        </w:tc>
        <w:tc>
          <w:tcPr>
            <w:tcW w:w="2056" w:type="dxa"/>
          </w:tcPr>
          <w:p w:rsidR="00CD4E0C" w:rsidRPr="00FF492B" w:rsidRDefault="00CD4E0C" w:rsidP="00CD4E0C">
            <w:pPr>
              <w:spacing w:line="240" w:lineRule="auto"/>
              <w:jc w:val="center"/>
              <w:rPr>
                <w:sz w:val="18"/>
                <w:szCs w:val="18"/>
              </w:rPr>
            </w:pPr>
            <w:r w:rsidRPr="00FF492B">
              <w:rPr>
                <w:sz w:val="18"/>
                <w:szCs w:val="18"/>
              </w:rPr>
              <w:t>0.034</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Proteinuria</w:t>
            </w:r>
          </w:p>
        </w:tc>
        <w:tc>
          <w:tcPr>
            <w:tcW w:w="2158" w:type="dxa"/>
          </w:tcPr>
          <w:p w:rsidR="00CD4E0C" w:rsidRPr="00FF492B" w:rsidRDefault="00CD4E0C" w:rsidP="00CD4E0C">
            <w:pPr>
              <w:spacing w:line="240" w:lineRule="auto"/>
              <w:jc w:val="center"/>
              <w:rPr>
                <w:sz w:val="18"/>
                <w:szCs w:val="18"/>
              </w:rPr>
            </w:pPr>
            <w:r w:rsidRPr="00FF492B">
              <w:rPr>
                <w:sz w:val="18"/>
                <w:szCs w:val="18"/>
              </w:rPr>
              <w:t>0.076</w:t>
            </w:r>
          </w:p>
        </w:tc>
        <w:tc>
          <w:tcPr>
            <w:tcW w:w="2056" w:type="dxa"/>
          </w:tcPr>
          <w:p w:rsidR="00CD4E0C" w:rsidRPr="00FF492B" w:rsidRDefault="00CD4E0C" w:rsidP="00CD4E0C">
            <w:pPr>
              <w:spacing w:line="240" w:lineRule="auto"/>
              <w:jc w:val="center"/>
              <w:rPr>
                <w:sz w:val="18"/>
                <w:szCs w:val="18"/>
              </w:rPr>
            </w:pPr>
            <w:r w:rsidRPr="00FF492B">
              <w:rPr>
                <w:sz w:val="18"/>
                <w:szCs w:val="18"/>
              </w:rPr>
              <w:t>0.087</w:t>
            </w:r>
          </w:p>
        </w:tc>
        <w:tc>
          <w:tcPr>
            <w:tcW w:w="2056" w:type="dxa"/>
          </w:tcPr>
          <w:p w:rsidR="00CD4E0C" w:rsidRPr="00FF492B" w:rsidRDefault="00CD4E0C" w:rsidP="00CD4E0C">
            <w:pPr>
              <w:spacing w:line="240" w:lineRule="auto"/>
              <w:jc w:val="center"/>
              <w:rPr>
                <w:sz w:val="18"/>
                <w:szCs w:val="18"/>
              </w:rPr>
            </w:pPr>
            <w:r w:rsidRPr="00FF492B">
              <w:rPr>
                <w:sz w:val="18"/>
                <w:szCs w:val="18"/>
              </w:rPr>
              <w:t>0.084*</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Pyuria</w:t>
            </w:r>
          </w:p>
        </w:tc>
        <w:tc>
          <w:tcPr>
            <w:tcW w:w="2158" w:type="dxa"/>
          </w:tcPr>
          <w:p w:rsidR="00CD4E0C" w:rsidRPr="00FF492B" w:rsidRDefault="00CD4E0C" w:rsidP="00CD4E0C">
            <w:pPr>
              <w:spacing w:line="240" w:lineRule="auto"/>
              <w:jc w:val="center"/>
              <w:rPr>
                <w:sz w:val="18"/>
                <w:szCs w:val="18"/>
              </w:rPr>
            </w:pPr>
            <w:r w:rsidRPr="00FF492B">
              <w:rPr>
                <w:sz w:val="18"/>
                <w:szCs w:val="18"/>
              </w:rPr>
              <w:t>0.029</w:t>
            </w:r>
          </w:p>
        </w:tc>
        <w:tc>
          <w:tcPr>
            <w:tcW w:w="2056" w:type="dxa"/>
          </w:tcPr>
          <w:p w:rsidR="00CD4E0C" w:rsidRPr="00FF492B" w:rsidRDefault="00CD4E0C" w:rsidP="00CD4E0C">
            <w:pPr>
              <w:spacing w:line="240" w:lineRule="auto"/>
              <w:jc w:val="center"/>
              <w:rPr>
                <w:sz w:val="18"/>
                <w:szCs w:val="18"/>
              </w:rPr>
            </w:pPr>
            <w:r w:rsidRPr="00FF492B">
              <w:rPr>
                <w:sz w:val="18"/>
                <w:szCs w:val="18"/>
              </w:rPr>
              <w:t>0.027</w:t>
            </w:r>
          </w:p>
        </w:tc>
        <w:tc>
          <w:tcPr>
            <w:tcW w:w="2056" w:type="dxa"/>
          </w:tcPr>
          <w:p w:rsidR="00CD4E0C" w:rsidRPr="00FF492B" w:rsidRDefault="00CD4E0C" w:rsidP="00CD4E0C">
            <w:pPr>
              <w:spacing w:line="240" w:lineRule="auto"/>
              <w:jc w:val="center"/>
              <w:rPr>
                <w:sz w:val="18"/>
                <w:szCs w:val="18"/>
              </w:rPr>
            </w:pPr>
            <w:r w:rsidRPr="00FF492B">
              <w:rPr>
                <w:sz w:val="18"/>
                <w:szCs w:val="18"/>
              </w:rPr>
              <w:t>0.019</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New rash</w:t>
            </w:r>
          </w:p>
        </w:tc>
        <w:tc>
          <w:tcPr>
            <w:tcW w:w="2158" w:type="dxa"/>
          </w:tcPr>
          <w:p w:rsidR="00CD4E0C" w:rsidRPr="00FF492B" w:rsidRDefault="00CD4E0C" w:rsidP="00CD4E0C">
            <w:pPr>
              <w:spacing w:line="240" w:lineRule="auto"/>
              <w:jc w:val="center"/>
              <w:rPr>
                <w:sz w:val="18"/>
                <w:szCs w:val="18"/>
              </w:rPr>
            </w:pPr>
            <w:r w:rsidRPr="00FF492B">
              <w:rPr>
                <w:sz w:val="18"/>
                <w:szCs w:val="18"/>
              </w:rPr>
              <w:t>0.089</w:t>
            </w:r>
          </w:p>
        </w:tc>
        <w:tc>
          <w:tcPr>
            <w:tcW w:w="2056" w:type="dxa"/>
          </w:tcPr>
          <w:p w:rsidR="00CD4E0C" w:rsidRPr="00FF492B" w:rsidRDefault="00CD4E0C" w:rsidP="00CD4E0C">
            <w:pPr>
              <w:spacing w:line="240" w:lineRule="auto"/>
              <w:jc w:val="center"/>
              <w:rPr>
                <w:sz w:val="18"/>
                <w:szCs w:val="18"/>
              </w:rPr>
            </w:pPr>
            <w:r w:rsidRPr="00FF492B">
              <w:rPr>
                <w:sz w:val="18"/>
                <w:szCs w:val="18"/>
              </w:rPr>
              <w:t>0.089</w:t>
            </w:r>
          </w:p>
        </w:tc>
        <w:tc>
          <w:tcPr>
            <w:tcW w:w="2056" w:type="dxa"/>
          </w:tcPr>
          <w:p w:rsidR="00CD4E0C" w:rsidRPr="00FF492B" w:rsidRDefault="00CD4E0C" w:rsidP="00CD4E0C">
            <w:pPr>
              <w:spacing w:line="240" w:lineRule="auto"/>
              <w:jc w:val="center"/>
              <w:rPr>
                <w:sz w:val="18"/>
                <w:szCs w:val="18"/>
              </w:rPr>
            </w:pPr>
            <w:r w:rsidRPr="00FF492B">
              <w:rPr>
                <w:sz w:val="18"/>
                <w:szCs w:val="18"/>
              </w:rPr>
              <w:t>0.023</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Alopecia</w:t>
            </w:r>
          </w:p>
        </w:tc>
        <w:tc>
          <w:tcPr>
            <w:tcW w:w="2158" w:type="dxa"/>
          </w:tcPr>
          <w:p w:rsidR="00CD4E0C" w:rsidRPr="00FF492B" w:rsidRDefault="00CD4E0C" w:rsidP="00CD4E0C">
            <w:pPr>
              <w:spacing w:line="240" w:lineRule="auto"/>
              <w:jc w:val="center"/>
              <w:rPr>
                <w:sz w:val="18"/>
                <w:szCs w:val="18"/>
              </w:rPr>
            </w:pPr>
            <w:r w:rsidRPr="00FF492B">
              <w:rPr>
                <w:sz w:val="18"/>
                <w:szCs w:val="18"/>
              </w:rPr>
              <w:t>0.072</w:t>
            </w:r>
          </w:p>
        </w:tc>
        <w:tc>
          <w:tcPr>
            <w:tcW w:w="2056" w:type="dxa"/>
          </w:tcPr>
          <w:p w:rsidR="00CD4E0C" w:rsidRPr="00FF492B" w:rsidRDefault="00CD4E0C" w:rsidP="00CD4E0C">
            <w:pPr>
              <w:spacing w:line="240" w:lineRule="auto"/>
              <w:jc w:val="center"/>
              <w:rPr>
                <w:sz w:val="18"/>
                <w:szCs w:val="18"/>
              </w:rPr>
            </w:pPr>
            <w:r w:rsidRPr="00FF492B">
              <w:rPr>
                <w:sz w:val="18"/>
                <w:szCs w:val="18"/>
              </w:rPr>
              <w:t>0.060</w:t>
            </w:r>
          </w:p>
        </w:tc>
        <w:tc>
          <w:tcPr>
            <w:tcW w:w="2056" w:type="dxa"/>
          </w:tcPr>
          <w:p w:rsidR="00CD4E0C" w:rsidRPr="00FF492B" w:rsidRDefault="00CD4E0C" w:rsidP="00CD4E0C">
            <w:pPr>
              <w:spacing w:line="240" w:lineRule="auto"/>
              <w:jc w:val="center"/>
              <w:rPr>
                <w:sz w:val="18"/>
                <w:szCs w:val="18"/>
              </w:rPr>
            </w:pPr>
            <w:r w:rsidRPr="00FF492B">
              <w:rPr>
                <w:sz w:val="18"/>
                <w:szCs w:val="18"/>
              </w:rPr>
              <w:t>0.051*</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Mucosal Ulcers</w:t>
            </w:r>
          </w:p>
        </w:tc>
        <w:tc>
          <w:tcPr>
            <w:tcW w:w="2158" w:type="dxa"/>
          </w:tcPr>
          <w:p w:rsidR="00CD4E0C" w:rsidRPr="00FF492B" w:rsidRDefault="00CD4E0C" w:rsidP="00CD4E0C">
            <w:pPr>
              <w:spacing w:line="240" w:lineRule="auto"/>
              <w:jc w:val="center"/>
              <w:rPr>
                <w:sz w:val="18"/>
                <w:szCs w:val="18"/>
              </w:rPr>
            </w:pPr>
            <w:r w:rsidRPr="00FF492B">
              <w:rPr>
                <w:sz w:val="18"/>
                <w:szCs w:val="18"/>
              </w:rPr>
              <w:t>0.043</w:t>
            </w:r>
          </w:p>
        </w:tc>
        <w:tc>
          <w:tcPr>
            <w:tcW w:w="2056" w:type="dxa"/>
          </w:tcPr>
          <w:p w:rsidR="00CD4E0C" w:rsidRPr="00FF492B" w:rsidRDefault="00CD4E0C" w:rsidP="00CD4E0C">
            <w:pPr>
              <w:spacing w:line="240" w:lineRule="auto"/>
              <w:jc w:val="center"/>
              <w:rPr>
                <w:sz w:val="18"/>
                <w:szCs w:val="18"/>
              </w:rPr>
            </w:pPr>
            <w:r w:rsidRPr="00FF492B">
              <w:rPr>
                <w:sz w:val="18"/>
                <w:szCs w:val="18"/>
              </w:rPr>
              <w:t>0.041</w:t>
            </w:r>
          </w:p>
        </w:tc>
        <w:tc>
          <w:tcPr>
            <w:tcW w:w="2056" w:type="dxa"/>
          </w:tcPr>
          <w:p w:rsidR="00CD4E0C" w:rsidRPr="00FF492B" w:rsidRDefault="00CD4E0C" w:rsidP="00CD4E0C">
            <w:pPr>
              <w:spacing w:line="240" w:lineRule="auto"/>
              <w:jc w:val="center"/>
              <w:rPr>
                <w:sz w:val="18"/>
                <w:szCs w:val="18"/>
              </w:rPr>
            </w:pPr>
            <w:r w:rsidRPr="00FF492B">
              <w:rPr>
                <w:sz w:val="18"/>
                <w:szCs w:val="18"/>
              </w:rPr>
              <w:t>0.018</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Pleurisy</w:t>
            </w:r>
          </w:p>
        </w:tc>
        <w:tc>
          <w:tcPr>
            <w:tcW w:w="2158" w:type="dxa"/>
          </w:tcPr>
          <w:p w:rsidR="00CD4E0C" w:rsidRPr="00FF492B" w:rsidRDefault="00CD4E0C" w:rsidP="00CD4E0C">
            <w:pPr>
              <w:spacing w:line="240" w:lineRule="auto"/>
              <w:jc w:val="center"/>
              <w:rPr>
                <w:sz w:val="18"/>
                <w:szCs w:val="18"/>
              </w:rPr>
            </w:pPr>
            <w:r w:rsidRPr="00FF492B">
              <w:rPr>
                <w:sz w:val="18"/>
                <w:szCs w:val="18"/>
              </w:rPr>
              <w:t>0.029</w:t>
            </w:r>
          </w:p>
        </w:tc>
        <w:tc>
          <w:tcPr>
            <w:tcW w:w="2056" w:type="dxa"/>
          </w:tcPr>
          <w:p w:rsidR="00CD4E0C" w:rsidRPr="00FF492B" w:rsidRDefault="00CD4E0C" w:rsidP="00CD4E0C">
            <w:pPr>
              <w:spacing w:line="240" w:lineRule="auto"/>
              <w:jc w:val="center"/>
              <w:rPr>
                <w:sz w:val="18"/>
                <w:szCs w:val="18"/>
              </w:rPr>
            </w:pPr>
            <w:r w:rsidRPr="00FF492B">
              <w:rPr>
                <w:sz w:val="18"/>
                <w:szCs w:val="18"/>
              </w:rPr>
              <w:t>0.024</w:t>
            </w:r>
          </w:p>
        </w:tc>
        <w:tc>
          <w:tcPr>
            <w:tcW w:w="2056" w:type="dxa"/>
          </w:tcPr>
          <w:p w:rsidR="00CD4E0C" w:rsidRPr="00FF492B" w:rsidRDefault="00CD4E0C" w:rsidP="00CD4E0C">
            <w:pPr>
              <w:spacing w:line="240" w:lineRule="auto"/>
              <w:jc w:val="center"/>
              <w:rPr>
                <w:sz w:val="18"/>
                <w:szCs w:val="18"/>
              </w:rPr>
            </w:pPr>
            <w:r w:rsidRPr="00FF492B">
              <w:rPr>
                <w:sz w:val="18"/>
                <w:szCs w:val="18"/>
              </w:rPr>
              <w:t>0.071*</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Pericarditis</w:t>
            </w:r>
          </w:p>
        </w:tc>
        <w:tc>
          <w:tcPr>
            <w:tcW w:w="2158" w:type="dxa"/>
          </w:tcPr>
          <w:p w:rsidR="00CD4E0C" w:rsidRPr="00FF492B" w:rsidRDefault="00CD4E0C" w:rsidP="00CD4E0C">
            <w:pPr>
              <w:spacing w:line="240" w:lineRule="auto"/>
              <w:jc w:val="center"/>
              <w:rPr>
                <w:sz w:val="18"/>
                <w:szCs w:val="18"/>
              </w:rPr>
            </w:pPr>
            <w:r w:rsidRPr="00FF492B">
              <w:rPr>
                <w:sz w:val="18"/>
                <w:szCs w:val="18"/>
              </w:rPr>
              <w:t>0.008</w:t>
            </w:r>
          </w:p>
        </w:tc>
        <w:tc>
          <w:tcPr>
            <w:tcW w:w="2056" w:type="dxa"/>
          </w:tcPr>
          <w:p w:rsidR="00CD4E0C" w:rsidRPr="00FF492B" w:rsidRDefault="00CD4E0C" w:rsidP="00CD4E0C">
            <w:pPr>
              <w:spacing w:line="240" w:lineRule="auto"/>
              <w:jc w:val="center"/>
              <w:rPr>
                <w:sz w:val="18"/>
                <w:szCs w:val="18"/>
              </w:rPr>
            </w:pPr>
            <w:r w:rsidRPr="00FF492B">
              <w:rPr>
                <w:sz w:val="18"/>
                <w:szCs w:val="18"/>
              </w:rPr>
              <w:t>0.008</w:t>
            </w:r>
          </w:p>
        </w:tc>
        <w:tc>
          <w:tcPr>
            <w:tcW w:w="2056" w:type="dxa"/>
          </w:tcPr>
          <w:p w:rsidR="00CD4E0C" w:rsidRPr="00FF492B" w:rsidRDefault="00CD4E0C" w:rsidP="00CD4E0C">
            <w:pPr>
              <w:spacing w:line="240" w:lineRule="auto"/>
              <w:jc w:val="center"/>
              <w:rPr>
                <w:sz w:val="18"/>
                <w:szCs w:val="18"/>
              </w:rPr>
            </w:pPr>
            <w:r w:rsidRPr="00FF492B">
              <w:rPr>
                <w:sz w:val="18"/>
                <w:szCs w:val="18"/>
              </w:rPr>
              <w:t>0.012</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Low Complement</w:t>
            </w:r>
          </w:p>
        </w:tc>
        <w:tc>
          <w:tcPr>
            <w:tcW w:w="2158" w:type="dxa"/>
          </w:tcPr>
          <w:p w:rsidR="00CD4E0C" w:rsidRPr="00FF492B" w:rsidRDefault="00CD4E0C" w:rsidP="00CD4E0C">
            <w:pPr>
              <w:spacing w:line="240" w:lineRule="auto"/>
              <w:jc w:val="center"/>
              <w:rPr>
                <w:sz w:val="18"/>
                <w:szCs w:val="18"/>
              </w:rPr>
            </w:pPr>
            <w:r w:rsidRPr="00FF492B">
              <w:rPr>
                <w:sz w:val="18"/>
                <w:szCs w:val="18"/>
              </w:rPr>
              <w:t>0.298</w:t>
            </w:r>
          </w:p>
        </w:tc>
        <w:tc>
          <w:tcPr>
            <w:tcW w:w="2056" w:type="dxa"/>
          </w:tcPr>
          <w:p w:rsidR="00CD4E0C" w:rsidRPr="00FF492B" w:rsidRDefault="00CD4E0C" w:rsidP="00CD4E0C">
            <w:pPr>
              <w:spacing w:line="240" w:lineRule="auto"/>
              <w:jc w:val="center"/>
              <w:rPr>
                <w:sz w:val="18"/>
                <w:szCs w:val="18"/>
              </w:rPr>
            </w:pPr>
            <w:r w:rsidRPr="00FF492B">
              <w:rPr>
                <w:sz w:val="18"/>
                <w:szCs w:val="18"/>
              </w:rPr>
              <w:t>0.281</w:t>
            </w:r>
          </w:p>
        </w:tc>
        <w:tc>
          <w:tcPr>
            <w:tcW w:w="2056" w:type="dxa"/>
          </w:tcPr>
          <w:p w:rsidR="00CD4E0C" w:rsidRPr="00FF492B" w:rsidRDefault="00CD4E0C" w:rsidP="00CD4E0C">
            <w:pPr>
              <w:spacing w:line="240" w:lineRule="auto"/>
              <w:jc w:val="center"/>
              <w:rPr>
                <w:sz w:val="18"/>
                <w:szCs w:val="18"/>
              </w:rPr>
            </w:pPr>
            <w:r w:rsidRPr="00FF492B">
              <w:rPr>
                <w:sz w:val="18"/>
                <w:szCs w:val="18"/>
              </w:rPr>
              <w:t>0.027</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Increased DNA binding</w:t>
            </w:r>
          </w:p>
        </w:tc>
        <w:tc>
          <w:tcPr>
            <w:tcW w:w="2158" w:type="dxa"/>
          </w:tcPr>
          <w:p w:rsidR="00CD4E0C" w:rsidRPr="00FF492B" w:rsidRDefault="00CD4E0C" w:rsidP="00CD4E0C">
            <w:pPr>
              <w:spacing w:line="240" w:lineRule="auto"/>
              <w:jc w:val="center"/>
              <w:rPr>
                <w:sz w:val="18"/>
                <w:szCs w:val="18"/>
              </w:rPr>
            </w:pPr>
            <w:r w:rsidRPr="00FF492B">
              <w:rPr>
                <w:sz w:val="18"/>
                <w:szCs w:val="18"/>
              </w:rPr>
              <w:t>0.283</w:t>
            </w:r>
          </w:p>
        </w:tc>
        <w:tc>
          <w:tcPr>
            <w:tcW w:w="2056" w:type="dxa"/>
          </w:tcPr>
          <w:p w:rsidR="00CD4E0C" w:rsidRPr="00FF492B" w:rsidRDefault="00CD4E0C" w:rsidP="00CD4E0C">
            <w:pPr>
              <w:spacing w:line="240" w:lineRule="auto"/>
              <w:jc w:val="center"/>
              <w:rPr>
                <w:sz w:val="18"/>
                <w:szCs w:val="18"/>
              </w:rPr>
            </w:pPr>
            <w:r w:rsidRPr="00FF492B">
              <w:rPr>
                <w:sz w:val="18"/>
                <w:szCs w:val="18"/>
              </w:rPr>
              <w:t>0.266</w:t>
            </w:r>
          </w:p>
        </w:tc>
        <w:tc>
          <w:tcPr>
            <w:tcW w:w="2056" w:type="dxa"/>
          </w:tcPr>
          <w:p w:rsidR="00CD4E0C" w:rsidRPr="00FF492B" w:rsidRDefault="00CD4E0C" w:rsidP="00CD4E0C">
            <w:pPr>
              <w:spacing w:line="240" w:lineRule="auto"/>
              <w:jc w:val="center"/>
              <w:rPr>
                <w:sz w:val="18"/>
                <w:szCs w:val="18"/>
              </w:rPr>
            </w:pPr>
            <w:r w:rsidRPr="00FF492B">
              <w:rPr>
                <w:sz w:val="18"/>
                <w:szCs w:val="18"/>
              </w:rPr>
              <w:t>0.044</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Fever</w:t>
            </w:r>
          </w:p>
        </w:tc>
        <w:tc>
          <w:tcPr>
            <w:tcW w:w="2158" w:type="dxa"/>
          </w:tcPr>
          <w:p w:rsidR="00CD4E0C" w:rsidRPr="00FF492B" w:rsidRDefault="00CD4E0C" w:rsidP="00CD4E0C">
            <w:pPr>
              <w:spacing w:line="240" w:lineRule="auto"/>
              <w:jc w:val="center"/>
              <w:rPr>
                <w:sz w:val="18"/>
                <w:szCs w:val="18"/>
              </w:rPr>
            </w:pPr>
            <w:r w:rsidRPr="00FF492B">
              <w:rPr>
                <w:sz w:val="18"/>
                <w:szCs w:val="18"/>
              </w:rPr>
              <w:t>0.036</w:t>
            </w:r>
          </w:p>
        </w:tc>
        <w:tc>
          <w:tcPr>
            <w:tcW w:w="2056" w:type="dxa"/>
          </w:tcPr>
          <w:p w:rsidR="00CD4E0C" w:rsidRPr="00FF492B" w:rsidRDefault="00CD4E0C" w:rsidP="00CD4E0C">
            <w:pPr>
              <w:spacing w:line="240" w:lineRule="auto"/>
              <w:jc w:val="center"/>
              <w:rPr>
                <w:sz w:val="18"/>
                <w:szCs w:val="18"/>
              </w:rPr>
            </w:pPr>
            <w:r w:rsidRPr="00FF492B">
              <w:rPr>
                <w:sz w:val="18"/>
                <w:szCs w:val="18"/>
              </w:rPr>
              <w:t>0.022</w:t>
            </w:r>
          </w:p>
        </w:tc>
        <w:tc>
          <w:tcPr>
            <w:tcW w:w="2056" w:type="dxa"/>
          </w:tcPr>
          <w:p w:rsidR="00CD4E0C" w:rsidRPr="00FF492B" w:rsidRDefault="00CD4E0C" w:rsidP="00CD4E0C">
            <w:pPr>
              <w:spacing w:line="240" w:lineRule="auto"/>
              <w:jc w:val="center"/>
              <w:rPr>
                <w:sz w:val="18"/>
                <w:szCs w:val="18"/>
              </w:rPr>
            </w:pPr>
            <w:r w:rsidRPr="00FF492B">
              <w:rPr>
                <w:sz w:val="18"/>
                <w:szCs w:val="18"/>
              </w:rPr>
              <w:t>0.016</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Thrombocytopenia</w:t>
            </w:r>
          </w:p>
        </w:tc>
        <w:tc>
          <w:tcPr>
            <w:tcW w:w="2158" w:type="dxa"/>
          </w:tcPr>
          <w:p w:rsidR="00CD4E0C" w:rsidRPr="00FF492B" w:rsidRDefault="00CD4E0C" w:rsidP="00CD4E0C">
            <w:pPr>
              <w:spacing w:line="240" w:lineRule="auto"/>
              <w:jc w:val="center"/>
              <w:rPr>
                <w:sz w:val="18"/>
                <w:szCs w:val="18"/>
              </w:rPr>
            </w:pPr>
            <w:r w:rsidRPr="00FF492B">
              <w:rPr>
                <w:sz w:val="18"/>
                <w:szCs w:val="18"/>
              </w:rPr>
              <w:t>0.067</w:t>
            </w:r>
          </w:p>
        </w:tc>
        <w:tc>
          <w:tcPr>
            <w:tcW w:w="2056" w:type="dxa"/>
          </w:tcPr>
          <w:p w:rsidR="00CD4E0C" w:rsidRPr="00FF492B" w:rsidRDefault="00CD4E0C" w:rsidP="00CD4E0C">
            <w:pPr>
              <w:spacing w:line="240" w:lineRule="auto"/>
              <w:jc w:val="center"/>
              <w:rPr>
                <w:sz w:val="18"/>
                <w:szCs w:val="18"/>
              </w:rPr>
            </w:pPr>
            <w:r w:rsidRPr="00FF492B">
              <w:rPr>
                <w:sz w:val="18"/>
                <w:szCs w:val="18"/>
              </w:rPr>
              <w:t>0.054</w:t>
            </w:r>
          </w:p>
        </w:tc>
        <w:tc>
          <w:tcPr>
            <w:tcW w:w="2056" w:type="dxa"/>
          </w:tcPr>
          <w:p w:rsidR="00CD4E0C" w:rsidRPr="00FF492B" w:rsidRDefault="00CD4E0C" w:rsidP="00CD4E0C">
            <w:pPr>
              <w:spacing w:line="240" w:lineRule="auto"/>
              <w:jc w:val="center"/>
              <w:rPr>
                <w:sz w:val="18"/>
                <w:szCs w:val="18"/>
              </w:rPr>
            </w:pPr>
            <w:r w:rsidRPr="00FF492B">
              <w:rPr>
                <w:sz w:val="18"/>
                <w:szCs w:val="18"/>
              </w:rPr>
              <w:t>0.212*</w:t>
            </w:r>
          </w:p>
        </w:tc>
      </w:tr>
      <w:tr w:rsidR="00CD4E0C" w:rsidRPr="00FF492B" w:rsidTr="0087718E">
        <w:tc>
          <w:tcPr>
            <w:tcW w:w="2042" w:type="dxa"/>
          </w:tcPr>
          <w:p w:rsidR="00CD4E0C" w:rsidRPr="00FF492B" w:rsidRDefault="00CD4E0C" w:rsidP="00CD4E0C">
            <w:pPr>
              <w:spacing w:line="240" w:lineRule="auto"/>
              <w:rPr>
                <w:sz w:val="18"/>
                <w:szCs w:val="18"/>
              </w:rPr>
            </w:pPr>
            <w:r w:rsidRPr="00FF492B">
              <w:rPr>
                <w:sz w:val="18"/>
                <w:szCs w:val="18"/>
              </w:rPr>
              <w:t>Leukopenia</w:t>
            </w:r>
          </w:p>
        </w:tc>
        <w:tc>
          <w:tcPr>
            <w:tcW w:w="2158" w:type="dxa"/>
          </w:tcPr>
          <w:p w:rsidR="00CD4E0C" w:rsidRPr="00FF492B" w:rsidRDefault="00CD4E0C" w:rsidP="00CD4E0C">
            <w:pPr>
              <w:spacing w:line="240" w:lineRule="auto"/>
              <w:jc w:val="center"/>
              <w:rPr>
                <w:sz w:val="18"/>
                <w:szCs w:val="18"/>
              </w:rPr>
            </w:pPr>
            <w:r w:rsidRPr="00FF492B">
              <w:rPr>
                <w:sz w:val="18"/>
                <w:szCs w:val="18"/>
              </w:rPr>
              <w:t>0.006</w:t>
            </w:r>
          </w:p>
        </w:tc>
        <w:tc>
          <w:tcPr>
            <w:tcW w:w="2056" w:type="dxa"/>
          </w:tcPr>
          <w:p w:rsidR="00CD4E0C" w:rsidRPr="00FF492B" w:rsidRDefault="00CD4E0C" w:rsidP="00CD4E0C">
            <w:pPr>
              <w:spacing w:line="240" w:lineRule="auto"/>
              <w:jc w:val="center"/>
              <w:rPr>
                <w:sz w:val="18"/>
                <w:szCs w:val="18"/>
              </w:rPr>
            </w:pPr>
            <w:r w:rsidRPr="00FF492B">
              <w:rPr>
                <w:sz w:val="18"/>
                <w:szCs w:val="18"/>
              </w:rPr>
              <w:t>0.008</w:t>
            </w:r>
          </w:p>
        </w:tc>
        <w:tc>
          <w:tcPr>
            <w:tcW w:w="2056" w:type="dxa"/>
          </w:tcPr>
          <w:p w:rsidR="00CD4E0C" w:rsidRPr="00FF492B" w:rsidRDefault="00CD4E0C" w:rsidP="00CD4E0C">
            <w:pPr>
              <w:spacing w:line="240" w:lineRule="auto"/>
              <w:jc w:val="center"/>
              <w:rPr>
                <w:sz w:val="18"/>
                <w:szCs w:val="18"/>
              </w:rPr>
            </w:pPr>
            <w:r w:rsidRPr="00FF492B">
              <w:rPr>
                <w:sz w:val="18"/>
                <w:szCs w:val="18"/>
              </w:rPr>
              <w:t>0.079*</w:t>
            </w:r>
          </w:p>
        </w:tc>
      </w:tr>
      <w:tr w:rsidR="00CD4E0C" w:rsidRPr="00FF492B" w:rsidTr="0087718E">
        <w:tc>
          <w:tcPr>
            <w:tcW w:w="8312" w:type="dxa"/>
            <w:gridSpan w:val="4"/>
          </w:tcPr>
          <w:p w:rsidR="00CD4E0C" w:rsidRPr="00FF492B" w:rsidRDefault="00CD4E0C" w:rsidP="0087718E">
            <w:pPr>
              <w:spacing w:line="240" w:lineRule="auto"/>
              <w:rPr>
                <w:sz w:val="18"/>
                <w:szCs w:val="18"/>
              </w:rPr>
            </w:pPr>
            <w:r>
              <w:rPr>
                <w:sz w:val="18"/>
                <w:szCs w:val="18"/>
              </w:rPr>
              <w:t>* Proportion of simulation runs statistically significantly</w:t>
            </w:r>
            <w:r w:rsidR="0087718E">
              <w:rPr>
                <w:sz w:val="18"/>
                <w:szCs w:val="18"/>
              </w:rPr>
              <w:t xml:space="preserve"> different (5% significant level)</w:t>
            </w:r>
          </w:p>
        </w:tc>
      </w:tr>
    </w:tbl>
    <w:p w:rsidR="00CD4E0C" w:rsidRDefault="00CD4E0C" w:rsidP="00CD4E0C"/>
    <w:p w:rsidR="00CD4E0C" w:rsidRDefault="00E729BA" w:rsidP="00CD4E0C">
      <w:r>
        <w:fldChar w:fldCharType="begin"/>
      </w:r>
      <w:r w:rsidR="00CD4E0C">
        <w:instrText xml:space="preserve"> REF _Ref325117353 \h </w:instrText>
      </w:r>
      <w:r>
        <w:fldChar w:fldCharType="separate"/>
      </w:r>
      <w:r w:rsidR="004911B7">
        <w:t xml:space="preserve">Figure </w:t>
      </w:r>
      <w:r w:rsidR="004911B7">
        <w:rPr>
          <w:noProof/>
        </w:rPr>
        <w:t>15</w:t>
      </w:r>
      <w:r>
        <w:fldChar w:fldCharType="end"/>
      </w:r>
      <w:r w:rsidR="00CD4E0C">
        <w:t xml:space="preserve"> illustrates a histogram of SLEDAI scores generated in the simulation and compares this with a histogram of observed SLEDAI score from the Hopkins cohort. The diagram shows that the simulation produces a very similar distribution of SLEDAI score to those observed in the Hopkins Lupus Cohort. </w:t>
      </w:r>
    </w:p>
    <w:p w:rsidR="00CD4E0C" w:rsidRDefault="00CD4E0C" w:rsidP="00234693">
      <w:pPr>
        <w:pStyle w:val="Caption"/>
      </w:pPr>
      <w:bookmarkStart w:id="336" w:name="_Ref325117353"/>
      <w:bookmarkStart w:id="337" w:name="_Ref325117338"/>
      <w:r>
        <w:t xml:space="preserve">Figure </w:t>
      </w:r>
      <w:r w:rsidR="00E729BA">
        <w:fldChar w:fldCharType="begin"/>
      </w:r>
      <w:r w:rsidR="000B0EDB">
        <w:instrText xml:space="preserve"> SEQ Figure \* ARABIC </w:instrText>
      </w:r>
      <w:r w:rsidR="00E729BA">
        <w:fldChar w:fldCharType="separate"/>
      </w:r>
      <w:r w:rsidR="004911B7">
        <w:rPr>
          <w:noProof/>
        </w:rPr>
        <w:t>15</w:t>
      </w:r>
      <w:r w:rsidR="00E729BA">
        <w:fldChar w:fldCharType="end"/>
      </w:r>
      <w:bookmarkEnd w:id="336"/>
      <w:r>
        <w:t>:</w:t>
      </w:r>
      <w:bookmarkEnd w:id="337"/>
      <w:r>
        <w:t xml:space="preserve"> A histogram of SLEDAI scores from the Simulation and Hopkins cohort</w:t>
      </w:r>
    </w:p>
    <w:p w:rsidR="00CD4E0C" w:rsidRDefault="00CD4E0C" w:rsidP="00CD4E0C">
      <w:pPr>
        <w:keepNext/>
      </w:pPr>
      <w:r w:rsidRPr="002C20F5">
        <w:rPr>
          <w:noProof/>
          <w:lang w:eastAsia="zh-CN" w:bidi="ar-SA"/>
        </w:rPr>
        <w:drawing>
          <wp:inline distT="0" distB="0" distL="0" distR="0">
            <wp:extent cx="3605514" cy="3600000"/>
            <wp:effectExtent l="19050" t="19050" r="13986" b="1950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05514" cy="3600000"/>
                    </a:xfrm>
                    <a:prstGeom prst="rect">
                      <a:avLst/>
                    </a:prstGeom>
                    <a:noFill/>
                    <a:ln w="9525">
                      <a:solidFill>
                        <a:schemeClr val="tx1"/>
                      </a:solidFill>
                      <a:miter lim="800000"/>
                      <a:headEnd/>
                      <a:tailEnd/>
                    </a:ln>
                  </pic:spPr>
                </pic:pic>
              </a:graphicData>
            </a:graphic>
          </wp:inline>
        </w:drawing>
      </w:r>
    </w:p>
    <w:p w:rsidR="00CD4E0C" w:rsidRDefault="00E729BA" w:rsidP="00EB0286">
      <w:r>
        <w:fldChar w:fldCharType="begin"/>
      </w:r>
      <w:r w:rsidR="00CD4E0C">
        <w:instrText xml:space="preserve"> REF _Ref325277173 \h </w:instrText>
      </w:r>
      <w:r>
        <w:fldChar w:fldCharType="separate"/>
      </w:r>
      <w:r w:rsidR="004911B7">
        <w:t xml:space="preserve">Figure </w:t>
      </w:r>
      <w:r w:rsidR="004911B7">
        <w:rPr>
          <w:noProof/>
        </w:rPr>
        <w:t>16</w:t>
      </w:r>
      <w:r>
        <w:fldChar w:fldCharType="end"/>
      </w:r>
      <w:r w:rsidR="00CD4E0C">
        <w:t xml:space="preserve"> illustrates a histogram of </w:t>
      </w:r>
      <w:r w:rsidR="00EB0286">
        <w:t>steroid</w:t>
      </w:r>
      <w:r w:rsidR="00CD4E0C">
        <w:t xml:space="preserve"> doses generated in the simulation and compares this with a histogram of observed </w:t>
      </w:r>
      <w:r w:rsidR="00EB0286">
        <w:t>steroid</w:t>
      </w:r>
      <w:r w:rsidR="00CD4E0C">
        <w:t xml:space="preserve"> dose in the Hopkins cohort. The simulation accurately simulates the proportion of patients with zero </w:t>
      </w:r>
      <w:r w:rsidR="00EB0286">
        <w:t>steroid</w:t>
      </w:r>
      <w:r w:rsidR="00CD4E0C">
        <w:t xml:space="preserve"> dose. The distribution of positive </w:t>
      </w:r>
      <w:r w:rsidR="00EB0286">
        <w:t>steroid</w:t>
      </w:r>
      <w:r w:rsidR="00CD4E0C">
        <w:t xml:space="preserve"> doses in the simulation is much smoother than those observed in the Hopkins Cohort. The real-life observations cluster around certain values is difficult to replicate in a simulation. </w:t>
      </w:r>
    </w:p>
    <w:p w:rsidR="00CD4E0C" w:rsidRDefault="00CD4E0C" w:rsidP="00EB0286">
      <w:pPr>
        <w:pStyle w:val="Caption"/>
      </w:pPr>
      <w:bookmarkStart w:id="338" w:name="_Ref325277173"/>
      <w:r>
        <w:t xml:space="preserve">Figure </w:t>
      </w:r>
      <w:r w:rsidR="00E729BA">
        <w:fldChar w:fldCharType="begin"/>
      </w:r>
      <w:r w:rsidR="000B0EDB">
        <w:instrText xml:space="preserve"> SEQ Figure \* ARABIC </w:instrText>
      </w:r>
      <w:r w:rsidR="00E729BA">
        <w:fldChar w:fldCharType="separate"/>
      </w:r>
      <w:r w:rsidR="004911B7">
        <w:rPr>
          <w:noProof/>
        </w:rPr>
        <w:t>16</w:t>
      </w:r>
      <w:r w:rsidR="00E729BA">
        <w:fldChar w:fldCharType="end"/>
      </w:r>
      <w:bookmarkEnd w:id="338"/>
      <w:r>
        <w:t xml:space="preserve">: A histogram of </w:t>
      </w:r>
      <w:r w:rsidR="00EB0286">
        <w:t>steroid (</w:t>
      </w:r>
      <w:r w:rsidR="0016510D">
        <w:t>prednisone</w:t>
      </w:r>
      <w:r w:rsidR="00EB0286">
        <w:t>)</w:t>
      </w:r>
      <w:r>
        <w:t xml:space="preserve"> dose from the Simulation and Hopkins cohort</w:t>
      </w:r>
    </w:p>
    <w:p w:rsidR="00CD4E0C" w:rsidRDefault="00CD4E0C" w:rsidP="00CD4E0C">
      <w:r w:rsidRPr="00CD4E0C">
        <w:rPr>
          <w:noProof/>
          <w:lang w:eastAsia="zh-CN" w:bidi="ar-SA"/>
        </w:rPr>
        <w:drawing>
          <wp:inline distT="0" distB="0" distL="0" distR="0">
            <wp:extent cx="3604249" cy="3600000"/>
            <wp:effectExtent l="19050" t="19050" r="15251" b="1950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604249" cy="3600000"/>
                    </a:xfrm>
                    <a:prstGeom prst="rect">
                      <a:avLst/>
                    </a:prstGeom>
                    <a:noFill/>
                    <a:ln w="9525">
                      <a:solidFill>
                        <a:schemeClr val="tx1"/>
                      </a:solidFill>
                      <a:miter lim="800000"/>
                      <a:headEnd/>
                      <a:tailEnd/>
                    </a:ln>
                  </pic:spPr>
                </pic:pic>
              </a:graphicData>
            </a:graphic>
          </wp:inline>
        </w:drawing>
      </w:r>
    </w:p>
    <w:p w:rsidR="00D24BB7" w:rsidRDefault="00D24BB7" w:rsidP="00CD4E0C">
      <w:pPr>
        <w:pStyle w:val="Heading3"/>
      </w:pPr>
      <w:bookmarkStart w:id="339" w:name="_Toc379467622"/>
      <w:r>
        <w:t>V</w:t>
      </w:r>
      <w:r w:rsidR="00CD4E0C">
        <w:t>a</w:t>
      </w:r>
      <w:r>
        <w:t>lidation of O</w:t>
      </w:r>
      <w:r w:rsidR="00CD4E0C">
        <w:t>r</w:t>
      </w:r>
      <w:r>
        <w:t>ga</w:t>
      </w:r>
      <w:r w:rsidR="00CD4E0C">
        <w:t>n Damage Accrual Against Hopkins</w:t>
      </w:r>
      <w:r>
        <w:t xml:space="preserve"> Lupus Cohort</w:t>
      </w:r>
      <w:r w:rsidR="00CD4E0C">
        <w:t xml:space="preserve"> and the Toronto Lupus Cohort</w:t>
      </w:r>
      <w:bookmarkEnd w:id="339"/>
    </w:p>
    <w:p w:rsidR="00CD4E0C" w:rsidRDefault="00CD4E0C" w:rsidP="00B62FFB">
      <w:r>
        <w:t xml:space="preserve">I presented a conference paper at the 2012 Operational Research Society Simulation Workshop 2012, describing the internal and external validity of the natural history model. The paper is provided in Appendix 9 for reference. </w:t>
      </w:r>
      <w:r w:rsidR="00E729BA">
        <w:fldChar w:fldCharType="begin"/>
      </w:r>
      <w:r w:rsidR="00B62FFB">
        <w:instrText xml:space="preserve"> REF _Ref363304310 \h </w:instrText>
      </w:r>
      <w:r w:rsidR="00E729BA">
        <w:fldChar w:fldCharType="separate"/>
      </w:r>
      <w:r w:rsidR="004911B7">
        <w:t xml:space="preserve">Figure </w:t>
      </w:r>
      <w:r w:rsidR="004911B7">
        <w:rPr>
          <w:noProof/>
        </w:rPr>
        <w:t>17</w:t>
      </w:r>
      <w:r w:rsidR="00E729BA">
        <w:fldChar w:fldCharType="end"/>
      </w:r>
      <w:r w:rsidR="00B62FFB">
        <w:t xml:space="preserve"> illustrates the incidence of organ damage by organ system for the Hopkins Lupus cohort, and the simulated outcomes. </w:t>
      </w:r>
      <w:r w:rsidR="00E729BA">
        <w:fldChar w:fldCharType="begin"/>
      </w:r>
      <w:r w:rsidR="00B62FFB">
        <w:instrText xml:space="preserve"> REF _Ref363304366 \h </w:instrText>
      </w:r>
      <w:r w:rsidR="00E729BA">
        <w:fldChar w:fldCharType="separate"/>
      </w:r>
      <w:r w:rsidR="004911B7">
        <w:t xml:space="preserve">Figure </w:t>
      </w:r>
      <w:r w:rsidR="004911B7">
        <w:rPr>
          <w:noProof/>
        </w:rPr>
        <w:t>18</w:t>
      </w:r>
      <w:r w:rsidR="00E729BA">
        <w:fldChar w:fldCharType="end"/>
      </w:r>
      <w:r w:rsidR="00B62FFB">
        <w:t xml:space="preserve"> illustrates the incidence of organ damage by organ system for the Toronto Lupus cohort, and the simulated outcomes. The simulation fits better to the Hopkins cohort data, than the Toronto data. Skin damage and pulmonary damage are the most inaccurate outcomes from the simulation compared with the Toronto data.</w:t>
      </w:r>
    </w:p>
    <w:p w:rsidR="00B62FFB" w:rsidRDefault="00B62FFB" w:rsidP="00234693">
      <w:pPr>
        <w:pStyle w:val="Caption"/>
      </w:pPr>
      <w:bookmarkStart w:id="340" w:name="_Ref363304310"/>
      <w:r>
        <w:t xml:space="preserve">Figure </w:t>
      </w:r>
      <w:r w:rsidR="00E729BA">
        <w:fldChar w:fldCharType="begin"/>
      </w:r>
      <w:r w:rsidR="000B0EDB">
        <w:instrText xml:space="preserve"> SEQ Figure \* ARABIC </w:instrText>
      </w:r>
      <w:r w:rsidR="00E729BA">
        <w:fldChar w:fldCharType="separate"/>
      </w:r>
      <w:r w:rsidR="004911B7">
        <w:rPr>
          <w:noProof/>
        </w:rPr>
        <w:t>17</w:t>
      </w:r>
      <w:r w:rsidR="00E729BA">
        <w:fldChar w:fldCharType="end"/>
      </w:r>
      <w:bookmarkEnd w:id="340"/>
      <w:r>
        <w:t>: Simulated organ damage accrual compared with the Hopkins Lupus Cohort</w:t>
      </w:r>
    </w:p>
    <w:p w:rsidR="00B62FFB" w:rsidRDefault="00B62FFB" w:rsidP="00B62FFB">
      <w:r w:rsidRPr="00B62FFB">
        <w:rPr>
          <w:noProof/>
          <w:lang w:eastAsia="zh-CN" w:bidi="ar-SA"/>
        </w:rPr>
        <w:drawing>
          <wp:inline distT="0" distB="0" distL="0" distR="0">
            <wp:extent cx="4591050" cy="276225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4591050" cy="2762250"/>
                    </a:xfrm>
                    <a:prstGeom prst="rect">
                      <a:avLst/>
                    </a:prstGeom>
                    <a:noFill/>
                    <a:ln w="9525">
                      <a:noFill/>
                      <a:miter lim="800000"/>
                      <a:headEnd/>
                      <a:tailEnd/>
                    </a:ln>
                  </pic:spPr>
                </pic:pic>
              </a:graphicData>
            </a:graphic>
          </wp:inline>
        </w:drawing>
      </w:r>
    </w:p>
    <w:p w:rsidR="00B62FFB" w:rsidRDefault="00B62FFB" w:rsidP="00234693">
      <w:pPr>
        <w:pStyle w:val="Caption"/>
      </w:pPr>
      <w:bookmarkStart w:id="341" w:name="_Ref363304366"/>
      <w:r>
        <w:t xml:space="preserve">Figure </w:t>
      </w:r>
      <w:r w:rsidR="00E729BA">
        <w:fldChar w:fldCharType="begin"/>
      </w:r>
      <w:r w:rsidR="000B0EDB">
        <w:instrText xml:space="preserve"> SEQ Figure \* ARABIC </w:instrText>
      </w:r>
      <w:r w:rsidR="00E729BA">
        <w:fldChar w:fldCharType="separate"/>
      </w:r>
      <w:r w:rsidR="004911B7">
        <w:rPr>
          <w:noProof/>
        </w:rPr>
        <w:t>18</w:t>
      </w:r>
      <w:r w:rsidR="00E729BA">
        <w:fldChar w:fldCharType="end"/>
      </w:r>
      <w:bookmarkEnd w:id="341"/>
      <w:r>
        <w:t>: Simulated organ damage accrual compared with the Toronto Lupus Cohort</w:t>
      </w:r>
    </w:p>
    <w:p w:rsidR="00B62FFB" w:rsidRPr="00CD4E0C" w:rsidRDefault="00B62FFB" w:rsidP="00CD4E0C">
      <w:r w:rsidRPr="00B62FFB">
        <w:rPr>
          <w:noProof/>
          <w:lang w:eastAsia="zh-CN" w:bidi="ar-SA"/>
        </w:rPr>
        <w:drawing>
          <wp:inline distT="0" distB="0" distL="0" distR="0">
            <wp:extent cx="4333875" cy="2609850"/>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4333875" cy="2609850"/>
                    </a:xfrm>
                    <a:prstGeom prst="rect">
                      <a:avLst/>
                    </a:prstGeom>
                    <a:noFill/>
                    <a:ln w="9525">
                      <a:noFill/>
                      <a:miter lim="800000"/>
                      <a:headEnd/>
                      <a:tailEnd/>
                    </a:ln>
                  </pic:spPr>
                </pic:pic>
              </a:graphicData>
            </a:graphic>
          </wp:inline>
        </w:drawing>
      </w:r>
    </w:p>
    <w:p w:rsidR="006074C8" w:rsidRDefault="006074C8" w:rsidP="006074C8">
      <w:pPr>
        <w:pStyle w:val="Heading2"/>
        <w:spacing w:after="100"/>
      </w:pPr>
      <w:bookmarkStart w:id="342" w:name="_Ref363308559"/>
      <w:bookmarkStart w:id="343" w:name="_Toc379467623"/>
      <w:r>
        <w:t>Discussion</w:t>
      </w:r>
      <w:bookmarkEnd w:id="331"/>
      <w:bookmarkEnd w:id="332"/>
      <w:bookmarkEnd w:id="342"/>
      <w:bookmarkEnd w:id="343"/>
    </w:p>
    <w:p w:rsidR="007112D2" w:rsidRDefault="007112D2" w:rsidP="00033D17">
      <w:pPr>
        <w:pStyle w:val="Heading3"/>
      </w:pPr>
      <w:bookmarkStart w:id="344" w:name="_Toc379467624"/>
      <w:r>
        <w:t>Summary of the Key Findings of the SLEDAI Item and S</w:t>
      </w:r>
      <w:r w:rsidR="00033D17">
        <w:t>t</w:t>
      </w:r>
      <w:r>
        <w:t>eroid Model</w:t>
      </w:r>
      <w:r w:rsidR="008731E8">
        <w:t>, Annual Disease Activity and St</w:t>
      </w:r>
      <w:r>
        <w:t>eroid Models and Organ damage and Mortality Models</w:t>
      </w:r>
      <w:bookmarkEnd w:id="344"/>
    </w:p>
    <w:p w:rsidR="00431ED4" w:rsidRDefault="00200D73" w:rsidP="00167AA5">
      <w:r>
        <w:t>In this chapter I report</w:t>
      </w:r>
      <w:r w:rsidR="00167AA5">
        <w:t>ed</w:t>
      </w:r>
      <w:r>
        <w:t xml:space="preserve"> the results of statistical models to predict quarterly incidence of 24 SLEDAI items, and used a hurdle model to estimate steroid dose at quarterly intervals. </w:t>
      </w:r>
      <w:r w:rsidR="00D24BB7">
        <w:t xml:space="preserve">Analyses found that age, gender and ethnicity impact on the probability of disease activity. </w:t>
      </w:r>
      <w:r w:rsidR="00431ED4">
        <w:t xml:space="preserve">The findings of the statistical models predicting SLEDAI items are consistent with other analyses in the literature  </w:t>
      </w:r>
      <w:r w:rsidR="00E729BA">
        <w:fldChar w:fldCharType="begin"/>
      </w:r>
      <w:r w:rsidR="00FC61FD">
        <w:instrText xml:space="preserve"> ADDIN REFMGR.CITE &lt;Refman&gt;&lt;Cite&gt;&lt;Author&gt;Bertoli&lt;/Author&gt;&lt;Year&gt;2006&lt;/Year&gt;&lt;RecNum&gt;502&lt;/RecNum&gt;&lt;IDText&gt;Systemic lupus erythematosus in a multiethnic U.S. cohort (LUMINA) XXVII: factors predictive of a decline to low levels of disease activity&lt;/IDText&gt;&lt;MDL Ref_Type="Journal"&gt;&lt;Ref_Type&gt;Journal&lt;/Ref_Type&gt;&lt;Ref_ID&gt;502&lt;/Ref_ID&gt;&lt;Title_Primary&gt;Systemic lupus erythematosus in a multiethnic U.S. cohort (LUMINA) XXVII: factors predictive of a decline to low levels of disease activity&lt;/Title_Primary&gt;&lt;Authors_Primary&gt;Bertoli,A.M.&lt;/Authors_Primary&gt;&lt;Authors_Primary&gt;Alarcon,G.S.&lt;/Authors_Primary&gt;&lt;Authors_Primary&gt;McGwin,G.,Jr.&lt;/Authors_Primary&gt;&lt;Authors_Primary&gt;Fernandez,M.&lt;/Authors_Primary&gt;&lt;Authors_Primary&gt;Bastian,H.M.&lt;/Authors_Primary&gt;&lt;Authors_Primary&gt;Fessler,B.J.&lt;/Authors_Primary&gt;&lt;Authors_Primary&gt;Vila,L.M.&lt;/Authors_Primary&gt;&lt;Authors_Primary&gt;Reveille,J.D.&lt;/Authors_Primary&gt;&lt;Date_Primary&gt;2006&lt;/Date_Primary&gt;&lt;Keywords&gt;Adult&lt;/Keywords&gt;&lt;Keywords&gt;African Americans&lt;/Keywords&gt;&lt;Keywords&gt;Alabama&lt;/Keywords&gt;&lt;Keywords&gt;analysis&lt;/Keywords&gt;&lt;Keywords&gt;Confidence Intervals&lt;/Keywords&gt;&lt;Keywords&gt;diagnosis&lt;/Keywords&gt;&lt;Keywords&gt;Disease&lt;/Keywords&gt;&lt;Keywords&gt;Disease Progression&lt;/Keywords&gt;&lt;Keywords&gt;epidemiology&lt;/Keywords&gt;&lt;Keywords&gt;erythematosus&lt;/Keywords&gt;&lt;Keywords&gt;ethnology&lt;/Keywords&gt;&lt;Keywords&gt;European Continental Ancestry Group&lt;/Keywords&gt;&lt;Keywords&gt;Female&lt;/Keywords&gt;&lt;Keywords&gt;Follow-Up Studies&lt;/Keywords&gt;&lt;Keywords&gt;Hispanic Americans&lt;/Keywords&gt;&lt;Keywords&gt;Humans&lt;/Keywords&gt;&lt;Keywords&gt;immunology&lt;/Keywords&gt;&lt;Keywords&gt;Incidence&lt;/Keywords&gt;&lt;Keywords&gt;lupus erythematosus&lt;/Keywords&gt;&lt;Keywords&gt;Lupus Erythematosus,Systemic&lt;/Keywords&gt;&lt;Keywords&gt;Male&lt;/Keywords&gt;&lt;Keywords&gt;patient&lt;/Keywords&gt;&lt;Keywords&gt;Patients&lt;/Keywords&gt;&lt;Keywords&gt;Prognosis&lt;/Keywords&gt;&lt;Keywords&gt;Puerto Rico&lt;/Keywords&gt;&lt;Keywords&gt;Retrospective Studies&lt;/Keywords&gt;&lt;Keywords&gt;Rheumatology&lt;/Keywords&gt;&lt;Keywords&gt;Severity of Illness Index&lt;/Keywords&gt;&lt;Keywords&gt;Social Support&lt;/Keywords&gt;&lt;Keywords&gt;systemic lupus erythematosus&lt;/Keywords&gt;&lt;Keywords&gt;Texas&lt;/Keywords&gt;&lt;Keywords&gt;United States&lt;/Keywords&gt;&lt;Reprint&gt;Not in File&lt;/Reprint&gt;&lt;Start_Page&gt;13&lt;/Start_Page&gt;&lt;End_Page&gt;18&lt;/End_Page&gt;&lt;Periodical&gt;Lupus.&lt;/Periodical&gt;&lt;Volume&gt;15&lt;/Volume&gt;&lt;Issue&gt;1&lt;/Issue&gt;&lt;User_Def_1&gt;y&lt;/User_Def_1&gt;&lt;ZZ_JournalStdAbbrev&gt;&lt;f name="System"&gt;Lupus.&lt;/f&gt;&lt;/ZZ_JournalStdAbbrev&gt;&lt;ZZ_WorkformID&gt;1&lt;/ZZ_WorkformID&gt;&lt;/MDL&gt;&lt;/Cite&gt;&lt;/Refman&gt;</w:instrText>
      </w:r>
      <w:r w:rsidR="00E729BA">
        <w:fldChar w:fldCharType="separate"/>
      </w:r>
      <w:r w:rsidR="004D7951">
        <w:t>(139)</w:t>
      </w:r>
      <w:r w:rsidR="00E729BA">
        <w:fldChar w:fldCharType="end"/>
      </w:r>
      <w:r w:rsidR="00431ED4">
        <w:t xml:space="preserve">. A previous study that found that previous renal involvement predicted renal involvement, and previous musculoskeletal involvement predicted musculoskeletal involvement </w:t>
      </w:r>
      <w:r w:rsidR="00E729BA">
        <w:fldChar w:fldCharType="begin"/>
      </w:r>
      <w:r w:rsidR="00FC61FD">
        <w:instrText xml:space="preserve"> ADDIN REFMGR.CITE &lt;Refman&gt;&lt;Cite&gt;&lt;Author&gt;Allen&lt;/Author&gt;&lt;Year&gt;2006&lt;/Year&gt;&lt;RecNum&gt;462&lt;/RecNum&gt;&lt;IDText&gt;A statistical analysis of the interrelationships between disease activity in different systems in systemic lupus erythematosus&lt;/IDText&gt;&lt;MDL Ref_Type="Journal"&gt;&lt;Ref_Type&gt;Journal&lt;/Ref_Type&gt;&lt;Ref_ID&gt;462&lt;/Ref_ID&gt;&lt;Title_Primary&gt;A statistical analysis of the interrelationships between disease activity in different systems in systemic lupus erythematosus&lt;/Title_Primary&gt;&lt;Authors_Primary&gt;Allen,E.&lt;/Authors_Primary&gt;&lt;Authors_Primary&gt;Farewell,V.T.&lt;/Authors_Primary&gt;&lt;Authors_Primary&gt;Isenberg,D.A.&lt;/Authors_Primary&gt;&lt;Authors_Primary&gt;Gordon,C.&lt;/Authors_Primary&gt;&lt;Date_Primary&gt;2006/3&lt;/Date_Primary&gt;&lt;Keywords&gt;Adolescent&lt;/Keywords&gt;&lt;Keywords&gt;Adult&lt;/Keywords&gt;&lt;Keywords&gt;Aged&lt;/Keywords&gt;&lt;Keywords&gt;Aged,80 and over&lt;/Keywords&gt;&lt;Keywords&gt;analysis&lt;/Keywords&gt;&lt;Keywords&gt;complications&lt;/Keywords&gt;&lt;Keywords&gt;Disease&lt;/Keywords&gt;&lt;Keywords&gt;erythematosus&lt;/Keywords&gt;&lt;Keywords&gt;Female&lt;/Keywords&gt;&lt;Keywords&gt;Humans&lt;/Keywords&gt;&lt;Keywords&gt;Logistic Models&lt;/Keywords&gt;&lt;Keywords&gt;London&lt;/Keywords&gt;&lt;Keywords&gt;lupus erythematosus&lt;/Keywords&gt;&lt;Keywords&gt;Lupus Erythematosus,Cutaneous&lt;/Keywords&gt;&lt;Keywords&gt;Lupus Erythematosus,Systemic&lt;/Keywords&gt;&lt;Keywords&gt;Lupus Nephritis&lt;/Keywords&gt;&lt;Keywords&gt;Male&lt;/Keywords&gt;&lt;Keywords&gt;methods&lt;/Keywords&gt;&lt;Keywords&gt;Middle Aged&lt;/Keywords&gt;&lt;Keywords&gt;Musculoskeletal Diseases&lt;/Keywords&gt;&lt;Keywords&gt;Musculoskeletal System&lt;/Keywords&gt;&lt;Keywords&gt;patient&lt;/Keywords&gt;&lt;Keywords&gt;Patients&lt;/Keywords&gt;&lt;Keywords&gt;Prospective Studies&lt;/Keywords&gt;&lt;Keywords&gt;Reproducibility of Results&lt;/Keywords&gt;&lt;Keywords&gt;Severity of Illness Index&lt;/Keywords&gt;&lt;Keywords&gt;systemic lupus erythematosus&lt;/Keywords&gt;&lt;Reprint&gt;Not in File&lt;/Reprint&gt;&lt;Start_Page&gt;308&lt;/Start_Page&gt;&lt;End_Page&gt;313&lt;/End_Page&gt;&lt;Periodical&gt;Rheumatology.(Oxford).&lt;/Periodical&gt;&lt;Volume&gt;45&lt;/Volume&gt;&lt;Issue&gt;3&lt;/Issue&gt;&lt;User_Def_1&gt;Disease Activity&lt;/User_Def_1&gt;&lt;ZZ_JournalStdAbbrev&gt;&lt;f name="System"&gt;Rheumatology.(Oxford).&lt;/f&gt;&lt;/ZZ_JournalStdAbbrev&gt;&lt;ZZ_WorkformID&gt;1&lt;/ZZ_WorkformID&gt;&lt;/MDL&gt;&lt;/Cite&gt;&lt;/Refman&gt;</w:instrText>
      </w:r>
      <w:r w:rsidR="00E729BA">
        <w:fldChar w:fldCharType="separate"/>
      </w:r>
      <w:r w:rsidR="004D7951">
        <w:t>(138)</w:t>
      </w:r>
      <w:r w:rsidR="00E729BA">
        <w:fldChar w:fldCharType="end"/>
      </w:r>
      <w:r w:rsidR="00431ED4">
        <w:t xml:space="preserve">. This study also identified that individuals with a history of renal involvement were less likely to develop musculoskeletal or skin involvement. The results </w:t>
      </w:r>
      <w:r w:rsidR="00167AA5">
        <w:t>were</w:t>
      </w:r>
      <w:r w:rsidR="00431ED4">
        <w:t xml:space="preserve"> consistent with the findings of this analysis which identified that if a SLEDAI item was present in the previous period it was a strong predictor of future involvement. </w:t>
      </w:r>
      <w:r w:rsidR="00167AA5">
        <w:t xml:space="preserve">Although, </w:t>
      </w:r>
      <w:r w:rsidR="00431ED4">
        <w:t xml:space="preserve">I did not find that previous renal involvement was negatively associated with musculoskeletal involvement, there was a negative association between </w:t>
      </w:r>
      <w:r w:rsidR="00167AA5">
        <w:t>ha</w:t>
      </w:r>
      <w:r w:rsidR="00431ED4">
        <w:t xml:space="preserve">ematuria and Mucosal ulcers. </w:t>
      </w:r>
    </w:p>
    <w:p w:rsidR="007112D2" w:rsidRPr="007112D2" w:rsidRDefault="00431ED4" w:rsidP="00EE6857">
      <w:r>
        <w:t xml:space="preserve">Higher adjusted mean SLEDAI and </w:t>
      </w:r>
      <w:r w:rsidR="00D24BB7">
        <w:t xml:space="preserve">cumulative average SLEDAI predicted a shorter time to mortality and organ damage events. </w:t>
      </w:r>
      <w:r>
        <w:t xml:space="preserve">As previously discussed in Chapter 5, many epidemiology studies in SLE have identified that average SLEDAI score and steroid dose are associated with organ damage and mortality </w:t>
      </w:r>
      <w:r w:rsidR="00E729BA">
        <w:fldChar w:fldCharType="begin"/>
      </w:r>
      <w:r w:rsidR="00FC61FD">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name="System"&gt;J.Rheumatol.&lt;/f&gt;&lt;/ZZ_JournalStdAbbrev&gt;&lt;ZZ_WorkformID&gt;1&lt;/ZZ_WorkformID&gt;&lt;/MDL&gt;&lt;/Cite&gt;&lt;Cite&gt;&lt;Author&gt;Thamer&lt;/Author&gt;&lt;Year&gt;2009&lt;/Year&gt;&lt;RecNum&gt;102&lt;/RecNum&gt;&lt;IDText&gt;Prednisone, lupus activity, and permanent organ damage&lt;/IDText&gt;&lt;MDL Ref_Type="Journal"&gt;&lt;Ref_Type&gt;Journal&lt;/Ref_Type&gt;&lt;Ref_ID&gt;102&lt;/Ref_ID&gt;&lt;Title_Primary&gt;Prednisone, lupus activity, and permanent organ damage&lt;/Title_Primary&gt;&lt;Authors_Primary&gt;Thamer,M.&lt;/Authors_Primary&gt;&lt;Authors_Primary&gt;Hernan,M.A.&lt;/Authors_Primary&gt;&lt;Authors_Primary&gt;Zhang,Y.&lt;/Authors_Primary&gt;&lt;Authors_Primary&gt;Cotter,D.&lt;/Authors_Primary&gt;&lt;Authors_Primary&gt;Petri,M.&lt;/Authors_Primary&gt;&lt;Date_Primary&gt;2009/3&lt;/Date_Primary&gt;&lt;Keywords&gt;Adolescent&lt;/Keywords&gt;&lt;Keywords&gt;Adrenal Cortex Hormones&lt;/Keywords&gt;&lt;Keywords&gt;Adult&lt;/Keywords&gt;&lt;Keywords&gt;adverse effects&lt;/Keywords&gt;&lt;Keywords&gt;Aged&lt;/Keywords&gt;&lt;Keywords&gt;Child&lt;/Keywords&gt;&lt;Keywords&gt;death&lt;/Keywords&gt;&lt;Keywords&gt;Disease&lt;/Keywords&gt;&lt;Keywords&gt;drug therapy&lt;/Keywords&gt;&lt;Keywords&gt;erythematosus&lt;/Keywords&gt;&lt;Keywords&gt;Female&lt;/Keywords&gt;&lt;Keywords&gt;Humans&lt;/Keywords&gt;&lt;Keywords&gt;lupus erythematosus&lt;/Keywords&gt;&lt;Keywords&gt;Lupus Erythematosus,Systemic&lt;/Keywords&gt;&lt;Keywords&gt;Male&lt;/Keywords&gt;&lt;Keywords&gt;methods&lt;/Keywords&gt;&lt;Keywords&gt;Methylprednisolone&lt;/Keywords&gt;&lt;Keywords&gt;Middle Aged&lt;/Keywords&gt;&lt;Keywords&gt;Odds Ratio&lt;/Keywords&gt;&lt;Keywords&gt;patient&lt;/Keywords&gt;&lt;Keywords&gt;Patients&lt;/Keywords&gt;&lt;Keywords&gt;population&lt;/Keywords&gt;&lt;Keywords&gt;Prednisone&lt;/Keywords&gt;&lt;Keywords&gt;Proportional Hazards Models&lt;/Keywords&gt;&lt;Keywords&gt;Prospective Studies&lt;/Keywords&gt;&lt;Keywords&gt;Risk&lt;/Keywords&gt;&lt;Keywords&gt;Severity of Illness Index&lt;/Keywords&gt;&lt;Keywords&gt;systemic lupus erythematosus&lt;/Keywords&gt;&lt;Keywords&gt;therapy&lt;/Keywords&gt;&lt;Keywords&gt;Time Factors&lt;/Keywords&gt;&lt;Keywords&gt;Young Adult&lt;/Keywords&gt;&lt;Reprint&gt;Not in File&lt;/Reprint&gt;&lt;Start_Page&gt;560&lt;/Start_Page&gt;&lt;End_Page&gt;564&lt;/End_Page&gt;&lt;Periodical&gt;J.Rheumatol.&lt;/Periodical&gt;&lt;Volume&gt;36&lt;/Volume&gt;&lt;Issue&gt;3&lt;/Issue&gt;&lt;User_Def_1&gt;y&lt;/User_Def_1&gt;&lt;ZZ_JournalStdAbbrev&gt;&lt;f name="System"&gt;J.Rheumatol.&lt;/f&gt;&lt;/ZZ_JournalStdAbbrev&gt;&lt;ZZ_WorkformID&gt;1&lt;/ZZ_WorkformID&gt;&lt;/MDL&gt;&lt;/Cite&gt;&lt;Cite&gt;&lt;Author&gt;Becker-Merok&lt;/Author&gt;&lt;Year&gt;2006&lt;/Year&gt;&lt;RecNum&gt;424&lt;/RecNum&gt;&lt;IDText&gt;Damage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name="System"&gt;J.Rheumatol.&lt;/f&gt;&lt;/ZZ_JournalStdAbbrev&gt;&lt;ZZ_WorkformID&gt;1&lt;/ZZ_WorkformID&gt;&lt;/MDL&gt;&lt;/Cite&gt;&lt;Cite&gt;&lt;Author&gt;Bertoli&lt;/Author&gt;&lt;Year&gt;2007&lt;/Year&gt;&lt;RecNum&gt;371&lt;/RecNum&gt;&lt;IDText&gt;Systemic lupus erythematosus in a multiethnic US Cohort LUMINA XLVIII: factors predictive of pulmonary damage&lt;/IDText&gt;&lt;MDL Ref_Type="Journal"&gt;&lt;Ref_Type&gt;Journal&lt;/Ref_Type&gt;&lt;Ref_ID&gt;371&lt;/Ref_ID&gt;&lt;Title_Primary&gt;Systemic lupus erythematosus in a multiethnic US Cohort LUMINA XLVIII: factors predictive of pulmonary damage&lt;/Title_Primary&gt;&lt;Authors_Primary&gt;Bertoli,A.M.&lt;/Authors_Primary&gt;&lt;Authors_Primary&gt;Vila,L.M.&lt;/Authors_Primary&gt;&lt;Authors_Primary&gt;Apte,M.&lt;/Authors_Primary&gt;&lt;Authors_Primary&gt;Fessler,B.J.&lt;/Authors_Primary&gt;&lt;Authors_Primary&gt;Bastian,H.M.&lt;/Authors_Primary&gt;&lt;Authors_Primary&gt;Reveille,J.D.&lt;/Authors_Primary&gt;&lt;Authors_Primary&gt;Alarcon,G.S.&lt;/Authors_Primary&gt;&lt;Date_Primary&gt;2007&lt;/Date_Primary&gt;&lt;Keywords&gt;Adult&lt;/Keywords&gt;&lt;Keywords&gt;African Americans&lt;/Keywords&gt;&lt;Keywords&gt;age&lt;/Keywords&gt;&lt;Keywords&gt;Age Factors&lt;/Keywords&gt;&lt;Keywords&gt;Antibodies&lt;/Keywords&gt;&lt;Keywords&gt;Autoantibodies&lt;/Keywords&gt;&lt;Keywords&gt;Autoantigens&lt;/Keywords&gt;&lt;Keywords&gt;blood&lt;/Keywords&gt;&lt;Keywords&gt;Cohort Studies&lt;/Keywords&gt;&lt;Keywords&gt;complications&lt;/Keywords&gt;&lt;Keywords&gt;Disease&lt;/Keywords&gt;&lt;Keywords&gt;erythematosus&lt;/Keywords&gt;&lt;Keywords&gt;ethnology&lt;/Keywords&gt;&lt;Keywords&gt;etiology&lt;/Keywords&gt;&lt;Keywords&gt;European Continental Ancestry Group&lt;/Keywords&gt;&lt;Keywords&gt;Female&lt;/Keywords&gt;&lt;Keywords&gt;Hispanic Americans&lt;/Keywords&gt;&lt;Keywords&gt;Humans&lt;/Keywords&gt;&lt;Keywords&gt;Hypertension&lt;/Keywords&gt;&lt;Keywords&gt;immunology&lt;/Keywords&gt;&lt;Keywords&gt;Infarction&lt;/Keywords&gt;&lt;Keywords&gt;Longitudinal Studies&lt;/Keywords&gt;&lt;Keywords&gt;Lung&lt;/Keywords&gt;&lt;Keywords&gt;Lung Diseases&lt;/Keywords&gt;&lt;Keywords&gt;lupus erythematosus&lt;/Keywords&gt;&lt;Keywords&gt;Lupus Erythematosus,Systemic&lt;/Keywords&gt;&lt;Keywords&gt;Male&lt;/Keywords&gt;&lt;Keywords&gt;Middle Aged&lt;/Keywords&gt;&lt;Keywords&gt;Multivariate Analysis&lt;/Keywords&gt;&lt;Keywords&gt;Oral Ulcer&lt;/Keywords&gt;&lt;Keywords&gt;patient&lt;/Keywords&gt;&lt;Keywords&gt;Patients&lt;/Keywords&gt;&lt;Keywords&gt;physiopathology&lt;/Keywords&gt;&lt;Keywords&gt;Pneumonia&lt;/Keywords&gt;&lt;Keywords&gt;Predictive Value of Tests&lt;/Keywords&gt;&lt;Keywords&gt;Proportional Hazards Models&lt;/Keywords&gt;&lt;Keywords&gt;Puerto Rico&lt;/Keywords&gt;&lt;Keywords&gt;Rheumatology&lt;/Keywords&gt;&lt;Keywords&gt;snRNP Core Proteins&lt;/Keywords&gt;&lt;Keywords&gt;Survival Analysis&lt;/Keywords&gt;&lt;Keywords&gt;Syndrome&lt;/Keywords&gt;&lt;Keywords&gt;systemic lupus erythematosus&lt;/Keywords&gt;&lt;Keywords&gt;Time&lt;/Keywords&gt;&lt;Keywords&gt;Time Factors&lt;/Keywords&gt;&lt;Keywords&gt;Ulcer&lt;/Keywords&gt;&lt;Keywords&gt;United States&lt;/Keywords&gt;&lt;Reprint&gt;Not in File&lt;/Reprint&gt;&lt;Start_Page&gt;410&lt;/Start_Page&gt;&lt;End_Page&gt;417&lt;/End_Page&gt;&lt;Periodical&gt;Lupus.&lt;/Periodical&gt;&lt;Volume&gt;16&lt;/Volume&gt;&lt;Issue&gt;6&lt;/Issue&gt;&lt;User_Def_1&gt;y&lt;/User_Def_1&gt;&lt;ZZ_JournalStdAbbrev&gt;&lt;f name="System"&gt;Lupus.&lt;/f&gt;&lt;/ZZ_JournalStdAbbrev&gt;&lt;ZZ_WorkformID&gt;1&lt;/ZZ_WorkformID&gt;&lt;/MDL&gt;&lt;/Cite&gt;&lt;Cite&gt;&lt;Author&gt;Ibanez&lt;/Author&gt;&lt;Year&gt;2003&lt;/Year&gt;&lt;RecNum&gt;759&lt;/RecNum&gt;&lt;IDText&gt;Summarizing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name="System"&gt;J.Rheumatol.&lt;/f&gt;&lt;/ZZ_JournalStdAbbrev&gt;&lt;ZZ_WorkformID&gt;1&lt;/ZZ_WorkformID&gt;&lt;/MDL&gt;&lt;/Cite&gt;&lt;Cite&gt;&lt;Author&gt;Kasitanon&lt;/Author&gt;&lt;Year&gt;2006&lt;/Year&gt;&lt;RecNum&gt;451&lt;/RecNum&gt;&lt;IDText&gt;Predictors of survival in systemic lupus erythematosus&lt;/IDText&gt;&lt;MDL Ref_Type="Journal"&gt;&lt;Ref_Type&gt;Journal&lt;/Ref_Type&gt;&lt;Ref_ID&gt;451&lt;/Ref_ID&gt;&lt;Title_Primary&gt;Predictors of survival in systemic lupus erythematosus&lt;/Title_Primary&gt;&lt;Authors_Primary&gt;Kasitanon,N.&lt;/Authors_Primary&gt;&lt;Authors_Primary&gt;Magder,L.S.&lt;/Authors_Primary&gt;&lt;Authors_Primary&gt;Petri,M.&lt;/Authors_Primary&gt;&lt;Date_Primary&gt;2006/5&lt;/Date_Primary&gt;&lt;Keywords&gt;Adolescent&lt;/Keywords&gt;&lt;Keywords&gt;Adult&lt;/Keywords&gt;&lt;Keywords&gt;Age Factors&lt;/Keywords&gt;&lt;Keywords&gt;Aged&lt;/Keywords&gt;&lt;Keywords&gt;Anemia&lt;/Keywords&gt;&lt;Keywords&gt;Baltimore&lt;/Keywords&gt;&lt;Keywords&gt;Child&lt;/Keywords&gt;&lt;Keywords&gt;Child,Preschool&lt;/Keywords&gt;&lt;Keywords&gt;Demography&lt;/Keywords&gt;&lt;Keywords&gt;diagnosis&lt;/Keywords&gt;&lt;Keywords&gt;Disease&lt;/Keywords&gt;&lt;Keywords&gt;epidemiology&lt;/Keywords&gt;&lt;Keywords&gt;Female&lt;/Keywords&gt;&lt;Keywords&gt;Humans&lt;/Keywords&gt;&lt;Keywords&gt;Income&lt;/Keywords&gt;&lt;Keywords&gt;Lupus Erythematosus,Systemic&lt;/Keywords&gt;&lt;Keywords&gt;Male&lt;/Keywords&gt;&lt;Keywords&gt;Maryland&lt;/Keywords&gt;&lt;Keywords&gt;Middle Aged&lt;/Keywords&gt;&lt;Keywords&gt;mortality&lt;/Keywords&gt;&lt;Keywords&gt;physiopathology&lt;/Keywords&gt;&lt;Keywords&gt;Probability&lt;/Keywords&gt;&lt;Keywords&gt;Prognosis&lt;/Keywords&gt;&lt;Keywords&gt;Proportional Hazards Models&lt;/Keywords&gt;&lt;Keywords&gt;Prospective Studies&lt;/Keywords&gt;&lt;Keywords&gt;Risk&lt;/Keywords&gt;&lt;Keywords&gt;Risk Assessment&lt;/Keywords&gt;&lt;Keywords&gt;Serologic Tests&lt;/Keywords&gt;&lt;Keywords&gt;Sex Factors&lt;/Keywords&gt;&lt;Keywords&gt;Socioeconomic Factors&lt;/Keywords&gt;&lt;Keywords&gt;Survival Analysis&lt;/Keywords&gt;&lt;Keywords&gt;Time&lt;/Keywords&gt;&lt;Keywords&gt;Time Factors&lt;/Keywords&gt;&lt;Keywords&gt;United States&lt;/Keywords&gt;&lt;Reprint&gt;Not in File&lt;/Reprint&gt;&lt;Start_Page&gt;147&lt;/Start_Page&gt;&lt;End_Page&gt;156&lt;/End_Page&gt;&lt;Periodical&gt;Medicine (Baltimore).&lt;/Periodical&gt;&lt;Volume&gt;85&lt;/Volume&gt;&lt;Issue&gt;3&lt;/Issue&gt;&lt;User_Def_1&gt;y&lt;/User_Def_1&gt;&lt;ZZ_JournalStdAbbrev&gt;&lt;f name="System"&gt;Medicine (Baltimore).&lt;/f&gt;&lt;/ZZ_JournalStdAbbrev&gt;&lt;ZZ_WorkformID&gt;1&lt;/ZZ_WorkformID&gt;&lt;/MDL&gt;&lt;/Cite&gt;&lt;Cite&gt;&lt;Author&gt;Thamer&lt;/Author&gt;&lt;Year&gt;2009&lt;/Year&gt;&lt;RecNum&gt;102&lt;/RecNum&gt;&lt;IDText&gt;Prednisone, lupus activity, and permanent organ damage&lt;/IDText&gt;&lt;MDL Ref_Type="Journal"&gt;&lt;Ref_Type&gt;Journal&lt;/Ref_Type&gt;&lt;Ref_ID&gt;102&lt;/Ref_ID&gt;&lt;Title_Primary&gt;Prednisone, lupus activity, and permanent organ damage&lt;/Title_Primary&gt;&lt;Authors_Primary&gt;Thamer,M.&lt;/Authors_Primary&gt;&lt;Authors_Primary&gt;Hernan,M.A.&lt;/Authors_Primary&gt;&lt;Authors_Primary&gt;Zhang,Y.&lt;/Authors_Primary&gt;&lt;Authors_Primary&gt;Cotter,D.&lt;/Authors_Primary&gt;&lt;Authors_Primary&gt;Petri,M.&lt;/Authors_Primary&gt;&lt;Date_Primary&gt;2009/3&lt;/Date_Primary&gt;&lt;Keywords&gt;Adolescent&lt;/Keywords&gt;&lt;Keywords&gt;Adrenal Cortex Hormones&lt;/Keywords&gt;&lt;Keywords&gt;Adult&lt;/Keywords&gt;&lt;Keywords&gt;adverse effects&lt;/Keywords&gt;&lt;Keywords&gt;Aged&lt;/Keywords&gt;&lt;Keywords&gt;Child&lt;/Keywords&gt;&lt;Keywords&gt;death&lt;/Keywords&gt;&lt;Keywords&gt;Disease&lt;/Keywords&gt;&lt;Keywords&gt;drug therapy&lt;/Keywords&gt;&lt;Keywords&gt;erythematosus&lt;/Keywords&gt;&lt;Keywords&gt;Female&lt;/Keywords&gt;&lt;Keywords&gt;Humans&lt;/Keywords&gt;&lt;Keywords&gt;lupus erythematosus&lt;/Keywords&gt;&lt;Keywords&gt;Lupus Erythematosus,Systemic&lt;/Keywords&gt;&lt;Keywords&gt;Male&lt;/Keywords&gt;&lt;Keywords&gt;methods&lt;/Keywords&gt;&lt;Keywords&gt;Methylprednisolone&lt;/Keywords&gt;&lt;Keywords&gt;Middle Aged&lt;/Keywords&gt;&lt;Keywords&gt;Odds Ratio&lt;/Keywords&gt;&lt;Keywords&gt;patient&lt;/Keywords&gt;&lt;Keywords&gt;Patients&lt;/Keywords&gt;&lt;Keywords&gt;population&lt;/Keywords&gt;&lt;Keywords&gt;Prednisone&lt;/Keywords&gt;&lt;Keywords&gt;Proportional Hazards Models&lt;/Keywords&gt;&lt;Keywords&gt;Prospective Studies&lt;/Keywords&gt;&lt;Keywords&gt;Risk&lt;/Keywords&gt;&lt;Keywords&gt;Severity of Illness Index&lt;/Keywords&gt;&lt;Keywords&gt;systemic lupus erythematosus&lt;/Keywords&gt;&lt;Keywords&gt;therapy&lt;/Keywords&gt;&lt;Keywords&gt;Time Factors&lt;/Keywords&gt;&lt;Keywords&gt;Young Adult&lt;/Keywords&gt;&lt;Reprint&gt;Not in File&lt;/Reprint&gt;&lt;Start_Page&gt;560&lt;/Start_Page&gt;&lt;End_Page&gt;564&lt;/End_Page&gt;&lt;Periodical&gt;J.Rheumatol.&lt;/Periodical&gt;&lt;Volume&gt;36&lt;/Volume&gt;&lt;Issue&gt;3&lt;/Issue&gt;&lt;User_Def_1&gt;y&lt;/User_Def_1&gt;&lt;ZZ_JournalStdAbbrev&gt;&lt;f name="System"&gt;J.Rheumatol.&lt;/f&gt;&lt;/ZZ_JournalStdAbbrev&gt;&lt;ZZ_WorkformID&gt;1&lt;/ZZ_WorkformID&gt;&lt;/MDL&gt;&lt;/Cite&gt;&lt;/Refman&gt;</w:instrText>
      </w:r>
      <w:r w:rsidR="00E729BA">
        <w:fldChar w:fldCharType="separate"/>
      </w:r>
      <w:r w:rsidR="004D7951">
        <w:t>(142;153;162;175;175;176;176;191)</w:t>
      </w:r>
      <w:r w:rsidR="00E729BA">
        <w:fldChar w:fldCharType="end"/>
      </w:r>
      <w:r>
        <w:t xml:space="preserve">. In these analyses we have also estimated the independent effects of </w:t>
      </w:r>
      <w:r w:rsidR="00EE6857">
        <w:t>a</w:t>
      </w:r>
      <w:r>
        <w:t xml:space="preserve">djusted </w:t>
      </w:r>
      <w:r w:rsidR="00EE6857">
        <w:t>m</w:t>
      </w:r>
      <w:r>
        <w:t>ean SLEDAI and disease activity within an organ system on the time to organ damage and mortality.</w:t>
      </w:r>
    </w:p>
    <w:p w:rsidR="007346E2" w:rsidRDefault="007346E2" w:rsidP="007346E2">
      <w:pPr>
        <w:pStyle w:val="Heading3"/>
      </w:pPr>
      <w:bookmarkStart w:id="345" w:name="_Ref355203864"/>
      <w:bookmarkStart w:id="346" w:name="_Toc379467625"/>
      <w:r>
        <w:t>Describing Disease Activity With the SLEDAI</w:t>
      </w:r>
      <w:bookmarkEnd w:id="345"/>
      <w:bookmarkEnd w:id="346"/>
    </w:p>
    <w:p w:rsidR="00EE3395" w:rsidRDefault="007346E2" w:rsidP="00EE6857">
      <w:r>
        <w:t xml:space="preserve">Two methods for predicting SLEDAI scores were developed in this chapter. A detailed method </w:t>
      </w:r>
      <w:r w:rsidR="00EE6857">
        <w:t xml:space="preserve">to </w:t>
      </w:r>
      <w:r>
        <w:t xml:space="preserve">generate SLEDAI scores was developed for the BCTS and a longer term average SLEDAI score was estimated for the CE model. </w:t>
      </w:r>
      <w:r w:rsidR="00EE3395">
        <w:t>The BCTS needed statistical models to predict short-term changes in disease activity, whilst retaining information about which organ system was involved. Whereas this detail was not necessary in the CE model and would have increased computation time. Therefore, an alternative modelling approach was taken to generate average SLEDAI scores over the long term.</w:t>
      </w:r>
    </w:p>
    <w:p w:rsidR="007346E2" w:rsidRDefault="007346E2" w:rsidP="00EE6857">
      <w:r>
        <w:t xml:space="preserve">The SLEDAI score was estimated using 24 independent statistical models to enable an accurate and detailed description of the disease. </w:t>
      </w:r>
      <w:r w:rsidR="00200D73">
        <w:t>It</w:t>
      </w:r>
      <w:r>
        <w:t xml:space="preserve"> was challenging to find a distribution to fit the pattern of the SLEDAI score</w:t>
      </w:r>
      <w:r w:rsidR="00EE6857">
        <w:t xml:space="preserve"> because it</w:t>
      </w:r>
      <w:r>
        <w:t xml:space="preserve"> is a weighted measure of the 24 </w:t>
      </w:r>
      <w:r w:rsidR="00EE6857">
        <w:t>SLEDAI items</w:t>
      </w:r>
      <w:r>
        <w:t xml:space="preserve">. </w:t>
      </w:r>
      <w:r w:rsidR="00E729BA">
        <w:fldChar w:fldCharType="begin"/>
      </w:r>
      <w:r>
        <w:instrText xml:space="preserve"> REF _Ref332101123 \h </w:instrText>
      </w:r>
      <w:r w:rsidR="00E729BA">
        <w:fldChar w:fldCharType="separate"/>
      </w:r>
      <w:r w:rsidR="004911B7">
        <w:t xml:space="preserve">Figure </w:t>
      </w:r>
      <w:r w:rsidR="004911B7">
        <w:rPr>
          <w:noProof/>
        </w:rPr>
        <w:t>11</w:t>
      </w:r>
      <w:r w:rsidR="00E729BA">
        <w:fldChar w:fldCharType="end"/>
      </w:r>
      <w:r>
        <w:t xml:space="preserve"> reports a histogram of SLEDAI scores taken from all visits in the Hopkins Lupus Cohort. There were a large number of observations where the SLEDAI score was zero, and the scores cluster around even numbers because of the weighting system. For this reason, and to enable organ involvement to be recorded in the simulation, the more comprehensive analysis of individual items of the SLEDAI was favoured. The CE model has a longer time horizon, which was incompatible with a detailed simulation of the disease.</w:t>
      </w:r>
    </w:p>
    <w:p w:rsidR="007346E2" w:rsidRPr="005218F6" w:rsidRDefault="007346E2" w:rsidP="007346E2">
      <w:pPr>
        <w:pStyle w:val="Heading3"/>
      </w:pPr>
      <w:bookmarkStart w:id="347" w:name="_Toc379467626"/>
      <w:r>
        <w:t>The Validity of the Natural History Model</w:t>
      </w:r>
      <w:bookmarkEnd w:id="347"/>
    </w:p>
    <w:p w:rsidR="007346E2" w:rsidRDefault="007346E2" w:rsidP="00736835">
      <w:r>
        <w:t xml:space="preserve">The validity of the combined statistical models in predicting </w:t>
      </w:r>
      <w:r w:rsidR="00B62FFB">
        <w:t xml:space="preserve">short and </w:t>
      </w:r>
      <w:r w:rsidR="00EE6857">
        <w:t>long-</w:t>
      </w:r>
      <w:r>
        <w:t xml:space="preserve">term patient outcomes have been assessed. The </w:t>
      </w:r>
      <w:r w:rsidR="00B62FFB">
        <w:t xml:space="preserve">first </w:t>
      </w:r>
      <w:r>
        <w:t>validation simulation combined the statistical models to predict</w:t>
      </w:r>
      <w:r w:rsidR="00B62FFB">
        <w:t xml:space="preserve"> SLEDAI items and steroid dose. The second validation simulation combined the statistical models to predict </w:t>
      </w:r>
      <w:r>
        <w:t>long term disease, steroid dose, mortality, and damage systems as described in the SLICC/ACR Damage Index. The simulation was used to validate the accuracy of the statis</w:t>
      </w:r>
      <w:r w:rsidR="00EE6857">
        <w:t>tical models in predicting long-</w:t>
      </w:r>
      <w:r>
        <w:t xml:space="preserve">term outcomes, when all the independencies </w:t>
      </w:r>
      <w:r w:rsidR="00736835">
        <w:t xml:space="preserve">within </w:t>
      </w:r>
      <w:r>
        <w:t xml:space="preserve">the individuals were incorporated.  The simulation reproduced organ damage events with reasonable accuracy. The fit of the simulation to an external dataset was reasonable, but highlighted important differences in the predicted incidence of skin and pulmonary outcomes. </w:t>
      </w:r>
      <w:r w:rsidR="002D2728">
        <w:t>I decided not to make any adjustments to the predictive models for pulmonary and skin damage because it was not necessary given the research objectives of this project. However, future applications of the natural history models should consider adjustments to reflect local incidence rates of organ damage.</w:t>
      </w:r>
    </w:p>
    <w:p w:rsidR="005742BB" w:rsidRDefault="005742BB" w:rsidP="005742BB">
      <w:pPr>
        <w:pStyle w:val="Heading3"/>
      </w:pPr>
      <w:bookmarkStart w:id="348" w:name="_Toc379467627"/>
      <w:r>
        <w:t>Limitations of the Statistical Methods</w:t>
      </w:r>
      <w:bookmarkEnd w:id="348"/>
    </w:p>
    <w:p w:rsidR="005742BB" w:rsidRDefault="005742BB" w:rsidP="007802D7">
      <w:r>
        <w:t xml:space="preserve">Designing statistical analyses of </w:t>
      </w:r>
      <w:r w:rsidR="002D2728">
        <w:t xml:space="preserve">longitudinal </w:t>
      </w:r>
      <w:r>
        <w:t>disease processes was challenging because the data</w:t>
      </w:r>
      <w:r w:rsidR="00477A6C">
        <w:t xml:space="preserve"> was susceptible to correlation and</w:t>
      </w:r>
      <w:r>
        <w:t xml:space="preserve"> confounding</w:t>
      </w:r>
      <w:r w:rsidR="00477A6C">
        <w:t xml:space="preserve"> that were</w:t>
      </w:r>
      <w:r>
        <w:t xml:space="preserve"> known to cause problems with traditional regression techniques. </w:t>
      </w:r>
      <w:r w:rsidR="007802D7">
        <w:t>I have tested and selected a series of appropriate</w:t>
      </w:r>
      <w:r>
        <w:t xml:space="preserve"> </w:t>
      </w:r>
      <w:r w:rsidR="00D34A5E">
        <w:t xml:space="preserve">methods </w:t>
      </w:r>
      <w:r>
        <w:t>to deal with these problems. Random effects</w:t>
      </w:r>
      <w:r w:rsidR="00097A11">
        <w:t xml:space="preserve"> regression</w:t>
      </w:r>
      <w:r>
        <w:t xml:space="preserve"> models have been employed where repeated measures caused correlation between observations. Frailty </w:t>
      </w:r>
      <w:r w:rsidR="00097A11">
        <w:t xml:space="preserve">survival </w:t>
      </w:r>
      <w:r>
        <w:t xml:space="preserve">models were assessed for the organ damage and mortality </w:t>
      </w:r>
      <w:r w:rsidR="00097A11">
        <w:t xml:space="preserve">survival </w:t>
      </w:r>
      <w:r>
        <w:t>models, but were not adopted in the final analysis because within patient effects were small, and had an almost negligible effect on the coefficients</w:t>
      </w:r>
      <w:r w:rsidR="001A1071">
        <w:t xml:space="preserve"> (Appendix</w:t>
      </w:r>
      <w:r w:rsidR="007F49FE">
        <w:t xml:space="preserve"> 8</w:t>
      </w:r>
      <w:r w:rsidR="001A1071">
        <w:t>)</w:t>
      </w:r>
      <w:r w:rsidR="007802D7">
        <w:t xml:space="preserve">. </w:t>
      </w:r>
      <w:r>
        <w:t xml:space="preserve"> </w:t>
      </w:r>
    </w:p>
    <w:p w:rsidR="00B62FFB" w:rsidRDefault="00B62FFB" w:rsidP="00687508">
      <w:r>
        <w:t>There are several limitation</w:t>
      </w:r>
      <w:r w:rsidR="00D34A5E">
        <w:t>s</w:t>
      </w:r>
      <w:r>
        <w:t xml:space="preserve"> to the work undertaken here. T</w:t>
      </w:r>
      <w:r w:rsidR="002D2728">
        <w:t>ime-varying confounding was not fully adjusted for in these analyses. T</w:t>
      </w:r>
      <w:r w:rsidR="005742BB">
        <w:t xml:space="preserve">ime-varying covariates are used in the organ damage and mortality </w:t>
      </w:r>
      <w:r w:rsidR="00097A11">
        <w:t xml:space="preserve">survival </w:t>
      </w:r>
      <w:r w:rsidR="005742BB">
        <w:t xml:space="preserve">models but do not adjust for the causal relationships between covariates. A confounding variable is one that is associated with both the exposure of interest and the response, and if it were ignored </w:t>
      </w:r>
      <w:r>
        <w:t>c</w:t>
      </w:r>
      <w:r w:rsidR="005742BB">
        <w:t>ould result in biased estimates. An intermediate variable is on the causal pathway from the exposure of interest to outcome. The challenge in analysing longitudinal studies arises because variables can be both a confounders and intermediate variables. In this context steroids can be conceived as both a confounder and intermediate variable for the relationship between disease activity and long term outcomes. The problem may lead to bias</w:t>
      </w:r>
      <w:r>
        <w:t xml:space="preserve"> in the</w:t>
      </w:r>
      <w:r w:rsidR="005742BB">
        <w:t xml:space="preserve"> estimates for the disease activity coefficient. </w:t>
      </w:r>
    </w:p>
    <w:p w:rsidR="005742BB" w:rsidRDefault="00B62FFB" w:rsidP="00EE6857">
      <w:r>
        <w:t xml:space="preserve">One potential approach to deal with this is marginal structural models </w:t>
      </w:r>
      <w:r w:rsidR="00E729BA">
        <w:fldChar w:fldCharType="begin"/>
      </w:r>
      <w:r w:rsidR="00FC61FD">
        <w:instrText xml:space="preserve"> ADDIN REFMGR.CITE &lt;Refman&gt;&lt;Cite&gt;&lt;Author&gt;Robins&lt;/Author&gt;&lt;Year&gt;2000&lt;/Year&gt;&lt;RecNum&gt;1464&lt;/RecNum&gt;&lt;IDText&gt;Marginal structural models and causal inference in epidemiology&lt;/IDText&gt;&lt;MDL Ref_Type="Journal"&gt;&lt;Ref_Type&gt;Journal&lt;/Ref_Type&gt;&lt;Ref_ID&gt;1464&lt;/Ref_ID&gt;&lt;Title_Primary&gt;Marginal structural models and causal inference in epidemiology&lt;/Title_Primary&gt;&lt;Authors_Primary&gt;Robins,J.M.&lt;/Authors_Primary&gt;&lt;Authors_Primary&gt;Hernan,M.A.&lt;/Authors_Primary&gt;&lt;Authors_Primary&gt;Brumback,B.&lt;/Authors_Primary&gt;&lt;Date_Primary&gt;2000/9&lt;/Date_Primary&gt;&lt;Keywords&gt;Anti-HIV Agents&lt;/Keywords&gt;&lt;Keywords&gt;Causality&lt;/Keywords&gt;&lt;Keywords&gt;Confounding Factors (Epidemiology)&lt;/Keywords&gt;&lt;Keywords&gt;drug therapy&lt;/Keywords&gt;&lt;Keywords&gt;Epidemiologic Methods&lt;/Keywords&gt;&lt;Keywords&gt;epidemiology&lt;/Keywords&gt;&lt;Keywords&gt;Health&lt;/Keywords&gt;&lt;Keywords&gt;HIV Infections&lt;/Keywords&gt;&lt;Keywords&gt;Humans&lt;/Keywords&gt;&lt;Keywords&gt;Models,Statistical&lt;/Keywords&gt;&lt;Keywords&gt;mortality&lt;/Keywords&gt;&lt;Keywords&gt;Risk Factors&lt;/Keywords&gt;&lt;Keywords&gt;therapeutic use&lt;/Keywords&gt;&lt;Keywords&gt;Time&lt;/Keywords&gt;&lt;Keywords&gt;Time Factors&lt;/Keywords&gt;&lt;Keywords&gt;Zidovudine&lt;/Keywords&gt;&lt;Reprint&gt;Not in File&lt;/Reprint&gt;&lt;Start_Page&gt;550&lt;/Start_Page&gt;&lt;End_Page&gt;560&lt;/End_Page&gt;&lt;Periodical&gt;Epidemiology.&lt;/Periodical&gt;&lt;Volume&gt;11&lt;/Volume&gt;&lt;Issue&gt;5&lt;/Issue&gt;&lt;ZZ_JournalStdAbbrev&gt;&lt;f name="System"&gt;Epidemiology.&lt;/f&gt;&lt;/ZZ_JournalStdAbbrev&gt;&lt;ZZ_WorkformID&gt;1&lt;/ZZ_WorkformID&gt;&lt;/MDL&gt;&lt;/Cite&gt;&lt;/Refman&gt;</w:instrText>
      </w:r>
      <w:r w:rsidR="00E729BA">
        <w:fldChar w:fldCharType="separate"/>
      </w:r>
      <w:r w:rsidR="004D7951">
        <w:t>(218)</w:t>
      </w:r>
      <w:r w:rsidR="00E729BA">
        <w:fldChar w:fldCharType="end"/>
      </w:r>
      <w:r>
        <w:t xml:space="preserve">. However, this </w:t>
      </w:r>
      <w:r w:rsidR="005742BB" w:rsidRPr="006368D4">
        <w:t xml:space="preserve">method would be difficult to apply in this setting because </w:t>
      </w:r>
      <w:r w:rsidR="00EE6857">
        <w:t>I was</w:t>
      </w:r>
      <w:r w:rsidR="005742BB" w:rsidRPr="006368D4">
        <w:t xml:space="preserve"> also interested in estimating the causal affects of cytotoxic drugs and </w:t>
      </w:r>
      <w:r w:rsidR="005742BB">
        <w:t>steroid</w:t>
      </w:r>
      <w:r w:rsidR="005742BB" w:rsidRPr="006368D4">
        <w:t xml:space="preserve"> on organ damage, which </w:t>
      </w:r>
      <w:r w:rsidR="005742BB">
        <w:t>were</w:t>
      </w:r>
      <w:r w:rsidR="005742BB" w:rsidRPr="006368D4">
        <w:t xml:space="preserve"> confounded by disease activity. </w:t>
      </w:r>
      <w:r w:rsidR="00EE6857" w:rsidRPr="006368D4">
        <w:t>Exploratory analyses indicated several problems with the distribution of the stabilised probability weights required for marginal structural models</w:t>
      </w:r>
      <w:r w:rsidR="00EE6857">
        <w:t xml:space="preserve">. </w:t>
      </w:r>
      <w:r w:rsidR="005742BB">
        <w:t xml:space="preserve">It was decided that </w:t>
      </w:r>
      <w:r w:rsidR="005742BB" w:rsidRPr="006368D4">
        <w:t xml:space="preserve">the methods </w:t>
      </w:r>
      <w:r w:rsidR="005742BB">
        <w:t>should</w:t>
      </w:r>
      <w:r w:rsidR="005742BB" w:rsidRPr="006368D4">
        <w:t xml:space="preserve"> not be adopted at this time</w:t>
      </w:r>
      <w:r w:rsidR="005742BB">
        <w:t xml:space="preserve">, </w:t>
      </w:r>
      <w:r w:rsidR="009554D6">
        <w:t>because the complexity of the</w:t>
      </w:r>
      <w:r w:rsidR="00477A6C">
        <w:t xml:space="preserve"> bi-directional confounding variables would require </w:t>
      </w:r>
      <w:r w:rsidR="007802D7">
        <w:t>advanced application of marginal structural methods</w:t>
      </w:r>
      <w:r w:rsidR="005742BB" w:rsidRPr="006368D4">
        <w:t>.</w:t>
      </w:r>
      <w:r w:rsidR="007802D7">
        <w:t xml:space="preserve"> </w:t>
      </w:r>
      <w:r>
        <w:t xml:space="preserve">Further, research into the use of marginal structural models in longitudinal studies of SLE would be a good idea. </w:t>
      </w:r>
    </w:p>
    <w:p w:rsidR="005742BB" w:rsidRDefault="005742BB" w:rsidP="00EE6857">
      <w:r>
        <w:t>Secondly, the regression models were analysed independently, which may underestimate correlation between outcomes of the disease. Joint modelling techniques have been used in other conte</w:t>
      </w:r>
      <w:r w:rsidR="00EE6857">
        <w:t>x</w:t>
      </w:r>
      <w:r>
        <w:t xml:space="preserve">ts to account for </w:t>
      </w:r>
      <w:r w:rsidR="007802D7">
        <w:t xml:space="preserve">a single repeated measure predicting a single event outcome </w:t>
      </w:r>
      <w:r w:rsidR="00E729BA">
        <w:fldChar w:fldCharType="begin"/>
      </w:r>
      <w:r w:rsidR="00FC61FD">
        <w:instrText xml:space="preserve"> ADDIN REFMGR.CITE &lt;Refman&gt;&lt;Cite&gt;&lt;Author&gt;Williamson&lt;/Author&gt;&lt;Year&gt;2008&lt;/Year&gt;&lt;RecNum&gt;1669&lt;/RecNum&gt;&lt;IDText&gt;Joint modelling of longitudinal and competing risks data&lt;/IDText&gt;&lt;MDL Ref_Type="Journal"&gt;&lt;Ref_Type&gt;Journal&lt;/Ref_Type&gt;&lt;Ref_ID&gt;1669&lt;/Ref_ID&gt;&lt;Title_Primary&gt;Joint modelling of longitudinal and competing risks data&lt;/Title_Primary&gt;&lt;Authors_Primary&gt;Williamson,P.R.&lt;/Authors_Primary&gt;&lt;Authors_Primary&gt;Kolamunnage-Dona,R.&lt;/Authors_Primary&gt;&lt;Authors_Primary&gt;Philipson,P.&lt;/Authors_Primary&gt;&lt;Authors_Primary&gt;Marson,A.G.&lt;/Authors_Primary&gt;&lt;Date_Primary&gt;2008/12/30&lt;/Date_Primary&gt;&lt;Keywords&gt;adverse effects&lt;/Keywords&gt;&lt;Keywords&gt;analysis&lt;/Keywords&gt;&lt;Keywords&gt;Carbamazepine&lt;/Keywords&gt;&lt;Keywords&gt;Computer Simulation&lt;/Keywords&gt;&lt;Keywords&gt;drug therapy&lt;/Keywords&gt;&lt;Keywords&gt;Epilepsy&lt;/Keywords&gt;&lt;Keywords&gt;evaluation&lt;/Keywords&gt;&lt;Keywords&gt;Health&lt;/Keywords&gt;&lt;Keywords&gt;Humans&lt;/Keywords&gt;&lt;Keywords&gt;Longitudinal Studies&lt;/Keywords&gt;&lt;Keywords&gt;methods&lt;/Keywords&gt;&lt;Keywords&gt;Models,Statistical&lt;/Keywords&gt;&lt;Keywords&gt;Randomized Controlled Trials as Topic&lt;/Keywords&gt;&lt;Keywords&gt;Risk&lt;/Keywords&gt;&lt;Keywords&gt;Risk Assessment&lt;/Keywords&gt;&lt;Keywords&gt;Risk Factors&lt;/Keywords&gt;&lt;Keywords&gt;statistics&lt;/Keywords&gt;&lt;Keywords&gt;therapeutic use&lt;/Keywords&gt;&lt;Keywords&gt;Time&lt;/Keywords&gt;&lt;Keywords&gt;Triazines&lt;/Keywords&gt;&lt;Reprint&gt;Not in File&lt;/Reprint&gt;&lt;Start_Page&gt;6426&lt;/Start_Page&gt;&lt;End_Page&gt;6438&lt;/End_Page&gt;&lt;Periodical&gt;Stat.Med.&lt;/Periodical&gt;&lt;Volume&gt;27&lt;/Volume&gt;&lt;Issue&gt;30&lt;/Issue&gt;&lt;ZZ_JournalStdAbbrev&gt;&lt;f name="System"&gt;Stat.Med.&lt;/f&gt;&lt;/ZZ_JournalStdAbbrev&gt;&lt;ZZ_WorkformID&gt;1&lt;/ZZ_WorkformID&gt;&lt;/MDL&gt;&lt;/Cite&gt;&lt;/Refman&gt;</w:instrText>
      </w:r>
      <w:r w:rsidR="00E729BA">
        <w:fldChar w:fldCharType="separate"/>
      </w:r>
      <w:r w:rsidR="004D7951">
        <w:t>(219)</w:t>
      </w:r>
      <w:r w:rsidR="00E729BA">
        <w:fldChar w:fldCharType="end"/>
      </w:r>
      <w:r>
        <w:t xml:space="preserve">. </w:t>
      </w:r>
      <w:r w:rsidR="00EE6857">
        <w:t>The CE model requires repeated measures for SLEDAI and steroids which predict thirteen possible event outcomes, which would require considerable programming to implement in a single analysis</w:t>
      </w:r>
      <w:r w:rsidR="007802D7">
        <w:t xml:space="preserve">. </w:t>
      </w:r>
      <w:r>
        <w:t xml:space="preserve"> </w:t>
      </w:r>
    </w:p>
    <w:p w:rsidR="00AF15B7" w:rsidRDefault="00AF15B7" w:rsidP="00680ED8">
      <w:pPr>
        <w:pStyle w:val="Heading2"/>
      </w:pPr>
      <w:bookmarkStart w:id="349" w:name="_Ref354930345"/>
      <w:bookmarkStart w:id="350" w:name="_Toc379467628"/>
      <w:r>
        <w:t>Conclusion</w:t>
      </w:r>
      <w:bookmarkEnd w:id="349"/>
      <w:bookmarkEnd w:id="350"/>
    </w:p>
    <w:p w:rsidR="00983D2F" w:rsidRDefault="00292B11" w:rsidP="00EE6857">
      <w:bookmarkStart w:id="351" w:name="_Toc332726910"/>
      <w:r>
        <w:t>I have presented</w:t>
      </w:r>
      <w:r w:rsidR="00983D2F">
        <w:t xml:space="preserve"> </w:t>
      </w:r>
      <w:r>
        <w:t>forty</w:t>
      </w:r>
      <w:r w:rsidR="00983D2F">
        <w:t xml:space="preserve"> statistical models to predict individual SLEDAI items at three monthly clinic visits and steroid doses at three monthly visits. A separate set of analyses developed </w:t>
      </w:r>
      <w:r w:rsidR="00097A11">
        <w:t xml:space="preserve">regression </w:t>
      </w:r>
      <w:r w:rsidR="00983D2F">
        <w:t xml:space="preserve">models to predict average SLEDAI scores and steroid doses over annual </w:t>
      </w:r>
      <w:r w:rsidR="00680ED8">
        <w:t xml:space="preserve">intervals. Survival models for </w:t>
      </w:r>
      <w:r w:rsidR="00983D2F">
        <w:t>organ damage and mortality have been reported. Two sets of organ damage and mortality are presented with different choices of covariate</w:t>
      </w:r>
      <w:r w:rsidR="00EE6857">
        <w:t>s</w:t>
      </w:r>
      <w:r w:rsidR="00983D2F">
        <w:t xml:space="preserve"> to be compatible with </w:t>
      </w:r>
      <w:r w:rsidR="00097A11">
        <w:t>a BCTS and CE model</w:t>
      </w:r>
      <w:r w:rsidR="00983D2F">
        <w:t xml:space="preserve">. </w:t>
      </w:r>
      <w:r w:rsidR="00D34A5E">
        <w:t xml:space="preserve">The BCTS model includes covariates for organ involvement, whereas the CE model does not. </w:t>
      </w:r>
      <w:r w:rsidR="00680ED8">
        <w:t xml:space="preserve">Despite </w:t>
      </w:r>
      <w:r w:rsidR="00EE6857">
        <w:t xml:space="preserve">some </w:t>
      </w:r>
      <w:r w:rsidR="00680ED8">
        <w:t>limitations t</w:t>
      </w:r>
      <w:r w:rsidR="00983D2F">
        <w:t xml:space="preserve">he statistical analyses provide a complete set of parameters to enable prediction of individual patient outcomes in a BCTS or for a CE model.  </w:t>
      </w:r>
    </w:p>
    <w:p w:rsidR="00292B11" w:rsidRDefault="00292B11" w:rsidP="00292B11">
      <w:r>
        <w:t>In the next chapter I describe in detail how the twenty-four SLEDAI item models, steroid hurdle model and the detailed organ damage and mortality models are incorporated into the BCTS. I will describe how these are used to simulate data collection for clinical trials. In Chapter 7</w:t>
      </w:r>
      <w:r w:rsidR="00EE6857">
        <w:t>, I describe how the long-</w:t>
      </w:r>
      <w:r>
        <w:t>term average SLEDAI, average steroid dose, and less complex organ damage and mortality models are used in the CE model.</w:t>
      </w:r>
    </w:p>
    <w:p w:rsidR="00C62F3A" w:rsidRDefault="00C62F3A">
      <w:pPr>
        <w:spacing w:after="0" w:afterAutospacing="0" w:line="240" w:lineRule="auto"/>
      </w:pPr>
    </w:p>
    <w:p w:rsidR="002367E4" w:rsidRDefault="00C62F3A" w:rsidP="002367E4">
      <w:pPr>
        <w:pStyle w:val="Heading1"/>
      </w:pPr>
      <w:bookmarkStart w:id="352" w:name="_Toc335051107"/>
      <w:bookmarkStart w:id="353" w:name="_Toc341366935"/>
      <w:bookmarkStart w:id="354" w:name="_Toc379467629"/>
      <w:r>
        <w:t>Chapter 6: The development of A Bayesian Clinical Trial Simulation</w:t>
      </w:r>
      <w:bookmarkEnd w:id="352"/>
      <w:r>
        <w:t xml:space="preserve"> for SLE Phase III trials</w:t>
      </w:r>
      <w:bookmarkEnd w:id="353"/>
      <w:bookmarkEnd w:id="354"/>
    </w:p>
    <w:p w:rsidR="002367E4" w:rsidRPr="002367E4" w:rsidRDefault="002367E4" w:rsidP="00597CF5">
      <w:pPr>
        <w:pStyle w:val="ListParagraph"/>
        <w:numPr>
          <w:ilvl w:val="0"/>
          <w:numId w:val="30"/>
        </w:numPr>
        <w:rPr>
          <w:sz w:val="16"/>
          <w:szCs w:val="16"/>
        </w:rPr>
      </w:pPr>
    </w:p>
    <w:p w:rsidR="00C62F3A" w:rsidRDefault="00C62F3A" w:rsidP="00DA7669">
      <w:r>
        <w:t>In this chapter I describe a Bayesian Clinical Trial Simulation (BCTS) for a Phase III SLE trial</w:t>
      </w:r>
      <w:r w:rsidRPr="00AE2350">
        <w:rPr>
          <w:sz w:val="18"/>
          <w:szCs w:val="18"/>
        </w:rPr>
        <w:t xml:space="preserve"> </w:t>
      </w:r>
      <w:r w:rsidRPr="00AE2350">
        <w:t xml:space="preserve">to evaluate the value of alternative research designs.  </w:t>
      </w:r>
    </w:p>
    <w:p w:rsidR="00D36410" w:rsidRDefault="00C62F3A" w:rsidP="00B4450B">
      <w:pPr>
        <w:rPr>
          <w:lang w:eastAsia="nl-NL"/>
        </w:rPr>
      </w:pPr>
      <w:r w:rsidRPr="00143B8E">
        <w:rPr>
          <w:lang w:eastAsia="nl-NL"/>
        </w:rPr>
        <w:t xml:space="preserve">The </w:t>
      </w:r>
      <w:r w:rsidR="00DA7669">
        <w:rPr>
          <w:lang w:eastAsia="nl-NL"/>
        </w:rPr>
        <w:t xml:space="preserve">BCTS </w:t>
      </w:r>
      <w:r w:rsidRPr="00143B8E">
        <w:rPr>
          <w:lang w:eastAsia="nl-NL"/>
        </w:rPr>
        <w:t xml:space="preserve">was developed to </w:t>
      </w:r>
      <w:r w:rsidR="00DA7669">
        <w:rPr>
          <w:lang w:eastAsia="nl-NL"/>
        </w:rPr>
        <w:t>generate</w:t>
      </w:r>
      <w:r w:rsidRPr="00143B8E">
        <w:rPr>
          <w:lang w:eastAsia="nl-NL"/>
        </w:rPr>
        <w:t xml:space="preserve"> clinical trial </w:t>
      </w:r>
      <w:r w:rsidR="00DA7669">
        <w:rPr>
          <w:lang w:eastAsia="nl-NL"/>
        </w:rPr>
        <w:t>datasets</w:t>
      </w:r>
      <w:r w:rsidRPr="00143B8E">
        <w:rPr>
          <w:lang w:eastAsia="nl-NL"/>
        </w:rPr>
        <w:t xml:space="preserve"> for a range of clinical trial designs. </w:t>
      </w:r>
      <w:r w:rsidR="00B4450B">
        <w:rPr>
          <w:lang w:eastAsia="nl-NL"/>
        </w:rPr>
        <w:t xml:space="preserve">The BCTS was designed to simulate clinical trials for a hypothetical new biologic treatment for SLE, with no similar comparator on the market. </w:t>
      </w:r>
      <w:r w:rsidR="00736835">
        <w:rPr>
          <w:lang w:eastAsia="nl-NL"/>
        </w:rPr>
        <w:t xml:space="preserve">Phase II trial data from belimumab was used to describe the effectiveness of the new treatment, therefore the hypothetical drug is assumed to have a similar profile to belimumab. </w:t>
      </w:r>
      <w:r w:rsidR="002A0F3D">
        <w:rPr>
          <w:lang w:eastAsia="nl-NL"/>
        </w:rPr>
        <w:t xml:space="preserve">An individual patient simulation model was used to reflect the substantial heterogeneity in outcomes observed in SLE trials. </w:t>
      </w:r>
      <w:r w:rsidR="00DA7669">
        <w:rPr>
          <w:lang w:eastAsia="nl-NL"/>
        </w:rPr>
        <w:t xml:space="preserve">Individual patient outcomes in the trials were predicted from </w:t>
      </w:r>
      <w:r>
        <w:rPr>
          <w:lang w:eastAsia="nl-NL"/>
        </w:rPr>
        <w:t xml:space="preserve">the </w:t>
      </w:r>
      <w:r w:rsidR="00097A11">
        <w:rPr>
          <w:lang w:eastAsia="nl-NL"/>
        </w:rPr>
        <w:t>n</w:t>
      </w:r>
      <w:r>
        <w:rPr>
          <w:lang w:eastAsia="nl-NL"/>
        </w:rPr>
        <w:t xml:space="preserve">atural </w:t>
      </w:r>
      <w:r w:rsidR="00097A11">
        <w:rPr>
          <w:lang w:eastAsia="nl-NL"/>
        </w:rPr>
        <w:t>h</w:t>
      </w:r>
      <w:r>
        <w:rPr>
          <w:lang w:eastAsia="nl-NL"/>
        </w:rPr>
        <w:t>istory m</w:t>
      </w:r>
      <w:r w:rsidRPr="00143B8E">
        <w:rPr>
          <w:lang w:eastAsia="nl-NL"/>
        </w:rPr>
        <w:t xml:space="preserve">odel described in Chapter </w:t>
      </w:r>
      <w:r>
        <w:rPr>
          <w:lang w:eastAsia="nl-NL"/>
        </w:rPr>
        <w:t>5</w:t>
      </w:r>
      <w:r w:rsidRPr="00143B8E">
        <w:rPr>
          <w:lang w:eastAsia="nl-NL"/>
        </w:rPr>
        <w:t>.</w:t>
      </w:r>
      <w:r w:rsidRPr="00143B8E">
        <w:t xml:space="preserve"> </w:t>
      </w:r>
      <w:r w:rsidR="00DA7669">
        <w:rPr>
          <w:lang w:eastAsia="nl-NL"/>
        </w:rPr>
        <w:t>Additional</w:t>
      </w:r>
      <w:r w:rsidRPr="00143B8E">
        <w:rPr>
          <w:lang w:eastAsia="nl-NL"/>
        </w:rPr>
        <w:t xml:space="preserve"> published literature</w:t>
      </w:r>
      <w:r w:rsidR="00DA7669">
        <w:rPr>
          <w:lang w:eastAsia="nl-NL"/>
        </w:rPr>
        <w:t xml:space="preserve"> was sought</w:t>
      </w:r>
      <w:r>
        <w:rPr>
          <w:lang w:eastAsia="nl-NL"/>
        </w:rPr>
        <w:t xml:space="preserve"> to esti</w:t>
      </w:r>
      <w:r w:rsidR="00DA7669">
        <w:rPr>
          <w:lang w:eastAsia="nl-NL"/>
        </w:rPr>
        <w:t xml:space="preserve">mate treatment withdrawal </w:t>
      </w:r>
      <w:r w:rsidR="00B4450B">
        <w:rPr>
          <w:lang w:eastAsia="nl-NL"/>
        </w:rPr>
        <w:t>from the trial</w:t>
      </w:r>
      <w:r w:rsidR="00DA7669">
        <w:rPr>
          <w:lang w:eastAsia="nl-NL"/>
        </w:rPr>
        <w:t xml:space="preserve"> and efficacy data. The long term efficacy of biologic treatment in SLE is unknown and </w:t>
      </w:r>
      <w:r w:rsidR="002A0F3D">
        <w:rPr>
          <w:lang w:eastAsia="nl-NL"/>
        </w:rPr>
        <w:t xml:space="preserve">so </w:t>
      </w:r>
      <w:r w:rsidRPr="00143B8E">
        <w:rPr>
          <w:lang w:eastAsia="nl-NL"/>
        </w:rPr>
        <w:t xml:space="preserve">an elicitation </w:t>
      </w:r>
      <w:r w:rsidR="00B4450B">
        <w:rPr>
          <w:lang w:eastAsia="nl-NL"/>
        </w:rPr>
        <w:t>was used to quantify uncertain prior distributions for</w:t>
      </w:r>
      <w:r w:rsidR="002A0F3D">
        <w:rPr>
          <w:lang w:eastAsia="nl-NL"/>
        </w:rPr>
        <w:t xml:space="preserve"> the long-term effectiveness of treatment</w:t>
      </w:r>
      <w:r w:rsidRPr="00143B8E">
        <w:rPr>
          <w:lang w:eastAsia="nl-NL"/>
        </w:rPr>
        <w:t xml:space="preserve">. </w:t>
      </w:r>
    </w:p>
    <w:p w:rsidR="00C62F3A" w:rsidRDefault="00D36410" w:rsidP="00D36410">
      <w:pPr>
        <w:rPr>
          <w:lang w:eastAsia="nl-NL"/>
        </w:rPr>
      </w:pPr>
      <w:r>
        <w:rPr>
          <w:lang w:eastAsia="nl-NL"/>
        </w:rPr>
        <w:t>The BCTS was developed independently from the GSK collaboration and I undertook all of the work described in this Chapter.</w:t>
      </w:r>
    </w:p>
    <w:p w:rsidR="00C62F3A" w:rsidRDefault="00C62F3A" w:rsidP="00B4450B">
      <w:pPr>
        <w:rPr>
          <w:lang w:eastAsia="nl-NL"/>
        </w:rPr>
      </w:pPr>
      <w:r>
        <w:rPr>
          <w:lang w:eastAsia="nl-NL"/>
        </w:rPr>
        <w:t xml:space="preserve">The BCTS structure is described in Section </w:t>
      </w:r>
      <w:r w:rsidR="00E729BA">
        <w:rPr>
          <w:lang w:eastAsia="nl-NL"/>
        </w:rPr>
        <w:fldChar w:fldCharType="begin"/>
      </w:r>
      <w:r>
        <w:rPr>
          <w:lang w:eastAsia="nl-NL"/>
        </w:rPr>
        <w:instrText xml:space="preserve"> REF _Ref334701429 \r \h </w:instrText>
      </w:r>
      <w:r w:rsidR="00E729BA">
        <w:rPr>
          <w:lang w:eastAsia="nl-NL"/>
        </w:rPr>
      </w:r>
      <w:r w:rsidR="00E729BA">
        <w:rPr>
          <w:lang w:eastAsia="nl-NL"/>
        </w:rPr>
        <w:fldChar w:fldCharType="separate"/>
      </w:r>
      <w:r w:rsidR="004911B7">
        <w:rPr>
          <w:cs/>
          <w:lang w:eastAsia="nl-NL"/>
        </w:rPr>
        <w:t>‎</w:t>
      </w:r>
      <w:r w:rsidR="004911B7">
        <w:rPr>
          <w:lang w:eastAsia="nl-NL"/>
        </w:rPr>
        <w:t>6.1</w:t>
      </w:r>
      <w:r w:rsidR="00E729BA">
        <w:rPr>
          <w:lang w:eastAsia="nl-NL"/>
        </w:rPr>
        <w:fldChar w:fldCharType="end"/>
      </w:r>
      <w:r>
        <w:rPr>
          <w:lang w:eastAsia="nl-NL"/>
        </w:rPr>
        <w:t xml:space="preserve"> and a detailed description of the simulation process is given in Section </w:t>
      </w:r>
      <w:r w:rsidR="00E729BA">
        <w:rPr>
          <w:lang w:eastAsia="nl-NL"/>
        </w:rPr>
        <w:fldChar w:fldCharType="begin"/>
      </w:r>
      <w:r>
        <w:rPr>
          <w:lang w:eastAsia="nl-NL"/>
        </w:rPr>
        <w:instrText xml:space="preserve"> REF _Ref341367618 \r \h </w:instrText>
      </w:r>
      <w:r w:rsidR="00E729BA">
        <w:rPr>
          <w:lang w:eastAsia="nl-NL"/>
        </w:rPr>
      </w:r>
      <w:r w:rsidR="00E729BA">
        <w:rPr>
          <w:lang w:eastAsia="nl-NL"/>
        </w:rPr>
        <w:fldChar w:fldCharType="separate"/>
      </w:r>
      <w:r w:rsidR="004911B7">
        <w:rPr>
          <w:cs/>
          <w:lang w:eastAsia="nl-NL"/>
        </w:rPr>
        <w:t>‎</w:t>
      </w:r>
      <w:r w:rsidR="004911B7">
        <w:rPr>
          <w:lang w:eastAsia="nl-NL"/>
        </w:rPr>
        <w:t>6.2</w:t>
      </w:r>
      <w:r w:rsidR="00E729BA">
        <w:rPr>
          <w:lang w:eastAsia="nl-NL"/>
        </w:rPr>
        <w:fldChar w:fldCharType="end"/>
      </w:r>
      <w:r>
        <w:rPr>
          <w:lang w:eastAsia="nl-NL"/>
        </w:rPr>
        <w:t xml:space="preserve">. </w:t>
      </w:r>
      <w:r w:rsidR="00680ED8">
        <w:rPr>
          <w:lang w:eastAsia="nl-NL"/>
        </w:rPr>
        <w:t xml:space="preserve">Section </w:t>
      </w:r>
      <w:r w:rsidR="00E729BA">
        <w:rPr>
          <w:lang w:eastAsia="nl-NL"/>
        </w:rPr>
        <w:fldChar w:fldCharType="begin"/>
      </w:r>
      <w:r w:rsidR="00680ED8">
        <w:rPr>
          <w:lang w:eastAsia="nl-NL"/>
        </w:rPr>
        <w:instrText xml:space="preserve"> REF _Ref334701618 \r \h </w:instrText>
      </w:r>
      <w:r w:rsidR="00E729BA">
        <w:rPr>
          <w:lang w:eastAsia="nl-NL"/>
        </w:rPr>
      </w:r>
      <w:r w:rsidR="00E729BA">
        <w:rPr>
          <w:lang w:eastAsia="nl-NL"/>
        </w:rPr>
        <w:fldChar w:fldCharType="separate"/>
      </w:r>
      <w:r w:rsidR="004911B7">
        <w:rPr>
          <w:cs/>
          <w:lang w:eastAsia="nl-NL"/>
        </w:rPr>
        <w:t>‎</w:t>
      </w:r>
      <w:r w:rsidR="004911B7">
        <w:rPr>
          <w:lang w:eastAsia="nl-NL"/>
        </w:rPr>
        <w:t>6.3</w:t>
      </w:r>
      <w:r w:rsidR="00E729BA">
        <w:rPr>
          <w:lang w:eastAsia="nl-NL"/>
        </w:rPr>
        <w:fldChar w:fldCharType="end"/>
      </w:r>
      <w:r w:rsidR="00680ED8">
        <w:rPr>
          <w:lang w:eastAsia="nl-NL"/>
        </w:rPr>
        <w:t xml:space="preserve"> describes the efficacy assumptions assumed for the hypothetical treatment </w:t>
      </w:r>
      <w:r w:rsidR="00B4450B">
        <w:rPr>
          <w:lang w:eastAsia="nl-NL"/>
        </w:rPr>
        <w:t>including</w:t>
      </w:r>
      <w:r w:rsidR="00680ED8">
        <w:rPr>
          <w:lang w:eastAsia="nl-NL"/>
        </w:rPr>
        <w:t xml:space="preserve"> an</w:t>
      </w:r>
      <w:r>
        <w:rPr>
          <w:lang w:eastAsia="nl-NL"/>
        </w:rPr>
        <w:t xml:space="preserve"> elicitation exercise. </w:t>
      </w:r>
      <w:r w:rsidR="00B35654">
        <w:rPr>
          <w:lang w:eastAsia="nl-NL"/>
        </w:rPr>
        <w:t>A discussion of the outcomes of the simulation</w:t>
      </w:r>
      <w:r w:rsidR="00D4731A">
        <w:rPr>
          <w:lang w:eastAsia="nl-NL"/>
        </w:rPr>
        <w:t xml:space="preserve"> is provided in Section </w:t>
      </w:r>
      <w:r w:rsidR="00E729BA">
        <w:rPr>
          <w:lang w:eastAsia="nl-NL"/>
        </w:rPr>
        <w:fldChar w:fldCharType="begin"/>
      </w:r>
      <w:r w:rsidR="00907F0D">
        <w:rPr>
          <w:lang w:eastAsia="nl-NL"/>
        </w:rPr>
        <w:instrText xml:space="preserve"> REF _Ref354930526 \n \h </w:instrText>
      </w:r>
      <w:r w:rsidR="00E729BA">
        <w:rPr>
          <w:lang w:eastAsia="nl-NL"/>
        </w:rPr>
      </w:r>
      <w:r w:rsidR="00E729BA">
        <w:rPr>
          <w:lang w:eastAsia="nl-NL"/>
        </w:rPr>
        <w:fldChar w:fldCharType="separate"/>
      </w:r>
      <w:r w:rsidR="004911B7">
        <w:rPr>
          <w:cs/>
          <w:lang w:eastAsia="nl-NL"/>
        </w:rPr>
        <w:t>‎</w:t>
      </w:r>
      <w:r w:rsidR="004911B7">
        <w:rPr>
          <w:lang w:eastAsia="nl-NL"/>
        </w:rPr>
        <w:t>6.4</w:t>
      </w:r>
      <w:r w:rsidR="00E729BA">
        <w:rPr>
          <w:lang w:eastAsia="nl-NL"/>
        </w:rPr>
        <w:fldChar w:fldCharType="end"/>
      </w:r>
      <w:r>
        <w:rPr>
          <w:lang w:eastAsia="nl-NL"/>
        </w:rPr>
        <w:t>.</w:t>
      </w:r>
      <w:r w:rsidR="00D4731A">
        <w:rPr>
          <w:lang w:eastAsia="nl-NL"/>
        </w:rPr>
        <w:t xml:space="preserve"> </w:t>
      </w:r>
      <w:r w:rsidR="00907F0D">
        <w:rPr>
          <w:lang w:eastAsia="nl-NL"/>
        </w:rPr>
        <w:t xml:space="preserve">The discussion in Section </w:t>
      </w:r>
      <w:r w:rsidR="00E729BA">
        <w:rPr>
          <w:lang w:eastAsia="nl-NL"/>
        </w:rPr>
        <w:fldChar w:fldCharType="begin"/>
      </w:r>
      <w:r w:rsidR="00907F0D">
        <w:rPr>
          <w:lang w:eastAsia="nl-NL"/>
        </w:rPr>
        <w:instrText xml:space="preserve"> REF _Ref354930714 \n \h </w:instrText>
      </w:r>
      <w:r w:rsidR="00E729BA">
        <w:rPr>
          <w:lang w:eastAsia="nl-NL"/>
        </w:rPr>
      </w:r>
      <w:r w:rsidR="00E729BA">
        <w:rPr>
          <w:lang w:eastAsia="nl-NL"/>
        </w:rPr>
        <w:fldChar w:fldCharType="separate"/>
      </w:r>
      <w:r w:rsidR="004911B7">
        <w:rPr>
          <w:cs/>
          <w:lang w:eastAsia="nl-NL"/>
        </w:rPr>
        <w:t>‎</w:t>
      </w:r>
      <w:r w:rsidR="004911B7">
        <w:rPr>
          <w:lang w:eastAsia="nl-NL"/>
        </w:rPr>
        <w:t>6.5</w:t>
      </w:r>
      <w:r w:rsidR="00E729BA">
        <w:rPr>
          <w:lang w:eastAsia="nl-NL"/>
        </w:rPr>
        <w:fldChar w:fldCharType="end"/>
      </w:r>
      <w:r w:rsidR="00907F0D">
        <w:rPr>
          <w:lang w:eastAsia="nl-NL"/>
        </w:rPr>
        <w:t xml:space="preserve"> reflects on the strengths and weakness of the BCTS. </w:t>
      </w:r>
    </w:p>
    <w:p w:rsidR="00C62F3A" w:rsidRDefault="00C62F3A" w:rsidP="00C62F3A">
      <w:pPr>
        <w:pStyle w:val="Heading2"/>
        <w:rPr>
          <w:lang w:eastAsia="nl-NL"/>
        </w:rPr>
      </w:pPr>
      <w:bookmarkStart w:id="355" w:name="_Ref334701429"/>
      <w:bookmarkStart w:id="356" w:name="_Toc335051108"/>
      <w:bookmarkStart w:id="357" w:name="_Toc341366936"/>
      <w:bookmarkStart w:id="358" w:name="_Toc379467630"/>
      <w:r>
        <w:rPr>
          <w:lang w:eastAsia="nl-NL"/>
        </w:rPr>
        <w:t>Model Structure</w:t>
      </w:r>
      <w:bookmarkEnd w:id="355"/>
      <w:bookmarkEnd w:id="356"/>
      <w:bookmarkEnd w:id="357"/>
      <w:bookmarkEnd w:id="358"/>
    </w:p>
    <w:p w:rsidR="00C62F3A" w:rsidRDefault="00065716" w:rsidP="00736835">
      <w:pPr>
        <w:rPr>
          <w:lang w:eastAsia="nl-NL"/>
        </w:rPr>
      </w:pPr>
      <w:r>
        <w:rPr>
          <w:lang w:eastAsia="nl-NL"/>
        </w:rPr>
        <w:t xml:space="preserve">An individual patient simulation </w:t>
      </w:r>
      <w:r w:rsidR="00C62F3A">
        <w:rPr>
          <w:lang w:eastAsia="nl-NL"/>
        </w:rPr>
        <w:t xml:space="preserve">was built to </w:t>
      </w:r>
      <w:r w:rsidR="00B4450B">
        <w:rPr>
          <w:lang w:eastAsia="nl-NL"/>
        </w:rPr>
        <w:t>model</w:t>
      </w:r>
      <w:r w:rsidR="00C62F3A">
        <w:rPr>
          <w:lang w:eastAsia="nl-NL"/>
        </w:rPr>
        <w:t xml:space="preserve"> patient outcomes over the duration of follow-up of an SLE clinical trial. The patient population entering the BCTS were </w:t>
      </w:r>
      <w:r>
        <w:rPr>
          <w:lang w:eastAsia="nl-NL"/>
        </w:rPr>
        <w:t xml:space="preserve">randomly allocated between two treatment arms in the trial. The clinical trial compared a new hypothetical biologic treatment with Standard of Care (SoC). </w:t>
      </w:r>
      <w:r w:rsidR="00C62F3A">
        <w:rPr>
          <w:lang w:eastAsia="nl-NL"/>
        </w:rPr>
        <w:t xml:space="preserve">The </w:t>
      </w:r>
      <w:r w:rsidR="00097A11">
        <w:rPr>
          <w:lang w:eastAsia="nl-NL"/>
        </w:rPr>
        <w:t>BCTS</w:t>
      </w:r>
      <w:r w:rsidR="00C62F3A">
        <w:rPr>
          <w:lang w:eastAsia="nl-NL"/>
        </w:rPr>
        <w:t xml:space="preserve"> estimated patient’s disease course in </w:t>
      </w:r>
      <w:r>
        <w:rPr>
          <w:lang w:eastAsia="nl-NL"/>
        </w:rPr>
        <w:t>three</w:t>
      </w:r>
      <w:r w:rsidR="00C62F3A">
        <w:rPr>
          <w:lang w:eastAsia="nl-NL"/>
        </w:rPr>
        <w:t xml:space="preserve"> monthly cycles to reflect regular clinic visits scheduled in an RCT. </w:t>
      </w:r>
      <w:r>
        <w:rPr>
          <w:lang w:eastAsia="nl-NL"/>
        </w:rPr>
        <w:t xml:space="preserve">At every three monthly visit the patient’s disease status is updated for a number of trial outcomes to include: visit attendance; SLEDAI items; steroid dose; organ damage; mortality. </w:t>
      </w:r>
      <w:r w:rsidR="00A76C13">
        <w:rPr>
          <w:lang w:eastAsia="nl-NL"/>
        </w:rPr>
        <w:t xml:space="preserve">The BCTS accounts for uncertainty in trial outcomes by simulating </w:t>
      </w:r>
      <w:r w:rsidR="00736835">
        <w:rPr>
          <w:lang w:eastAsia="nl-NL"/>
        </w:rPr>
        <w:t xml:space="preserve">one </w:t>
      </w:r>
      <w:r w:rsidR="00A76C13">
        <w:rPr>
          <w:lang w:eastAsia="nl-NL"/>
        </w:rPr>
        <w:t>thousand possible realisations of the trial</w:t>
      </w:r>
      <w:r w:rsidR="00EE6857">
        <w:rPr>
          <w:lang w:eastAsia="nl-NL"/>
        </w:rPr>
        <w:t>,</w:t>
      </w:r>
      <w:r w:rsidR="00A76C13">
        <w:rPr>
          <w:lang w:eastAsia="nl-NL"/>
        </w:rPr>
        <w:t xml:space="preserve"> each of which has a different trial result.</w:t>
      </w:r>
    </w:p>
    <w:p w:rsidR="00C62F3A" w:rsidRDefault="00C62F3A" w:rsidP="00C62F3A">
      <w:pPr>
        <w:pStyle w:val="Heading2"/>
        <w:rPr>
          <w:lang w:eastAsia="nl-NL"/>
        </w:rPr>
      </w:pPr>
      <w:bookmarkStart w:id="359" w:name="_Toc335051109"/>
      <w:bookmarkStart w:id="360" w:name="_Toc341366937"/>
      <w:bookmarkStart w:id="361" w:name="_Ref341367618"/>
      <w:bookmarkStart w:id="362" w:name="_Toc379467631"/>
      <w:r>
        <w:rPr>
          <w:lang w:eastAsia="nl-NL"/>
        </w:rPr>
        <w:t>Simulation Process</w:t>
      </w:r>
      <w:bookmarkEnd w:id="359"/>
      <w:bookmarkEnd w:id="360"/>
      <w:bookmarkEnd w:id="361"/>
      <w:bookmarkEnd w:id="362"/>
    </w:p>
    <w:p w:rsidR="00C62F3A" w:rsidRPr="00B521B7" w:rsidRDefault="00C62F3A" w:rsidP="00C62F3A">
      <w:pPr>
        <w:pStyle w:val="Heading3"/>
        <w:rPr>
          <w:lang w:eastAsia="nl-NL"/>
        </w:rPr>
      </w:pPr>
      <w:bookmarkStart w:id="363" w:name="_Toc379467632"/>
      <w:r>
        <w:rPr>
          <w:lang w:eastAsia="nl-NL"/>
        </w:rPr>
        <w:t>Overview of the Simulation</w:t>
      </w:r>
      <w:bookmarkEnd w:id="363"/>
    </w:p>
    <w:p w:rsidR="0065366F" w:rsidRDefault="00C62F3A" w:rsidP="00A76C13">
      <w:pPr>
        <w:rPr>
          <w:lang w:eastAsia="nl-NL"/>
        </w:rPr>
      </w:pPr>
      <w:r>
        <w:rPr>
          <w:lang w:eastAsia="nl-NL"/>
        </w:rPr>
        <w:t>The BCTS relies on two simulation processes</w:t>
      </w:r>
      <w:r w:rsidR="0065366F">
        <w:rPr>
          <w:lang w:eastAsia="nl-NL"/>
        </w:rPr>
        <w:t xml:space="preserve"> developed in R software </w:t>
      </w:r>
      <w:r w:rsidR="00E729BA">
        <w:rPr>
          <w:lang w:eastAsia="nl-NL"/>
        </w:rPr>
        <w:fldChar w:fldCharType="begin"/>
      </w:r>
      <w:r w:rsidR="00FC61FD">
        <w:rPr>
          <w:lang w:eastAsia="nl-NL"/>
        </w:rPr>
        <w:instrText xml:space="preserve"> ADDIN REFMGR.CITE &lt;Refman&gt;&lt;Cite&gt;&lt;Author&gt;R Core Team&lt;/Author&gt;&lt;Year&gt;2012&lt;/Year&gt;&lt;RecNum&gt;1617&lt;/RecNum&gt;&lt;IDText&gt;R: A Language and Environment for Statistical Computing&lt;/IDText&gt;&lt;MDL Ref_Type="Computer Program"&gt;&lt;Ref_Type&gt;Computer Program&lt;/Ref_Type&gt;&lt;Ref_ID&gt;1617&lt;/Ref_ID&gt;&lt;Title_Primary&gt;R: A Language and Environment for Statistical Computing&lt;/Title_Primary&gt;&lt;Authors_Primary&gt;R Core Team&lt;/Authors_Primary&gt;&lt;Date_Primary&gt;2012&lt;/Date_Primary&gt;&lt;Keywords&gt;Environment&lt;/Keywords&gt;&lt;Reprint&gt;In File&lt;/Reprint&gt;&lt;Pub_Place&gt;Vienna, Austria&lt;/Pub_Place&gt;&lt;Publisher&gt;R Foundation for Statistical Computing&lt;/Publisher&gt;&lt;Web_URL&gt;&lt;u&gt;http://www.R-project.org&lt;/u&gt;&lt;/Web_URL&gt;&lt;ZZ_WorkformID&gt;11&lt;/ZZ_WorkformID&gt;&lt;/MDL&gt;&lt;/Cite&gt;&lt;/Refman&gt;</w:instrText>
      </w:r>
      <w:r w:rsidR="00E729BA">
        <w:rPr>
          <w:lang w:eastAsia="nl-NL"/>
        </w:rPr>
        <w:fldChar w:fldCharType="separate"/>
      </w:r>
      <w:r w:rsidR="004D7951">
        <w:rPr>
          <w:lang w:eastAsia="nl-NL"/>
        </w:rPr>
        <w:t>(220)</w:t>
      </w:r>
      <w:r w:rsidR="00E729BA">
        <w:rPr>
          <w:lang w:eastAsia="nl-NL"/>
        </w:rPr>
        <w:fldChar w:fldCharType="end"/>
      </w:r>
      <w:r w:rsidR="0065366F">
        <w:rPr>
          <w:lang w:eastAsia="nl-NL"/>
        </w:rPr>
        <w:t>.</w:t>
      </w:r>
      <w:r>
        <w:rPr>
          <w:lang w:eastAsia="nl-NL"/>
        </w:rPr>
        <w:t xml:space="preserve"> </w:t>
      </w:r>
      <w:r w:rsidR="0065366F">
        <w:rPr>
          <w:lang w:eastAsia="nl-NL"/>
        </w:rPr>
        <w:t xml:space="preserve">A summary of the two simulation processes is described in </w:t>
      </w:r>
      <w:r w:rsidR="00E729BA">
        <w:rPr>
          <w:lang w:eastAsia="nl-NL"/>
        </w:rPr>
        <w:fldChar w:fldCharType="begin"/>
      </w:r>
      <w:r w:rsidR="0065366F">
        <w:rPr>
          <w:lang w:eastAsia="nl-NL"/>
        </w:rPr>
        <w:instrText xml:space="preserve"> REF _Ref335648304 \h </w:instrText>
      </w:r>
      <w:r w:rsidR="00E729BA">
        <w:rPr>
          <w:lang w:eastAsia="nl-NL"/>
        </w:rPr>
      </w:r>
      <w:r w:rsidR="00E729BA">
        <w:rPr>
          <w:lang w:eastAsia="nl-NL"/>
        </w:rPr>
        <w:fldChar w:fldCharType="separate"/>
      </w:r>
      <w:r w:rsidR="004911B7">
        <w:t xml:space="preserve">Figure </w:t>
      </w:r>
      <w:r w:rsidR="004911B7">
        <w:rPr>
          <w:noProof/>
        </w:rPr>
        <w:t>19</w:t>
      </w:r>
      <w:r w:rsidR="00E729BA">
        <w:rPr>
          <w:lang w:eastAsia="nl-NL"/>
        </w:rPr>
        <w:fldChar w:fldCharType="end"/>
      </w:r>
      <w:r w:rsidR="0065366F">
        <w:rPr>
          <w:lang w:eastAsia="nl-NL"/>
        </w:rPr>
        <w:t xml:space="preserve">. </w:t>
      </w:r>
      <w:r>
        <w:rPr>
          <w:lang w:eastAsia="nl-NL"/>
        </w:rPr>
        <w:t xml:space="preserve">The first generates a SLE population with </w:t>
      </w:r>
      <w:r w:rsidR="000D35EC">
        <w:rPr>
          <w:lang w:eastAsia="nl-NL"/>
        </w:rPr>
        <w:t xml:space="preserve">sufficient information about </w:t>
      </w:r>
      <w:r w:rsidR="0065366F">
        <w:rPr>
          <w:lang w:eastAsia="nl-NL"/>
        </w:rPr>
        <w:t>the patients’</w:t>
      </w:r>
      <w:r w:rsidR="000D35EC">
        <w:rPr>
          <w:lang w:eastAsia="nl-NL"/>
        </w:rPr>
        <w:t xml:space="preserve"> characteristics and disease profile to </w:t>
      </w:r>
      <w:r w:rsidR="00A76C13">
        <w:rPr>
          <w:lang w:eastAsia="nl-NL"/>
        </w:rPr>
        <w:t>enable modelling of</w:t>
      </w:r>
      <w:r w:rsidR="000D35EC">
        <w:rPr>
          <w:lang w:eastAsia="nl-NL"/>
        </w:rPr>
        <w:t xml:space="preserve"> their future disease outcomes. The patients vary in disease severity and organ damage involvement to reflect the heterogeneity of the disease</w:t>
      </w:r>
      <w:r>
        <w:rPr>
          <w:lang w:eastAsia="nl-NL"/>
        </w:rPr>
        <w:t xml:space="preserve">. </w:t>
      </w:r>
    </w:p>
    <w:p w:rsidR="0065366F" w:rsidRDefault="00C62F3A" w:rsidP="0081424E">
      <w:pPr>
        <w:rPr>
          <w:lang w:eastAsia="nl-NL"/>
        </w:rPr>
      </w:pPr>
      <w:r>
        <w:rPr>
          <w:lang w:eastAsia="nl-NL"/>
        </w:rPr>
        <w:t xml:space="preserve">In the second </w:t>
      </w:r>
      <w:r w:rsidR="00B175E3">
        <w:rPr>
          <w:lang w:eastAsia="nl-NL"/>
        </w:rPr>
        <w:t>process</w:t>
      </w:r>
      <w:r>
        <w:rPr>
          <w:lang w:eastAsia="nl-NL"/>
        </w:rPr>
        <w:t xml:space="preserve"> the </w:t>
      </w:r>
      <w:r w:rsidR="0065366F">
        <w:rPr>
          <w:lang w:eastAsia="nl-NL"/>
        </w:rPr>
        <w:t>outcomes of the clinical trial are generated. The recruitment process selected</w:t>
      </w:r>
      <w:r>
        <w:rPr>
          <w:lang w:eastAsia="nl-NL"/>
        </w:rPr>
        <w:t xml:space="preserve"> </w:t>
      </w:r>
      <w:r w:rsidR="00B175E3">
        <w:rPr>
          <w:lang w:eastAsia="nl-NL"/>
        </w:rPr>
        <w:t xml:space="preserve">patients </w:t>
      </w:r>
      <w:r>
        <w:rPr>
          <w:lang w:eastAsia="nl-NL"/>
        </w:rPr>
        <w:t xml:space="preserve">if they met the inclusion criteria until the sample size for the clinical trial was reached. The eligible patients were randomised between the two treatment arms of the trial using a simple randomisation process. The BCTS monitors patients over time to estimate their outcomes during the clinical trial follow-up. At the end of the clinical trial follow-up the endpoints were estimated and recorded. </w:t>
      </w:r>
      <w:r w:rsidR="00497DAB">
        <w:rPr>
          <w:lang w:eastAsia="nl-NL"/>
        </w:rPr>
        <w:t xml:space="preserve">The natural history described in the BCTS is based on the conceptual model for SLE described in </w:t>
      </w:r>
      <w:r w:rsidR="0081424E">
        <w:rPr>
          <w:lang w:eastAsia="nl-NL"/>
        </w:rPr>
        <w:t>S</w:t>
      </w:r>
      <w:r w:rsidR="00497DAB">
        <w:rPr>
          <w:lang w:eastAsia="nl-NL"/>
        </w:rPr>
        <w:t xml:space="preserve">ection </w:t>
      </w:r>
      <w:r w:rsidR="00E729BA">
        <w:rPr>
          <w:lang w:eastAsia="nl-NL"/>
        </w:rPr>
        <w:fldChar w:fldCharType="begin"/>
      </w:r>
      <w:r w:rsidR="00497DAB">
        <w:rPr>
          <w:lang w:eastAsia="nl-NL"/>
        </w:rPr>
        <w:instrText xml:space="preserve"> REF _Ref354830703 \n \h </w:instrText>
      </w:r>
      <w:r w:rsidR="00E729BA">
        <w:rPr>
          <w:lang w:eastAsia="nl-NL"/>
        </w:rPr>
      </w:r>
      <w:r w:rsidR="00E729BA">
        <w:rPr>
          <w:lang w:eastAsia="nl-NL"/>
        </w:rPr>
        <w:fldChar w:fldCharType="separate"/>
      </w:r>
      <w:r w:rsidR="004911B7">
        <w:rPr>
          <w:cs/>
          <w:lang w:eastAsia="nl-NL"/>
        </w:rPr>
        <w:t>‎</w:t>
      </w:r>
      <w:r w:rsidR="004911B7">
        <w:rPr>
          <w:lang w:eastAsia="nl-NL"/>
        </w:rPr>
        <w:t>4.2.1</w:t>
      </w:r>
      <w:r w:rsidR="00E729BA">
        <w:rPr>
          <w:lang w:eastAsia="nl-NL"/>
        </w:rPr>
        <w:fldChar w:fldCharType="end"/>
      </w:r>
      <w:r w:rsidR="00497DAB">
        <w:rPr>
          <w:lang w:eastAsia="nl-NL"/>
        </w:rPr>
        <w:t xml:space="preserve"> of Chapter 4.</w:t>
      </w:r>
    </w:p>
    <w:p w:rsidR="00C62F3A" w:rsidRPr="00297825" w:rsidRDefault="0065366F" w:rsidP="00AB428B">
      <w:pPr>
        <w:rPr>
          <w:lang w:eastAsia="nl-NL"/>
        </w:rPr>
      </w:pPr>
      <w:r>
        <w:rPr>
          <w:lang w:eastAsia="nl-NL"/>
        </w:rPr>
        <w:t xml:space="preserve">The BCTS is repeated many times to estimate a range of possible trial outcomes with different sampled parameter inputs. </w:t>
      </w:r>
      <w:r w:rsidR="00687508">
        <w:rPr>
          <w:lang w:eastAsia="nl-NL"/>
        </w:rPr>
        <w:t xml:space="preserve">The parameters of the Generate SLE </w:t>
      </w:r>
      <w:r w:rsidR="00AB428B">
        <w:rPr>
          <w:lang w:eastAsia="nl-NL"/>
        </w:rPr>
        <w:t>P</w:t>
      </w:r>
      <w:r w:rsidR="00687508">
        <w:rPr>
          <w:lang w:eastAsia="nl-NL"/>
        </w:rPr>
        <w:t xml:space="preserve">opulation were not varied between BCTS runs. However, the parameters for the regression models for disease activity, steroid dose, organ damage, mortality, and withdrawal were all sampled from their probability distributions. </w:t>
      </w:r>
      <w:r w:rsidR="00B175E3">
        <w:rPr>
          <w:lang w:eastAsia="nl-NL"/>
        </w:rPr>
        <w:t xml:space="preserve">Each </w:t>
      </w:r>
      <w:r w:rsidR="0090251C">
        <w:rPr>
          <w:lang w:eastAsia="nl-NL"/>
        </w:rPr>
        <w:t>BCTS</w:t>
      </w:r>
      <w:r w:rsidR="00B175E3">
        <w:rPr>
          <w:lang w:eastAsia="nl-NL"/>
        </w:rPr>
        <w:t xml:space="preserve"> run uses a different set of input values that are sampled from parametric distributions</w:t>
      </w:r>
      <w:r>
        <w:rPr>
          <w:lang w:eastAsia="nl-NL"/>
        </w:rPr>
        <w:t xml:space="preserve">. </w:t>
      </w:r>
      <w:r w:rsidR="00C62F3A">
        <w:rPr>
          <w:lang w:eastAsia="nl-NL"/>
        </w:rPr>
        <w:t xml:space="preserve">This Bayesian approach captures the uncertainty of the parameters inputs to estimate the uncertainty in trial outcomes. The BCTS was run </w:t>
      </w:r>
      <w:r>
        <w:rPr>
          <w:lang w:eastAsia="nl-NL"/>
        </w:rPr>
        <w:t>1000</w:t>
      </w:r>
      <w:r w:rsidR="00C62F3A">
        <w:rPr>
          <w:lang w:eastAsia="nl-NL"/>
        </w:rPr>
        <w:t xml:space="preserve"> times with sampled input parameters. </w:t>
      </w:r>
    </w:p>
    <w:p w:rsidR="00C62F3A" w:rsidRDefault="00C62F3A" w:rsidP="00234693">
      <w:pPr>
        <w:pStyle w:val="Caption"/>
      </w:pPr>
      <w:bookmarkStart w:id="364" w:name="_Ref335648304"/>
      <w:r>
        <w:t xml:space="preserve">Figure </w:t>
      </w:r>
      <w:r w:rsidR="00E729BA">
        <w:fldChar w:fldCharType="begin"/>
      </w:r>
      <w:r w:rsidR="000B0EDB">
        <w:instrText xml:space="preserve"> SEQ Figure \* ARABIC </w:instrText>
      </w:r>
      <w:r w:rsidR="00E729BA">
        <w:fldChar w:fldCharType="separate"/>
      </w:r>
      <w:r w:rsidR="004911B7">
        <w:rPr>
          <w:noProof/>
        </w:rPr>
        <w:t>19</w:t>
      </w:r>
      <w:r w:rsidR="00E729BA">
        <w:fldChar w:fldCharType="end"/>
      </w:r>
      <w:bookmarkEnd w:id="364"/>
      <w:r>
        <w:t>: Summary of the simulation process used in the BCTS</w:t>
      </w:r>
    </w:p>
    <w:p w:rsidR="00C62F3A" w:rsidRDefault="00A76C13" w:rsidP="00A76C13">
      <w:pPr>
        <w:rPr>
          <w:lang w:eastAsia="nl-NL"/>
        </w:rPr>
      </w:pPr>
      <w:r w:rsidRPr="00A76C13">
        <w:rPr>
          <w:noProof/>
          <w:lang w:eastAsia="zh-CN" w:bidi="ar-SA"/>
        </w:rPr>
        <w:drawing>
          <wp:inline distT="0" distB="0" distL="0" distR="0">
            <wp:extent cx="4543425" cy="3209925"/>
            <wp:effectExtent l="19050" t="0" r="9525"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4543425" cy="3209925"/>
                    </a:xfrm>
                    <a:prstGeom prst="rect">
                      <a:avLst/>
                    </a:prstGeom>
                    <a:noFill/>
                    <a:ln w="9525">
                      <a:noFill/>
                      <a:miter lim="800000"/>
                      <a:headEnd/>
                      <a:tailEnd/>
                    </a:ln>
                  </pic:spPr>
                </pic:pic>
              </a:graphicData>
            </a:graphic>
          </wp:inline>
        </w:drawing>
      </w:r>
    </w:p>
    <w:p w:rsidR="00C62F3A" w:rsidRDefault="00687508" w:rsidP="00687508">
      <w:pPr>
        <w:rPr>
          <w:caps/>
          <w:color w:val="000000" w:themeColor="text1"/>
          <w:spacing w:val="15"/>
          <w:szCs w:val="22"/>
          <w:lang w:eastAsia="nl-NL"/>
        </w:rPr>
      </w:pPr>
      <w:bookmarkStart w:id="365" w:name="_Toc332726914"/>
      <w:bookmarkStart w:id="366" w:name="_Toc335051093"/>
      <w:bookmarkStart w:id="367" w:name="_Ref335652277"/>
      <w:bookmarkStart w:id="368" w:name="_Toc341366938"/>
      <w:bookmarkStart w:id="369" w:name="_Toc335051110"/>
      <w:r>
        <w:rPr>
          <w:lang w:eastAsia="nl-NL"/>
        </w:rPr>
        <w:t xml:space="preserve">The simulation generated detailed disease status information for each simulated patient at every 3 monthly clinic visit in the trial. The model had the flexibility to report a range of trial outcomes relating the SLEDAI score, steroid dose, organ damage, mortality, and withdrawal. </w:t>
      </w:r>
    </w:p>
    <w:p w:rsidR="00C62F3A" w:rsidRDefault="00C62F3A" w:rsidP="00C62F3A">
      <w:pPr>
        <w:pStyle w:val="Heading3"/>
        <w:rPr>
          <w:lang w:eastAsia="nl-NL"/>
        </w:rPr>
      </w:pPr>
      <w:bookmarkStart w:id="370" w:name="_Toc379467633"/>
      <w:r>
        <w:rPr>
          <w:lang w:eastAsia="nl-NL"/>
        </w:rPr>
        <w:t>Generate Population</w:t>
      </w:r>
      <w:bookmarkEnd w:id="365"/>
      <w:bookmarkEnd w:id="366"/>
      <w:bookmarkEnd w:id="367"/>
      <w:bookmarkEnd w:id="368"/>
      <w:r>
        <w:rPr>
          <w:lang w:eastAsia="nl-NL"/>
        </w:rPr>
        <w:t xml:space="preserve"> Process</w:t>
      </w:r>
      <w:bookmarkEnd w:id="370"/>
    </w:p>
    <w:p w:rsidR="006452F1" w:rsidRPr="006452F1" w:rsidRDefault="006452F1" w:rsidP="006452F1">
      <w:pPr>
        <w:pStyle w:val="Heading4"/>
        <w:rPr>
          <w:lang w:eastAsia="nl-NL"/>
        </w:rPr>
      </w:pPr>
      <w:r>
        <w:rPr>
          <w:lang w:eastAsia="nl-NL"/>
        </w:rPr>
        <w:t>Patient characTeristics</w:t>
      </w:r>
    </w:p>
    <w:p w:rsidR="00C62F3A" w:rsidRDefault="00C62F3A" w:rsidP="0081424E">
      <w:r>
        <w:t xml:space="preserve">The patient characteristics were randomly drawn from statistical distributions to generate an individual patient profile for each person in the SLE population. </w:t>
      </w:r>
      <w:r w:rsidR="004A3C64">
        <w:t>All statistical distributions were estimated from the Hopkins Lupus Cohort to reproduce the baseline characteristics of this population</w:t>
      </w:r>
      <w:r w:rsidR="00CD42AE">
        <w:t xml:space="preserve"> in an SLE population matrix</w:t>
      </w:r>
      <w:r w:rsidR="004A3C64">
        <w:t xml:space="preserve">. Sampling </w:t>
      </w:r>
      <w:r w:rsidR="0081424E">
        <w:t>characteristics from probability distributions</w:t>
      </w:r>
      <w:r w:rsidR="004A3C64">
        <w:t>, rather the raw data, were used to broaden the combinations of characteristics that could be sampled in the simulation.</w:t>
      </w:r>
    </w:p>
    <w:p w:rsidR="004911B7" w:rsidRDefault="00E729BA">
      <w:pPr>
        <w:spacing w:after="0" w:afterAutospacing="0" w:line="240" w:lineRule="auto"/>
        <w:rPr>
          <w:b/>
          <w:bCs/>
          <w:sz w:val="18"/>
          <w:szCs w:val="16"/>
        </w:rPr>
      </w:pPr>
      <w:r>
        <w:fldChar w:fldCharType="begin"/>
      </w:r>
      <w:r w:rsidR="002737EE">
        <w:instrText xml:space="preserve"> REF _Ref355006536 \h </w:instrText>
      </w:r>
      <w:r>
        <w:fldChar w:fldCharType="separate"/>
      </w:r>
      <w:r w:rsidR="004911B7">
        <w:t xml:space="preserve">Table </w:t>
      </w:r>
      <w:r w:rsidR="004911B7">
        <w:rPr>
          <w:noProof/>
        </w:rPr>
        <w:t>35</w:t>
      </w:r>
      <w:r>
        <w:fldChar w:fldCharType="end"/>
      </w:r>
      <w:r w:rsidR="002737EE">
        <w:t xml:space="preserve"> </w:t>
      </w:r>
      <w:r w:rsidR="00C62F3A">
        <w:t>details summary statistics for the characteristics of patients in the hypothetical SLE population</w:t>
      </w:r>
      <w:r w:rsidR="00A76C13">
        <w:t>,</w:t>
      </w:r>
      <w:r w:rsidR="00C62F3A">
        <w:t xml:space="preserve"> </w:t>
      </w:r>
      <w:r w:rsidR="00A76C13">
        <w:t xml:space="preserve">previously described in </w:t>
      </w:r>
      <w:r>
        <w:fldChar w:fldCharType="begin"/>
      </w:r>
      <w:r w:rsidR="00A76C13">
        <w:instrText xml:space="preserve"> REF _Ref363308808 \h </w:instrText>
      </w:r>
      <w:r>
        <w:fldChar w:fldCharType="separate"/>
      </w:r>
      <w:r w:rsidR="004911B7">
        <w:br w:type="page"/>
      </w:r>
    </w:p>
    <w:p w:rsidR="00C62F3A" w:rsidRDefault="004911B7" w:rsidP="001C3490">
      <w:r>
        <w:t xml:space="preserve">Table </w:t>
      </w:r>
      <w:r>
        <w:rPr>
          <w:noProof/>
        </w:rPr>
        <w:t>23</w:t>
      </w:r>
      <w:r w:rsidR="00E729BA">
        <w:fldChar w:fldCharType="end"/>
      </w:r>
      <w:r w:rsidR="00A76C13">
        <w:t xml:space="preserve">, </w:t>
      </w:r>
      <w:r w:rsidR="00C62F3A">
        <w:t xml:space="preserve">and the statistical distributions used to simulate patient characteristics. Column D of this table details the </w:t>
      </w:r>
      <w:r w:rsidR="004A3C64">
        <w:t xml:space="preserve">statistical </w:t>
      </w:r>
      <w:r w:rsidR="00C62F3A">
        <w:t xml:space="preserve">distribution used to </w:t>
      </w:r>
      <w:r w:rsidR="004A3C64">
        <w:t>represent variations in each characteristic</w:t>
      </w:r>
      <w:r w:rsidR="00C62F3A">
        <w:t xml:space="preserve">. </w:t>
      </w:r>
      <w:r w:rsidR="00A76C13">
        <w:t>All p</w:t>
      </w:r>
      <w:r w:rsidR="005D1C66">
        <w:t>atient characteristics</w:t>
      </w:r>
      <w:r w:rsidR="00A76C13">
        <w:t>, except disease activity,</w:t>
      </w:r>
      <w:r w:rsidR="005D1C66">
        <w:t xml:space="preserve"> were sampled independently</w:t>
      </w:r>
      <w:r w:rsidR="00A76C13">
        <w:t xml:space="preserve">. </w:t>
      </w:r>
      <w:r w:rsidR="001C3490">
        <w:t>An</w:t>
      </w:r>
      <w:r w:rsidR="00736835">
        <w:t xml:space="preserve"> alternative approach would have been to bootstrap individuals from the Hopkins Lupus Cohort. This method would have </w:t>
      </w:r>
      <w:r w:rsidR="0016510D">
        <w:t>ensured</w:t>
      </w:r>
      <w:r w:rsidR="00736835">
        <w:t xml:space="preserve"> </w:t>
      </w:r>
      <w:r w:rsidR="0016510D">
        <w:t>correlation between baseline characteristics of patients was</w:t>
      </w:r>
      <w:r w:rsidR="00736835">
        <w:t xml:space="preserve"> maintained. However, </w:t>
      </w:r>
      <w:r w:rsidR="00A76C13">
        <w:t>Bootstrapping was not used</w:t>
      </w:r>
      <w:r w:rsidR="001C3490">
        <w:t xml:space="preserve">. </w:t>
      </w:r>
      <w:r w:rsidR="00736835">
        <w:t xml:space="preserve">The simulation needed to be flexible to simulate patients with mild, moderate or severe SLE or by specific organ type. </w:t>
      </w:r>
      <w:r w:rsidR="001C3490">
        <w:t xml:space="preserve">Therefore sampling characteristics from distributions was preferred to increase the possible combinations of patients included in the simulation that may not be represented in the Hopkins Lupus Cohort. </w:t>
      </w:r>
      <w:r w:rsidR="00A76C13">
        <w:t xml:space="preserve">Disease activity score generation is described in more detail in section </w:t>
      </w:r>
      <w:r w:rsidR="00E729BA">
        <w:fldChar w:fldCharType="begin"/>
      </w:r>
      <w:r w:rsidR="00A76C13">
        <w:instrText xml:space="preserve"> REF _Ref363309091 \r \h </w:instrText>
      </w:r>
      <w:r w:rsidR="00E729BA">
        <w:fldChar w:fldCharType="separate"/>
      </w:r>
      <w:r>
        <w:rPr>
          <w:cs/>
        </w:rPr>
        <w:t>‎</w:t>
      </w:r>
      <w:r>
        <w:t>6.2.2.2</w:t>
      </w:r>
      <w:r w:rsidR="00E729BA">
        <w:fldChar w:fldCharType="end"/>
      </w:r>
      <w:r w:rsidR="00A76C13">
        <w:t xml:space="preserve">. </w:t>
      </w:r>
      <w:r w:rsidR="004A3C64">
        <w:t>M</w:t>
      </w:r>
      <w:r w:rsidR="00C62F3A">
        <w:t>ultinomial distribution</w:t>
      </w:r>
      <w:r w:rsidR="004A3C64">
        <w:t>s were</w:t>
      </w:r>
      <w:r w:rsidR="00C62F3A">
        <w:t xml:space="preserve"> used to draw a person’s age at diagnosis and disease duration. The probabilities of a patient entering the cohort with a particular age and disease duration are reported in the Appendix</w:t>
      </w:r>
      <w:r w:rsidR="007F49FE">
        <w:t xml:space="preserve"> 10</w:t>
      </w:r>
      <w:r w:rsidR="00C62F3A">
        <w:t xml:space="preserve">. </w:t>
      </w:r>
      <w:r w:rsidR="005D1C66">
        <w:t xml:space="preserve">Organ damage score at baseline was drawn from a multinomial distribution </w:t>
      </w:r>
      <w:r w:rsidR="00A76C13">
        <w:t>using probabilities</w:t>
      </w:r>
      <w:r w:rsidR="005D1C66">
        <w:t xml:space="preserve"> outlined in</w:t>
      </w:r>
      <w:r w:rsidR="002737EE">
        <w:t xml:space="preserve"> </w:t>
      </w:r>
      <w:r w:rsidR="00E729BA">
        <w:fldChar w:fldCharType="begin"/>
      </w:r>
      <w:r w:rsidR="002737EE">
        <w:instrText xml:space="preserve"> REF _Ref355006536 \h </w:instrText>
      </w:r>
      <w:r w:rsidR="00E729BA">
        <w:fldChar w:fldCharType="separate"/>
      </w:r>
      <w:r>
        <w:t xml:space="preserve">Table </w:t>
      </w:r>
      <w:r>
        <w:rPr>
          <w:noProof/>
        </w:rPr>
        <w:t>35</w:t>
      </w:r>
      <w:r w:rsidR="00E729BA">
        <w:fldChar w:fldCharType="end"/>
      </w:r>
      <w:r w:rsidR="005D1C66">
        <w:t xml:space="preserve">. </w:t>
      </w:r>
    </w:p>
    <w:p w:rsidR="00C62F3A" w:rsidRDefault="00C62F3A" w:rsidP="00234693">
      <w:pPr>
        <w:pStyle w:val="Caption"/>
      </w:pPr>
      <w:bookmarkStart w:id="371" w:name="_Ref355006536"/>
      <w:r>
        <w:t xml:space="preserve">Table </w:t>
      </w:r>
      <w:fldSimple w:instr=" SEQ Table \* ARABIC ">
        <w:r w:rsidR="004911B7">
          <w:rPr>
            <w:noProof/>
          </w:rPr>
          <w:t>35</w:t>
        </w:r>
      </w:fldSimple>
      <w:bookmarkEnd w:id="371"/>
      <w:r>
        <w:t>: Baseline characteristics of patients in the simulated trial</w:t>
      </w:r>
      <w:r w:rsidRPr="00B521B7">
        <w:t xml:space="preserve"> </w:t>
      </w:r>
      <w:r>
        <w:t>based on Hopkins cohort at baseline (n=1354)</w:t>
      </w:r>
    </w:p>
    <w:tbl>
      <w:tblPr>
        <w:tblW w:w="8186" w:type="dxa"/>
        <w:tblInd w:w="2" w:type="dxa"/>
        <w:tblBorders>
          <w:top w:val="single" w:sz="8" w:space="0" w:color="auto"/>
          <w:bottom w:val="single" w:sz="8" w:space="0" w:color="auto"/>
        </w:tblBorders>
        <w:tblLayout w:type="fixed"/>
        <w:tblCellMar>
          <w:left w:w="57" w:type="dxa"/>
          <w:right w:w="57" w:type="dxa"/>
        </w:tblCellMar>
        <w:tblLook w:val="00A0"/>
      </w:tblPr>
      <w:tblGrid>
        <w:gridCol w:w="2516"/>
        <w:gridCol w:w="709"/>
        <w:gridCol w:w="236"/>
        <w:gridCol w:w="614"/>
        <w:gridCol w:w="331"/>
        <w:gridCol w:w="378"/>
        <w:gridCol w:w="567"/>
        <w:gridCol w:w="658"/>
        <w:gridCol w:w="334"/>
        <w:gridCol w:w="426"/>
        <w:gridCol w:w="495"/>
        <w:gridCol w:w="922"/>
      </w:tblGrid>
      <w:tr w:rsidR="00C62F3A" w:rsidRPr="0087718E" w:rsidTr="0087718E">
        <w:tc>
          <w:tcPr>
            <w:tcW w:w="2516" w:type="dxa"/>
            <w:tcBorders>
              <w:top w:val="single" w:sz="8" w:space="0" w:color="auto"/>
              <w:bottom w:val="nil"/>
            </w:tcBorders>
          </w:tcPr>
          <w:p w:rsidR="00C62F3A" w:rsidRPr="0087718E" w:rsidRDefault="00C62F3A" w:rsidP="00C62F3A">
            <w:pPr>
              <w:pStyle w:val="NoSpacing"/>
              <w:spacing w:after="0" w:afterAutospacing="0"/>
              <w:rPr>
                <w:sz w:val="18"/>
                <w:szCs w:val="18"/>
              </w:rPr>
            </w:pPr>
          </w:p>
        </w:tc>
        <w:tc>
          <w:tcPr>
            <w:tcW w:w="709" w:type="dxa"/>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A</w:t>
            </w:r>
          </w:p>
        </w:tc>
        <w:tc>
          <w:tcPr>
            <w:tcW w:w="850" w:type="dxa"/>
            <w:gridSpan w:val="2"/>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B</w:t>
            </w:r>
          </w:p>
        </w:tc>
        <w:tc>
          <w:tcPr>
            <w:tcW w:w="709" w:type="dxa"/>
            <w:gridSpan w:val="2"/>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C</w:t>
            </w:r>
          </w:p>
        </w:tc>
        <w:tc>
          <w:tcPr>
            <w:tcW w:w="1559" w:type="dxa"/>
            <w:gridSpan w:val="3"/>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D</w:t>
            </w:r>
          </w:p>
        </w:tc>
        <w:tc>
          <w:tcPr>
            <w:tcW w:w="921" w:type="dxa"/>
            <w:gridSpan w:val="2"/>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E</w:t>
            </w:r>
          </w:p>
        </w:tc>
        <w:tc>
          <w:tcPr>
            <w:tcW w:w="922" w:type="dxa"/>
            <w:tcBorders>
              <w:top w:val="single" w:sz="8" w:space="0" w:color="auto"/>
              <w:bottom w:val="nil"/>
            </w:tcBorders>
          </w:tcPr>
          <w:p w:rsidR="00C62F3A" w:rsidRPr="0087718E" w:rsidRDefault="00C62F3A" w:rsidP="00C62F3A">
            <w:pPr>
              <w:pStyle w:val="NoSpacing"/>
              <w:spacing w:after="0" w:afterAutospacing="0"/>
              <w:rPr>
                <w:sz w:val="18"/>
                <w:szCs w:val="18"/>
              </w:rPr>
            </w:pPr>
            <w:r w:rsidRPr="0087718E">
              <w:rPr>
                <w:sz w:val="18"/>
                <w:szCs w:val="18"/>
              </w:rPr>
              <w:t>F</w:t>
            </w:r>
          </w:p>
        </w:tc>
      </w:tr>
      <w:tr w:rsidR="00C62F3A" w:rsidRPr="0087718E" w:rsidTr="0087718E">
        <w:tc>
          <w:tcPr>
            <w:tcW w:w="2516" w:type="dxa"/>
            <w:tcBorders>
              <w:top w:val="nil"/>
              <w:bottom w:val="single" w:sz="4" w:space="0" w:color="auto"/>
            </w:tcBorders>
          </w:tcPr>
          <w:p w:rsidR="00C62F3A" w:rsidRPr="0087718E" w:rsidRDefault="005D1C66" w:rsidP="00C62F3A">
            <w:pPr>
              <w:pStyle w:val="NoSpacing"/>
              <w:spacing w:after="0" w:afterAutospacing="0"/>
              <w:rPr>
                <w:sz w:val="18"/>
                <w:szCs w:val="18"/>
              </w:rPr>
            </w:pPr>
            <w:r w:rsidRPr="0087718E">
              <w:rPr>
                <w:b/>
                <w:sz w:val="18"/>
                <w:szCs w:val="18"/>
              </w:rPr>
              <w:t>Patient Characteristics</w:t>
            </w:r>
          </w:p>
        </w:tc>
        <w:tc>
          <w:tcPr>
            <w:tcW w:w="709" w:type="dxa"/>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Mean/</w:t>
            </w:r>
          </w:p>
          <w:p w:rsidR="00C62F3A" w:rsidRPr="0087718E" w:rsidRDefault="00C62F3A" w:rsidP="00C62F3A">
            <w:pPr>
              <w:pStyle w:val="NoSpacing"/>
              <w:spacing w:after="0" w:afterAutospacing="0"/>
              <w:rPr>
                <w:sz w:val="18"/>
                <w:szCs w:val="18"/>
              </w:rPr>
            </w:pPr>
            <w:r w:rsidRPr="0087718E">
              <w:rPr>
                <w:sz w:val="18"/>
                <w:szCs w:val="18"/>
              </w:rPr>
              <w:t>% of cohort</w:t>
            </w:r>
          </w:p>
        </w:tc>
        <w:tc>
          <w:tcPr>
            <w:tcW w:w="850" w:type="dxa"/>
            <w:gridSpan w:val="2"/>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Standard deviation</w:t>
            </w:r>
          </w:p>
        </w:tc>
        <w:tc>
          <w:tcPr>
            <w:tcW w:w="709" w:type="dxa"/>
            <w:gridSpan w:val="2"/>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Median</w:t>
            </w:r>
          </w:p>
        </w:tc>
        <w:tc>
          <w:tcPr>
            <w:tcW w:w="1559" w:type="dxa"/>
            <w:gridSpan w:val="3"/>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Distribution</w:t>
            </w:r>
          </w:p>
        </w:tc>
        <w:tc>
          <w:tcPr>
            <w:tcW w:w="921" w:type="dxa"/>
            <w:gridSpan w:val="2"/>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Parameter A</w:t>
            </w:r>
          </w:p>
        </w:tc>
        <w:tc>
          <w:tcPr>
            <w:tcW w:w="922" w:type="dxa"/>
            <w:tcBorders>
              <w:top w:val="nil"/>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Parameter B</w:t>
            </w:r>
          </w:p>
        </w:tc>
      </w:tr>
      <w:tr w:rsidR="00C62F3A" w:rsidRPr="0087718E" w:rsidTr="0087718E">
        <w:tc>
          <w:tcPr>
            <w:tcW w:w="2516" w:type="dxa"/>
            <w:tcBorders>
              <w:top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Male</w:t>
            </w:r>
          </w:p>
        </w:tc>
        <w:tc>
          <w:tcPr>
            <w:tcW w:w="709" w:type="dxa"/>
            <w:tcBorders>
              <w:top w:val="single" w:sz="4" w:space="0" w:color="auto"/>
            </w:tcBorders>
          </w:tcPr>
          <w:p w:rsidR="00C62F3A" w:rsidRPr="0087718E" w:rsidRDefault="00C62F3A" w:rsidP="0087718E">
            <w:pPr>
              <w:pStyle w:val="NoSpacing"/>
              <w:spacing w:after="0" w:afterAutospacing="0"/>
              <w:jc w:val="right"/>
              <w:rPr>
                <w:sz w:val="18"/>
                <w:szCs w:val="18"/>
              </w:rPr>
            </w:pPr>
            <w:r w:rsidRPr="0087718E">
              <w:rPr>
                <w:sz w:val="18"/>
                <w:szCs w:val="18"/>
              </w:rPr>
              <w:t>8.0%</w:t>
            </w:r>
          </w:p>
        </w:tc>
        <w:tc>
          <w:tcPr>
            <w:tcW w:w="850" w:type="dxa"/>
            <w:gridSpan w:val="2"/>
            <w:tcBorders>
              <w:top w:val="single" w:sz="4" w:space="0" w:color="auto"/>
            </w:tcBorders>
          </w:tcPr>
          <w:p w:rsidR="00C62F3A" w:rsidRPr="0087718E" w:rsidRDefault="00C62F3A" w:rsidP="00C62F3A">
            <w:pPr>
              <w:pStyle w:val="NoSpacing"/>
              <w:spacing w:after="0" w:afterAutospacing="0"/>
              <w:rPr>
                <w:sz w:val="18"/>
                <w:szCs w:val="18"/>
              </w:rPr>
            </w:pPr>
          </w:p>
        </w:tc>
        <w:tc>
          <w:tcPr>
            <w:tcW w:w="709" w:type="dxa"/>
            <w:gridSpan w:val="2"/>
            <w:tcBorders>
              <w:top w:val="single" w:sz="4" w:space="0" w:color="auto"/>
            </w:tcBorders>
          </w:tcPr>
          <w:p w:rsidR="00C62F3A" w:rsidRPr="0087718E" w:rsidRDefault="00C62F3A" w:rsidP="00C62F3A">
            <w:pPr>
              <w:pStyle w:val="NoSpacing"/>
              <w:spacing w:after="0" w:afterAutospacing="0"/>
              <w:rPr>
                <w:sz w:val="18"/>
                <w:szCs w:val="18"/>
              </w:rPr>
            </w:pPr>
          </w:p>
        </w:tc>
        <w:tc>
          <w:tcPr>
            <w:tcW w:w="1559" w:type="dxa"/>
            <w:gridSpan w:val="3"/>
            <w:tcBorders>
              <w:top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Borders>
              <w:top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0.08</w:t>
            </w:r>
          </w:p>
        </w:tc>
        <w:tc>
          <w:tcPr>
            <w:tcW w:w="922" w:type="dxa"/>
            <w:tcBorders>
              <w:top w:val="single" w:sz="4" w:space="0" w:color="auto"/>
            </w:tcBorders>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Black</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43.0%</w:t>
            </w:r>
          </w:p>
        </w:tc>
        <w:tc>
          <w:tcPr>
            <w:tcW w:w="850" w:type="dxa"/>
            <w:gridSpan w:val="2"/>
          </w:tcPr>
          <w:p w:rsidR="00C62F3A" w:rsidRPr="0087718E" w:rsidRDefault="00C62F3A" w:rsidP="00C62F3A">
            <w:pPr>
              <w:pStyle w:val="NoSpacing"/>
              <w:spacing w:after="0" w:afterAutospacing="0"/>
              <w:rPr>
                <w:sz w:val="18"/>
                <w:szCs w:val="18"/>
              </w:rPr>
            </w:pPr>
          </w:p>
        </w:tc>
        <w:tc>
          <w:tcPr>
            <w:tcW w:w="709" w:type="dxa"/>
            <w:gridSpan w:val="2"/>
          </w:tcPr>
          <w:p w:rsidR="00C62F3A" w:rsidRPr="0087718E" w:rsidRDefault="00C62F3A" w:rsidP="00C62F3A">
            <w:pPr>
              <w:pStyle w:val="NoSpacing"/>
              <w:spacing w:after="0" w:afterAutospacing="0"/>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0.20</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Smoker</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43.0%</w:t>
            </w:r>
          </w:p>
        </w:tc>
        <w:tc>
          <w:tcPr>
            <w:tcW w:w="850" w:type="dxa"/>
            <w:gridSpan w:val="2"/>
          </w:tcPr>
          <w:p w:rsidR="00C62F3A" w:rsidRPr="0087718E" w:rsidRDefault="00C62F3A" w:rsidP="00C62F3A">
            <w:pPr>
              <w:pStyle w:val="NoSpacing"/>
              <w:spacing w:after="0" w:afterAutospacing="0"/>
              <w:rPr>
                <w:sz w:val="18"/>
                <w:szCs w:val="18"/>
              </w:rPr>
            </w:pPr>
          </w:p>
        </w:tc>
        <w:tc>
          <w:tcPr>
            <w:tcW w:w="709" w:type="dxa"/>
            <w:gridSpan w:val="2"/>
          </w:tcPr>
          <w:p w:rsidR="00C62F3A" w:rsidRPr="0087718E" w:rsidRDefault="00C62F3A" w:rsidP="00C62F3A">
            <w:pPr>
              <w:pStyle w:val="NoSpacing"/>
              <w:spacing w:after="0" w:afterAutospacing="0"/>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0.50</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Hypertension</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53.0%</w:t>
            </w:r>
          </w:p>
        </w:tc>
        <w:tc>
          <w:tcPr>
            <w:tcW w:w="850" w:type="dxa"/>
            <w:gridSpan w:val="2"/>
          </w:tcPr>
          <w:p w:rsidR="00C62F3A" w:rsidRPr="0087718E" w:rsidRDefault="00C62F3A" w:rsidP="00C62F3A">
            <w:pPr>
              <w:pStyle w:val="NoSpacing"/>
              <w:spacing w:after="0" w:afterAutospacing="0"/>
              <w:rPr>
                <w:sz w:val="18"/>
                <w:szCs w:val="18"/>
              </w:rPr>
            </w:pPr>
          </w:p>
        </w:tc>
        <w:tc>
          <w:tcPr>
            <w:tcW w:w="709" w:type="dxa"/>
            <w:gridSpan w:val="2"/>
          </w:tcPr>
          <w:p w:rsidR="00C62F3A" w:rsidRPr="0087718E" w:rsidRDefault="00C62F3A" w:rsidP="00C62F3A">
            <w:pPr>
              <w:pStyle w:val="NoSpacing"/>
              <w:spacing w:after="0" w:afterAutospacing="0"/>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0.50</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Anticardiolipin antibody positive</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4.0%</w:t>
            </w:r>
          </w:p>
        </w:tc>
        <w:tc>
          <w:tcPr>
            <w:tcW w:w="850" w:type="dxa"/>
            <w:gridSpan w:val="2"/>
          </w:tcPr>
          <w:p w:rsidR="00C62F3A" w:rsidRPr="0087718E" w:rsidRDefault="00C62F3A" w:rsidP="00C62F3A">
            <w:pPr>
              <w:pStyle w:val="NoSpacing"/>
              <w:spacing w:after="0" w:afterAutospacing="0"/>
              <w:rPr>
                <w:sz w:val="18"/>
                <w:szCs w:val="18"/>
              </w:rPr>
            </w:pPr>
          </w:p>
        </w:tc>
        <w:tc>
          <w:tcPr>
            <w:tcW w:w="709" w:type="dxa"/>
            <w:gridSpan w:val="2"/>
          </w:tcPr>
          <w:p w:rsidR="00C62F3A" w:rsidRPr="0087718E" w:rsidRDefault="00C62F3A" w:rsidP="00C62F3A">
            <w:pPr>
              <w:pStyle w:val="NoSpacing"/>
              <w:spacing w:after="0" w:afterAutospacing="0"/>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0.20</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Lupus Anticoagulant</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13.0%</w:t>
            </w:r>
          </w:p>
        </w:tc>
        <w:tc>
          <w:tcPr>
            <w:tcW w:w="850" w:type="dxa"/>
            <w:gridSpan w:val="2"/>
          </w:tcPr>
          <w:p w:rsidR="00C62F3A" w:rsidRPr="0087718E" w:rsidRDefault="00C62F3A" w:rsidP="00C62F3A">
            <w:pPr>
              <w:pStyle w:val="NoSpacing"/>
              <w:spacing w:after="0" w:afterAutospacing="0"/>
              <w:rPr>
                <w:sz w:val="18"/>
                <w:szCs w:val="18"/>
              </w:rPr>
            </w:pPr>
          </w:p>
        </w:tc>
        <w:tc>
          <w:tcPr>
            <w:tcW w:w="709" w:type="dxa"/>
            <w:gridSpan w:val="2"/>
          </w:tcPr>
          <w:p w:rsidR="00C62F3A" w:rsidRPr="0087718E" w:rsidRDefault="00C62F3A" w:rsidP="00C62F3A">
            <w:pPr>
              <w:pStyle w:val="NoSpacing"/>
              <w:spacing w:after="0" w:afterAutospacing="0"/>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0.10</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Cholesterol</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187</w:t>
            </w:r>
          </w:p>
        </w:tc>
        <w:tc>
          <w:tcPr>
            <w:tcW w:w="850" w:type="dxa"/>
            <w:gridSpan w:val="2"/>
          </w:tcPr>
          <w:p w:rsidR="00C62F3A" w:rsidRPr="0087718E" w:rsidRDefault="00C62F3A" w:rsidP="0087718E">
            <w:pPr>
              <w:pStyle w:val="NoSpacing"/>
              <w:spacing w:after="0" w:afterAutospacing="0"/>
              <w:jc w:val="right"/>
              <w:rPr>
                <w:sz w:val="18"/>
                <w:szCs w:val="18"/>
              </w:rPr>
            </w:pPr>
            <w:r w:rsidRPr="0087718E">
              <w:rPr>
                <w:sz w:val="18"/>
                <w:szCs w:val="18"/>
              </w:rPr>
              <w:t>44</w:t>
            </w:r>
          </w:p>
        </w:tc>
        <w:tc>
          <w:tcPr>
            <w:tcW w:w="709" w:type="dxa"/>
            <w:gridSpan w:val="2"/>
          </w:tcPr>
          <w:p w:rsidR="00C62F3A" w:rsidRPr="0087718E" w:rsidRDefault="00C62F3A" w:rsidP="0087718E">
            <w:pPr>
              <w:pStyle w:val="NoSpacing"/>
              <w:spacing w:after="0" w:afterAutospacing="0"/>
              <w:jc w:val="right"/>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LOGNORMAL</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187</w:t>
            </w:r>
          </w:p>
        </w:tc>
        <w:tc>
          <w:tcPr>
            <w:tcW w:w="922" w:type="dxa"/>
          </w:tcPr>
          <w:p w:rsidR="00C62F3A" w:rsidRPr="0087718E" w:rsidRDefault="00C62F3A" w:rsidP="00C62F3A">
            <w:pPr>
              <w:pStyle w:val="NoSpacing"/>
              <w:spacing w:after="0" w:afterAutospacing="0"/>
              <w:rPr>
                <w:sz w:val="18"/>
                <w:szCs w:val="18"/>
              </w:rPr>
            </w:pPr>
            <w:r w:rsidRPr="0087718E">
              <w:rPr>
                <w:sz w:val="18"/>
                <w:szCs w:val="18"/>
              </w:rPr>
              <w:t>44</w:t>
            </w: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 xml:space="preserve">Age at diagnosis </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 xml:space="preserve">32.9 </w:t>
            </w:r>
          </w:p>
        </w:tc>
        <w:tc>
          <w:tcPr>
            <w:tcW w:w="850" w:type="dxa"/>
            <w:gridSpan w:val="2"/>
          </w:tcPr>
          <w:p w:rsidR="00C62F3A" w:rsidRPr="0087718E" w:rsidRDefault="00C62F3A" w:rsidP="0087718E">
            <w:pPr>
              <w:pStyle w:val="NoSpacing"/>
              <w:spacing w:after="0" w:afterAutospacing="0"/>
              <w:jc w:val="right"/>
              <w:rPr>
                <w:sz w:val="18"/>
                <w:szCs w:val="18"/>
              </w:rPr>
            </w:pPr>
            <w:r w:rsidRPr="0087718E">
              <w:rPr>
                <w:sz w:val="18"/>
                <w:szCs w:val="18"/>
              </w:rPr>
              <w:t>13.05</w:t>
            </w:r>
          </w:p>
        </w:tc>
        <w:tc>
          <w:tcPr>
            <w:tcW w:w="709" w:type="dxa"/>
            <w:gridSpan w:val="2"/>
          </w:tcPr>
          <w:p w:rsidR="00C62F3A" w:rsidRPr="0087718E" w:rsidRDefault="00C62F3A" w:rsidP="0087718E">
            <w:pPr>
              <w:pStyle w:val="NoSpacing"/>
              <w:spacing w:after="0" w:afterAutospacing="0"/>
              <w:jc w:val="right"/>
              <w:rPr>
                <w:sz w:val="18"/>
                <w:szCs w:val="18"/>
              </w:rPr>
            </w:pPr>
            <w:r w:rsidRPr="0087718E">
              <w:rPr>
                <w:sz w:val="18"/>
                <w:szCs w:val="18"/>
              </w:rPr>
              <w:t>30.69</w:t>
            </w: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MULTINOMIAL</w:t>
            </w:r>
          </w:p>
        </w:tc>
        <w:tc>
          <w:tcPr>
            <w:tcW w:w="921" w:type="dxa"/>
            <w:gridSpan w:val="2"/>
          </w:tcPr>
          <w:p w:rsidR="00C62F3A" w:rsidRPr="0087718E" w:rsidRDefault="00C62F3A" w:rsidP="00C62F3A">
            <w:pPr>
              <w:pStyle w:val="NoSpacing"/>
              <w:spacing w:after="0" w:afterAutospacing="0"/>
              <w:rPr>
                <w:sz w:val="18"/>
                <w:szCs w:val="18"/>
              </w:rPr>
            </w:pPr>
            <w:r w:rsidRPr="0087718E">
              <w:rPr>
                <w:sz w:val="18"/>
                <w:szCs w:val="18"/>
              </w:rPr>
              <w:t>NA</w:t>
            </w: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Plaquenil</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62.1%</w:t>
            </w:r>
          </w:p>
        </w:tc>
        <w:tc>
          <w:tcPr>
            <w:tcW w:w="850" w:type="dxa"/>
            <w:gridSpan w:val="2"/>
          </w:tcPr>
          <w:p w:rsidR="00C62F3A" w:rsidRPr="0087718E" w:rsidRDefault="00C62F3A" w:rsidP="0087718E">
            <w:pPr>
              <w:pStyle w:val="NoSpacing"/>
              <w:spacing w:after="0" w:afterAutospacing="0"/>
              <w:jc w:val="right"/>
              <w:rPr>
                <w:sz w:val="18"/>
                <w:szCs w:val="18"/>
              </w:rPr>
            </w:pPr>
          </w:p>
        </w:tc>
        <w:tc>
          <w:tcPr>
            <w:tcW w:w="709" w:type="dxa"/>
            <w:gridSpan w:val="2"/>
          </w:tcPr>
          <w:p w:rsidR="00C62F3A" w:rsidRPr="0087718E" w:rsidRDefault="00C62F3A" w:rsidP="0087718E">
            <w:pPr>
              <w:pStyle w:val="NoSpacing"/>
              <w:spacing w:after="0" w:afterAutospacing="0"/>
              <w:jc w:val="right"/>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Pr>
          <w:p w:rsidR="00C62F3A" w:rsidRPr="0087718E" w:rsidRDefault="00C62F3A" w:rsidP="00C62F3A">
            <w:pPr>
              <w:pStyle w:val="NoSpacing"/>
              <w:spacing w:after="0" w:afterAutospacing="0"/>
              <w:rPr>
                <w:sz w:val="18"/>
                <w:szCs w:val="18"/>
              </w:rPr>
            </w:pPr>
            <w:r w:rsidRPr="0087718E">
              <w:rPr>
                <w:sz w:val="18"/>
                <w:szCs w:val="18"/>
              </w:rPr>
              <w:t>Immunosuppressants</w:t>
            </w:r>
          </w:p>
        </w:tc>
        <w:tc>
          <w:tcPr>
            <w:tcW w:w="709" w:type="dxa"/>
          </w:tcPr>
          <w:p w:rsidR="00C62F3A" w:rsidRPr="0087718E" w:rsidRDefault="00C62F3A" w:rsidP="0087718E">
            <w:pPr>
              <w:pStyle w:val="NoSpacing"/>
              <w:spacing w:after="0" w:afterAutospacing="0"/>
              <w:jc w:val="right"/>
              <w:rPr>
                <w:sz w:val="18"/>
                <w:szCs w:val="18"/>
              </w:rPr>
            </w:pPr>
            <w:r w:rsidRPr="0087718E">
              <w:rPr>
                <w:sz w:val="18"/>
                <w:szCs w:val="18"/>
              </w:rPr>
              <w:t>43.2%</w:t>
            </w:r>
          </w:p>
        </w:tc>
        <w:tc>
          <w:tcPr>
            <w:tcW w:w="850" w:type="dxa"/>
            <w:gridSpan w:val="2"/>
          </w:tcPr>
          <w:p w:rsidR="00C62F3A" w:rsidRPr="0087718E" w:rsidRDefault="00C62F3A" w:rsidP="0087718E">
            <w:pPr>
              <w:pStyle w:val="NoSpacing"/>
              <w:spacing w:after="0" w:afterAutospacing="0"/>
              <w:jc w:val="right"/>
              <w:rPr>
                <w:sz w:val="18"/>
                <w:szCs w:val="18"/>
              </w:rPr>
            </w:pPr>
          </w:p>
        </w:tc>
        <w:tc>
          <w:tcPr>
            <w:tcW w:w="709" w:type="dxa"/>
            <w:gridSpan w:val="2"/>
          </w:tcPr>
          <w:p w:rsidR="00C62F3A" w:rsidRPr="0087718E" w:rsidRDefault="00C62F3A" w:rsidP="0087718E">
            <w:pPr>
              <w:pStyle w:val="NoSpacing"/>
              <w:spacing w:after="0" w:afterAutospacing="0"/>
              <w:jc w:val="right"/>
              <w:rPr>
                <w:sz w:val="18"/>
                <w:szCs w:val="18"/>
              </w:rPr>
            </w:pPr>
          </w:p>
        </w:tc>
        <w:tc>
          <w:tcPr>
            <w:tcW w:w="1559" w:type="dxa"/>
            <w:gridSpan w:val="3"/>
          </w:tcPr>
          <w:p w:rsidR="00C62F3A" w:rsidRPr="0087718E" w:rsidRDefault="00C62F3A" w:rsidP="00C62F3A">
            <w:pPr>
              <w:pStyle w:val="NoSpacing"/>
              <w:spacing w:after="0" w:afterAutospacing="0"/>
              <w:rPr>
                <w:sz w:val="18"/>
                <w:szCs w:val="18"/>
              </w:rPr>
            </w:pPr>
            <w:r w:rsidRPr="0087718E">
              <w:rPr>
                <w:sz w:val="18"/>
                <w:szCs w:val="18"/>
              </w:rPr>
              <w:t>BERNOULLI</w:t>
            </w:r>
          </w:p>
        </w:tc>
        <w:tc>
          <w:tcPr>
            <w:tcW w:w="921" w:type="dxa"/>
            <w:gridSpan w:val="2"/>
          </w:tcPr>
          <w:p w:rsidR="00C62F3A" w:rsidRPr="0087718E" w:rsidRDefault="00C62F3A" w:rsidP="00C62F3A">
            <w:pPr>
              <w:pStyle w:val="NoSpacing"/>
              <w:spacing w:after="0" w:afterAutospacing="0"/>
              <w:rPr>
                <w:sz w:val="18"/>
                <w:szCs w:val="18"/>
              </w:rPr>
            </w:pPr>
          </w:p>
        </w:tc>
        <w:tc>
          <w:tcPr>
            <w:tcW w:w="922" w:type="dxa"/>
          </w:tcPr>
          <w:p w:rsidR="00C62F3A" w:rsidRPr="0087718E" w:rsidRDefault="00C62F3A" w:rsidP="00C62F3A">
            <w:pPr>
              <w:pStyle w:val="NoSpacing"/>
              <w:spacing w:after="0" w:afterAutospacing="0"/>
              <w:rPr>
                <w:sz w:val="18"/>
                <w:szCs w:val="18"/>
              </w:rPr>
            </w:pPr>
          </w:p>
        </w:tc>
      </w:tr>
      <w:tr w:rsidR="00C62F3A" w:rsidRPr="0087718E" w:rsidTr="0087718E">
        <w:tc>
          <w:tcPr>
            <w:tcW w:w="2516" w:type="dxa"/>
            <w:tcBorders>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 xml:space="preserve">Disease duration at cohort entry </w:t>
            </w:r>
          </w:p>
        </w:tc>
        <w:tc>
          <w:tcPr>
            <w:tcW w:w="709" w:type="dxa"/>
            <w:tcBorders>
              <w:bottom w:val="single" w:sz="4" w:space="0" w:color="auto"/>
            </w:tcBorders>
          </w:tcPr>
          <w:p w:rsidR="00C62F3A" w:rsidRPr="0087718E" w:rsidRDefault="00C62F3A" w:rsidP="0087718E">
            <w:pPr>
              <w:pStyle w:val="NoSpacing"/>
              <w:spacing w:after="0" w:afterAutospacing="0"/>
              <w:jc w:val="right"/>
              <w:rPr>
                <w:sz w:val="18"/>
                <w:szCs w:val="18"/>
              </w:rPr>
            </w:pPr>
            <w:r w:rsidRPr="0087718E">
              <w:rPr>
                <w:sz w:val="18"/>
                <w:szCs w:val="18"/>
              </w:rPr>
              <w:t xml:space="preserve">4.83 </w:t>
            </w:r>
          </w:p>
        </w:tc>
        <w:tc>
          <w:tcPr>
            <w:tcW w:w="850" w:type="dxa"/>
            <w:gridSpan w:val="2"/>
            <w:tcBorders>
              <w:bottom w:val="single" w:sz="4" w:space="0" w:color="auto"/>
            </w:tcBorders>
          </w:tcPr>
          <w:p w:rsidR="00C62F3A" w:rsidRPr="0087718E" w:rsidRDefault="00C62F3A" w:rsidP="0087718E">
            <w:pPr>
              <w:pStyle w:val="NoSpacing"/>
              <w:spacing w:after="0" w:afterAutospacing="0"/>
              <w:jc w:val="right"/>
              <w:rPr>
                <w:sz w:val="18"/>
                <w:szCs w:val="18"/>
              </w:rPr>
            </w:pPr>
            <w:r w:rsidRPr="0087718E">
              <w:rPr>
                <w:sz w:val="18"/>
                <w:szCs w:val="18"/>
              </w:rPr>
              <w:t>6.3</w:t>
            </w:r>
          </w:p>
        </w:tc>
        <w:tc>
          <w:tcPr>
            <w:tcW w:w="709" w:type="dxa"/>
            <w:gridSpan w:val="2"/>
            <w:tcBorders>
              <w:bottom w:val="single" w:sz="4" w:space="0" w:color="auto"/>
            </w:tcBorders>
          </w:tcPr>
          <w:p w:rsidR="00C62F3A" w:rsidRPr="0087718E" w:rsidRDefault="00C62F3A" w:rsidP="0087718E">
            <w:pPr>
              <w:pStyle w:val="NoSpacing"/>
              <w:spacing w:after="0" w:afterAutospacing="0"/>
              <w:jc w:val="right"/>
              <w:rPr>
                <w:sz w:val="18"/>
                <w:szCs w:val="18"/>
              </w:rPr>
            </w:pPr>
            <w:r w:rsidRPr="0087718E">
              <w:rPr>
                <w:sz w:val="18"/>
                <w:szCs w:val="18"/>
              </w:rPr>
              <w:t>2.61</w:t>
            </w:r>
          </w:p>
        </w:tc>
        <w:tc>
          <w:tcPr>
            <w:tcW w:w="1559" w:type="dxa"/>
            <w:gridSpan w:val="3"/>
            <w:tcBorders>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MULTINOMIAL</w:t>
            </w:r>
          </w:p>
        </w:tc>
        <w:tc>
          <w:tcPr>
            <w:tcW w:w="921" w:type="dxa"/>
            <w:gridSpan w:val="2"/>
            <w:tcBorders>
              <w:bottom w:val="single" w:sz="4" w:space="0" w:color="auto"/>
            </w:tcBorders>
          </w:tcPr>
          <w:p w:rsidR="00C62F3A" w:rsidRPr="0087718E" w:rsidRDefault="00C62F3A" w:rsidP="00C62F3A">
            <w:pPr>
              <w:pStyle w:val="NoSpacing"/>
              <w:spacing w:after="0" w:afterAutospacing="0"/>
              <w:rPr>
                <w:sz w:val="18"/>
                <w:szCs w:val="18"/>
              </w:rPr>
            </w:pPr>
            <w:r w:rsidRPr="0087718E">
              <w:rPr>
                <w:sz w:val="18"/>
                <w:szCs w:val="18"/>
              </w:rPr>
              <w:t>NA</w:t>
            </w:r>
          </w:p>
        </w:tc>
        <w:tc>
          <w:tcPr>
            <w:tcW w:w="922" w:type="dxa"/>
            <w:tcBorders>
              <w:bottom w:val="single" w:sz="4" w:space="0" w:color="auto"/>
            </w:tcBorders>
          </w:tcPr>
          <w:p w:rsidR="00C62F3A" w:rsidRPr="0087718E" w:rsidRDefault="00C62F3A" w:rsidP="00C62F3A">
            <w:pPr>
              <w:pStyle w:val="NoSpacing"/>
              <w:spacing w:after="0" w:afterAutospacing="0"/>
              <w:rPr>
                <w:sz w:val="18"/>
                <w:szCs w:val="18"/>
              </w:rPr>
            </w:pPr>
          </w:p>
        </w:tc>
      </w:tr>
      <w:tr w:rsidR="005D1C66" w:rsidRPr="0087718E" w:rsidTr="0087718E">
        <w:tc>
          <w:tcPr>
            <w:tcW w:w="2516" w:type="dxa"/>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SLICC damage item</w:t>
            </w:r>
          </w:p>
        </w:tc>
        <w:tc>
          <w:tcPr>
            <w:tcW w:w="945" w:type="dxa"/>
            <w:gridSpan w:val="2"/>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Score 0</w:t>
            </w:r>
          </w:p>
        </w:tc>
        <w:tc>
          <w:tcPr>
            <w:tcW w:w="945" w:type="dxa"/>
            <w:gridSpan w:val="2"/>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Score 1</w:t>
            </w:r>
          </w:p>
        </w:tc>
        <w:tc>
          <w:tcPr>
            <w:tcW w:w="945" w:type="dxa"/>
            <w:gridSpan w:val="2"/>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Score 2</w:t>
            </w:r>
          </w:p>
        </w:tc>
        <w:tc>
          <w:tcPr>
            <w:tcW w:w="658" w:type="dxa"/>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Score 3</w:t>
            </w:r>
          </w:p>
        </w:tc>
        <w:tc>
          <w:tcPr>
            <w:tcW w:w="760" w:type="dxa"/>
            <w:gridSpan w:val="2"/>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Score 4</w:t>
            </w:r>
          </w:p>
        </w:tc>
        <w:tc>
          <w:tcPr>
            <w:tcW w:w="1417" w:type="dxa"/>
            <w:gridSpan w:val="2"/>
            <w:tcBorders>
              <w:top w:val="single" w:sz="4" w:space="0" w:color="auto"/>
              <w:bottom w:val="single" w:sz="4" w:space="0" w:color="auto"/>
            </w:tcBorders>
          </w:tcPr>
          <w:p w:rsidR="005D1C66" w:rsidRPr="0087718E" w:rsidRDefault="005D1C66" w:rsidP="005D1C66">
            <w:pPr>
              <w:keepNext/>
              <w:spacing w:line="240" w:lineRule="auto"/>
              <w:rPr>
                <w:b/>
                <w:sz w:val="18"/>
                <w:szCs w:val="18"/>
              </w:rPr>
            </w:pPr>
            <w:r w:rsidRPr="0087718E">
              <w:rPr>
                <w:b/>
                <w:sz w:val="18"/>
                <w:szCs w:val="18"/>
              </w:rPr>
              <w:t>Distribution</w:t>
            </w:r>
          </w:p>
        </w:tc>
      </w:tr>
      <w:tr w:rsidR="005D1C66" w:rsidRPr="0087718E" w:rsidTr="0087718E">
        <w:tc>
          <w:tcPr>
            <w:tcW w:w="2516" w:type="dxa"/>
            <w:tcBorders>
              <w:top w:val="single" w:sz="4" w:space="0" w:color="auto"/>
            </w:tcBorders>
          </w:tcPr>
          <w:p w:rsidR="005D1C66" w:rsidRPr="0087718E" w:rsidRDefault="005D1C66" w:rsidP="005D1C66">
            <w:pPr>
              <w:keepNext/>
              <w:spacing w:line="240" w:lineRule="auto"/>
              <w:rPr>
                <w:sz w:val="18"/>
                <w:szCs w:val="18"/>
              </w:rPr>
            </w:pPr>
            <w:r w:rsidRPr="0087718E">
              <w:rPr>
                <w:sz w:val="18"/>
                <w:szCs w:val="18"/>
              </w:rPr>
              <w:t>Cardiovascular</w:t>
            </w:r>
          </w:p>
        </w:tc>
        <w:tc>
          <w:tcPr>
            <w:tcW w:w="945" w:type="dxa"/>
            <w:gridSpan w:val="2"/>
            <w:tcBorders>
              <w:top w:val="single" w:sz="4" w:space="0" w:color="auto"/>
            </w:tcBorders>
          </w:tcPr>
          <w:p w:rsidR="005D1C66" w:rsidRPr="0087718E" w:rsidRDefault="005D1C66" w:rsidP="005D1C66">
            <w:pPr>
              <w:spacing w:line="240" w:lineRule="auto"/>
              <w:rPr>
                <w:sz w:val="18"/>
                <w:szCs w:val="18"/>
              </w:rPr>
            </w:pPr>
            <w:r w:rsidRPr="0087718E">
              <w:rPr>
                <w:sz w:val="18"/>
                <w:szCs w:val="18"/>
              </w:rPr>
              <w:t>94.6%</w:t>
            </w:r>
          </w:p>
        </w:tc>
        <w:tc>
          <w:tcPr>
            <w:tcW w:w="945" w:type="dxa"/>
            <w:gridSpan w:val="2"/>
            <w:tcBorders>
              <w:top w:val="single" w:sz="4" w:space="0" w:color="auto"/>
            </w:tcBorders>
          </w:tcPr>
          <w:p w:rsidR="005D1C66" w:rsidRPr="0087718E" w:rsidRDefault="005D1C66" w:rsidP="005D1C66">
            <w:pPr>
              <w:spacing w:line="240" w:lineRule="auto"/>
              <w:rPr>
                <w:sz w:val="18"/>
                <w:szCs w:val="18"/>
              </w:rPr>
            </w:pPr>
            <w:r w:rsidRPr="0087718E">
              <w:rPr>
                <w:sz w:val="18"/>
                <w:szCs w:val="18"/>
              </w:rPr>
              <w:t>4.8%</w:t>
            </w:r>
          </w:p>
        </w:tc>
        <w:tc>
          <w:tcPr>
            <w:tcW w:w="945" w:type="dxa"/>
            <w:gridSpan w:val="2"/>
            <w:tcBorders>
              <w:top w:val="single" w:sz="4" w:space="0" w:color="auto"/>
            </w:tcBorders>
          </w:tcPr>
          <w:p w:rsidR="005D1C66" w:rsidRPr="0087718E" w:rsidRDefault="005D1C66" w:rsidP="005D1C66">
            <w:pPr>
              <w:spacing w:line="240" w:lineRule="auto"/>
              <w:rPr>
                <w:sz w:val="18"/>
                <w:szCs w:val="18"/>
              </w:rPr>
            </w:pPr>
            <w:r w:rsidRPr="0087718E">
              <w:rPr>
                <w:sz w:val="18"/>
                <w:szCs w:val="18"/>
              </w:rPr>
              <w:t>0.5%</w:t>
            </w:r>
          </w:p>
        </w:tc>
        <w:tc>
          <w:tcPr>
            <w:tcW w:w="658" w:type="dxa"/>
            <w:tcBorders>
              <w:top w:val="single" w:sz="4" w:space="0" w:color="auto"/>
            </w:tcBorders>
          </w:tcPr>
          <w:p w:rsidR="005D1C66" w:rsidRPr="0087718E" w:rsidRDefault="005D1C66" w:rsidP="005D1C66">
            <w:pPr>
              <w:spacing w:line="240" w:lineRule="auto"/>
              <w:rPr>
                <w:sz w:val="18"/>
                <w:szCs w:val="18"/>
              </w:rPr>
            </w:pPr>
            <w:r w:rsidRPr="0087718E">
              <w:rPr>
                <w:sz w:val="18"/>
                <w:szCs w:val="18"/>
              </w:rPr>
              <w:t>0.1%</w:t>
            </w:r>
          </w:p>
        </w:tc>
        <w:tc>
          <w:tcPr>
            <w:tcW w:w="760" w:type="dxa"/>
            <w:gridSpan w:val="2"/>
            <w:tcBorders>
              <w:top w:val="single" w:sz="4" w:space="0" w:color="auto"/>
            </w:tcBorders>
          </w:tcPr>
          <w:p w:rsidR="005D1C66" w:rsidRPr="0087718E" w:rsidRDefault="005D1C66" w:rsidP="005D1C66">
            <w:pPr>
              <w:spacing w:line="240" w:lineRule="auto"/>
              <w:rPr>
                <w:sz w:val="18"/>
                <w:szCs w:val="18"/>
              </w:rPr>
            </w:pPr>
            <w:r w:rsidRPr="0087718E">
              <w:rPr>
                <w:sz w:val="18"/>
                <w:szCs w:val="18"/>
              </w:rPr>
              <w:t>0.0%</w:t>
            </w:r>
          </w:p>
        </w:tc>
        <w:tc>
          <w:tcPr>
            <w:tcW w:w="1417" w:type="dxa"/>
            <w:gridSpan w:val="2"/>
            <w:tcBorders>
              <w:top w:val="single" w:sz="4" w:space="0" w:color="auto"/>
            </w:tcBorders>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Diabetes</w:t>
            </w:r>
          </w:p>
        </w:tc>
        <w:tc>
          <w:tcPr>
            <w:tcW w:w="945" w:type="dxa"/>
            <w:gridSpan w:val="2"/>
          </w:tcPr>
          <w:p w:rsidR="005D1C66" w:rsidRPr="0087718E" w:rsidRDefault="005D1C66" w:rsidP="005D1C66">
            <w:pPr>
              <w:spacing w:line="240" w:lineRule="auto"/>
              <w:rPr>
                <w:sz w:val="18"/>
                <w:szCs w:val="18"/>
              </w:rPr>
            </w:pPr>
            <w:r w:rsidRPr="0087718E">
              <w:rPr>
                <w:sz w:val="18"/>
                <w:szCs w:val="18"/>
              </w:rPr>
              <w:t>97.1%</w:t>
            </w:r>
          </w:p>
        </w:tc>
        <w:tc>
          <w:tcPr>
            <w:tcW w:w="945" w:type="dxa"/>
            <w:gridSpan w:val="2"/>
          </w:tcPr>
          <w:p w:rsidR="005D1C66" w:rsidRPr="0087718E" w:rsidRDefault="005D1C66" w:rsidP="005D1C66">
            <w:pPr>
              <w:spacing w:line="240" w:lineRule="auto"/>
              <w:rPr>
                <w:sz w:val="18"/>
                <w:szCs w:val="18"/>
              </w:rPr>
            </w:pPr>
            <w:r w:rsidRPr="0087718E">
              <w:rPr>
                <w:sz w:val="18"/>
                <w:szCs w:val="18"/>
              </w:rPr>
              <w:t>2.9%</w:t>
            </w:r>
          </w:p>
        </w:tc>
        <w:tc>
          <w:tcPr>
            <w:tcW w:w="945" w:type="dxa"/>
            <w:gridSpan w:val="2"/>
          </w:tcPr>
          <w:p w:rsidR="005D1C66" w:rsidRPr="0087718E" w:rsidRDefault="005D1C66" w:rsidP="005D1C66">
            <w:pPr>
              <w:spacing w:line="240" w:lineRule="auto"/>
              <w:rPr>
                <w:sz w:val="18"/>
                <w:szCs w:val="18"/>
              </w:rPr>
            </w:pPr>
            <w:r w:rsidRPr="0087718E">
              <w:rPr>
                <w:sz w:val="18"/>
                <w:szCs w:val="18"/>
              </w:rPr>
              <w:t>0.0%</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Gastrointestinal</w:t>
            </w:r>
          </w:p>
        </w:tc>
        <w:tc>
          <w:tcPr>
            <w:tcW w:w="945" w:type="dxa"/>
            <w:gridSpan w:val="2"/>
          </w:tcPr>
          <w:p w:rsidR="005D1C66" w:rsidRPr="0087718E" w:rsidRDefault="005D1C66" w:rsidP="005D1C66">
            <w:pPr>
              <w:spacing w:line="240" w:lineRule="auto"/>
              <w:rPr>
                <w:sz w:val="18"/>
                <w:szCs w:val="18"/>
              </w:rPr>
            </w:pPr>
            <w:r w:rsidRPr="0087718E">
              <w:rPr>
                <w:sz w:val="18"/>
                <w:szCs w:val="18"/>
              </w:rPr>
              <w:t>95.4%</w:t>
            </w:r>
          </w:p>
        </w:tc>
        <w:tc>
          <w:tcPr>
            <w:tcW w:w="945" w:type="dxa"/>
            <w:gridSpan w:val="2"/>
          </w:tcPr>
          <w:p w:rsidR="005D1C66" w:rsidRPr="0087718E" w:rsidRDefault="005D1C66" w:rsidP="005D1C66">
            <w:pPr>
              <w:spacing w:line="240" w:lineRule="auto"/>
              <w:rPr>
                <w:sz w:val="18"/>
                <w:szCs w:val="18"/>
              </w:rPr>
            </w:pPr>
            <w:r w:rsidRPr="0087718E">
              <w:rPr>
                <w:sz w:val="18"/>
                <w:szCs w:val="18"/>
              </w:rPr>
              <w:t>4.5%</w:t>
            </w:r>
          </w:p>
        </w:tc>
        <w:tc>
          <w:tcPr>
            <w:tcW w:w="945" w:type="dxa"/>
            <w:gridSpan w:val="2"/>
          </w:tcPr>
          <w:p w:rsidR="005D1C66" w:rsidRPr="0087718E" w:rsidRDefault="005D1C66" w:rsidP="005D1C66">
            <w:pPr>
              <w:spacing w:line="240" w:lineRule="auto"/>
              <w:rPr>
                <w:sz w:val="18"/>
                <w:szCs w:val="18"/>
              </w:rPr>
            </w:pPr>
            <w:r w:rsidRPr="0087718E">
              <w:rPr>
                <w:sz w:val="18"/>
                <w:szCs w:val="18"/>
              </w:rPr>
              <w:t>0.1%</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Malignancy</w:t>
            </w:r>
          </w:p>
        </w:tc>
        <w:tc>
          <w:tcPr>
            <w:tcW w:w="945" w:type="dxa"/>
            <w:gridSpan w:val="2"/>
          </w:tcPr>
          <w:p w:rsidR="005D1C66" w:rsidRPr="0087718E" w:rsidRDefault="005D1C66" w:rsidP="005D1C66">
            <w:pPr>
              <w:spacing w:line="240" w:lineRule="auto"/>
              <w:rPr>
                <w:sz w:val="18"/>
                <w:szCs w:val="18"/>
              </w:rPr>
            </w:pPr>
            <w:r w:rsidRPr="0087718E">
              <w:rPr>
                <w:sz w:val="18"/>
                <w:szCs w:val="18"/>
              </w:rPr>
              <w:t>99.3%</w:t>
            </w:r>
          </w:p>
        </w:tc>
        <w:tc>
          <w:tcPr>
            <w:tcW w:w="945" w:type="dxa"/>
            <w:gridSpan w:val="2"/>
          </w:tcPr>
          <w:p w:rsidR="005D1C66" w:rsidRPr="0087718E" w:rsidRDefault="005D1C66" w:rsidP="005D1C66">
            <w:pPr>
              <w:spacing w:line="240" w:lineRule="auto"/>
              <w:rPr>
                <w:sz w:val="18"/>
                <w:szCs w:val="18"/>
              </w:rPr>
            </w:pPr>
            <w:r w:rsidRPr="0087718E">
              <w:rPr>
                <w:sz w:val="18"/>
                <w:szCs w:val="18"/>
              </w:rPr>
              <w:t>0.7%</w:t>
            </w:r>
          </w:p>
        </w:tc>
        <w:tc>
          <w:tcPr>
            <w:tcW w:w="945" w:type="dxa"/>
            <w:gridSpan w:val="2"/>
          </w:tcPr>
          <w:p w:rsidR="005D1C66" w:rsidRPr="0087718E" w:rsidRDefault="005D1C66" w:rsidP="005D1C66">
            <w:pPr>
              <w:spacing w:line="240" w:lineRule="auto"/>
              <w:rPr>
                <w:sz w:val="18"/>
                <w:szCs w:val="18"/>
              </w:rPr>
            </w:pPr>
            <w:r w:rsidRPr="0087718E">
              <w:rPr>
                <w:sz w:val="18"/>
                <w:szCs w:val="18"/>
              </w:rPr>
              <w:t>0.0%</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Musculoskeletal</w:t>
            </w:r>
          </w:p>
        </w:tc>
        <w:tc>
          <w:tcPr>
            <w:tcW w:w="945" w:type="dxa"/>
            <w:gridSpan w:val="2"/>
          </w:tcPr>
          <w:p w:rsidR="005D1C66" w:rsidRPr="0087718E" w:rsidRDefault="005D1C66" w:rsidP="005D1C66">
            <w:pPr>
              <w:spacing w:line="240" w:lineRule="auto"/>
              <w:rPr>
                <w:sz w:val="18"/>
                <w:szCs w:val="18"/>
              </w:rPr>
            </w:pPr>
            <w:r w:rsidRPr="0087718E">
              <w:rPr>
                <w:sz w:val="18"/>
                <w:szCs w:val="18"/>
              </w:rPr>
              <w:t>85.6%</w:t>
            </w:r>
          </w:p>
        </w:tc>
        <w:tc>
          <w:tcPr>
            <w:tcW w:w="945" w:type="dxa"/>
            <w:gridSpan w:val="2"/>
          </w:tcPr>
          <w:p w:rsidR="005D1C66" w:rsidRPr="0087718E" w:rsidRDefault="005D1C66" w:rsidP="005D1C66">
            <w:pPr>
              <w:spacing w:line="240" w:lineRule="auto"/>
              <w:rPr>
                <w:sz w:val="18"/>
                <w:szCs w:val="18"/>
              </w:rPr>
            </w:pPr>
            <w:r w:rsidRPr="0087718E">
              <w:rPr>
                <w:sz w:val="18"/>
                <w:szCs w:val="18"/>
              </w:rPr>
              <w:t>10.0%</w:t>
            </w:r>
          </w:p>
        </w:tc>
        <w:tc>
          <w:tcPr>
            <w:tcW w:w="945" w:type="dxa"/>
            <w:gridSpan w:val="2"/>
          </w:tcPr>
          <w:p w:rsidR="005D1C66" w:rsidRPr="0087718E" w:rsidRDefault="005D1C66" w:rsidP="005D1C66">
            <w:pPr>
              <w:spacing w:line="240" w:lineRule="auto"/>
              <w:rPr>
                <w:sz w:val="18"/>
                <w:szCs w:val="18"/>
              </w:rPr>
            </w:pPr>
            <w:r w:rsidRPr="0087718E">
              <w:rPr>
                <w:sz w:val="18"/>
                <w:szCs w:val="18"/>
              </w:rPr>
              <w:t>3.6%</w:t>
            </w:r>
          </w:p>
        </w:tc>
        <w:tc>
          <w:tcPr>
            <w:tcW w:w="658" w:type="dxa"/>
          </w:tcPr>
          <w:p w:rsidR="005D1C66" w:rsidRPr="0087718E" w:rsidRDefault="005D1C66" w:rsidP="005D1C66">
            <w:pPr>
              <w:spacing w:line="240" w:lineRule="auto"/>
              <w:rPr>
                <w:sz w:val="18"/>
                <w:szCs w:val="18"/>
              </w:rPr>
            </w:pPr>
            <w:r w:rsidRPr="0087718E">
              <w:rPr>
                <w:sz w:val="18"/>
                <w:szCs w:val="18"/>
              </w:rPr>
              <w:t>0.6%</w:t>
            </w:r>
          </w:p>
        </w:tc>
        <w:tc>
          <w:tcPr>
            <w:tcW w:w="760" w:type="dxa"/>
            <w:gridSpan w:val="2"/>
          </w:tcPr>
          <w:p w:rsidR="005D1C66" w:rsidRPr="0087718E" w:rsidRDefault="005D1C66" w:rsidP="005D1C66">
            <w:pPr>
              <w:spacing w:line="240" w:lineRule="auto"/>
              <w:rPr>
                <w:sz w:val="18"/>
                <w:szCs w:val="18"/>
              </w:rPr>
            </w:pPr>
            <w:r w:rsidRPr="0087718E">
              <w:rPr>
                <w:sz w:val="18"/>
                <w:szCs w:val="18"/>
              </w:rPr>
              <w:t>0.2%</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Neuropsychiatric</w:t>
            </w:r>
          </w:p>
        </w:tc>
        <w:tc>
          <w:tcPr>
            <w:tcW w:w="945" w:type="dxa"/>
            <w:gridSpan w:val="2"/>
          </w:tcPr>
          <w:p w:rsidR="005D1C66" w:rsidRPr="0087718E" w:rsidRDefault="005D1C66" w:rsidP="005D1C66">
            <w:pPr>
              <w:spacing w:line="240" w:lineRule="auto"/>
              <w:rPr>
                <w:sz w:val="18"/>
                <w:szCs w:val="18"/>
              </w:rPr>
            </w:pPr>
            <w:r w:rsidRPr="0087718E">
              <w:rPr>
                <w:sz w:val="18"/>
                <w:szCs w:val="18"/>
              </w:rPr>
              <w:t>87.9%</w:t>
            </w:r>
          </w:p>
        </w:tc>
        <w:tc>
          <w:tcPr>
            <w:tcW w:w="945" w:type="dxa"/>
            <w:gridSpan w:val="2"/>
          </w:tcPr>
          <w:p w:rsidR="005D1C66" w:rsidRPr="0087718E" w:rsidRDefault="005D1C66" w:rsidP="005D1C66">
            <w:pPr>
              <w:spacing w:line="240" w:lineRule="auto"/>
              <w:rPr>
                <w:sz w:val="18"/>
                <w:szCs w:val="18"/>
              </w:rPr>
            </w:pPr>
            <w:r w:rsidRPr="0087718E">
              <w:rPr>
                <w:sz w:val="18"/>
                <w:szCs w:val="18"/>
              </w:rPr>
              <w:t>9.5%</w:t>
            </w:r>
          </w:p>
        </w:tc>
        <w:tc>
          <w:tcPr>
            <w:tcW w:w="945" w:type="dxa"/>
            <w:gridSpan w:val="2"/>
          </w:tcPr>
          <w:p w:rsidR="005D1C66" w:rsidRPr="0087718E" w:rsidRDefault="005D1C66" w:rsidP="005D1C66">
            <w:pPr>
              <w:spacing w:line="240" w:lineRule="auto"/>
              <w:rPr>
                <w:sz w:val="18"/>
                <w:szCs w:val="18"/>
              </w:rPr>
            </w:pPr>
            <w:r w:rsidRPr="0087718E">
              <w:rPr>
                <w:sz w:val="18"/>
                <w:szCs w:val="18"/>
              </w:rPr>
              <w:t>2.3%</w:t>
            </w:r>
          </w:p>
        </w:tc>
        <w:tc>
          <w:tcPr>
            <w:tcW w:w="658" w:type="dxa"/>
          </w:tcPr>
          <w:p w:rsidR="005D1C66" w:rsidRPr="0087718E" w:rsidRDefault="005D1C66" w:rsidP="005D1C66">
            <w:pPr>
              <w:spacing w:line="240" w:lineRule="auto"/>
              <w:rPr>
                <w:sz w:val="18"/>
                <w:szCs w:val="18"/>
              </w:rPr>
            </w:pPr>
            <w:r w:rsidRPr="0087718E">
              <w:rPr>
                <w:sz w:val="18"/>
                <w:szCs w:val="18"/>
              </w:rPr>
              <w:t>0.3%</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Ocular</w:t>
            </w:r>
          </w:p>
        </w:tc>
        <w:tc>
          <w:tcPr>
            <w:tcW w:w="945" w:type="dxa"/>
            <w:gridSpan w:val="2"/>
          </w:tcPr>
          <w:p w:rsidR="005D1C66" w:rsidRPr="0087718E" w:rsidRDefault="005D1C66" w:rsidP="005D1C66">
            <w:pPr>
              <w:spacing w:line="240" w:lineRule="auto"/>
              <w:rPr>
                <w:sz w:val="18"/>
                <w:szCs w:val="18"/>
              </w:rPr>
            </w:pPr>
            <w:r w:rsidRPr="0087718E">
              <w:rPr>
                <w:sz w:val="18"/>
                <w:szCs w:val="18"/>
              </w:rPr>
              <w:t>93.3%</w:t>
            </w:r>
          </w:p>
        </w:tc>
        <w:tc>
          <w:tcPr>
            <w:tcW w:w="945" w:type="dxa"/>
            <w:gridSpan w:val="2"/>
          </w:tcPr>
          <w:p w:rsidR="005D1C66" w:rsidRPr="0087718E" w:rsidRDefault="005D1C66" w:rsidP="005D1C66">
            <w:pPr>
              <w:spacing w:line="240" w:lineRule="auto"/>
              <w:rPr>
                <w:sz w:val="18"/>
                <w:szCs w:val="18"/>
              </w:rPr>
            </w:pPr>
            <w:r w:rsidRPr="0087718E">
              <w:rPr>
                <w:sz w:val="18"/>
                <w:szCs w:val="18"/>
              </w:rPr>
              <w:t>6.6%</w:t>
            </w:r>
          </w:p>
        </w:tc>
        <w:tc>
          <w:tcPr>
            <w:tcW w:w="945" w:type="dxa"/>
            <w:gridSpan w:val="2"/>
          </w:tcPr>
          <w:p w:rsidR="005D1C66" w:rsidRPr="0087718E" w:rsidRDefault="005D1C66" w:rsidP="005D1C66">
            <w:pPr>
              <w:spacing w:line="240" w:lineRule="auto"/>
              <w:rPr>
                <w:sz w:val="18"/>
                <w:szCs w:val="18"/>
              </w:rPr>
            </w:pPr>
            <w:r w:rsidRPr="0087718E">
              <w:rPr>
                <w:sz w:val="18"/>
                <w:szCs w:val="18"/>
              </w:rPr>
              <w:t>0.1%</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Peripheral vascular</w:t>
            </w:r>
          </w:p>
        </w:tc>
        <w:tc>
          <w:tcPr>
            <w:tcW w:w="945" w:type="dxa"/>
            <w:gridSpan w:val="2"/>
          </w:tcPr>
          <w:p w:rsidR="005D1C66" w:rsidRPr="0087718E" w:rsidRDefault="005D1C66" w:rsidP="005D1C66">
            <w:pPr>
              <w:spacing w:line="240" w:lineRule="auto"/>
              <w:rPr>
                <w:sz w:val="18"/>
                <w:szCs w:val="18"/>
              </w:rPr>
            </w:pPr>
            <w:r w:rsidRPr="0087718E">
              <w:rPr>
                <w:sz w:val="18"/>
                <w:szCs w:val="18"/>
              </w:rPr>
              <w:t>95.7%</w:t>
            </w:r>
          </w:p>
        </w:tc>
        <w:tc>
          <w:tcPr>
            <w:tcW w:w="945" w:type="dxa"/>
            <w:gridSpan w:val="2"/>
          </w:tcPr>
          <w:p w:rsidR="005D1C66" w:rsidRPr="0087718E" w:rsidRDefault="005D1C66" w:rsidP="005D1C66">
            <w:pPr>
              <w:spacing w:line="240" w:lineRule="auto"/>
              <w:rPr>
                <w:sz w:val="18"/>
                <w:szCs w:val="18"/>
              </w:rPr>
            </w:pPr>
            <w:r w:rsidRPr="0087718E">
              <w:rPr>
                <w:sz w:val="18"/>
                <w:szCs w:val="18"/>
              </w:rPr>
              <w:t>3.7%</w:t>
            </w:r>
          </w:p>
        </w:tc>
        <w:tc>
          <w:tcPr>
            <w:tcW w:w="945" w:type="dxa"/>
            <w:gridSpan w:val="2"/>
          </w:tcPr>
          <w:p w:rsidR="005D1C66" w:rsidRPr="0087718E" w:rsidRDefault="005D1C66" w:rsidP="005D1C66">
            <w:pPr>
              <w:spacing w:line="240" w:lineRule="auto"/>
              <w:rPr>
                <w:sz w:val="18"/>
                <w:szCs w:val="18"/>
              </w:rPr>
            </w:pPr>
            <w:r w:rsidRPr="0087718E">
              <w:rPr>
                <w:sz w:val="18"/>
                <w:szCs w:val="18"/>
              </w:rPr>
              <w:t>0.3%</w:t>
            </w:r>
          </w:p>
        </w:tc>
        <w:tc>
          <w:tcPr>
            <w:tcW w:w="658" w:type="dxa"/>
          </w:tcPr>
          <w:p w:rsidR="005D1C66" w:rsidRPr="0087718E" w:rsidRDefault="005D1C66" w:rsidP="005D1C66">
            <w:pPr>
              <w:spacing w:line="240" w:lineRule="auto"/>
              <w:rPr>
                <w:sz w:val="18"/>
                <w:szCs w:val="18"/>
              </w:rPr>
            </w:pPr>
            <w:r w:rsidRPr="0087718E">
              <w:rPr>
                <w:sz w:val="18"/>
                <w:szCs w:val="18"/>
              </w:rPr>
              <w:t>0.3%</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Premature gonadal failure</w:t>
            </w:r>
          </w:p>
        </w:tc>
        <w:tc>
          <w:tcPr>
            <w:tcW w:w="945" w:type="dxa"/>
            <w:gridSpan w:val="2"/>
          </w:tcPr>
          <w:p w:rsidR="005D1C66" w:rsidRPr="0087718E" w:rsidRDefault="005D1C66" w:rsidP="005D1C66">
            <w:pPr>
              <w:spacing w:line="240" w:lineRule="auto"/>
              <w:rPr>
                <w:sz w:val="18"/>
                <w:szCs w:val="18"/>
              </w:rPr>
            </w:pPr>
            <w:r w:rsidRPr="0087718E">
              <w:rPr>
                <w:sz w:val="18"/>
                <w:szCs w:val="18"/>
              </w:rPr>
              <w:t>98.1%</w:t>
            </w:r>
          </w:p>
        </w:tc>
        <w:tc>
          <w:tcPr>
            <w:tcW w:w="945" w:type="dxa"/>
            <w:gridSpan w:val="2"/>
          </w:tcPr>
          <w:p w:rsidR="005D1C66" w:rsidRPr="0087718E" w:rsidRDefault="005D1C66" w:rsidP="005D1C66">
            <w:pPr>
              <w:spacing w:line="240" w:lineRule="auto"/>
              <w:rPr>
                <w:sz w:val="18"/>
                <w:szCs w:val="18"/>
              </w:rPr>
            </w:pPr>
            <w:r w:rsidRPr="0087718E">
              <w:rPr>
                <w:sz w:val="18"/>
                <w:szCs w:val="18"/>
              </w:rPr>
              <w:t>1.9%</w:t>
            </w:r>
          </w:p>
        </w:tc>
        <w:tc>
          <w:tcPr>
            <w:tcW w:w="945" w:type="dxa"/>
            <w:gridSpan w:val="2"/>
          </w:tcPr>
          <w:p w:rsidR="005D1C66" w:rsidRPr="0087718E" w:rsidRDefault="005D1C66" w:rsidP="005D1C66">
            <w:pPr>
              <w:spacing w:line="240" w:lineRule="auto"/>
              <w:rPr>
                <w:sz w:val="18"/>
                <w:szCs w:val="18"/>
              </w:rPr>
            </w:pPr>
            <w:r w:rsidRPr="0087718E">
              <w:rPr>
                <w:sz w:val="18"/>
                <w:szCs w:val="18"/>
              </w:rPr>
              <w:t>0.0%</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Pulmonary</w:t>
            </w:r>
          </w:p>
        </w:tc>
        <w:tc>
          <w:tcPr>
            <w:tcW w:w="945" w:type="dxa"/>
            <w:gridSpan w:val="2"/>
          </w:tcPr>
          <w:p w:rsidR="005D1C66" w:rsidRPr="0087718E" w:rsidRDefault="005D1C66" w:rsidP="005D1C66">
            <w:pPr>
              <w:spacing w:line="240" w:lineRule="auto"/>
              <w:rPr>
                <w:sz w:val="18"/>
                <w:szCs w:val="18"/>
              </w:rPr>
            </w:pPr>
            <w:r w:rsidRPr="0087718E">
              <w:rPr>
                <w:sz w:val="18"/>
                <w:szCs w:val="18"/>
              </w:rPr>
              <w:t>97.3%</w:t>
            </w:r>
          </w:p>
        </w:tc>
        <w:tc>
          <w:tcPr>
            <w:tcW w:w="945" w:type="dxa"/>
            <w:gridSpan w:val="2"/>
          </w:tcPr>
          <w:p w:rsidR="005D1C66" w:rsidRPr="0087718E" w:rsidRDefault="005D1C66" w:rsidP="005D1C66">
            <w:pPr>
              <w:spacing w:line="240" w:lineRule="auto"/>
              <w:rPr>
                <w:sz w:val="18"/>
                <w:szCs w:val="18"/>
              </w:rPr>
            </w:pPr>
            <w:r w:rsidRPr="0087718E">
              <w:rPr>
                <w:sz w:val="18"/>
                <w:szCs w:val="18"/>
              </w:rPr>
              <w:t>2.4%</w:t>
            </w:r>
          </w:p>
        </w:tc>
        <w:tc>
          <w:tcPr>
            <w:tcW w:w="945" w:type="dxa"/>
            <w:gridSpan w:val="2"/>
          </w:tcPr>
          <w:p w:rsidR="005D1C66" w:rsidRPr="0087718E" w:rsidRDefault="005D1C66" w:rsidP="005D1C66">
            <w:pPr>
              <w:spacing w:line="240" w:lineRule="auto"/>
              <w:rPr>
                <w:sz w:val="18"/>
                <w:szCs w:val="18"/>
              </w:rPr>
            </w:pPr>
            <w:r w:rsidRPr="0087718E">
              <w:rPr>
                <w:sz w:val="18"/>
                <w:szCs w:val="18"/>
              </w:rPr>
              <w:t>0.3%</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Renal</w:t>
            </w:r>
          </w:p>
        </w:tc>
        <w:tc>
          <w:tcPr>
            <w:tcW w:w="945" w:type="dxa"/>
            <w:gridSpan w:val="2"/>
          </w:tcPr>
          <w:p w:rsidR="005D1C66" w:rsidRPr="0087718E" w:rsidRDefault="005D1C66" w:rsidP="005D1C66">
            <w:pPr>
              <w:spacing w:line="240" w:lineRule="auto"/>
              <w:rPr>
                <w:sz w:val="18"/>
                <w:szCs w:val="18"/>
              </w:rPr>
            </w:pPr>
            <w:r w:rsidRPr="0087718E">
              <w:rPr>
                <w:sz w:val="18"/>
                <w:szCs w:val="18"/>
              </w:rPr>
              <w:t>97.8%</w:t>
            </w:r>
          </w:p>
        </w:tc>
        <w:tc>
          <w:tcPr>
            <w:tcW w:w="945" w:type="dxa"/>
            <w:gridSpan w:val="2"/>
          </w:tcPr>
          <w:p w:rsidR="005D1C66" w:rsidRPr="0087718E" w:rsidRDefault="005D1C66" w:rsidP="005D1C66">
            <w:pPr>
              <w:spacing w:line="240" w:lineRule="auto"/>
              <w:rPr>
                <w:sz w:val="18"/>
                <w:szCs w:val="18"/>
              </w:rPr>
            </w:pPr>
            <w:r w:rsidRPr="0087718E">
              <w:rPr>
                <w:sz w:val="18"/>
                <w:szCs w:val="18"/>
              </w:rPr>
              <w:t>2.2%</w:t>
            </w:r>
          </w:p>
        </w:tc>
        <w:tc>
          <w:tcPr>
            <w:tcW w:w="945" w:type="dxa"/>
            <w:gridSpan w:val="2"/>
          </w:tcPr>
          <w:p w:rsidR="005D1C66" w:rsidRPr="0087718E" w:rsidRDefault="005D1C66" w:rsidP="005D1C66">
            <w:pPr>
              <w:spacing w:line="240" w:lineRule="auto"/>
              <w:rPr>
                <w:sz w:val="18"/>
                <w:szCs w:val="18"/>
              </w:rPr>
            </w:pPr>
            <w:r w:rsidRPr="0087718E">
              <w:rPr>
                <w:sz w:val="18"/>
                <w:szCs w:val="18"/>
              </w:rPr>
              <w:t>0.0%</w:t>
            </w:r>
          </w:p>
        </w:tc>
        <w:tc>
          <w:tcPr>
            <w:tcW w:w="658" w:type="dxa"/>
          </w:tcPr>
          <w:p w:rsidR="005D1C66" w:rsidRPr="0087718E" w:rsidRDefault="005D1C66" w:rsidP="005D1C66">
            <w:pPr>
              <w:spacing w:line="240" w:lineRule="auto"/>
              <w:rPr>
                <w:sz w:val="18"/>
                <w:szCs w:val="18"/>
              </w:rPr>
            </w:pPr>
            <w:r w:rsidRPr="0087718E">
              <w:rPr>
                <w:sz w:val="18"/>
                <w:szCs w:val="18"/>
              </w:rPr>
              <w:t>0.0%</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r w:rsidR="005D1C66" w:rsidRPr="0087718E" w:rsidTr="0087718E">
        <w:tc>
          <w:tcPr>
            <w:tcW w:w="2516" w:type="dxa"/>
          </w:tcPr>
          <w:p w:rsidR="005D1C66" w:rsidRPr="0087718E" w:rsidRDefault="005D1C66" w:rsidP="005D1C66">
            <w:pPr>
              <w:keepNext/>
              <w:spacing w:line="240" w:lineRule="auto"/>
              <w:rPr>
                <w:sz w:val="18"/>
                <w:szCs w:val="18"/>
              </w:rPr>
            </w:pPr>
            <w:r w:rsidRPr="0087718E">
              <w:rPr>
                <w:sz w:val="18"/>
                <w:szCs w:val="18"/>
              </w:rPr>
              <w:t>Skin</w:t>
            </w:r>
          </w:p>
        </w:tc>
        <w:tc>
          <w:tcPr>
            <w:tcW w:w="945" w:type="dxa"/>
            <w:gridSpan w:val="2"/>
          </w:tcPr>
          <w:p w:rsidR="005D1C66" w:rsidRPr="0087718E" w:rsidRDefault="005D1C66" w:rsidP="005D1C66">
            <w:pPr>
              <w:spacing w:line="240" w:lineRule="auto"/>
              <w:rPr>
                <w:sz w:val="18"/>
                <w:szCs w:val="18"/>
              </w:rPr>
            </w:pPr>
            <w:r w:rsidRPr="0087718E">
              <w:rPr>
                <w:sz w:val="18"/>
                <w:szCs w:val="18"/>
              </w:rPr>
              <w:t>92.8%</w:t>
            </w:r>
          </w:p>
        </w:tc>
        <w:tc>
          <w:tcPr>
            <w:tcW w:w="945" w:type="dxa"/>
            <w:gridSpan w:val="2"/>
          </w:tcPr>
          <w:p w:rsidR="005D1C66" w:rsidRPr="0087718E" w:rsidRDefault="005D1C66" w:rsidP="005D1C66">
            <w:pPr>
              <w:spacing w:line="240" w:lineRule="auto"/>
              <w:rPr>
                <w:sz w:val="18"/>
                <w:szCs w:val="18"/>
              </w:rPr>
            </w:pPr>
            <w:r w:rsidRPr="0087718E">
              <w:rPr>
                <w:sz w:val="18"/>
                <w:szCs w:val="18"/>
              </w:rPr>
              <w:t>6.7%</w:t>
            </w:r>
          </w:p>
        </w:tc>
        <w:tc>
          <w:tcPr>
            <w:tcW w:w="945" w:type="dxa"/>
            <w:gridSpan w:val="2"/>
          </w:tcPr>
          <w:p w:rsidR="005D1C66" w:rsidRPr="0087718E" w:rsidRDefault="005D1C66" w:rsidP="005D1C66">
            <w:pPr>
              <w:spacing w:line="240" w:lineRule="auto"/>
              <w:rPr>
                <w:sz w:val="18"/>
                <w:szCs w:val="18"/>
              </w:rPr>
            </w:pPr>
            <w:r w:rsidRPr="0087718E">
              <w:rPr>
                <w:sz w:val="18"/>
                <w:szCs w:val="18"/>
              </w:rPr>
              <w:t>0.4%</w:t>
            </w:r>
          </w:p>
        </w:tc>
        <w:tc>
          <w:tcPr>
            <w:tcW w:w="658" w:type="dxa"/>
          </w:tcPr>
          <w:p w:rsidR="005D1C66" w:rsidRPr="0087718E" w:rsidRDefault="005D1C66" w:rsidP="005D1C66">
            <w:pPr>
              <w:spacing w:line="240" w:lineRule="auto"/>
              <w:rPr>
                <w:sz w:val="18"/>
                <w:szCs w:val="18"/>
              </w:rPr>
            </w:pPr>
            <w:r w:rsidRPr="0087718E">
              <w:rPr>
                <w:sz w:val="18"/>
                <w:szCs w:val="18"/>
              </w:rPr>
              <w:t>0.2%</w:t>
            </w:r>
          </w:p>
        </w:tc>
        <w:tc>
          <w:tcPr>
            <w:tcW w:w="760" w:type="dxa"/>
            <w:gridSpan w:val="2"/>
          </w:tcPr>
          <w:p w:rsidR="005D1C66" w:rsidRPr="0087718E" w:rsidRDefault="005D1C66" w:rsidP="005D1C66">
            <w:pPr>
              <w:spacing w:line="240" w:lineRule="auto"/>
              <w:rPr>
                <w:sz w:val="18"/>
                <w:szCs w:val="18"/>
              </w:rPr>
            </w:pPr>
            <w:r w:rsidRPr="0087718E">
              <w:rPr>
                <w:sz w:val="18"/>
                <w:szCs w:val="18"/>
              </w:rPr>
              <w:t>0.0%</w:t>
            </w:r>
          </w:p>
        </w:tc>
        <w:tc>
          <w:tcPr>
            <w:tcW w:w="1417" w:type="dxa"/>
            <w:gridSpan w:val="2"/>
          </w:tcPr>
          <w:p w:rsidR="005D1C66" w:rsidRPr="0087718E" w:rsidRDefault="005D1C66" w:rsidP="005D1C66">
            <w:pPr>
              <w:spacing w:line="240" w:lineRule="auto"/>
              <w:rPr>
                <w:sz w:val="18"/>
                <w:szCs w:val="18"/>
              </w:rPr>
            </w:pPr>
            <w:r w:rsidRPr="0087718E">
              <w:rPr>
                <w:sz w:val="18"/>
                <w:szCs w:val="18"/>
              </w:rPr>
              <w:t>MULTINOMIAL</w:t>
            </w:r>
          </w:p>
        </w:tc>
      </w:tr>
    </w:tbl>
    <w:p w:rsidR="00C62F3A" w:rsidRDefault="00C62F3A" w:rsidP="005D1C66">
      <w:r>
        <w:t xml:space="preserve"> </w:t>
      </w:r>
    </w:p>
    <w:p w:rsidR="00C419FD" w:rsidRDefault="00C419FD" w:rsidP="005D1C66"/>
    <w:p w:rsidR="006452F1" w:rsidRDefault="006452F1" w:rsidP="006452F1">
      <w:pPr>
        <w:pStyle w:val="Heading4"/>
      </w:pPr>
      <w:bookmarkStart w:id="372" w:name="_Ref363309091"/>
      <w:r>
        <w:t>Baseline SLEDAI score</w:t>
      </w:r>
      <w:bookmarkEnd w:id="372"/>
    </w:p>
    <w:p w:rsidR="00C62F3A" w:rsidRDefault="005D1C66" w:rsidP="002737EE">
      <w:r>
        <w:t>Patient SLEDAI scores are assigned using the</w:t>
      </w:r>
      <w:r w:rsidR="00C62F3A">
        <w:t xml:space="preserve"> SLEDAI regression models described in </w:t>
      </w:r>
      <w:r w:rsidR="002737EE">
        <w:t>S</w:t>
      </w:r>
      <w:r w:rsidR="006452F1">
        <w:t xml:space="preserve">ection </w:t>
      </w:r>
      <w:r w:rsidR="00E729BA">
        <w:fldChar w:fldCharType="begin"/>
      </w:r>
      <w:r w:rsidR="006452F1">
        <w:instrText xml:space="preserve"> REF _Ref354829531 \n \h </w:instrText>
      </w:r>
      <w:r w:rsidR="00E729BA">
        <w:fldChar w:fldCharType="separate"/>
      </w:r>
      <w:r w:rsidR="004911B7">
        <w:rPr>
          <w:cs/>
        </w:rPr>
        <w:t>‎</w:t>
      </w:r>
      <w:r w:rsidR="004911B7">
        <w:t>5.2.2</w:t>
      </w:r>
      <w:r w:rsidR="00E729BA">
        <w:fldChar w:fldCharType="end"/>
      </w:r>
      <w:r w:rsidR="006452F1">
        <w:t xml:space="preserve"> of </w:t>
      </w:r>
      <w:r w:rsidR="00C62F3A">
        <w:t>Chapter 5</w:t>
      </w:r>
      <w:r>
        <w:t xml:space="preserve">. Each item of the SLEDAI is estimated to describe the severity and organ involvement of disease activity. The regression models estimate the patient’s probability of SLEDAI involvement at each three monthly clinic visit based on demographic characteristics and previously observed SLEDAI items. These statistical models were used to predict the probability that a symptom is present </w:t>
      </w:r>
      <w:r w:rsidR="005E3F79">
        <w:t>at a clinical visit</w:t>
      </w:r>
      <w:r>
        <w:t>. L</w:t>
      </w:r>
      <w:r w:rsidR="00C62F3A">
        <w:t>ogit model</w:t>
      </w:r>
      <w:r>
        <w:t>s were</w:t>
      </w:r>
      <w:r w:rsidR="00C62F3A">
        <w:t xml:space="preserve"> used to </w:t>
      </w:r>
      <w:r w:rsidR="0090251C">
        <w:t>predict</w:t>
      </w:r>
      <w:r w:rsidR="00C62F3A">
        <w:t xml:space="preserve"> dichotomous responses on the SLEDAI.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
        <w:gridCol w:w="6846"/>
        <w:gridCol w:w="1073"/>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func>
                  <m:funcPr>
                    <m:ctrlPr>
                      <w:rPr>
                        <w:rFonts w:ascii="Cambria Math" w:hAnsi="Cambria Math"/>
                      </w:rPr>
                    </m:ctrlPr>
                  </m:funcPr>
                  <m:fName>
                    <m:r>
                      <m:rPr>
                        <m:sty m:val="p"/>
                      </m:rPr>
                      <w:rPr>
                        <w:rFonts w:ascii="Cambria Math" w:hAnsi="Cambria Math"/>
                      </w:rPr>
                      <m:t>Pr</m:t>
                    </m:r>
                  </m:fName>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ij</m:t>
                            </m:r>
                          </m:sub>
                        </m:sSub>
                        <m:r>
                          <w:rPr>
                            <w:rFonts w:ascii="Cambria Math" w:hAnsi="Cambria Math"/>
                          </w:rPr>
                          <m:t>=1</m:t>
                        </m:r>
                      </m:e>
                      <m:e>
                        <m:sSub>
                          <m:sSubPr>
                            <m:ctrlPr>
                              <w:rPr>
                                <w:rFonts w:ascii="Cambria Math" w:hAnsi="Cambria Math"/>
                                <w:i/>
                              </w:rPr>
                            </m:ctrlPr>
                          </m:sSubPr>
                          <m:e>
                            <m:r>
                              <w:rPr>
                                <w:rFonts w:ascii="Cambria Math" w:hAnsi="Cambria Math"/>
                              </w:rPr>
                              <m:t>x</m:t>
                            </m:r>
                          </m:e>
                          <m:sub>
                            <m:r>
                              <w:rPr>
                                <w:rFonts w:ascii="Cambria Math" w:hAnsi="Cambria Math"/>
                              </w:rPr>
                              <m:t>ij</m:t>
                            </m:r>
                          </m:sub>
                        </m:sSub>
                        <m:r>
                          <w:rPr>
                            <w:rFonts w:ascii="Cambria Math" w:hAnsi="Cambria Math"/>
                          </w:rPr>
                          <m:t xml:space="preserve">, </m:t>
                        </m:r>
                        <m:sSub>
                          <m:sSubPr>
                            <m:ctrlPr>
                              <w:rPr>
                                <w:rFonts w:ascii="Cambria Math" w:hAnsi="Cambria Math"/>
                                <w:i/>
                              </w:rPr>
                            </m:ctrlPr>
                          </m:sSubPr>
                          <m:e>
                            <m:r>
                              <w:rPr>
                                <w:rFonts w:ascii="Cambria Math" w:hAnsi="Cambria Math"/>
                              </w:rPr>
                              <m:t>ζ</m:t>
                            </m:r>
                          </m:e>
                          <m:sub>
                            <m:r>
                              <w:rPr>
                                <w:rFonts w:ascii="Cambria Math" w:hAnsi="Cambria Math"/>
                              </w:rPr>
                              <m:t>i</m:t>
                            </m:r>
                          </m:sub>
                        </m:sSub>
                      </m:e>
                    </m:d>
                    <m:ctrlPr>
                      <w:rPr>
                        <w:rFonts w:ascii="Cambria Math" w:hAnsi="Cambria Math"/>
                        <w:i/>
                      </w:rPr>
                    </m:ctrlPr>
                  </m:e>
                </m:func>
                <m:r>
                  <w:rPr>
                    <w:rFonts w:ascii="Cambria Math" w:hAnsi="Cambria Math"/>
                  </w:rPr>
                  <m:t>=</m:t>
                </m:r>
                <m:f>
                  <m:fPr>
                    <m:ctrlPr>
                      <w:rPr>
                        <w:rFonts w:ascii="Cambria Math" w:hAnsi="Cambria Math"/>
                        <w:i/>
                      </w:rPr>
                    </m:ctrlPr>
                  </m:fPr>
                  <m:num>
                    <m:r>
                      <m:rPr>
                        <m:sty m:val="p"/>
                      </m:rPr>
                      <w:rPr>
                        <w:rFonts w:ascii="Cambria Math" w:hAnsi="Cambria Math"/>
                      </w:rPr>
                      <m:t>exp⁡</m:t>
                    </m:r>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ij</m:t>
                        </m:r>
                      </m:sub>
                    </m:sSub>
                    <m:r>
                      <m:rPr>
                        <m:sty m:val="bi"/>
                      </m:rPr>
                      <w:rPr>
                        <w:rFonts w:ascii="Cambria Math" w:hAnsi="Cambria Math"/>
                      </w:rPr>
                      <m:t>β+</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num>
                  <m:den>
                    <m:r>
                      <w:rPr>
                        <w:rFonts w:ascii="Cambria Math" w:hAnsi="Cambria Math"/>
                      </w:rPr>
                      <m:t>1+</m:t>
                    </m:r>
                    <m:r>
                      <m:rPr>
                        <m:sty m:val="p"/>
                      </m:rPr>
                      <w:rPr>
                        <w:rFonts w:ascii="Cambria Math" w:hAnsi="Cambria Math"/>
                      </w:rPr>
                      <m:t>exp⁡</m:t>
                    </m:r>
                    <m:r>
                      <w:rPr>
                        <w:rFonts w:ascii="Cambria Math" w:hAnsi="Cambria Math"/>
                      </w:rPr>
                      <m:t>(</m:t>
                    </m:r>
                    <m:sSub>
                      <m:sSubPr>
                        <m:ctrlPr>
                          <w:rPr>
                            <w:rFonts w:ascii="Cambria Math" w:hAnsi="Cambria Math"/>
                            <w:b/>
                            <w:bCs/>
                            <w:i/>
                          </w:rPr>
                        </m:ctrlPr>
                      </m:sSubPr>
                      <m:e>
                        <m:r>
                          <m:rPr>
                            <m:sty m:val="bi"/>
                          </m:rPr>
                          <w:rPr>
                            <w:rFonts w:ascii="Cambria Math" w:hAnsi="Cambria Math"/>
                          </w:rPr>
                          <m:t>x</m:t>
                        </m:r>
                      </m:e>
                      <m:sub>
                        <m:r>
                          <w:rPr>
                            <w:rFonts w:ascii="Cambria Math" w:hAnsi="Cambria Math"/>
                          </w:rPr>
                          <m:t>ij</m:t>
                        </m:r>
                      </m:sub>
                    </m:sSub>
                    <m:r>
                      <m:rPr>
                        <m:sty m:val="bi"/>
                      </m:rPr>
                      <w:rPr>
                        <w:rFonts w:ascii="Cambria Math" w:hAnsi="Cambria Math"/>
                      </w:rPr>
                      <m:t>β+</m:t>
                    </m:r>
                    <m:sSub>
                      <m:sSubPr>
                        <m:ctrlPr>
                          <w:rPr>
                            <w:rFonts w:ascii="Cambria Math" w:hAnsi="Cambria Math"/>
                            <w:i/>
                          </w:rPr>
                        </m:ctrlPr>
                      </m:sSubPr>
                      <m:e>
                        <m:r>
                          <w:rPr>
                            <w:rFonts w:ascii="Cambria Math" w:hAnsi="Cambria Math"/>
                          </w:rPr>
                          <m:t>ζ</m:t>
                        </m:r>
                      </m:e>
                      <m:sub>
                        <m:r>
                          <w:rPr>
                            <w:rFonts w:ascii="Cambria Math" w:hAnsi="Cambria Math"/>
                          </w:rPr>
                          <m:t>i</m:t>
                        </m:r>
                      </m:sub>
                    </m:sSub>
                    <m:r>
                      <m:rPr>
                        <m:sty m:val="bi"/>
                      </m:rPr>
                      <w:rPr>
                        <w:rFonts w:ascii="Cambria Math" w:hAnsi="Cambria Math"/>
                      </w:rPr>
                      <m:t>)</m:t>
                    </m:r>
                  </m:den>
                </m:f>
              </m:oMath>
            </m:oMathPara>
          </w:p>
        </w:tc>
        <w:tc>
          <w:tcPr>
            <w:tcW w:w="1196" w:type="dxa"/>
          </w:tcPr>
          <w:p w:rsidR="002737EE" w:rsidRDefault="002737EE" w:rsidP="009914C2">
            <w:pPr>
              <w:pStyle w:val="ListParagraph"/>
              <w:numPr>
                <w:ilvl w:val="1"/>
                <w:numId w:val="30"/>
              </w:numPr>
              <w:ind w:right="220"/>
              <w:jc w:val="right"/>
            </w:pPr>
            <w:bookmarkStart w:id="373" w:name="logit_6"/>
            <w:bookmarkEnd w:id="373"/>
          </w:p>
        </w:tc>
      </w:tr>
    </w:tbl>
    <w:p w:rsidR="00C62F3A" w:rsidRDefault="00C62F3A" w:rsidP="005E3F79">
      <w:r>
        <w:t xml:space="preserve">where </w:t>
      </w:r>
      <m:oMath>
        <m:r>
          <w:rPr>
            <w:rFonts w:ascii="Cambria Math" w:hAnsi="Cambria Math"/>
          </w:rPr>
          <m:t>i</m:t>
        </m:r>
      </m:oMath>
      <w:r>
        <w:t xml:space="preserve"> is a patient identifier, and </w:t>
      </w:r>
      <m:oMath>
        <m:r>
          <w:rPr>
            <w:rFonts w:ascii="Cambria Math" w:hAnsi="Cambria Math"/>
          </w:rPr>
          <m:t>j</m:t>
        </m:r>
      </m:oMath>
      <w:r>
        <w:t xml:space="preserve"> indicates the period of observation. A binary indicator for each of the 24 items of the SLEDAI is described by</w:t>
      </w:r>
      <w:r w:rsidRPr="00955389">
        <w:rPr>
          <w:i/>
          <w:iCs/>
        </w:rPr>
        <w:t xml:space="preserve"> y</w:t>
      </w:r>
      <w:r>
        <w:t xml:space="preserve">, </w:t>
      </w:r>
      <w:r w:rsidRPr="00955389">
        <w:rPr>
          <w:i/>
          <w:iCs/>
        </w:rPr>
        <w:t>x</w:t>
      </w:r>
      <w:r>
        <w:t xml:space="preserve"> contains a vector of </w:t>
      </w:r>
      <w:r w:rsidRPr="006F224D">
        <w:rPr>
          <w:bCs/>
          <w:i/>
          <w:iCs/>
        </w:rPr>
        <w:t>k</w:t>
      </w:r>
      <w:r>
        <w:t xml:space="preserve"> covariate details for the patients at each time period, and </w:t>
      </w:r>
      <m:oMath>
        <m:r>
          <w:rPr>
            <w:rFonts w:ascii="Cambria Math" w:hAnsi="Cambria Math"/>
          </w:rPr>
          <m:t>β</m:t>
        </m:r>
      </m:oMath>
      <w:r>
        <w:rPr>
          <w:b/>
        </w:rPr>
        <w:t xml:space="preserve"> </w:t>
      </w:r>
      <w:r>
        <w:rPr>
          <w:bCs/>
        </w:rPr>
        <w:t xml:space="preserve">is a </w:t>
      </w:r>
      <w:r w:rsidRPr="006F224D">
        <w:rPr>
          <w:bCs/>
          <w:i/>
          <w:iCs/>
        </w:rPr>
        <w:t>k</w:t>
      </w:r>
      <w:r>
        <w:rPr>
          <w:bCs/>
        </w:rPr>
        <w:t xml:space="preserve"> dimensional vector of coefficients, and </w:t>
      </w:r>
      <m:oMath>
        <m:sSub>
          <m:sSubPr>
            <m:ctrlPr>
              <w:rPr>
                <w:rFonts w:ascii="Cambria Math" w:hAnsi="Cambria Math"/>
                <w:i/>
              </w:rPr>
            </m:ctrlPr>
          </m:sSubPr>
          <m:e>
            <m:r>
              <w:rPr>
                <w:rFonts w:ascii="Cambria Math" w:hAnsi="Cambria Math"/>
              </w:rPr>
              <m:t>ζ</m:t>
            </m:r>
          </m:e>
          <m:sub>
            <m:r>
              <w:rPr>
                <w:rFonts w:ascii="Cambria Math" w:hAnsi="Cambria Math"/>
              </w:rPr>
              <m:t>j</m:t>
            </m:r>
          </m:sub>
        </m:sSub>
      </m:oMath>
      <w:r>
        <w:t xml:space="preserve"> are time constant latent risk parameter for each patient and varies for each SLEDAI item. </w:t>
      </w:r>
      <w:r w:rsidR="005D1C66">
        <w:t>T</w:t>
      </w:r>
      <w:r>
        <w:t xml:space="preserve">he mean estimates for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k</m:t>
            </m:r>
          </m:sub>
        </m:sSub>
      </m:oMath>
      <w:r>
        <w:t xml:space="preserve"> </w:t>
      </w:r>
      <w:r w:rsidR="005D1C66">
        <w:t xml:space="preserve">for each SLEDAI item </w:t>
      </w:r>
      <w:r>
        <w:t>are reported in</w:t>
      </w:r>
      <w:r w:rsidR="002737EE">
        <w:t xml:space="preserve"> S</w:t>
      </w:r>
      <w:r w:rsidR="006452F1">
        <w:t xml:space="preserve">ection </w:t>
      </w:r>
      <w:r w:rsidR="00E729BA">
        <w:fldChar w:fldCharType="begin"/>
      </w:r>
      <w:r w:rsidR="006452F1">
        <w:instrText xml:space="preserve"> REF _Ref354829531 \n \h </w:instrText>
      </w:r>
      <w:r w:rsidR="00E729BA">
        <w:fldChar w:fldCharType="separate"/>
      </w:r>
      <w:r w:rsidR="004911B7">
        <w:rPr>
          <w:cs/>
        </w:rPr>
        <w:t>‎</w:t>
      </w:r>
      <w:r w:rsidR="004911B7">
        <w:t>5.2.2</w:t>
      </w:r>
      <w:r w:rsidR="00E729BA">
        <w:fldChar w:fldCharType="end"/>
      </w:r>
      <w:r w:rsidR="006452F1">
        <w:t xml:space="preserve"> of</w:t>
      </w:r>
      <w:r>
        <w:t xml:space="preserve"> Chapter 5. The variance-covariance matrices were extracted for each statistical model so that parameter estimates could be drawn from the joint distribution </w:t>
      </w:r>
      <w:r w:rsidR="005E3F79">
        <w:t xml:space="preserve">for </w:t>
      </w:r>
      <w:r>
        <w:t xml:space="preserve">each PSA run of the </w:t>
      </w:r>
      <w:r w:rsidR="005E3F79">
        <w:t>BCTS</w:t>
      </w:r>
      <w:r>
        <w:t>. The variance-covariance matrices are reported in the Appendix</w:t>
      </w:r>
      <w:r w:rsidR="007F49FE">
        <w:t xml:space="preserve"> 11</w:t>
      </w:r>
      <w:r>
        <w:t>.</w:t>
      </w:r>
    </w:p>
    <w:p w:rsidR="00C62F3A" w:rsidRDefault="005E3F79" w:rsidP="005E3F79">
      <w:r>
        <w:t>The inclusion of a time constant latent risk parameter</w:t>
      </w:r>
      <w:r w:rsidR="00A76C13">
        <w:t xml:space="preserve">, </w:t>
      </w:r>
      <m:oMath>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oMath>
      <w:r>
        <w:t xml:space="preserve"> is useful to ensure that unobserved heterogeneity between patients is incorporated in the estimation of the SLEDAI. Excluding the latent risk parameters would underestimate patient heterogeneity because all probabilities would be based on the population mean risk, conditional on a few patient characteristics. The latent risk parameters allow</w:t>
      </w:r>
      <w:r w:rsidR="00A76C13">
        <w:t>s</w:t>
      </w:r>
      <w:r>
        <w:t xml:space="preserve"> correlation in </w:t>
      </w:r>
      <w:r w:rsidR="00A76C13">
        <w:t xml:space="preserve">a simulated </w:t>
      </w:r>
      <w:r>
        <w:t>pa</w:t>
      </w:r>
      <w:r w:rsidR="00A76C13">
        <w:t>tient’</w:t>
      </w:r>
      <w:r>
        <w:t>s latent risk of SLEDAI involvement across items.</w:t>
      </w:r>
      <w:r w:rsidRPr="008E5D7C">
        <w:t xml:space="preserve"> </w:t>
      </w:r>
      <w:r>
        <w:t xml:space="preserve">In practical terms this means that patients with a propensity for musculoskeletal involvement are more likely to have a propensity for skin involvement. </w:t>
      </w:r>
      <w:r w:rsidR="00C62F3A">
        <w:t>The latent risk parameter is assumed to be multivariate normally distributed</w:t>
      </w:r>
      <m:oMath>
        <m:r>
          <m:rPr>
            <m:sty m:val="p"/>
          </m:rPr>
          <w:rPr>
            <w:rFonts w:ascii="Cambria Math" w:hAnsi="Cambria Math"/>
          </w:rPr>
          <m:t xml:space="preserve"> </m:t>
        </m:r>
        <m:r>
          <w:rPr>
            <w:rFonts w:ascii="Cambria Math" w:hAnsi="Cambria Math"/>
          </w:rPr>
          <m:t>Ζ~</m:t>
        </m:r>
        <m:r>
          <m:rPr>
            <m:sty m:val="p"/>
          </m:rPr>
          <w:rPr>
            <w:rFonts w:ascii="Cambria Math" w:hAnsi="Cambria Math"/>
          </w:rPr>
          <m:t>N</m:t>
        </m:r>
        <m:r>
          <w:rPr>
            <w:rFonts w:ascii="Cambria Math" w:hAnsi="Cambria Math"/>
          </w:rPr>
          <m:t>(Μ,Σ)</m:t>
        </m:r>
      </m:oMath>
      <w:r w:rsidR="00C62F3A">
        <w:t xml:space="preserve">. Where </w:t>
      </w:r>
      <m:oMath>
        <m:r>
          <m:rPr>
            <m:sty m:val="p"/>
          </m:rPr>
          <w:rPr>
            <w:rFonts w:ascii="Cambria Math" w:hAnsi="Cambria Math"/>
          </w:rPr>
          <m:t>Ζ</m:t>
        </m:r>
      </m:oMath>
      <w:r>
        <w:t xml:space="preserve"> </w:t>
      </w:r>
      <w:r w:rsidR="00C62F3A">
        <w:t xml:space="preserve"> is a vector of latent risk parameters</w:t>
      </w:r>
      <w:r>
        <w:t xml:space="preserve">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rsidR="00C62F3A">
        <w:t xml:space="preserve"> for the items of the SLEDAI,</w:t>
      </w:r>
      <m:oMath>
        <m:r>
          <m:rPr>
            <m:sty m:val="p"/>
          </m:rPr>
          <w:rPr>
            <w:rFonts w:ascii="Cambria Math" w:hAnsi="Cambria Math"/>
          </w:rPr>
          <m:t xml:space="preserve"> Μ</m:t>
        </m:r>
      </m:oMath>
      <w:r w:rsidR="00C62F3A">
        <w:t xml:space="preserve"> is a vector of zeros to express the mean latent risk, and </w:t>
      </w:r>
      <m:oMath>
        <m:r>
          <m:rPr>
            <m:sty m:val="p"/>
          </m:rPr>
          <w:rPr>
            <w:rFonts w:ascii="Cambria Math" w:hAnsi="Cambria Math"/>
          </w:rPr>
          <m:t>Σ</m:t>
        </m:r>
      </m:oMath>
      <w:r w:rsidR="00C62F3A">
        <w:t xml:space="preserve"> describes the covariance matrix</w:t>
      </w:r>
      <w:r>
        <w:t xml:space="preserve"> of latent risk</w:t>
      </w:r>
      <w:r w:rsidR="00C62F3A">
        <w:t xml:space="preserve">.  Realisations of the latent risk parameter were assigned to each patient in the Generate Population process to reflect the unobserved heterogeneity of the SLE population. </w:t>
      </w:r>
    </w:p>
    <w:p w:rsidR="00C62F3A" w:rsidRDefault="00C62F3A" w:rsidP="005E3F79">
      <w:r>
        <w:t>The covariance matrix could not be directly estimated from the data</w:t>
      </w:r>
      <w:r w:rsidR="005E3F79">
        <w:t xml:space="preserve"> because the regression models were estimated independently</w:t>
      </w:r>
      <w:r>
        <w:t xml:space="preserve">. However, data from the Hopkins cohort were used to approximate covariance between latent risks for items of the SLEDAI. A correlation matrix was generated from the Hopkins Lupus Cohort to </w:t>
      </w:r>
      <w:r w:rsidR="005E3F79">
        <w:t>express</w:t>
      </w:r>
      <w:r>
        <w:t xml:space="preserve"> the associations between items if they were observed in a patient at any time during follow-up (Appendix</w:t>
      </w:r>
      <w:r w:rsidR="007F49FE">
        <w:t xml:space="preserve"> 12</w:t>
      </w:r>
      <w:r>
        <w:t xml:space="preserve">). This shows that most of the items of the SLEDAI are positively correlated with the other items and that there are stronger correlations within organ systems. The standard deviation of latent risk parameters were estimated </w:t>
      </w:r>
      <w:r w:rsidR="005E3F79">
        <w:t>from the</w:t>
      </w:r>
      <w:r>
        <w:t xml:space="preserve"> regression and were reported in </w:t>
      </w:r>
      <w:r w:rsidR="006452F1">
        <w:t xml:space="preserve">section </w:t>
      </w:r>
      <w:r w:rsidR="00E729BA">
        <w:fldChar w:fldCharType="begin"/>
      </w:r>
      <w:r w:rsidR="006452F1">
        <w:instrText xml:space="preserve"> REF _Ref354829531 \n \h </w:instrText>
      </w:r>
      <w:r w:rsidR="00E729BA">
        <w:fldChar w:fldCharType="separate"/>
      </w:r>
      <w:r w:rsidR="004911B7">
        <w:rPr>
          <w:cs/>
        </w:rPr>
        <w:t>‎</w:t>
      </w:r>
      <w:r w:rsidR="004911B7">
        <w:t>5.2.2</w:t>
      </w:r>
      <w:r w:rsidR="00E729BA">
        <w:fldChar w:fldCharType="end"/>
      </w:r>
      <w:r w:rsidR="006452F1">
        <w:t xml:space="preserve"> of </w:t>
      </w:r>
      <w:r>
        <w:t xml:space="preserve">Chapter 5. The correlation matrix was multiplied by the standard deviations for the latent risk parameters for each item of the SLEDAI to approximate a covariance matrix for </w:t>
      </w:r>
      <w:r w:rsidR="005E3F79">
        <w:t>latent risk</w:t>
      </w:r>
      <w:r>
        <w:t xml:space="preserve"> parameters. </w:t>
      </w:r>
    </w:p>
    <w:p w:rsidR="00C62F3A" w:rsidRDefault="006452F1" w:rsidP="00CD42AE">
      <w:r>
        <w:t>Determining baseline SLEDAI required an iterative burn-in process. The twenty-four</w:t>
      </w:r>
      <w:r w:rsidR="00C62F3A">
        <w:t xml:space="preserve"> binary indicator variables </w:t>
      </w:r>
      <w:r>
        <w:t>for the</w:t>
      </w:r>
      <w:r w:rsidR="00C62F3A">
        <w:t xml:space="preserve"> SLEDAI </w:t>
      </w:r>
      <w:r>
        <w:t>were</w:t>
      </w:r>
      <w:r w:rsidR="00C62F3A">
        <w:t xml:space="preserve"> </w:t>
      </w:r>
      <w:r>
        <w:t xml:space="preserve">simultaneously </w:t>
      </w:r>
      <w:r w:rsidR="00C62F3A">
        <w:t xml:space="preserve">determined based on the probability generated </w:t>
      </w:r>
      <w:r>
        <w:t>by</w:t>
      </w:r>
      <w:r w:rsidR="00C62F3A">
        <w:t xml:space="preserve"> equation </w:t>
      </w:r>
      <w:r w:rsidR="00E729BA">
        <w:fldChar w:fldCharType="begin"/>
      </w:r>
      <w:r w:rsidR="009914C2">
        <w:instrText xml:space="preserve"> REF logit_6 \w \h </w:instrText>
      </w:r>
      <w:r w:rsidR="00E729BA">
        <w:fldChar w:fldCharType="separate"/>
      </w:r>
      <w:r w:rsidR="004911B7">
        <w:rPr>
          <w:cs/>
        </w:rPr>
        <w:t>‎</w:t>
      </w:r>
      <w:r w:rsidR="004911B7">
        <w:t>(6.1)</w:t>
      </w:r>
      <w:r w:rsidR="00E729BA">
        <w:fldChar w:fldCharType="end"/>
      </w:r>
      <w:r w:rsidR="009914C2">
        <w:t xml:space="preserve"> </w:t>
      </w:r>
      <w:r w:rsidR="00C62F3A">
        <w:t>and a random number draw. The probability of SLEDAI involvement is conditional on the profile of SLEDAI items present in th</w:t>
      </w:r>
      <w:r w:rsidR="00A76C13">
        <w:t xml:space="preserve">e previous period. Therefore, </w:t>
      </w:r>
      <w:r w:rsidR="00CD42AE">
        <w:t>t</w:t>
      </w:r>
      <w:r w:rsidR="00C62F3A">
        <w:t xml:space="preserve">he process of </w:t>
      </w:r>
      <w:r w:rsidR="005E3F79">
        <w:t>estimating SLEDAI score</w:t>
      </w:r>
      <w:r w:rsidR="00C62F3A">
        <w:t xml:space="preserve"> for all </w:t>
      </w:r>
      <w:r>
        <w:t>twenty-four</w:t>
      </w:r>
      <w:r w:rsidR="00C62F3A">
        <w:t xml:space="preserve"> items was repeated three times to allow patient’s disease status to </w:t>
      </w:r>
      <w:r>
        <w:t>stabilise</w:t>
      </w:r>
      <w:r w:rsidR="00C62F3A">
        <w:t xml:space="preserve"> </w:t>
      </w:r>
      <w:r w:rsidR="00CD42AE">
        <w:t>conditional on the previous SLEDAI score</w:t>
      </w:r>
      <w:r w:rsidR="00C62F3A">
        <w:t>.</w:t>
      </w:r>
    </w:p>
    <w:p w:rsidR="006452F1" w:rsidRDefault="006452F1" w:rsidP="006452F1">
      <w:pPr>
        <w:pStyle w:val="Heading4"/>
      </w:pPr>
      <w:bookmarkStart w:id="374" w:name="_Ref354832133"/>
      <w:r>
        <w:t>Baseline STeroid Dose</w:t>
      </w:r>
      <w:bookmarkEnd w:id="374"/>
    </w:p>
    <w:p w:rsidR="00C62F3A" w:rsidRDefault="006452F1" w:rsidP="0081424E">
      <w:r>
        <w:t xml:space="preserve">Baseline </w:t>
      </w:r>
      <w:r w:rsidR="0081424E">
        <w:t xml:space="preserve">steroid </w:t>
      </w:r>
      <w:r>
        <w:t xml:space="preserve">dose is assigned to patients conditional </w:t>
      </w:r>
      <w:r w:rsidR="00CD42AE">
        <w:t>on</w:t>
      </w:r>
      <w:r>
        <w:t xml:space="preserve"> their baseline SLEDAI score. </w:t>
      </w:r>
      <w:r w:rsidR="00C62F3A">
        <w:t xml:space="preserve">Baseline steroid dose was calculated using a two stage </w:t>
      </w:r>
      <w:r>
        <w:t xml:space="preserve">hurdle </w:t>
      </w:r>
      <w:r w:rsidR="00C62F3A">
        <w:t xml:space="preserve">model described in </w:t>
      </w:r>
      <w:r>
        <w:t xml:space="preserve">section </w:t>
      </w:r>
      <w:r w:rsidR="00E729BA">
        <w:fldChar w:fldCharType="begin"/>
      </w:r>
      <w:r>
        <w:instrText xml:space="preserve"> REF _Ref354829531 \n \h </w:instrText>
      </w:r>
      <w:r w:rsidR="00E729BA">
        <w:fldChar w:fldCharType="separate"/>
      </w:r>
      <w:r w:rsidR="004911B7">
        <w:rPr>
          <w:cs/>
        </w:rPr>
        <w:t>‎</w:t>
      </w:r>
      <w:r w:rsidR="004911B7">
        <w:t>5.2.2</w:t>
      </w:r>
      <w:r w:rsidR="00E729BA">
        <w:fldChar w:fldCharType="end"/>
      </w:r>
      <w:r>
        <w:t xml:space="preserve"> of Chapter</w:t>
      </w:r>
      <w:r w:rsidR="00C62F3A">
        <w:t xml:space="preserve"> 5. The first stage of the statistical model estimates the probability that a patient was prescribed steroid, given their profile of SLEDAI items, using the same statistical model described in equation</w:t>
      </w:r>
      <w:r w:rsidR="009914C2">
        <w:t xml:space="preserve"> </w:t>
      </w:r>
      <w:r w:rsidR="00E729BA">
        <w:fldChar w:fldCharType="begin"/>
      </w:r>
      <w:r w:rsidR="009914C2">
        <w:instrText xml:space="preserve"> REF logit_6 \w \h </w:instrText>
      </w:r>
      <w:r w:rsidR="00E729BA">
        <w:fldChar w:fldCharType="separate"/>
      </w:r>
      <w:r w:rsidR="004911B7">
        <w:rPr>
          <w:cs/>
        </w:rPr>
        <w:t>‎</w:t>
      </w:r>
      <w:r w:rsidR="004911B7">
        <w:t>(6.1)</w:t>
      </w:r>
      <w:r w:rsidR="00E729BA">
        <w:fldChar w:fldCharType="end"/>
      </w:r>
      <w:r w:rsidR="00C62F3A">
        <w:t xml:space="preserve">. The probability was used in a Bernoulli trial to determine if a </w:t>
      </w:r>
      <w:r w:rsidR="00CD42AE">
        <w:t xml:space="preserve">simulated </w:t>
      </w:r>
      <w:r w:rsidR="00C62F3A">
        <w:t xml:space="preserve">patient receives steroids. If a patient was prescribed steroid, the second stage of the </w:t>
      </w:r>
      <w:r w:rsidR="0090251C">
        <w:t xml:space="preserve">Hurdle </w:t>
      </w:r>
      <w:r w:rsidR="00C62F3A">
        <w:t>model estimated what dose of steroid would be prescribed from the truncated Negative Binomial mode</w:t>
      </w:r>
      <w:r w:rsidR="00CD42AE">
        <w:t>l. The coefficients of the zero-</w:t>
      </w:r>
      <w:r w:rsidR="00C62F3A">
        <w:t>truncated Negative Binomial model described in Chapter 5, were used to estimate</w:t>
      </w:r>
      <w:r w:rsidR="00CD42AE">
        <w:t xml:space="preserve"> the first parameter of the zero-truncated Negative Binomial distribution</w:t>
      </w:r>
      <m:oMath>
        <m:sSub>
          <m:sSubPr>
            <m:ctrlPr>
              <w:rPr>
                <w:rFonts w:ascii="Cambria Math" w:hAnsi="Cambria Math"/>
                <w:i/>
              </w:rPr>
            </m:ctrlPr>
          </m:sSubPr>
          <m:e>
            <m:r>
              <w:rPr>
                <w:rFonts w:ascii="Cambria Math" w:hAnsi="Cambria Math"/>
              </w:rPr>
              <m:t xml:space="preserve"> μ</m:t>
            </m:r>
          </m:e>
          <m:sub>
            <m:r>
              <w:rPr>
                <w:rFonts w:ascii="Cambria Math" w:hAnsi="Cambria Math"/>
              </w:rPr>
              <m:t>i</m:t>
            </m:r>
          </m:sub>
        </m:sSub>
      </m:oMath>
      <w:r w:rsidR="007F5C69">
        <w:t>.</w:t>
      </w:r>
      <w:r w:rsidR="00C62F3A">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6827"/>
        <w:gridCol w:w="1088"/>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CD42AE">
            <m:oMathPara>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β)</m:t>
                </m:r>
              </m:oMath>
            </m:oMathPara>
          </w:p>
        </w:tc>
        <w:tc>
          <w:tcPr>
            <w:tcW w:w="1196" w:type="dxa"/>
          </w:tcPr>
          <w:p w:rsidR="002737EE" w:rsidRDefault="002737EE" w:rsidP="009914C2">
            <w:pPr>
              <w:pStyle w:val="ListParagraph"/>
              <w:numPr>
                <w:ilvl w:val="1"/>
                <w:numId w:val="30"/>
              </w:numPr>
              <w:ind w:right="220"/>
              <w:jc w:val="right"/>
            </w:pPr>
            <w:bookmarkStart w:id="375" w:name="mu_6"/>
            <w:bookmarkEnd w:id="375"/>
          </w:p>
        </w:tc>
      </w:tr>
    </w:tbl>
    <w:p w:rsidR="00C62F3A" w:rsidRDefault="00C62F3A" w:rsidP="00CD42AE">
      <w:r>
        <w:t>The dispersion parameter</w:t>
      </w:r>
      <w:r w:rsidR="001C3490">
        <w:t xml:space="preserve"> </w:t>
      </w:r>
      <w:r w:rsidR="00687508">
        <w:t>of the Negative Binomial distribution</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is sampled from a gamma distribution with mean 1 and variance </w:t>
      </w:r>
      <m:oMath>
        <m:r>
          <w:rPr>
            <w:rFonts w:ascii="Cambria Math" w:hAnsi="Cambria Math"/>
          </w:rPr>
          <m:t>α</m:t>
        </m:r>
      </m:oMath>
      <w:r>
        <w:t xml:space="preserve"> based on estimates reported in </w:t>
      </w:r>
      <w:r w:rsidR="006452F1">
        <w:t xml:space="preserve">section </w:t>
      </w:r>
      <w:r w:rsidR="00E729BA">
        <w:fldChar w:fldCharType="begin"/>
      </w:r>
      <w:r w:rsidR="006452F1">
        <w:instrText xml:space="preserve"> REF _Ref354829531 \n \h </w:instrText>
      </w:r>
      <w:r w:rsidR="00E729BA">
        <w:fldChar w:fldCharType="separate"/>
      </w:r>
      <w:r w:rsidR="004911B7">
        <w:rPr>
          <w:cs/>
        </w:rPr>
        <w:t>‎</w:t>
      </w:r>
      <w:r w:rsidR="004911B7">
        <w:t>5.2.2</w:t>
      </w:r>
      <w:r w:rsidR="00E729BA">
        <w:fldChar w:fldCharType="end"/>
      </w:r>
      <w:r w:rsidR="006452F1">
        <w:t xml:space="preserve"> of </w:t>
      </w:r>
      <w:r>
        <w:t xml:space="preserve">Chapter 5. The dose was estimated from the </w:t>
      </w:r>
      <w:r w:rsidR="007F5C69">
        <w:t>Poisson</w:t>
      </w:r>
      <w:r>
        <w:t xml:space="preserve">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
        <w:gridCol w:w="6838"/>
        <w:gridCol w:w="1079"/>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CD42AE">
            <m:oMathPara>
              <m:oMath>
                <m:r>
                  <w:rPr>
                    <w:rFonts w:ascii="Cambria Math" w:hAnsi="Cambria Math"/>
                  </w:rPr>
                  <m:t>p</m:t>
                </m:r>
                <m:d>
                  <m:dPr>
                    <m:ctrlPr>
                      <w:rPr>
                        <w:rFonts w:ascii="Cambria Math" w:hAnsi="Cambria Math"/>
                        <w:i/>
                      </w:rPr>
                    </m:ctrlPr>
                  </m:dPr>
                  <m:e>
                    <m:r>
                      <w:rPr>
                        <w:rFonts w:ascii="Cambria Math" w:hAnsi="Cambria Math"/>
                      </w:rPr>
                      <m:t>Y=y</m:t>
                    </m:r>
                  </m:e>
                  <m:e>
                    <m:r>
                      <w:rPr>
                        <w:rFonts w:ascii="Cambria Math" w:hAnsi="Cambria Math"/>
                      </w:rPr>
                      <m:t>y&gt;0,x</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d>
                      </m:e>
                      <m:sup>
                        <m:r>
                          <w:rPr>
                            <w:rFonts w:ascii="Cambria Math" w:hAnsi="Cambria Math"/>
                          </w:rPr>
                          <m:t>y</m:t>
                        </m:r>
                      </m:sup>
                    </m:sSup>
                    <m:sSup>
                      <m:sSupPr>
                        <m:ctrlPr>
                          <w:rPr>
                            <w:rFonts w:ascii="Cambria Math" w:hAnsi="Cambria Math"/>
                            <w:i/>
                          </w:rPr>
                        </m:ctrlPr>
                      </m:sSupPr>
                      <m:e>
                        <m:r>
                          <w:rPr>
                            <w:rFonts w:ascii="Cambria Math" w:hAnsi="Cambria Math"/>
                          </w:rPr>
                          <m:t>e</m:t>
                        </m:r>
                      </m:e>
                      <m: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sSub>
                              <m:sSubPr>
                                <m:ctrlPr>
                                  <w:rPr>
                                    <w:rFonts w:ascii="Cambria Math" w:hAnsi="Cambria Math"/>
                                    <w:i/>
                                  </w:rPr>
                                </m:ctrlPr>
                              </m:sSubPr>
                              <m:e>
                                <m:r>
                                  <w:rPr>
                                    <w:rFonts w:ascii="Cambria Math" w:hAnsi="Cambria Math"/>
                                  </w:rPr>
                                  <m:t>μ</m:t>
                                </m:r>
                              </m:e>
                              <m:sub>
                                <m:r>
                                  <w:rPr>
                                    <w:rFonts w:ascii="Cambria Math" w:hAnsi="Cambria Math"/>
                                  </w:rPr>
                                  <m:t>i</m:t>
                                </m:r>
                              </m:sub>
                            </m:sSub>
                          </m:e>
                        </m:d>
                      </m:sup>
                    </m:sSup>
                  </m:num>
                  <m:den>
                    <m:r>
                      <w:rPr>
                        <w:rFonts w:ascii="Cambria Math" w:hAnsi="Cambria Math"/>
                      </w:rPr>
                      <m:t>y!</m:t>
                    </m:r>
                  </m:den>
                </m:f>
              </m:oMath>
            </m:oMathPara>
          </w:p>
        </w:tc>
        <w:tc>
          <w:tcPr>
            <w:tcW w:w="1196" w:type="dxa"/>
          </w:tcPr>
          <w:p w:rsidR="002737EE" w:rsidRDefault="002737EE" w:rsidP="009914C2">
            <w:pPr>
              <w:pStyle w:val="ListParagraph"/>
              <w:numPr>
                <w:ilvl w:val="1"/>
                <w:numId w:val="30"/>
              </w:numPr>
              <w:ind w:right="220"/>
              <w:jc w:val="right"/>
            </w:pPr>
            <w:bookmarkStart w:id="376" w:name="negbin_6"/>
            <w:bookmarkEnd w:id="376"/>
          </w:p>
        </w:tc>
      </w:tr>
    </w:tbl>
    <w:p w:rsidR="00584E81" w:rsidRDefault="00584E81" w:rsidP="00C62F3A">
      <w:pPr>
        <w:rPr>
          <w:bCs/>
        </w:rPr>
      </w:pPr>
    </w:p>
    <w:p w:rsidR="00C62F3A" w:rsidRDefault="00B175E3" w:rsidP="00C62F3A">
      <w:pPr>
        <w:pStyle w:val="Heading3"/>
      </w:pPr>
      <w:bookmarkStart w:id="377" w:name="_Toc341366939"/>
      <w:bookmarkStart w:id="378" w:name="_Toc379467634"/>
      <w:r>
        <w:t xml:space="preserve">The Bayesian </w:t>
      </w:r>
      <w:r w:rsidR="00206C7D">
        <w:t>Clinical Trial Simulation Process</w:t>
      </w:r>
      <w:bookmarkEnd w:id="378"/>
    </w:p>
    <w:p w:rsidR="00C62F3A" w:rsidRPr="00C369B5" w:rsidRDefault="00C62F3A" w:rsidP="006452F1">
      <w:pPr>
        <w:pStyle w:val="Heading4"/>
      </w:pPr>
      <w:r w:rsidRPr="00C369B5">
        <w:t>Inclusion Criteria</w:t>
      </w:r>
      <w:bookmarkEnd w:id="369"/>
      <w:bookmarkEnd w:id="377"/>
    </w:p>
    <w:p w:rsidR="00C62F3A" w:rsidRDefault="00C62F3A" w:rsidP="003443C3">
      <w:r>
        <w:t>The</w:t>
      </w:r>
      <w:r w:rsidRPr="00AF7EEA">
        <w:t xml:space="preserve"> BCTS</w:t>
      </w:r>
      <w:r>
        <w:t xml:space="preserve"> </w:t>
      </w:r>
      <w:r w:rsidR="003443C3">
        <w:t xml:space="preserve">randomly samples patients from the simulated SLE population. A screening process was used to identify </w:t>
      </w:r>
      <w:r>
        <w:t xml:space="preserve">eligible patients who meet the inclusion/exclusion criteria of the trial. The inclusion criteria </w:t>
      </w:r>
      <w:r w:rsidR="003443C3">
        <w:t xml:space="preserve">are modifiable </w:t>
      </w:r>
      <w:r>
        <w:t xml:space="preserve">to observe the effects of different patient profiles on the trial outcomes. </w:t>
      </w:r>
      <w:r w:rsidR="003443C3">
        <w:t>T</w:t>
      </w:r>
      <w:r>
        <w:t xml:space="preserve">he screening process </w:t>
      </w:r>
      <w:r w:rsidR="003443C3">
        <w:t>shuffled</w:t>
      </w:r>
      <w:r>
        <w:t xml:space="preserve"> the order of patients in the SLE population</w:t>
      </w:r>
      <w:r w:rsidR="003443C3">
        <w:t xml:space="preserve"> matrix</w:t>
      </w:r>
      <w:r>
        <w:t xml:space="preserve"> to capture variation in the profile of SLE patients recruited</w:t>
      </w:r>
      <w:r w:rsidR="003443C3">
        <w:t xml:space="preserve"> for different BCTS runs</w:t>
      </w:r>
      <w:r>
        <w:t>.</w:t>
      </w:r>
    </w:p>
    <w:p w:rsidR="00C62F3A" w:rsidRDefault="003443C3" w:rsidP="00C62F3A">
      <w:r>
        <w:t>P</w:t>
      </w:r>
      <w:r w:rsidR="00C62F3A">
        <w:t>atients were recruited into the trial if they meet the following criteria:</w:t>
      </w:r>
    </w:p>
    <w:p w:rsidR="00C62F3A" w:rsidRDefault="00C62F3A" w:rsidP="00597CF5">
      <w:pPr>
        <w:pStyle w:val="ListParagraph"/>
        <w:numPr>
          <w:ilvl w:val="0"/>
          <w:numId w:val="20"/>
        </w:numPr>
      </w:pPr>
      <w:r>
        <w:t xml:space="preserve">SLEDAI score </w:t>
      </w:r>
      <w:r>
        <w:rPr>
          <w:rFonts w:cs="Times New Roman"/>
        </w:rPr>
        <w:t>≥</w:t>
      </w:r>
      <w:r w:rsidR="008731E8">
        <w:rPr>
          <w:rFonts w:cs="Times New Roman"/>
        </w:rPr>
        <w:t xml:space="preserve"> </w:t>
      </w:r>
      <w:r>
        <w:t>4</w:t>
      </w:r>
    </w:p>
    <w:p w:rsidR="00C62F3A" w:rsidRPr="00D53CD8" w:rsidRDefault="00C62F3A" w:rsidP="00597CF5">
      <w:pPr>
        <w:pStyle w:val="ListParagraph"/>
        <w:numPr>
          <w:ilvl w:val="0"/>
          <w:numId w:val="20"/>
        </w:numPr>
      </w:pPr>
      <w:r>
        <w:rPr>
          <w:rFonts w:cs="Times New Roman"/>
        </w:rPr>
        <w:t>≥</w:t>
      </w:r>
      <w:r w:rsidR="008731E8">
        <w:rPr>
          <w:rFonts w:cs="Times New Roman"/>
        </w:rPr>
        <w:t xml:space="preserve"> </w:t>
      </w:r>
      <w:r>
        <w:rPr>
          <w:rFonts w:cs="Times New Roman"/>
        </w:rPr>
        <w:t>18 years old</w:t>
      </w:r>
    </w:p>
    <w:p w:rsidR="00C62F3A" w:rsidRPr="00D53CD8" w:rsidRDefault="00C62F3A" w:rsidP="00597CF5">
      <w:pPr>
        <w:pStyle w:val="ListParagraph"/>
        <w:numPr>
          <w:ilvl w:val="0"/>
          <w:numId w:val="20"/>
        </w:numPr>
      </w:pPr>
      <w:r>
        <w:rPr>
          <w:rFonts w:cs="Times New Roman"/>
        </w:rPr>
        <w:t>No neuropsychiatric involvement</w:t>
      </w:r>
    </w:p>
    <w:p w:rsidR="00C62F3A" w:rsidRPr="00D53CD8" w:rsidRDefault="00C62F3A" w:rsidP="00597CF5">
      <w:pPr>
        <w:pStyle w:val="ListParagraph"/>
        <w:numPr>
          <w:ilvl w:val="0"/>
          <w:numId w:val="20"/>
        </w:numPr>
      </w:pPr>
      <w:r>
        <w:rPr>
          <w:rFonts w:cs="Times New Roman"/>
        </w:rPr>
        <w:t>No severe renal involvement</w:t>
      </w:r>
    </w:p>
    <w:p w:rsidR="00C62F3A" w:rsidRPr="00D53CD8" w:rsidRDefault="00C62F3A" w:rsidP="00597CF5">
      <w:pPr>
        <w:pStyle w:val="ListParagraph"/>
        <w:numPr>
          <w:ilvl w:val="0"/>
          <w:numId w:val="20"/>
        </w:numPr>
      </w:pPr>
      <w:r>
        <w:rPr>
          <w:rFonts w:cs="Times New Roman"/>
        </w:rPr>
        <w:t>Immunologically positive test for either increased anti-dsDNA or low complement</w:t>
      </w:r>
    </w:p>
    <w:p w:rsidR="00C62F3A" w:rsidRDefault="00C62F3A" w:rsidP="00C62F3A">
      <w:r>
        <w:t>These inclusion criteria were developed in consultation with Dr M. Akil, a clinical expert in SLE based in Sheffield</w:t>
      </w:r>
      <w:r w:rsidR="001C3490">
        <w:t xml:space="preserve"> (October 2011)</w:t>
      </w:r>
      <w:r>
        <w:t xml:space="preserve">. </w:t>
      </w:r>
    </w:p>
    <w:p w:rsidR="00C62F3A" w:rsidRDefault="00CD42AE" w:rsidP="006452F1">
      <w:pPr>
        <w:pStyle w:val="Heading4"/>
      </w:pPr>
      <w:r>
        <w:t>Quarterly Disease Activity Score Simulated During Follow-up</w:t>
      </w:r>
    </w:p>
    <w:p w:rsidR="00C62F3A" w:rsidRDefault="00C62F3A" w:rsidP="009914C2">
      <w:r>
        <w:t xml:space="preserve">The SLEDAI score was </w:t>
      </w:r>
      <w:r w:rsidR="001E1EB6">
        <w:t>updated every 3 months in the BCTS to monitor changes in disease severity during the trial</w:t>
      </w:r>
      <w:r>
        <w:t xml:space="preserve">. The logit regression model described in equation </w:t>
      </w:r>
      <w:r w:rsidR="00E729BA">
        <w:fldChar w:fldCharType="begin"/>
      </w:r>
      <w:r w:rsidR="009914C2">
        <w:instrText xml:space="preserve"> REF logit_6 \w \h </w:instrText>
      </w:r>
      <w:r w:rsidR="00E729BA">
        <w:fldChar w:fldCharType="separate"/>
      </w:r>
      <w:r w:rsidR="004911B7">
        <w:rPr>
          <w:cs/>
        </w:rPr>
        <w:t>‎</w:t>
      </w:r>
      <w:r w:rsidR="004911B7">
        <w:t>(6.1)</w:t>
      </w:r>
      <w:r w:rsidR="00E729BA">
        <w:fldChar w:fldCharType="end"/>
      </w:r>
      <w:r w:rsidR="009914C2">
        <w:t xml:space="preserve"> </w:t>
      </w:r>
      <w:r>
        <w:t>was adapted to estimate the risk of SLEDAI items being present during the clinical trial. The equation is amended by the inclusion of a treatment effect coefficient</w:t>
      </w:r>
      <w:r w:rsidR="00CD42AE">
        <w:t xml:space="preserve"> here denoted </w:t>
      </w:r>
      <m:oMath>
        <m:sSub>
          <m:sSubPr>
            <m:ctrlPr>
              <w:rPr>
                <w:rFonts w:ascii="Cambria Math" w:hAnsiTheme="majorBidi" w:cstheme="majorBidi"/>
                <w:szCs w:val="22"/>
              </w:rPr>
            </m:ctrlPr>
          </m:sSubPr>
          <m:e>
            <m:r>
              <m:rPr>
                <m:sty m:val="p"/>
              </m:rPr>
              <w:rPr>
                <w:rFonts w:ascii="Cambria Math" w:hAnsiTheme="majorBidi" w:cstheme="majorBidi"/>
                <w:szCs w:val="22"/>
              </w:rPr>
              <m:t>D</m:t>
            </m:r>
          </m:e>
          <m:sub>
            <m:r>
              <m:rPr>
                <m:sty m:val="p"/>
              </m:rPr>
              <w:rPr>
                <w:rFonts w:ascii="Cambria Math" w:hAnsiTheme="majorBidi" w:cstheme="majorBidi"/>
                <w:szCs w:val="22"/>
              </w:rPr>
              <m:t>i</m:t>
            </m:r>
          </m:sub>
        </m:sSub>
      </m:oMath>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
        <w:gridCol w:w="6872"/>
        <w:gridCol w:w="1053"/>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CD42AE">
            <m:oMathPara>
              <m:oMath>
                <m:func>
                  <m:funcPr>
                    <m:ctrlPr>
                      <w:rPr>
                        <w:rFonts w:ascii="Cambria Math" w:hAnsiTheme="majorBidi" w:cstheme="majorBidi"/>
                        <w:szCs w:val="22"/>
                      </w:rPr>
                    </m:ctrlPr>
                  </m:funcPr>
                  <m:fName>
                    <m:r>
                      <m:rPr>
                        <m:sty m:val="p"/>
                      </m:rPr>
                      <w:rPr>
                        <w:rFonts w:ascii="Cambria Math" w:hAnsiTheme="majorBidi" w:cstheme="majorBidi"/>
                        <w:szCs w:val="22"/>
                      </w:rPr>
                      <m:t>Pr</m:t>
                    </m:r>
                  </m:fName>
                  <m:e>
                    <m:d>
                      <m:dPr>
                        <m:ctrlPr>
                          <w:rPr>
                            <w:rFonts w:ascii="Cambria Math" w:hAnsiTheme="majorBidi" w:cstheme="majorBidi"/>
                            <w:szCs w:val="22"/>
                          </w:rPr>
                        </m:ctrlPr>
                      </m:dPr>
                      <m:e>
                        <m:sSub>
                          <m:sSubPr>
                            <m:ctrlPr>
                              <w:rPr>
                                <w:rFonts w:ascii="Cambria Math" w:hAnsiTheme="majorBidi" w:cstheme="majorBidi"/>
                                <w:szCs w:val="22"/>
                              </w:rPr>
                            </m:ctrlPr>
                          </m:sSubPr>
                          <m:e>
                            <m:r>
                              <m:rPr>
                                <m:sty m:val="p"/>
                              </m:rPr>
                              <w:rPr>
                                <w:rFonts w:ascii="Cambria Math" w:hAnsi="Cambria Math" w:cstheme="majorBidi"/>
                                <w:szCs w:val="22"/>
                              </w:rPr>
                              <m:t>y</m:t>
                            </m:r>
                          </m:e>
                          <m:sub>
                            <m:r>
                              <m:rPr>
                                <m:sty m:val="p"/>
                              </m:rPr>
                              <w:rPr>
                                <w:rFonts w:ascii="Cambria Math" w:hAnsi="Cambria Math" w:cstheme="majorBidi"/>
                                <w:szCs w:val="22"/>
                              </w:rPr>
                              <m:t>ij</m:t>
                            </m:r>
                          </m:sub>
                        </m:sSub>
                        <m:r>
                          <m:rPr>
                            <m:sty m:val="p"/>
                          </m:rPr>
                          <w:rPr>
                            <w:rFonts w:ascii="Cambria Math" w:hAnsiTheme="majorBidi" w:cstheme="majorBidi"/>
                            <w:szCs w:val="22"/>
                          </w:rPr>
                          <m:t>=1</m:t>
                        </m:r>
                      </m:e>
                      <m:e>
                        <m:sSub>
                          <m:sSubPr>
                            <m:ctrlPr>
                              <w:rPr>
                                <w:rFonts w:ascii="Cambria Math" w:hAnsiTheme="majorBidi" w:cstheme="majorBidi"/>
                                <w:szCs w:val="22"/>
                              </w:rPr>
                            </m:ctrlPr>
                          </m:sSubPr>
                          <m:e>
                            <m:r>
                              <m:rPr>
                                <m:sty m:val="p"/>
                              </m:rPr>
                              <w:rPr>
                                <w:rFonts w:ascii="Cambria Math" w:hAnsi="Cambria Math" w:cstheme="majorBidi"/>
                                <w:szCs w:val="22"/>
                              </w:rPr>
                              <m:t>x</m:t>
                            </m:r>
                          </m:e>
                          <m:sub>
                            <m:r>
                              <m:rPr>
                                <m:sty m:val="p"/>
                              </m:rPr>
                              <w:rPr>
                                <w:rFonts w:ascii="Cambria Math" w:hAnsi="Cambria Math" w:cstheme="majorBidi"/>
                                <w:szCs w:val="22"/>
                              </w:rPr>
                              <m:t>ij</m:t>
                            </m:r>
                          </m:sub>
                        </m:sSub>
                        <m:r>
                          <m:rPr>
                            <m:sty m:val="p"/>
                          </m:rPr>
                          <w:rPr>
                            <w:rFonts w:ascii="Cambria Math" w:hAnsiTheme="majorBidi" w:cstheme="majorBidi"/>
                            <w:szCs w:val="22"/>
                          </w:rPr>
                          <m:t xml:space="preserve">, </m:t>
                        </m:r>
                        <m:sSub>
                          <m:sSubPr>
                            <m:ctrlPr>
                              <w:rPr>
                                <w:rFonts w:ascii="Cambria Math" w:hAnsiTheme="majorBidi" w:cstheme="majorBidi"/>
                                <w:szCs w:val="22"/>
                              </w:rPr>
                            </m:ctrlPr>
                          </m:sSubPr>
                          <m:e>
                            <m:r>
                              <m:rPr>
                                <m:sty m:val="p"/>
                              </m:rPr>
                              <w:rPr>
                                <w:rFonts w:ascii="Cambria Math" w:hAnsi="Cambria Math" w:cstheme="majorBidi"/>
                                <w:szCs w:val="22"/>
                              </w:rPr>
                              <m:t>ζ</m:t>
                            </m:r>
                          </m:e>
                          <m:sub>
                            <m:r>
                              <m:rPr>
                                <m:sty m:val="p"/>
                              </m:rPr>
                              <w:rPr>
                                <w:rFonts w:ascii="Cambria Math" w:hAnsi="Cambria Math" w:cstheme="majorBidi"/>
                                <w:szCs w:val="22"/>
                              </w:rPr>
                              <m:t>i</m:t>
                            </m:r>
                          </m:sub>
                        </m:sSub>
                      </m:e>
                    </m:d>
                  </m:e>
                </m:func>
                <m:r>
                  <m:rPr>
                    <m:sty m:val="p"/>
                  </m:rPr>
                  <w:rPr>
                    <w:rFonts w:ascii="Cambria Math" w:hAnsiTheme="majorBidi" w:cstheme="majorBidi"/>
                    <w:szCs w:val="22"/>
                  </w:rPr>
                  <m:t>=</m:t>
                </m:r>
                <m:f>
                  <m:fPr>
                    <m:ctrlPr>
                      <w:rPr>
                        <w:rFonts w:ascii="Cambria Math" w:hAnsiTheme="majorBidi" w:cstheme="majorBidi"/>
                        <w:szCs w:val="22"/>
                      </w:rPr>
                    </m:ctrlPr>
                  </m:fPr>
                  <m:num>
                    <m:r>
                      <m:rPr>
                        <m:sty m:val="p"/>
                      </m:rPr>
                      <w:rPr>
                        <w:rFonts w:ascii="Cambria Math" w:hAnsiTheme="majorBidi" w:cstheme="majorBidi"/>
                        <w:szCs w:val="22"/>
                      </w:rPr>
                      <m:t>exp</m:t>
                    </m:r>
                    <m:r>
                      <m:rPr>
                        <m:sty m:val="p"/>
                      </m:rPr>
                      <w:rPr>
                        <w:rFonts w:ascii="Cambria Math" w:hAnsi="Cambria Math" w:cstheme="majorBidi"/>
                        <w:szCs w:val="22"/>
                      </w:rPr>
                      <m:t>⁡</m:t>
                    </m:r>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Cambria Math" w:cstheme="majorBidi"/>
                            <w:szCs w:val="22"/>
                          </w:rPr>
                          <m:t>x</m:t>
                        </m:r>
                      </m:e>
                      <m:sub>
                        <m:r>
                          <m:rPr>
                            <m:sty m:val="p"/>
                          </m:rPr>
                          <w:rPr>
                            <w:rFonts w:ascii="Cambria Math" w:hAnsi="Cambria Math" w:cstheme="majorBidi"/>
                            <w:szCs w:val="22"/>
                          </w:rPr>
                          <m:t>ij</m:t>
                        </m:r>
                      </m:sub>
                    </m:sSub>
                    <m:sSub>
                      <m:sSubPr>
                        <m:ctrlPr>
                          <w:rPr>
                            <w:rFonts w:ascii="Cambria Math" w:hAnsi="Cambria Math" w:cstheme="majorBidi"/>
                            <w:szCs w:val="22"/>
                          </w:rPr>
                        </m:ctrlPr>
                      </m:sSubPr>
                      <m:e>
                        <m:r>
                          <m:rPr>
                            <m:sty m:val="p"/>
                          </m:rPr>
                          <w:rPr>
                            <w:rFonts w:ascii="Cambria Math" w:hAnsi="Cambria Math" w:cstheme="majorBidi"/>
                            <w:szCs w:val="22"/>
                          </w:rPr>
                          <m:t>β</m:t>
                        </m:r>
                      </m:e>
                      <m:sub>
                        <m:r>
                          <m:rPr>
                            <m:sty m:val="p"/>
                          </m:rPr>
                          <w:rPr>
                            <w:rFonts w:ascii="Cambria Math" w:hAnsi="Cambria Math" w:cstheme="majorBidi"/>
                            <w:szCs w:val="22"/>
                          </w:rPr>
                          <m:t>k</m:t>
                        </m:r>
                      </m:sub>
                    </m:sSub>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Theme="majorBidi" w:cstheme="majorBidi"/>
                            <w:szCs w:val="22"/>
                          </w:rPr>
                          <m:t>D</m:t>
                        </m:r>
                      </m:e>
                      <m:sub>
                        <m:r>
                          <m:rPr>
                            <m:sty m:val="p"/>
                          </m:rPr>
                          <w:rPr>
                            <w:rFonts w:ascii="Cambria Math" w:hAnsiTheme="majorBidi" w:cstheme="majorBidi"/>
                            <w:szCs w:val="22"/>
                          </w:rPr>
                          <m:t>i</m:t>
                        </m:r>
                      </m:sub>
                    </m:sSub>
                    <m:sSub>
                      <m:sSubPr>
                        <m:ctrlPr>
                          <w:rPr>
                            <w:rFonts w:ascii="Cambria Math" w:hAnsiTheme="majorBidi" w:cstheme="majorBidi"/>
                            <w:szCs w:val="22"/>
                          </w:rPr>
                        </m:ctrlPr>
                      </m:sSubPr>
                      <m:e>
                        <m:r>
                          <m:rPr>
                            <m:sty m:val="p"/>
                          </m:rPr>
                          <w:rPr>
                            <w:rFonts w:ascii="Cambria Math" w:hAnsiTheme="majorBidi" w:cstheme="majorBidi"/>
                            <w:szCs w:val="22"/>
                          </w:rPr>
                          <m:t>β</m:t>
                        </m:r>
                      </m:e>
                      <m:sub>
                        <m:r>
                          <m:rPr>
                            <m:sty m:val="p"/>
                          </m:rPr>
                          <w:rPr>
                            <w:rFonts w:ascii="Cambria Math" w:hAnsiTheme="majorBidi" w:cstheme="majorBidi"/>
                            <w:szCs w:val="22"/>
                          </w:rPr>
                          <m:t>k+1</m:t>
                        </m:r>
                      </m:sub>
                    </m:sSub>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Cambria Math" w:cstheme="majorBidi"/>
                            <w:szCs w:val="22"/>
                          </w:rPr>
                          <m:t>ζ</m:t>
                        </m:r>
                      </m:e>
                      <m:sub>
                        <m:r>
                          <m:rPr>
                            <m:sty m:val="p"/>
                          </m:rPr>
                          <w:rPr>
                            <w:rFonts w:ascii="Cambria Math" w:hAnsi="Cambria Math" w:cstheme="majorBidi"/>
                            <w:szCs w:val="22"/>
                          </w:rPr>
                          <m:t>i</m:t>
                        </m:r>
                      </m:sub>
                    </m:sSub>
                    <m:r>
                      <m:rPr>
                        <m:sty m:val="p"/>
                      </m:rPr>
                      <w:rPr>
                        <w:rFonts w:ascii="Cambria Math" w:hAnsiTheme="majorBidi" w:cstheme="majorBidi"/>
                        <w:szCs w:val="22"/>
                      </w:rPr>
                      <m:t>)</m:t>
                    </m:r>
                  </m:num>
                  <m:den>
                    <m:r>
                      <m:rPr>
                        <m:sty m:val="p"/>
                      </m:rPr>
                      <w:rPr>
                        <w:rFonts w:ascii="Cambria Math" w:hAnsiTheme="majorBidi" w:cstheme="majorBidi"/>
                        <w:szCs w:val="22"/>
                      </w:rPr>
                      <m:t>1+exp</m:t>
                    </m:r>
                    <m:r>
                      <m:rPr>
                        <m:sty m:val="p"/>
                      </m:rPr>
                      <w:rPr>
                        <w:rFonts w:ascii="Cambria Math" w:hAnsi="Cambria Math" w:cstheme="majorBidi"/>
                        <w:szCs w:val="22"/>
                      </w:rPr>
                      <m:t>⁡</m:t>
                    </m:r>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Cambria Math" w:cstheme="majorBidi"/>
                            <w:szCs w:val="22"/>
                          </w:rPr>
                          <m:t>x</m:t>
                        </m:r>
                      </m:e>
                      <m:sub>
                        <m:r>
                          <m:rPr>
                            <m:sty m:val="p"/>
                          </m:rPr>
                          <w:rPr>
                            <w:rFonts w:ascii="Cambria Math" w:hAnsi="Cambria Math" w:cstheme="majorBidi"/>
                            <w:szCs w:val="22"/>
                          </w:rPr>
                          <m:t>ij</m:t>
                        </m:r>
                      </m:sub>
                    </m:sSub>
                    <m:sSub>
                      <m:sSubPr>
                        <m:ctrlPr>
                          <w:rPr>
                            <w:rFonts w:ascii="Cambria Math" w:hAnsi="Cambria Math" w:cstheme="majorBidi"/>
                            <w:szCs w:val="22"/>
                          </w:rPr>
                        </m:ctrlPr>
                      </m:sSubPr>
                      <m:e>
                        <m:r>
                          <m:rPr>
                            <m:sty m:val="p"/>
                          </m:rPr>
                          <w:rPr>
                            <w:rFonts w:ascii="Cambria Math" w:hAnsi="Cambria Math" w:cstheme="majorBidi"/>
                            <w:szCs w:val="22"/>
                          </w:rPr>
                          <m:t>β</m:t>
                        </m:r>
                      </m:e>
                      <m:sub>
                        <m:r>
                          <m:rPr>
                            <m:sty m:val="p"/>
                          </m:rPr>
                          <w:rPr>
                            <w:rFonts w:ascii="Cambria Math" w:hAnsi="Cambria Math" w:cstheme="majorBidi"/>
                            <w:szCs w:val="22"/>
                          </w:rPr>
                          <m:t>k</m:t>
                        </m:r>
                      </m:sub>
                    </m:sSub>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Theme="majorBidi" w:cstheme="majorBidi"/>
                            <w:szCs w:val="22"/>
                          </w:rPr>
                          <m:t>D</m:t>
                        </m:r>
                      </m:e>
                      <m:sub>
                        <m:r>
                          <m:rPr>
                            <m:sty m:val="p"/>
                          </m:rPr>
                          <w:rPr>
                            <w:rFonts w:ascii="Cambria Math" w:hAnsiTheme="majorBidi" w:cstheme="majorBidi"/>
                            <w:szCs w:val="22"/>
                          </w:rPr>
                          <m:t>i</m:t>
                        </m:r>
                      </m:sub>
                    </m:sSub>
                    <m:sSub>
                      <m:sSubPr>
                        <m:ctrlPr>
                          <w:rPr>
                            <w:rFonts w:ascii="Cambria Math" w:hAnsiTheme="majorBidi" w:cstheme="majorBidi"/>
                            <w:szCs w:val="22"/>
                          </w:rPr>
                        </m:ctrlPr>
                      </m:sSubPr>
                      <m:e>
                        <m:r>
                          <m:rPr>
                            <m:sty m:val="p"/>
                          </m:rPr>
                          <w:rPr>
                            <w:rFonts w:ascii="Cambria Math" w:hAnsiTheme="majorBidi" w:cstheme="majorBidi"/>
                            <w:szCs w:val="22"/>
                          </w:rPr>
                          <m:t>β</m:t>
                        </m:r>
                      </m:e>
                      <m:sub>
                        <m:r>
                          <m:rPr>
                            <m:sty m:val="p"/>
                          </m:rPr>
                          <w:rPr>
                            <w:rFonts w:ascii="Cambria Math" w:hAnsiTheme="majorBidi" w:cstheme="majorBidi"/>
                            <w:szCs w:val="22"/>
                          </w:rPr>
                          <m:t>k+1</m:t>
                        </m:r>
                      </m:sub>
                    </m:sSub>
                    <m:r>
                      <m:rPr>
                        <m:sty m:val="p"/>
                      </m:rPr>
                      <w:rPr>
                        <w:rFonts w:ascii="Cambria Math" w:hAnsiTheme="majorBidi" w:cstheme="majorBidi"/>
                        <w:szCs w:val="22"/>
                      </w:rPr>
                      <m:t>+</m:t>
                    </m:r>
                    <m:sSub>
                      <m:sSubPr>
                        <m:ctrlPr>
                          <w:rPr>
                            <w:rFonts w:ascii="Cambria Math" w:hAnsiTheme="majorBidi" w:cstheme="majorBidi"/>
                            <w:szCs w:val="22"/>
                          </w:rPr>
                        </m:ctrlPr>
                      </m:sSubPr>
                      <m:e>
                        <m:r>
                          <m:rPr>
                            <m:sty m:val="p"/>
                          </m:rPr>
                          <w:rPr>
                            <w:rFonts w:ascii="Cambria Math" w:hAnsi="Cambria Math" w:cstheme="majorBidi"/>
                            <w:szCs w:val="22"/>
                          </w:rPr>
                          <m:t>ζ</m:t>
                        </m:r>
                      </m:e>
                      <m:sub>
                        <m:r>
                          <m:rPr>
                            <m:sty m:val="p"/>
                          </m:rPr>
                          <w:rPr>
                            <w:rFonts w:ascii="Cambria Math" w:hAnsi="Cambria Math" w:cstheme="majorBidi"/>
                            <w:szCs w:val="22"/>
                          </w:rPr>
                          <m:t>i</m:t>
                        </m:r>
                      </m:sub>
                    </m:sSub>
                    <m:r>
                      <m:rPr>
                        <m:sty m:val="p"/>
                      </m:rPr>
                      <w:rPr>
                        <w:rFonts w:ascii="Cambria Math" w:hAnsiTheme="majorBidi" w:cstheme="majorBidi"/>
                        <w:szCs w:val="22"/>
                      </w:rPr>
                      <m:t>)</m:t>
                    </m:r>
                  </m:den>
                </m:f>
              </m:oMath>
            </m:oMathPara>
          </w:p>
        </w:tc>
        <w:tc>
          <w:tcPr>
            <w:tcW w:w="1196" w:type="dxa"/>
          </w:tcPr>
          <w:p w:rsidR="002737EE" w:rsidRDefault="002737EE" w:rsidP="00597CF5">
            <w:pPr>
              <w:pStyle w:val="ListParagraph"/>
              <w:numPr>
                <w:ilvl w:val="1"/>
                <w:numId w:val="30"/>
              </w:numPr>
              <w:bidi/>
              <w:ind w:right="220"/>
              <w:jc w:val="right"/>
            </w:pPr>
            <w:bookmarkStart w:id="379" w:name="logittrt_6"/>
            <w:bookmarkEnd w:id="379"/>
          </w:p>
        </w:tc>
      </w:tr>
    </w:tbl>
    <w:p w:rsidR="00584E81" w:rsidRDefault="00C62F3A" w:rsidP="00687508">
      <w:r>
        <w:t xml:space="preserve">where </w:t>
      </w:r>
      <w:r w:rsidRPr="00955389">
        <w:rPr>
          <w:i/>
          <w:iCs/>
        </w:rPr>
        <w:t>y</w:t>
      </w:r>
      <w:r>
        <w:t xml:space="preserve"> represents each of the 24 items of the SLEDAI, </w:t>
      </w:r>
      <w:r w:rsidRPr="00955389">
        <w:rPr>
          <w:i/>
          <w:iCs/>
        </w:rPr>
        <w:t>x</w:t>
      </w:r>
      <w:r>
        <w:t xml:space="preserve"> contains the profile of characteristics for each patient</w:t>
      </w:r>
      <w:r w:rsidR="00CD42AE">
        <w:t xml:space="preserve"> including activity in last period</w:t>
      </w:r>
      <w:r>
        <w:t xml:space="preserve">, and </w:t>
      </w:r>
      <m:oMath>
        <m:r>
          <w:rPr>
            <w:rFonts w:ascii="Cambria Math" w:hAnsi="Cambria Math"/>
          </w:rPr>
          <m:t>β</m:t>
        </m:r>
      </m:oMath>
      <w:r>
        <w:rPr>
          <w:b/>
        </w:rPr>
        <w:t xml:space="preserve"> </w:t>
      </w:r>
      <w:r>
        <w:rPr>
          <w:bCs/>
        </w:rPr>
        <w:t xml:space="preserve">are the coefficients of the </w:t>
      </w:r>
      <w:r w:rsidR="0090251C">
        <w:rPr>
          <w:bCs/>
        </w:rPr>
        <w:t xml:space="preserve">regression </w:t>
      </w:r>
      <w:r>
        <w:rPr>
          <w:bCs/>
        </w:rPr>
        <w:t xml:space="preserve">models, and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t xml:space="preserve"> are the time constant underlying risk parameter for each patient. An additional coefficient, </w:t>
      </w:r>
      <m:oMath>
        <m:sSub>
          <m:sSubPr>
            <m:ctrlPr>
              <w:rPr>
                <w:rFonts w:ascii="Cambria Math" w:hAnsi="Cambria Math"/>
              </w:rPr>
            </m:ctrlPr>
          </m:sSubPr>
          <m:e>
            <m:r>
              <m:rPr>
                <m:sty m:val="p"/>
              </m:rPr>
              <w:rPr>
                <w:rFonts w:ascii="Cambria Math"/>
              </w:rPr>
              <m:t>β</m:t>
            </m:r>
          </m:e>
          <m:sub>
            <m:r>
              <m:rPr>
                <m:sty m:val="p"/>
              </m:rPr>
              <w:rPr>
                <w:rFonts w:ascii="Cambria Math"/>
              </w:rPr>
              <m:t>k</m:t>
            </m:r>
            <m:r>
              <m:rPr>
                <m:sty m:val="p"/>
              </m:rPr>
              <w:rPr>
                <w:rFonts w:ascii="Cambria Math"/>
              </w:rPr>
              <m:t>-</m:t>
            </m:r>
            <m:r>
              <m:rPr>
                <m:sty m:val="p"/>
              </m:rPr>
              <w:rPr>
                <w:rFonts w:ascii="Cambria Math"/>
              </w:rPr>
              <m:t>1</m:t>
            </m:r>
          </m:sub>
        </m:sSub>
      </m:oMath>
      <w:r>
        <w:t xml:space="preserve"> is appended to the logit model, to modify the risk of the symptom being present in patients who are treated with the new treatment (</w:t>
      </w:r>
      <m:oMath>
        <m:sSub>
          <m:sSubPr>
            <m:ctrlPr>
              <w:rPr>
                <w:rFonts w:ascii="Cambria Math" w:hAnsiTheme="majorBidi" w:cstheme="majorBidi"/>
                <w:szCs w:val="22"/>
              </w:rPr>
            </m:ctrlPr>
          </m:sSubPr>
          <m:e>
            <m:r>
              <m:rPr>
                <m:sty m:val="p"/>
              </m:rPr>
              <w:rPr>
                <w:rFonts w:ascii="Cambria Math" w:hAnsiTheme="majorBidi" w:cstheme="majorBidi"/>
                <w:szCs w:val="22"/>
              </w:rPr>
              <m:t>D</m:t>
            </m:r>
          </m:e>
          <m:sub>
            <m:r>
              <m:rPr>
                <m:sty m:val="p"/>
              </m:rPr>
              <w:rPr>
                <w:rFonts w:ascii="Cambria Math" w:hAnsiTheme="majorBidi" w:cstheme="majorBidi"/>
                <w:szCs w:val="22"/>
              </w:rPr>
              <m:t>i</m:t>
            </m:r>
          </m:sub>
        </m:sSub>
      </m:oMath>
      <w:r>
        <w:t xml:space="preserve">=1). The patient specific random intercept </w:t>
      </w:r>
      <m:oMath>
        <m:sSub>
          <m:sSubPr>
            <m:ctrlPr>
              <w:rPr>
                <w:rFonts w:ascii="Cambria Math" w:hAnsi="Cambria Math"/>
              </w:rPr>
            </m:ctrlPr>
          </m:sSubPr>
          <m:e>
            <m:r>
              <m:rPr>
                <m:sty m:val="p"/>
              </m:rPr>
              <w:rPr>
                <w:rFonts w:ascii="Cambria Math" w:hAnsi="Cambria Math"/>
              </w:rPr>
              <m:t>ζ</m:t>
            </m:r>
          </m:e>
          <m:sub>
            <m:r>
              <m:rPr>
                <m:sty m:val="p"/>
              </m:rPr>
              <w:rPr>
                <w:rFonts w:ascii="Cambria Math" w:hAnsi="Cambria Math"/>
              </w:rPr>
              <m:t>i</m:t>
            </m:r>
          </m:sub>
        </m:sSub>
      </m:oMath>
      <w:r>
        <w:t xml:space="preserve"> are time-constant and independent across patients. </w:t>
      </w:r>
    </w:p>
    <w:p w:rsidR="00C62F3A" w:rsidRDefault="00C62F3A" w:rsidP="006452F1">
      <w:pPr>
        <w:pStyle w:val="Heading4"/>
      </w:pPr>
      <w:bookmarkStart w:id="380" w:name="_Toc335051112"/>
      <w:bookmarkStart w:id="381" w:name="_Toc341366941"/>
      <w:r>
        <w:t>Organ damage accrual</w:t>
      </w:r>
      <w:bookmarkEnd w:id="380"/>
      <w:bookmarkEnd w:id="381"/>
      <w:r>
        <w:t xml:space="preserve"> </w:t>
      </w:r>
    </w:p>
    <w:p w:rsidR="00C62F3A" w:rsidRDefault="00C62F3A" w:rsidP="00497DAB">
      <w:pPr>
        <w:rPr>
          <w:lang w:eastAsia="nl-NL"/>
        </w:rPr>
      </w:pPr>
      <w:r w:rsidRPr="007A0EE7">
        <w:rPr>
          <w:lang w:eastAsia="nl-NL"/>
        </w:rPr>
        <w:t xml:space="preserve">The </w:t>
      </w:r>
      <w:r>
        <w:rPr>
          <w:lang w:eastAsia="nl-NL"/>
        </w:rPr>
        <w:t>probability that organ damage occurr</w:t>
      </w:r>
      <w:r w:rsidR="00CD42AE">
        <w:rPr>
          <w:lang w:eastAsia="nl-NL"/>
        </w:rPr>
        <w:t xml:space="preserve">ed between each 3 monthly </w:t>
      </w:r>
      <w:r w:rsidR="0016510D">
        <w:rPr>
          <w:lang w:eastAsia="nl-NL"/>
        </w:rPr>
        <w:t>visits</w:t>
      </w:r>
      <w:r>
        <w:rPr>
          <w:lang w:eastAsia="nl-NL"/>
        </w:rPr>
        <w:t xml:space="preserve"> was estimated using the parametric survival models described in</w:t>
      </w:r>
      <w:r w:rsidR="001E1EB6">
        <w:rPr>
          <w:lang w:eastAsia="nl-NL"/>
        </w:rPr>
        <w:t xml:space="preserve"> section </w:t>
      </w:r>
      <w:r w:rsidR="00E729BA">
        <w:rPr>
          <w:lang w:eastAsia="nl-NL"/>
        </w:rPr>
        <w:fldChar w:fldCharType="begin"/>
      </w:r>
      <w:r w:rsidR="001E1EB6">
        <w:rPr>
          <w:lang w:eastAsia="nl-NL"/>
        </w:rPr>
        <w:instrText xml:space="preserve"> REF _Ref354830113 \n \h </w:instrText>
      </w:r>
      <w:r w:rsidR="00E729BA">
        <w:rPr>
          <w:lang w:eastAsia="nl-NL"/>
        </w:rPr>
      </w:r>
      <w:r w:rsidR="00E729BA">
        <w:rPr>
          <w:lang w:eastAsia="nl-NL"/>
        </w:rPr>
        <w:fldChar w:fldCharType="separate"/>
      </w:r>
      <w:r w:rsidR="004911B7">
        <w:rPr>
          <w:cs/>
          <w:lang w:eastAsia="nl-NL"/>
        </w:rPr>
        <w:t>‎</w:t>
      </w:r>
      <w:r w:rsidR="004911B7">
        <w:rPr>
          <w:lang w:eastAsia="nl-NL"/>
        </w:rPr>
        <w:t>5.2.4.2</w:t>
      </w:r>
      <w:r w:rsidR="00E729BA">
        <w:rPr>
          <w:lang w:eastAsia="nl-NL"/>
        </w:rPr>
        <w:fldChar w:fldCharType="end"/>
      </w:r>
      <w:r w:rsidR="001E1EB6">
        <w:rPr>
          <w:lang w:eastAsia="nl-NL"/>
        </w:rPr>
        <w:t xml:space="preserve"> of</w:t>
      </w:r>
      <w:r>
        <w:rPr>
          <w:lang w:eastAsia="nl-NL"/>
        </w:rPr>
        <w:t xml:space="preserve"> Chapter 5</w:t>
      </w:r>
      <w:r w:rsidRPr="007A0EE7">
        <w:rPr>
          <w:lang w:eastAsia="nl-NL"/>
        </w:rPr>
        <w:t xml:space="preserve">. </w:t>
      </w:r>
      <w:r w:rsidRPr="007D04D7">
        <w:rPr>
          <w:lang w:eastAsia="nl-NL"/>
        </w:rPr>
        <w:t xml:space="preserve">The </w:t>
      </w:r>
      <w:r w:rsidR="00497DAB">
        <w:rPr>
          <w:lang w:eastAsia="nl-NL"/>
        </w:rPr>
        <w:t xml:space="preserve">parametric survival models were used to generate estimates of the cumulative hazard in the current and previous period. From which the </w:t>
      </w:r>
      <w:r w:rsidRPr="007D04D7">
        <w:rPr>
          <w:lang w:eastAsia="nl-NL"/>
        </w:rPr>
        <w:t xml:space="preserve">probability of </w:t>
      </w:r>
      <w:r>
        <w:rPr>
          <w:lang w:eastAsia="nl-NL"/>
        </w:rPr>
        <w:t xml:space="preserve">organ damage </w:t>
      </w:r>
      <w:r w:rsidR="00497DAB">
        <w:rPr>
          <w:lang w:eastAsia="nl-NL"/>
        </w:rPr>
        <w:t>being diagnosed was estimated</w:t>
      </w:r>
      <w:r>
        <w:rPr>
          <w:lang w:eastAsia="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
        <w:gridCol w:w="6842"/>
        <w:gridCol w:w="1077"/>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736835">
            <m:oMathPara>
              <m:oMath>
                <m:r>
                  <w:rPr>
                    <w:rFonts w:ascii="Cambria Math" w:hAnsi="Cambria Math"/>
                    <w:lang w:eastAsia="nl-NL"/>
                  </w:rPr>
                  <m:t>p</m:t>
                </m:r>
                <m:d>
                  <m:dPr>
                    <m:ctrlPr>
                      <w:rPr>
                        <w:rFonts w:ascii="Cambria Math" w:hAnsi="Cambria Math"/>
                        <w:i/>
                        <w:lang w:eastAsia="nl-NL"/>
                      </w:rPr>
                    </m:ctrlPr>
                  </m:dPr>
                  <m:e>
                    <m:r>
                      <w:rPr>
                        <w:rFonts w:ascii="Cambria Math" w:hAnsi="Cambria Math"/>
                        <w:lang w:eastAsia="nl-NL"/>
                      </w:rPr>
                      <m:t>Organ Damage</m:t>
                    </m:r>
                  </m:e>
                </m:d>
                <m:r>
                  <w:rPr>
                    <w:rFonts w:ascii="Cambria Math" w:hAnsi="Cambria Math"/>
                    <w:lang w:eastAsia="nl-NL"/>
                  </w:rPr>
                  <m:t>=1-</m:t>
                </m:r>
                <m:r>
                  <m:rPr>
                    <m:sty m:val="p"/>
                  </m:rPr>
                  <w:rPr>
                    <w:rFonts w:ascii="Cambria Math" w:hAnsi="Cambria Math"/>
                    <w:lang w:eastAsia="nl-NL"/>
                  </w:rPr>
                  <m:t>exp⁡</m:t>
                </m:r>
                <m:r>
                  <w:rPr>
                    <w:rFonts w:ascii="Cambria Math" w:hAnsi="Cambria Math"/>
                    <w:lang w:eastAsia="nl-NL"/>
                  </w:rPr>
                  <m:t>(H</m:t>
                </m:r>
                <m:d>
                  <m:dPr>
                    <m:ctrlPr>
                      <w:rPr>
                        <w:rFonts w:ascii="Cambria Math" w:hAnsi="Cambria Math"/>
                        <w:i/>
                        <w:lang w:eastAsia="nl-NL"/>
                      </w:rPr>
                    </m:ctrlPr>
                  </m:dPr>
                  <m:e>
                    <m:r>
                      <w:rPr>
                        <w:rFonts w:ascii="Cambria Math" w:hAnsi="Cambria Math"/>
                        <w:lang w:eastAsia="nl-NL"/>
                      </w:rPr>
                      <m:t>t</m:t>
                    </m:r>
                  </m:e>
                </m:d>
                <m:r>
                  <w:rPr>
                    <w:rFonts w:ascii="Cambria Math" w:hAnsi="Cambria Math"/>
                    <w:lang w:eastAsia="nl-NL"/>
                  </w:rPr>
                  <m:t>-H</m:t>
                </m:r>
                <m:d>
                  <m:dPr>
                    <m:ctrlPr>
                      <w:rPr>
                        <w:rFonts w:ascii="Cambria Math" w:hAnsi="Cambria Math"/>
                        <w:i/>
                        <w:lang w:eastAsia="nl-NL"/>
                      </w:rPr>
                    </m:ctrlPr>
                  </m:dPr>
                  <m:e>
                    <m:r>
                      <w:rPr>
                        <w:rFonts w:ascii="Cambria Math" w:hAnsi="Cambria Math"/>
                        <w:lang w:eastAsia="nl-NL"/>
                      </w:rPr>
                      <m:t>t-1</m:t>
                    </m:r>
                  </m:e>
                </m:d>
                <m:r>
                  <w:rPr>
                    <w:rFonts w:ascii="Cambria Math" w:hAnsi="Cambria Math"/>
                    <w:lang w:eastAsia="nl-NL"/>
                  </w:rPr>
                  <m:t>)</m:t>
                </m:r>
              </m:oMath>
            </m:oMathPara>
          </w:p>
        </w:tc>
        <w:tc>
          <w:tcPr>
            <w:tcW w:w="1196" w:type="dxa"/>
          </w:tcPr>
          <w:p w:rsidR="002737EE" w:rsidRDefault="002737EE" w:rsidP="009914C2">
            <w:pPr>
              <w:pStyle w:val="ListParagraph"/>
              <w:numPr>
                <w:ilvl w:val="1"/>
                <w:numId w:val="30"/>
              </w:numPr>
              <w:ind w:right="220"/>
              <w:jc w:val="right"/>
            </w:pPr>
            <w:bookmarkStart w:id="382" w:name="probability_6"/>
            <w:bookmarkEnd w:id="382"/>
          </w:p>
        </w:tc>
      </w:tr>
    </w:tbl>
    <w:p w:rsidR="00C62F3A" w:rsidRPr="007A0EE7" w:rsidRDefault="00C62F3A" w:rsidP="00C62F3A">
      <w:pPr>
        <w:rPr>
          <w:lang w:eastAsia="nl-NL"/>
        </w:rPr>
      </w:pPr>
      <w:r w:rsidRPr="007A0EE7">
        <w:rPr>
          <w:lang w:eastAsia="nl-NL"/>
        </w:rPr>
        <w:t>The functional form</w:t>
      </w:r>
      <w:r>
        <w:rPr>
          <w:lang w:eastAsia="nl-NL"/>
        </w:rPr>
        <w:t xml:space="preserve"> for the organ damage </w:t>
      </w:r>
      <w:r w:rsidR="0090251C">
        <w:rPr>
          <w:lang w:eastAsia="nl-NL"/>
        </w:rPr>
        <w:t xml:space="preserve">survival </w:t>
      </w:r>
      <w:r>
        <w:rPr>
          <w:lang w:eastAsia="nl-NL"/>
        </w:rPr>
        <w:t>models included</w:t>
      </w:r>
      <w:r w:rsidRPr="007A0EE7">
        <w:rPr>
          <w:lang w:eastAsia="nl-NL"/>
        </w:rPr>
        <w:t xml:space="preserve"> exponential, Weibull, Gompertz, and LogLogistic</w:t>
      </w:r>
      <w:r>
        <w:rPr>
          <w:lang w:eastAsia="nl-NL"/>
        </w:rPr>
        <w:t xml:space="preserve"> and cumulative hazard functions for each distribution are </w:t>
      </w:r>
      <w:r w:rsidRPr="007A0EE7">
        <w:rPr>
          <w:lang w:eastAsia="nl-NL"/>
        </w:rPr>
        <w:t xml:space="preserve">outlined </w:t>
      </w:r>
      <w:r>
        <w:rPr>
          <w:lang w:eastAsia="nl-NL"/>
        </w:rPr>
        <w:t xml:space="preserve">in </w:t>
      </w:r>
      <w:r w:rsidR="00E729BA">
        <w:rPr>
          <w:lang w:eastAsia="nl-NL"/>
        </w:rPr>
        <w:fldChar w:fldCharType="begin"/>
      </w:r>
      <w:r>
        <w:rPr>
          <w:lang w:eastAsia="nl-NL"/>
        </w:rPr>
        <w:instrText xml:space="preserve"> REF _Ref335652130 \h </w:instrText>
      </w:r>
      <w:r w:rsidR="00E729BA">
        <w:rPr>
          <w:lang w:eastAsia="nl-NL"/>
        </w:rPr>
      </w:r>
      <w:r w:rsidR="00E729BA">
        <w:rPr>
          <w:lang w:eastAsia="nl-NL"/>
        </w:rPr>
        <w:fldChar w:fldCharType="separate"/>
      </w:r>
      <w:r w:rsidR="004911B7">
        <w:t xml:space="preserve">Table </w:t>
      </w:r>
      <w:r w:rsidR="004911B7">
        <w:rPr>
          <w:noProof/>
        </w:rPr>
        <w:t>36</w:t>
      </w:r>
      <w:r w:rsidR="00E729BA">
        <w:rPr>
          <w:lang w:eastAsia="nl-NL"/>
        </w:rPr>
        <w:fldChar w:fldCharType="end"/>
      </w:r>
      <w:r w:rsidRPr="007A0EE7">
        <w:rPr>
          <w:lang w:eastAsia="nl-NL"/>
        </w:rPr>
        <w:t>.</w:t>
      </w:r>
    </w:p>
    <w:p w:rsidR="00C62F3A" w:rsidRDefault="00C62F3A" w:rsidP="00234693">
      <w:pPr>
        <w:pStyle w:val="Caption"/>
      </w:pPr>
      <w:bookmarkStart w:id="383" w:name="_Ref335652130"/>
      <w:r>
        <w:t xml:space="preserve">Table </w:t>
      </w:r>
      <w:fldSimple w:instr=" SEQ Table \* ARABIC ">
        <w:r w:rsidR="004911B7">
          <w:rPr>
            <w:noProof/>
          </w:rPr>
          <w:t>36</w:t>
        </w:r>
      </w:fldSimple>
      <w:bookmarkEnd w:id="383"/>
      <w:r>
        <w:t>: Cumulative Hazard function for exponential, Weibull, Gompertz and Loglogistic functions</w:t>
      </w:r>
    </w:p>
    <w:tbl>
      <w:tblPr>
        <w:tblW w:w="7938" w:type="dxa"/>
        <w:tblInd w:w="108" w:type="dxa"/>
        <w:tblBorders>
          <w:top w:val="single" w:sz="8" w:space="0" w:color="auto"/>
          <w:bottom w:val="single" w:sz="8" w:space="0" w:color="auto"/>
        </w:tblBorders>
        <w:tblLook w:val="04A0"/>
      </w:tblPr>
      <w:tblGrid>
        <w:gridCol w:w="1418"/>
        <w:gridCol w:w="1843"/>
        <w:gridCol w:w="3260"/>
        <w:gridCol w:w="1417"/>
      </w:tblGrid>
      <w:tr w:rsidR="00C62F3A" w:rsidTr="0087718E">
        <w:tc>
          <w:tcPr>
            <w:tcW w:w="1418" w:type="dxa"/>
            <w:tcBorders>
              <w:top w:val="single" w:sz="8" w:space="0" w:color="auto"/>
              <w:bottom w:val="single" w:sz="4" w:space="0" w:color="auto"/>
            </w:tcBorders>
          </w:tcPr>
          <w:p w:rsidR="00C62F3A" w:rsidRPr="006C410E" w:rsidRDefault="00C62F3A" w:rsidP="00C62F3A">
            <w:pPr>
              <w:rPr>
                <w:sz w:val="20"/>
                <w:lang w:eastAsia="nl-NL"/>
              </w:rPr>
            </w:pPr>
            <w:r w:rsidRPr="006C410E">
              <w:rPr>
                <w:sz w:val="20"/>
                <w:lang w:eastAsia="nl-NL"/>
              </w:rPr>
              <w:t>Survival curve</w:t>
            </w:r>
          </w:p>
        </w:tc>
        <w:tc>
          <w:tcPr>
            <w:tcW w:w="1843" w:type="dxa"/>
            <w:tcBorders>
              <w:top w:val="single" w:sz="8" w:space="0" w:color="auto"/>
              <w:bottom w:val="single" w:sz="4" w:space="0" w:color="auto"/>
            </w:tcBorders>
          </w:tcPr>
          <w:p w:rsidR="00C62F3A" w:rsidRPr="006C410E" w:rsidRDefault="00C62F3A" w:rsidP="00C62F3A">
            <w:pPr>
              <w:rPr>
                <w:sz w:val="20"/>
                <w:lang w:eastAsia="nl-NL"/>
              </w:rPr>
            </w:pPr>
            <w:r>
              <w:rPr>
                <w:sz w:val="20"/>
                <w:lang w:eastAsia="nl-NL"/>
              </w:rPr>
              <w:t>Cumulative Hazard</w:t>
            </w:r>
          </w:p>
        </w:tc>
        <w:tc>
          <w:tcPr>
            <w:tcW w:w="3260" w:type="dxa"/>
            <w:tcBorders>
              <w:top w:val="single" w:sz="8" w:space="0" w:color="auto"/>
              <w:bottom w:val="single" w:sz="4" w:space="0" w:color="auto"/>
            </w:tcBorders>
          </w:tcPr>
          <w:p w:rsidR="00C62F3A" w:rsidRPr="006C410E" w:rsidRDefault="00C62F3A" w:rsidP="00C62F3A">
            <w:pPr>
              <w:rPr>
                <w:sz w:val="20"/>
                <w:lang w:eastAsia="nl-NL"/>
              </w:rPr>
            </w:pPr>
            <w:r w:rsidRPr="006C410E">
              <w:rPr>
                <w:sz w:val="20"/>
                <w:lang w:eastAsia="nl-NL"/>
              </w:rPr>
              <w:t>Par</w:t>
            </w:r>
            <w:r>
              <w:rPr>
                <w:sz w:val="20"/>
                <w:lang w:eastAsia="nl-NL"/>
              </w:rPr>
              <w:t>ameter</w:t>
            </w:r>
            <w:r w:rsidRPr="006C410E">
              <w:rPr>
                <w:sz w:val="20"/>
                <w:lang w:eastAsia="nl-NL"/>
              </w:rPr>
              <w:t xml:space="preserve"> 1</w:t>
            </w:r>
          </w:p>
        </w:tc>
        <w:tc>
          <w:tcPr>
            <w:tcW w:w="1417" w:type="dxa"/>
            <w:tcBorders>
              <w:top w:val="single" w:sz="8" w:space="0" w:color="auto"/>
              <w:bottom w:val="single" w:sz="4" w:space="0" w:color="auto"/>
            </w:tcBorders>
          </w:tcPr>
          <w:p w:rsidR="00C62F3A" w:rsidRPr="006C410E" w:rsidRDefault="00C62F3A" w:rsidP="00C62F3A">
            <w:pPr>
              <w:rPr>
                <w:sz w:val="20"/>
                <w:lang w:eastAsia="nl-NL"/>
              </w:rPr>
            </w:pPr>
            <w:r w:rsidRPr="006C410E">
              <w:rPr>
                <w:sz w:val="20"/>
                <w:lang w:eastAsia="nl-NL"/>
              </w:rPr>
              <w:t>Par</w:t>
            </w:r>
            <w:r>
              <w:rPr>
                <w:sz w:val="20"/>
                <w:lang w:eastAsia="nl-NL"/>
              </w:rPr>
              <w:t>ameter</w:t>
            </w:r>
            <w:r w:rsidRPr="006C410E">
              <w:rPr>
                <w:sz w:val="20"/>
                <w:lang w:eastAsia="nl-NL"/>
              </w:rPr>
              <w:t xml:space="preserve"> 2</w:t>
            </w:r>
          </w:p>
        </w:tc>
      </w:tr>
      <w:tr w:rsidR="00C62F3A" w:rsidTr="0087718E">
        <w:tc>
          <w:tcPr>
            <w:tcW w:w="1418" w:type="dxa"/>
            <w:tcBorders>
              <w:top w:val="single" w:sz="4" w:space="0" w:color="auto"/>
            </w:tcBorders>
          </w:tcPr>
          <w:p w:rsidR="00C62F3A" w:rsidRPr="006C410E" w:rsidRDefault="00C62F3A" w:rsidP="00C62F3A">
            <w:pPr>
              <w:rPr>
                <w:sz w:val="20"/>
                <w:lang w:eastAsia="nl-NL"/>
              </w:rPr>
            </w:pPr>
            <w:r w:rsidRPr="006C410E">
              <w:rPr>
                <w:sz w:val="20"/>
                <w:lang w:eastAsia="nl-NL"/>
              </w:rPr>
              <w:t>Exponential</w:t>
            </w:r>
          </w:p>
        </w:tc>
        <w:tc>
          <w:tcPr>
            <w:tcW w:w="1843" w:type="dxa"/>
            <w:tcBorders>
              <w:top w:val="single" w:sz="4" w:space="0" w:color="auto"/>
            </w:tcBorders>
          </w:tcPr>
          <w:p w:rsidR="00C62F3A" w:rsidRPr="006C410E" w:rsidRDefault="00C62F3A" w:rsidP="00C62F3A">
            <w:pPr>
              <w:rPr>
                <w:sz w:val="20"/>
                <w:lang w:eastAsia="nl-NL"/>
              </w:rPr>
            </w:pPr>
            <m:oMathPara>
              <m:oMath>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i</m:t>
                    </m:r>
                  </m:sub>
                </m:sSub>
              </m:oMath>
            </m:oMathPara>
          </w:p>
        </w:tc>
        <w:tc>
          <w:tcPr>
            <w:tcW w:w="3260" w:type="dxa"/>
            <w:tcBorders>
              <w:top w:val="single" w:sz="4" w:space="0" w:color="auto"/>
            </w:tcBorders>
          </w:tcPr>
          <w:p w:rsidR="00C62F3A" w:rsidRPr="006C410E" w:rsidRDefault="00C62F3A" w:rsidP="00C62F3A">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r>
                      <m:rPr>
                        <m:sty m:val="bi"/>
                      </m:rPr>
                      <w:rPr>
                        <w:rFonts w:ascii="Cambria Math" w:hAnsi="Cambria Math"/>
                        <w:sz w:val="20"/>
                        <w:lang w:eastAsia="nl-NL"/>
                      </w:rPr>
                      <m:t>+X</m:t>
                    </m:r>
                    <m:sSub>
                      <m:sSubPr>
                        <m:ctrlPr>
                          <w:rPr>
                            <w:rFonts w:ascii="Cambria Math" w:hAnsi="Cambria Math"/>
                            <w:b/>
                            <w:i/>
                            <w:sz w:val="20"/>
                            <w:lang w:eastAsia="nl-NL"/>
                          </w:rPr>
                        </m:ctrlPr>
                      </m:sSubPr>
                      <m:e>
                        <m:r>
                          <m:rPr>
                            <m:sty m:val="bi"/>
                          </m:rPr>
                          <w:rPr>
                            <w:rFonts w:ascii="Cambria Math" w:hAnsi="Cambria Math"/>
                            <w:sz w:val="20"/>
                            <w:lang w:eastAsia="nl-NL"/>
                          </w:rPr>
                          <m:t>β</m:t>
                        </m:r>
                      </m:e>
                      <m:sub>
                        <m:r>
                          <m:rPr>
                            <m:sty m:val="bi"/>
                          </m:rPr>
                          <w:rPr>
                            <w:rFonts w:ascii="Cambria Math" w:hAnsi="Cambria Math"/>
                            <w:sz w:val="20"/>
                            <w:lang w:eastAsia="nl-NL"/>
                          </w:rPr>
                          <m:t>k</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r>
                      <w:rPr>
                        <w:rFonts w:ascii="Cambria Math" w:hAnsi="Cambria Math"/>
                      </w:rPr>
                      <m:t>D</m:t>
                    </m:r>
                  </m:e>
                </m:d>
              </m:oMath>
            </m:oMathPara>
          </w:p>
        </w:tc>
        <w:tc>
          <w:tcPr>
            <w:tcW w:w="1417" w:type="dxa"/>
            <w:tcBorders>
              <w:top w:val="single" w:sz="4" w:space="0" w:color="auto"/>
            </w:tcBorders>
          </w:tcPr>
          <w:p w:rsidR="00C62F3A" w:rsidRPr="006C410E" w:rsidRDefault="00C62F3A" w:rsidP="00C62F3A">
            <w:pPr>
              <w:rPr>
                <w:sz w:val="20"/>
                <w:lang w:eastAsia="nl-NL"/>
              </w:rPr>
            </w:pPr>
            <w:r w:rsidRPr="006C410E">
              <w:rPr>
                <w:sz w:val="20"/>
                <w:lang w:eastAsia="nl-NL"/>
              </w:rPr>
              <w:t>n/a</w:t>
            </w:r>
          </w:p>
        </w:tc>
      </w:tr>
      <w:tr w:rsidR="00C62F3A" w:rsidTr="0087718E">
        <w:tc>
          <w:tcPr>
            <w:tcW w:w="1418" w:type="dxa"/>
          </w:tcPr>
          <w:p w:rsidR="00C62F3A" w:rsidRPr="006C410E" w:rsidRDefault="00C62F3A" w:rsidP="00C62F3A">
            <w:pPr>
              <w:rPr>
                <w:sz w:val="20"/>
                <w:lang w:eastAsia="nl-NL"/>
              </w:rPr>
            </w:pPr>
            <w:r w:rsidRPr="006C410E">
              <w:rPr>
                <w:sz w:val="20"/>
                <w:lang w:eastAsia="nl-NL"/>
              </w:rPr>
              <w:t>Weibull</w:t>
            </w:r>
          </w:p>
        </w:tc>
        <w:tc>
          <w:tcPr>
            <w:tcW w:w="1843" w:type="dxa"/>
          </w:tcPr>
          <w:p w:rsidR="00C62F3A" w:rsidRPr="006C410E" w:rsidRDefault="00C62F3A" w:rsidP="00C62F3A">
            <w:pPr>
              <w:rPr>
                <w:sz w:val="20"/>
                <w:lang w:eastAsia="nl-NL"/>
              </w:rPr>
            </w:pPr>
            <m:oMathPara>
              <m:oMath>
                <m:r>
                  <w:rPr>
                    <w:rFonts w:ascii="Cambria Math" w:hAnsi="Cambria Math"/>
                  </w:rPr>
                  <m:t>λ</m:t>
                </m:r>
                <m:sSup>
                  <m:sSupPr>
                    <m:ctrlPr>
                      <w:rPr>
                        <w:rFonts w:ascii="Cambria Math" w:hAnsi="Cambria Math"/>
                        <w:i/>
                      </w:rPr>
                    </m:ctrlPr>
                  </m:sSupPr>
                  <m:e>
                    <m:r>
                      <w:rPr>
                        <w:rFonts w:ascii="Cambria Math" w:hAnsi="Cambria Math"/>
                      </w:rPr>
                      <m:t>t</m:t>
                    </m:r>
                  </m:e>
                  <m:sup>
                    <m:r>
                      <w:rPr>
                        <w:rFonts w:ascii="Cambria Math" w:hAnsi="Cambria Math"/>
                      </w:rPr>
                      <m:t>γ</m:t>
                    </m:r>
                  </m:sup>
                </m:sSup>
              </m:oMath>
            </m:oMathPara>
          </w:p>
        </w:tc>
        <w:tc>
          <w:tcPr>
            <w:tcW w:w="3260" w:type="dxa"/>
          </w:tcPr>
          <w:p w:rsidR="00C62F3A" w:rsidRPr="006C410E" w:rsidRDefault="00C62F3A" w:rsidP="00C62F3A">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r>
                      <m:rPr>
                        <m:sty m:val="bi"/>
                      </m:rPr>
                      <w:rPr>
                        <w:rFonts w:ascii="Cambria Math" w:hAnsi="Cambria Math"/>
                        <w:sz w:val="20"/>
                        <w:lang w:eastAsia="nl-NL"/>
                      </w:rPr>
                      <m:t>+X</m:t>
                    </m:r>
                    <m:sSub>
                      <m:sSubPr>
                        <m:ctrlPr>
                          <w:rPr>
                            <w:rFonts w:ascii="Cambria Math" w:hAnsi="Cambria Math"/>
                            <w:b/>
                            <w:i/>
                            <w:sz w:val="20"/>
                            <w:lang w:eastAsia="nl-NL"/>
                          </w:rPr>
                        </m:ctrlPr>
                      </m:sSubPr>
                      <m:e>
                        <m:r>
                          <m:rPr>
                            <m:sty m:val="bi"/>
                          </m:rPr>
                          <w:rPr>
                            <w:rFonts w:ascii="Cambria Math" w:hAnsi="Cambria Math"/>
                            <w:sz w:val="20"/>
                            <w:lang w:eastAsia="nl-NL"/>
                          </w:rPr>
                          <m:t>β</m:t>
                        </m:r>
                      </m:e>
                      <m:sub>
                        <m:r>
                          <m:rPr>
                            <m:sty m:val="bi"/>
                          </m:rPr>
                          <w:rPr>
                            <w:rFonts w:ascii="Cambria Math" w:hAnsi="Cambria Math"/>
                            <w:sz w:val="20"/>
                            <w:lang w:eastAsia="nl-NL"/>
                          </w:rPr>
                          <m:t>k</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r>
                      <w:rPr>
                        <w:rFonts w:ascii="Cambria Math" w:hAnsi="Cambria Math"/>
                      </w:rPr>
                      <m:t>D</m:t>
                    </m:r>
                  </m:e>
                </m:d>
              </m:oMath>
            </m:oMathPara>
          </w:p>
        </w:tc>
        <w:tc>
          <w:tcPr>
            <w:tcW w:w="1417" w:type="dxa"/>
          </w:tcPr>
          <w:p w:rsidR="00C62F3A" w:rsidRPr="006C410E" w:rsidRDefault="00C62F3A" w:rsidP="00C62F3A">
            <w:pPr>
              <w:rPr>
                <w:sz w:val="20"/>
                <w:lang w:eastAsia="nl-NL"/>
              </w:rPr>
            </w:pPr>
            <m:oMathPara>
              <m:oMath>
                <m:r>
                  <w:rPr>
                    <w:rFonts w:ascii="Cambria Math" w:hAnsi="Cambria Math"/>
                    <w:sz w:val="20"/>
                    <w:lang w:eastAsia="nl-NL"/>
                  </w:rPr>
                  <m:t>γ</m:t>
                </m:r>
              </m:oMath>
            </m:oMathPara>
          </w:p>
        </w:tc>
      </w:tr>
      <w:tr w:rsidR="00C62F3A" w:rsidTr="0087718E">
        <w:tc>
          <w:tcPr>
            <w:tcW w:w="1418" w:type="dxa"/>
          </w:tcPr>
          <w:p w:rsidR="00C62F3A" w:rsidRPr="006C410E" w:rsidRDefault="00C62F3A" w:rsidP="00C62F3A">
            <w:pPr>
              <w:rPr>
                <w:sz w:val="20"/>
                <w:lang w:eastAsia="nl-NL"/>
              </w:rPr>
            </w:pPr>
            <w:r w:rsidRPr="006C410E">
              <w:rPr>
                <w:sz w:val="20"/>
                <w:lang w:eastAsia="nl-NL"/>
              </w:rPr>
              <w:t>Gompertz</w:t>
            </w:r>
          </w:p>
        </w:tc>
        <w:tc>
          <w:tcPr>
            <w:tcW w:w="1843" w:type="dxa"/>
          </w:tcPr>
          <w:p w:rsidR="00C62F3A" w:rsidRPr="006C410E" w:rsidRDefault="00E729BA" w:rsidP="00C62F3A">
            <w:pPr>
              <w:rPr>
                <w:sz w:val="20"/>
                <w:lang w:eastAsia="nl-NL"/>
              </w:rPr>
            </w:pPr>
            <m:oMathPara>
              <m:oMath>
                <m:f>
                  <m:fPr>
                    <m:ctrlPr>
                      <w:rPr>
                        <w:rFonts w:ascii="Cambria Math" w:hAnsi="Cambria Math"/>
                        <w:i/>
                      </w:rPr>
                    </m:ctrlPr>
                  </m:fPr>
                  <m:num>
                    <m:r>
                      <w:rPr>
                        <w:rFonts w:ascii="Cambria Math" w:hAnsi="Cambria Math"/>
                      </w:rPr>
                      <m:t>λ</m:t>
                    </m:r>
                  </m:num>
                  <m:den>
                    <m:r>
                      <w:rPr>
                        <w:rFonts w:ascii="Cambria Math" w:hAnsi="Cambria Math"/>
                      </w:rPr>
                      <m:t>γ</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γt</m:t>
                    </m:r>
                  </m:sup>
                </m:sSup>
                <m:r>
                  <w:rPr>
                    <w:rFonts w:ascii="Cambria Math" w:hAnsi="Cambria Math"/>
                  </w:rPr>
                  <m:t>-1)</m:t>
                </m:r>
              </m:oMath>
            </m:oMathPara>
          </w:p>
        </w:tc>
        <w:tc>
          <w:tcPr>
            <w:tcW w:w="3260" w:type="dxa"/>
          </w:tcPr>
          <w:p w:rsidR="00C62F3A" w:rsidRPr="006C410E" w:rsidRDefault="00C62F3A" w:rsidP="00C62F3A">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r>
                      <m:rPr>
                        <m:sty m:val="bi"/>
                      </m:rPr>
                      <w:rPr>
                        <w:rFonts w:ascii="Cambria Math" w:hAnsi="Cambria Math"/>
                        <w:sz w:val="20"/>
                        <w:lang w:eastAsia="nl-NL"/>
                      </w:rPr>
                      <m:t>+X</m:t>
                    </m:r>
                    <m:sSub>
                      <m:sSubPr>
                        <m:ctrlPr>
                          <w:rPr>
                            <w:rFonts w:ascii="Cambria Math" w:hAnsi="Cambria Math"/>
                            <w:b/>
                            <w:i/>
                            <w:sz w:val="20"/>
                            <w:lang w:eastAsia="nl-NL"/>
                          </w:rPr>
                        </m:ctrlPr>
                      </m:sSubPr>
                      <m:e>
                        <m:r>
                          <m:rPr>
                            <m:sty m:val="bi"/>
                          </m:rPr>
                          <w:rPr>
                            <w:rFonts w:ascii="Cambria Math" w:hAnsi="Cambria Math"/>
                            <w:sz w:val="20"/>
                            <w:lang w:eastAsia="nl-NL"/>
                          </w:rPr>
                          <m:t>β</m:t>
                        </m:r>
                      </m:e>
                      <m:sub>
                        <m:r>
                          <m:rPr>
                            <m:sty m:val="bi"/>
                          </m:rPr>
                          <w:rPr>
                            <w:rFonts w:ascii="Cambria Math" w:hAnsi="Cambria Math"/>
                            <w:sz w:val="20"/>
                            <w:lang w:eastAsia="nl-NL"/>
                          </w:rPr>
                          <m:t>k</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r>
                      <w:rPr>
                        <w:rFonts w:ascii="Cambria Math" w:hAnsi="Cambria Math"/>
                      </w:rPr>
                      <m:t>D</m:t>
                    </m:r>
                  </m:e>
                </m:d>
              </m:oMath>
            </m:oMathPara>
          </w:p>
        </w:tc>
        <w:tc>
          <w:tcPr>
            <w:tcW w:w="1417" w:type="dxa"/>
          </w:tcPr>
          <w:p w:rsidR="00C62F3A" w:rsidRPr="006C410E" w:rsidRDefault="00C62F3A" w:rsidP="00C62F3A">
            <w:pPr>
              <w:rPr>
                <w:sz w:val="20"/>
                <w:lang w:eastAsia="nl-NL"/>
              </w:rPr>
            </w:pPr>
            <m:oMathPara>
              <m:oMath>
                <m:r>
                  <w:rPr>
                    <w:rFonts w:ascii="Cambria Math" w:hAnsi="Cambria Math"/>
                    <w:sz w:val="20"/>
                    <w:lang w:eastAsia="nl-NL"/>
                  </w:rPr>
                  <m:t>γ</m:t>
                </m:r>
              </m:oMath>
            </m:oMathPara>
          </w:p>
        </w:tc>
      </w:tr>
      <w:tr w:rsidR="00C62F3A" w:rsidTr="0087718E">
        <w:tc>
          <w:tcPr>
            <w:tcW w:w="1418" w:type="dxa"/>
          </w:tcPr>
          <w:p w:rsidR="00C62F3A" w:rsidRPr="006C410E" w:rsidRDefault="00C62F3A" w:rsidP="00C62F3A">
            <w:pPr>
              <w:rPr>
                <w:sz w:val="20"/>
                <w:lang w:eastAsia="nl-NL"/>
              </w:rPr>
            </w:pPr>
            <w:r w:rsidRPr="006C410E">
              <w:rPr>
                <w:sz w:val="20"/>
                <w:lang w:eastAsia="nl-NL"/>
              </w:rPr>
              <w:t>LogLogistic</w:t>
            </w:r>
          </w:p>
        </w:tc>
        <w:tc>
          <w:tcPr>
            <w:tcW w:w="1843" w:type="dxa"/>
          </w:tcPr>
          <w:p w:rsidR="00C62F3A" w:rsidRPr="006C410E" w:rsidRDefault="00C62F3A" w:rsidP="00C62F3A">
            <w:pPr>
              <w:rPr>
                <w:sz w:val="20"/>
                <w:lang w:eastAsia="nl-NL"/>
              </w:rPr>
            </w:pPr>
            <m:oMathPara>
              <m:oMath>
                <m:r>
                  <w:rPr>
                    <w:rFonts w:ascii="Cambria Math" w:hAnsi="Cambria Math"/>
                  </w:rPr>
                  <m:t>1+λ</m:t>
                </m:r>
                <m:sSup>
                  <m:sSupPr>
                    <m:ctrlPr>
                      <w:rPr>
                        <w:rFonts w:ascii="Cambria Math" w:hAnsi="Cambria Math"/>
                        <w:i/>
                      </w:rPr>
                    </m:ctrlPr>
                  </m:sSupPr>
                  <m:e>
                    <m:r>
                      <w:rPr>
                        <w:rFonts w:ascii="Cambria Math" w:hAnsi="Cambria Math"/>
                      </w:rPr>
                      <m:t>t</m:t>
                    </m:r>
                  </m:e>
                  <m:sup>
                    <m:r>
                      <w:rPr>
                        <w:rFonts w:ascii="Cambria Math" w:hAnsi="Cambria Math"/>
                      </w:rPr>
                      <m:t>θ</m:t>
                    </m:r>
                  </m:sup>
                </m:sSup>
              </m:oMath>
            </m:oMathPara>
          </w:p>
        </w:tc>
        <w:tc>
          <w:tcPr>
            <w:tcW w:w="3260" w:type="dxa"/>
          </w:tcPr>
          <w:p w:rsidR="00C62F3A" w:rsidRPr="006C410E" w:rsidRDefault="00C62F3A" w:rsidP="00C62F3A">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m:t>
                    </m:r>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r>
                      <m:rPr>
                        <m:sty m:val="bi"/>
                      </m:rPr>
                      <w:rPr>
                        <w:rFonts w:ascii="Cambria Math" w:hAnsi="Cambria Math"/>
                        <w:sz w:val="20"/>
                        <w:lang w:eastAsia="nl-NL"/>
                      </w:rPr>
                      <m:t>+X</m:t>
                    </m:r>
                    <m:sSub>
                      <m:sSubPr>
                        <m:ctrlPr>
                          <w:rPr>
                            <w:rFonts w:ascii="Cambria Math" w:hAnsi="Cambria Math"/>
                            <w:b/>
                            <w:i/>
                            <w:sz w:val="20"/>
                            <w:lang w:eastAsia="nl-NL"/>
                          </w:rPr>
                        </m:ctrlPr>
                      </m:sSubPr>
                      <m:e>
                        <m:r>
                          <m:rPr>
                            <m:sty m:val="bi"/>
                          </m:rPr>
                          <w:rPr>
                            <w:rFonts w:ascii="Cambria Math" w:hAnsi="Cambria Math"/>
                            <w:sz w:val="20"/>
                            <w:lang w:eastAsia="nl-NL"/>
                          </w:rPr>
                          <m:t>β</m:t>
                        </m:r>
                      </m:e>
                      <m:sub>
                        <m:r>
                          <m:rPr>
                            <m:sty m:val="bi"/>
                          </m:rPr>
                          <w:rPr>
                            <w:rFonts w:ascii="Cambria Math" w:hAnsi="Cambria Math"/>
                            <w:sz w:val="20"/>
                            <w:lang w:eastAsia="nl-NL"/>
                          </w:rPr>
                          <m:t>k</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r>
                      <w:rPr>
                        <w:rFonts w:ascii="Cambria Math" w:hAnsi="Cambria Math"/>
                      </w:rPr>
                      <m:t>D</m:t>
                    </m:r>
                    <m:r>
                      <m:rPr>
                        <m:sty m:val="bi"/>
                      </m:rPr>
                      <w:rPr>
                        <w:rFonts w:ascii="Cambria Math" w:hAnsi="Cambria Math"/>
                        <w:sz w:val="20"/>
                        <w:lang w:eastAsia="nl-NL"/>
                      </w:rPr>
                      <m:t>)</m:t>
                    </m:r>
                  </m:e>
                </m:d>
              </m:oMath>
            </m:oMathPara>
          </w:p>
        </w:tc>
        <w:tc>
          <w:tcPr>
            <w:tcW w:w="1417" w:type="dxa"/>
          </w:tcPr>
          <w:p w:rsidR="00C62F3A" w:rsidRPr="006C410E" w:rsidRDefault="00C62F3A" w:rsidP="00C62F3A">
            <w:pPr>
              <w:rPr>
                <w:sz w:val="20"/>
                <w:lang w:eastAsia="nl-NL"/>
              </w:rPr>
            </w:pPr>
            <m:oMathPara>
              <m:oMath>
                <m:r>
                  <w:rPr>
                    <w:rFonts w:ascii="Cambria Math" w:hAnsi="Cambria Math"/>
                    <w:sz w:val="20"/>
                    <w:lang w:eastAsia="nl-NL"/>
                  </w:rPr>
                  <m:t>θ</m:t>
                </m:r>
                <m:r>
                  <w:rPr>
                    <w:rFonts w:ascii="Cambria Math"/>
                    <w:sz w:val="20"/>
                    <w:lang w:eastAsia="nl-NL"/>
                  </w:rPr>
                  <m:t>=</m:t>
                </m:r>
                <m:f>
                  <m:fPr>
                    <m:type m:val="skw"/>
                    <m:ctrlPr>
                      <w:rPr>
                        <w:rFonts w:ascii="Cambria Math" w:hAnsi="Cambria Math"/>
                        <w:i/>
                        <w:sz w:val="20"/>
                        <w:lang w:eastAsia="nl-NL"/>
                      </w:rPr>
                    </m:ctrlPr>
                  </m:fPr>
                  <m:num>
                    <m:r>
                      <w:rPr>
                        <w:rFonts w:ascii="Cambria Math"/>
                        <w:sz w:val="20"/>
                        <w:lang w:eastAsia="nl-NL"/>
                      </w:rPr>
                      <m:t>1</m:t>
                    </m:r>
                  </m:num>
                  <m:den>
                    <m:r>
                      <w:rPr>
                        <w:rFonts w:ascii="Cambria Math" w:hAnsi="Cambria Math"/>
                        <w:sz w:val="20"/>
                        <w:lang w:eastAsia="nl-NL"/>
                      </w:rPr>
                      <m:t>γ</m:t>
                    </m:r>
                  </m:den>
                </m:f>
              </m:oMath>
            </m:oMathPara>
          </w:p>
        </w:tc>
      </w:tr>
    </w:tbl>
    <w:p w:rsidR="00C62F3A" w:rsidRDefault="00C62F3A" w:rsidP="00C62F3A">
      <w:pPr>
        <w:pStyle w:val="Level3Text"/>
        <w:rPr>
          <w:lang w:eastAsia="nl-NL"/>
        </w:rPr>
      </w:pPr>
    </w:p>
    <w:p w:rsidR="00C62F3A" w:rsidRDefault="00C62F3A" w:rsidP="00C62F3A">
      <w:pPr>
        <w:pStyle w:val="Level3Text"/>
        <w:rPr>
          <w:lang w:eastAsia="nl-NL"/>
        </w:rPr>
      </w:pPr>
    </w:p>
    <w:p w:rsidR="00C62F3A" w:rsidRDefault="00C62F3A" w:rsidP="0090251C">
      <w:r>
        <w:t xml:space="preserve">Parameter 1 is estimated from the baseline hazard </w:t>
      </w:r>
      <m:oMath>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oMath>
      <w:r>
        <w:rPr>
          <w:lang w:bidi="ar-SA"/>
        </w:rPr>
        <w:t xml:space="preserve"> </w:t>
      </w:r>
      <w:r>
        <w:t xml:space="preserve">and the covariate effects for the organ damage </w:t>
      </w:r>
      <w:r w:rsidR="0090251C">
        <w:t>survival</w:t>
      </w:r>
      <w:r>
        <w:t xml:space="preserve"> model described in the natural history model</w:t>
      </w:r>
      <m:oMath>
        <m:r>
          <w:rPr>
            <w:rFonts w:ascii="Cambria Math" w:hAnsi="Cambria Math"/>
          </w:rPr>
          <m:t xml:space="preserve"> </m:t>
        </m:r>
        <m:sSub>
          <m:sSubPr>
            <m:ctrlPr>
              <w:rPr>
                <w:rFonts w:ascii="Cambria Math" w:eastAsia="Calibri" w:hAnsi="Cambria Math" w:cs="Times New Roman"/>
                <w:b/>
                <w:bCs/>
                <w:i/>
                <w:lang w:bidi="ar-SA"/>
              </w:rPr>
            </m:ctrlPr>
          </m:sSubPr>
          <m:e>
            <m:r>
              <m:rPr>
                <m:sty m:val="bi"/>
              </m:rPr>
              <w:rPr>
                <w:rFonts w:ascii="Cambria Math" w:hAnsi="Cambria Math"/>
              </w:rPr>
              <m:t>β</m:t>
            </m:r>
          </m:e>
          <m:sub>
            <m:r>
              <m:rPr>
                <m:sty m:val="bi"/>
              </m:rPr>
              <w:rPr>
                <w:rFonts w:ascii="Cambria Math" w:eastAsia="Calibri" w:hAnsi="Cambria Math" w:cs="Times New Roman"/>
                <w:lang w:bidi="ar-SA"/>
              </w:rPr>
              <m:t>K</m:t>
            </m:r>
          </m:sub>
        </m:sSub>
      </m:oMath>
      <w:r>
        <w:t xml:space="preserve">. An additional coefficient for treatment was appended onto each of the organ damage </w:t>
      </w:r>
      <w:r w:rsidR="0090251C">
        <w:t xml:space="preserve">survival </w:t>
      </w:r>
      <w:r>
        <w:t>models to modify the risk of organ damage in treated patients (</w:t>
      </w:r>
      <w:r w:rsidRPr="00A75D8D">
        <w:rPr>
          <w:i/>
          <w:iCs/>
        </w:rPr>
        <w:t>D</w:t>
      </w:r>
      <w:r>
        <w:t xml:space="preserve">=1). The shape parameter (parameter 2 in </w:t>
      </w:r>
      <w:r w:rsidR="00E729BA">
        <w:fldChar w:fldCharType="begin"/>
      </w:r>
      <w:r>
        <w:instrText xml:space="preserve"> REF _Ref335652130 \h </w:instrText>
      </w:r>
      <w:r w:rsidR="00E729BA">
        <w:fldChar w:fldCharType="separate"/>
      </w:r>
      <w:r w:rsidR="004911B7">
        <w:t xml:space="preserve">Table </w:t>
      </w:r>
      <w:r w:rsidR="004911B7">
        <w:rPr>
          <w:noProof/>
        </w:rPr>
        <w:t>36</w:t>
      </w:r>
      <w:r w:rsidR="00E729BA">
        <w:fldChar w:fldCharType="end"/>
      </w:r>
      <w:r>
        <w:t xml:space="preserve">) of the organ damage </w:t>
      </w:r>
      <w:r w:rsidR="0090251C">
        <w:t xml:space="preserve">survival </w:t>
      </w:r>
      <w:r>
        <w:t>models was assumed to be unchanged by treatment.</w:t>
      </w:r>
    </w:p>
    <w:p w:rsidR="00C62F3A" w:rsidRDefault="00E729BA" w:rsidP="00CD42AE">
      <w:fldSimple w:instr=" REF _Ref332119802 \h  \* MERGEFORMAT ">
        <w:r w:rsidR="004911B7" w:rsidRPr="00293A0B">
          <w:t xml:space="preserve">Table </w:t>
        </w:r>
        <w:r w:rsidR="004911B7">
          <w:t>32</w:t>
        </w:r>
      </w:fldSimple>
      <w:r w:rsidR="00B124B6">
        <w:t xml:space="preserve"> of </w:t>
      </w:r>
      <w:r w:rsidR="00C62F3A">
        <w:t>C</w:t>
      </w:r>
      <w:r w:rsidR="00C62F3A" w:rsidRPr="004B7BD0">
        <w:t xml:space="preserve">hapter </w:t>
      </w:r>
      <w:r w:rsidR="00C62F3A">
        <w:t>5</w:t>
      </w:r>
      <w:r w:rsidR="00C62F3A" w:rsidRPr="004B7BD0">
        <w:t xml:space="preserve"> </w:t>
      </w:r>
      <w:r w:rsidR="00B124B6">
        <w:t>reported</w:t>
      </w:r>
      <w:r w:rsidR="00C62F3A" w:rsidRPr="004B7BD0">
        <w:t xml:space="preserve"> the estimates for</w:t>
      </w:r>
      <w:r w:rsidR="00C62F3A">
        <w:t xml:space="preserve"> the organ damage </w:t>
      </w:r>
      <w:r w:rsidR="0090251C">
        <w:t>survival</w:t>
      </w:r>
      <w:r w:rsidR="00C62F3A">
        <w:t xml:space="preserve"> model parameters </w:t>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k</m:t>
            </m:r>
          </m:sub>
        </m:sSub>
      </m:oMath>
      <w:r w:rsidR="00C62F3A">
        <w:t xml:space="preserve">  used in the BCTS. </w:t>
      </w:r>
      <w:r w:rsidR="00B124B6">
        <w:t xml:space="preserve">The variance-covariance matrix for the organ damage </w:t>
      </w:r>
      <w:r w:rsidR="0090251C">
        <w:t xml:space="preserve">survival </w:t>
      </w:r>
      <w:r w:rsidR="00B124B6">
        <w:t>models can be found in the Appendix</w:t>
      </w:r>
      <w:r w:rsidR="007F49FE">
        <w:t xml:space="preserve"> 11</w:t>
      </w:r>
      <w:r w:rsidR="00B124B6">
        <w:t xml:space="preserve">. </w:t>
      </w:r>
      <w:r w:rsidR="00C62F3A">
        <w:t>The</w:t>
      </w:r>
      <w:r w:rsidR="00B124B6">
        <w:t>se</w:t>
      </w:r>
      <w:r w:rsidR="00C62F3A">
        <w:t xml:space="preserve"> organ damage risk </w:t>
      </w:r>
      <w:r w:rsidR="00B124B6">
        <w:t xml:space="preserve">regressions were chosen because they included </w:t>
      </w:r>
      <w:r w:rsidR="00C62F3A">
        <w:t>organ involvement covariates</w:t>
      </w:r>
      <w:r w:rsidR="00B124B6">
        <w:t xml:space="preserve">, such as skin involvement to increase the risk of developing skin damage. </w:t>
      </w:r>
    </w:p>
    <w:p w:rsidR="00B124B6" w:rsidRDefault="00B124B6" w:rsidP="0090251C">
      <w:pPr>
        <w:rPr>
          <w:lang w:eastAsia="nl-NL"/>
        </w:rPr>
      </w:pPr>
      <w:r>
        <w:rPr>
          <w:lang w:eastAsia="nl-NL"/>
        </w:rPr>
        <w:t xml:space="preserve">The propensity of organ damage was assumed to be independent across organ systems. In contrast to SLEDAI items I did not impose a correlated latent risk to reflect unobserved propensity for organ damage. Frailty </w:t>
      </w:r>
      <w:r w:rsidR="0090251C">
        <w:rPr>
          <w:lang w:eastAsia="nl-NL"/>
        </w:rPr>
        <w:t xml:space="preserve">survival </w:t>
      </w:r>
      <w:r>
        <w:rPr>
          <w:lang w:eastAsia="nl-NL"/>
        </w:rPr>
        <w:t xml:space="preserve">models tested as part of the statistical analysis described in Chapter 5 </w:t>
      </w:r>
      <w:r w:rsidR="00D2457A">
        <w:rPr>
          <w:lang w:eastAsia="nl-NL"/>
        </w:rPr>
        <w:t xml:space="preserve">found that latent factors were not important in the organ damage </w:t>
      </w:r>
      <w:r w:rsidR="0090251C">
        <w:rPr>
          <w:lang w:eastAsia="nl-NL"/>
        </w:rPr>
        <w:t xml:space="preserve">survival </w:t>
      </w:r>
      <w:r w:rsidR="00D2457A">
        <w:rPr>
          <w:lang w:eastAsia="nl-NL"/>
        </w:rPr>
        <w:t xml:space="preserve">models, and their inclusion would have increased the complexity of the </w:t>
      </w:r>
      <w:r w:rsidR="0090251C">
        <w:rPr>
          <w:lang w:eastAsia="nl-NL"/>
        </w:rPr>
        <w:t>BCTS</w:t>
      </w:r>
      <w:r w:rsidR="00CD42AE">
        <w:rPr>
          <w:lang w:eastAsia="nl-NL"/>
        </w:rPr>
        <w:t xml:space="preserve"> (Appendix 8)</w:t>
      </w:r>
      <w:r w:rsidR="00D2457A">
        <w:rPr>
          <w:lang w:eastAsia="nl-NL"/>
        </w:rPr>
        <w:t>. Furthermore, disease activity and other patient characteristics will induce some correlation in the risk of organ damage.</w:t>
      </w:r>
    </w:p>
    <w:p w:rsidR="00C62F3A" w:rsidRDefault="00D2457A" w:rsidP="00CD42AE">
      <w:pPr>
        <w:rPr>
          <w:lang w:eastAsia="nl-NL"/>
        </w:rPr>
      </w:pPr>
      <w:r>
        <w:rPr>
          <w:lang w:eastAsia="nl-NL"/>
        </w:rPr>
        <w:t xml:space="preserve">A constraint was imposed in the </w:t>
      </w:r>
      <w:r w:rsidR="0090251C">
        <w:rPr>
          <w:lang w:eastAsia="nl-NL"/>
        </w:rPr>
        <w:t>BCTS</w:t>
      </w:r>
      <w:r>
        <w:rPr>
          <w:lang w:eastAsia="nl-NL"/>
        </w:rPr>
        <w:t xml:space="preserve"> to avoid over-estimation of organ damage. </w:t>
      </w:r>
      <w:r w:rsidR="00C62F3A">
        <w:rPr>
          <w:lang w:eastAsia="nl-NL"/>
        </w:rPr>
        <w:t>The simulation allows patients to accrue multiple damage events in those organ systems where more than one damage type is listed in the SLICC/ACR</w:t>
      </w:r>
      <w:r w:rsidR="00413CA8">
        <w:rPr>
          <w:lang w:eastAsia="nl-NL"/>
        </w:rPr>
        <w:t xml:space="preserve"> Damage Index</w:t>
      </w:r>
      <w:r w:rsidR="00C62F3A">
        <w:rPr>
          <w:lang w:eastAsia="nl-NL"/>
        </w:rPr>
        <w:t xml:space="preserve">. However, if patients reach the maximum number of events in that organ system the patients did not record any further damage in the simulation. For example, there are only two types of ocular damage; if a patient has a SLICC/ACR </w:t>
      </w:r>
      <w:r w:rsidR="00413CA8">
        <w:rPr>
          <w:lang w:eastAsia="nl-NL"/>
        </w:rPr>
        <w:t xml:space="preserve">Damage Index </w:t>
      </w:r>
      <w:r w:rsidR="00C62F3A">
        <w:rPr>
          <w:lang w:eastAsia="nl-NL"/>
        </w:rPr>
        <w:t>score of 2 for ocular damage additional ocular damage events</w:t>
      </w:r>
      <w:r w:rsidR="00CD42AE">
        <w:rPr>
          <w:lang w:eastAsia="nl-NL"/>
        </w:rPr>
        <w:t xml:space="preserve"> are not recorded in the simulation</w:t>
      </w:r>
      <w:r w:rsidR="00C62F3A">
        <w:rPr>
          <w:lang w:eastAsia="nl-NL"/>
        </w:rPr>
        <w:t>.</w:t>
      </w:r>
    </w:p>
    <w:p w:rsidR="00C62F3A" w:rsidRDefault="00C62F3A" w:rsidP="006452F1">
      <w:pPr>
        <w:pStyle w:val="Heading4"/>
        <w:rPr>
          <w:lang w:eastAsia="nl-NL"/>
        </w:rPr>
      </w:pPr>
      <w:bookmarkStart w:id="384" w:name="_Toc335051113"/>
      <w:bookmarkStart w:id="385" w:name="_Toc341366942"/>
      <w:r>
        <w:rPr>
          <w:lang w:eastAsia="nl-NL"/>
        </w:rPr>
        <w:t>Mortality</w:t>
      </w:r>
      <w:bookmarkEnd w:id="384"/>
      <w:bookmarkEnd w:id="385"/>
      <w:r>
        <w:rPr>
          <w:lang w:eastAsia="nl-NL"/>
        </w:rPr>
        <w:t xml:space="preserve"> </w:t>
      </w:r>
    </w:p>
    <w:p w:rsidR="00C62F3A" w:rsidRDefault="00206C7D" w:rsidP="00765E56">
      <w:pPr>
        <w:rPr>
          <w:lang w:eastAsia="nl-NL"/>
        </w:rPr>
      </w:pPr>
      <w:r>
        <w:rPr>
          <w:lang w:eastAsia="nl-NL"/>
        </w:rPr>
        <w:t>Mortality is a rare event during a clinical trial</w:t>
      </w:r>
      <w:r w:rsidR="00765E56">
        <w:rPr>
          <w:lang w:eastAsia="nl-NL"/>
        </w:rPr>
        <w:t xml:space="preserve"> of SLE</w:t>
      </w:r>
      <w:r>
        <w:rPr>
          <w:lang w:eastAsia="nl-NL"/>
        </w:rPr>
        <w:t>, but must be simulated to give a complete description of the natural history of the disease. A</w:t>
      </w:r>
      <w:r w:rsidR="00C62F3A">
        <w:rPr>
          <w:lang w:eastAsia="nl-NL"/>
        </w:rPr>
        <w:t xml:space="preserve"> Weibull survival distribution was used to assess the probability of death. </w:t>
      </w:r>
      <w:r w:rsidR="00C62F3A" w:rsidRPr="007D04D7">
        <w:rPr>
          <w:lang w:eastAsia="nl-NL"/>
        </w:rPr>
        <w:t xml:space="preserve">The probability of </w:t>
      </w:r>
      <w:r w:rsidR="00C62F3A">
        <w:rPr>
          <w:lang w:eastAsia="nl-NL"/>
        </w:rPr>
        <w:t>a patient dying</w:t>
      </w:r>
      <w:r w:rsidR="00C62F3A" w:rsidRPr="007D04D7">
        <w:rPr>
          <w:lang w:eastAsia="nl-NL"/>
        </w:rPr>
        <w:t xml:space="preserve"> in each </w:t>
      </w:r>
      <w:r w:rsidR="00C62F3A">
        <w:rPr>
          <w:lang w:eastAsia="nl-NL"/>
        </w:rPr>
        <w:t>period</w:t>
      </w:r>
      <w:r w:rsidR="00C62F3A" w:rsidRPr="007D04D7">
        <w:rPr>
          <w:lang w:eastAsia="nl-NL"/>
        </w:rPr>
        <w:t xml:space="preserve"> of the </w:t>
      </w:r>
      <w:r w:rsidR="00C62F3A">
        <w:rPr>
          <w:lang w:eastAsia="nl-NL"/>
        </w:rPr>
        <w:t>BCTS</w:t>
      </w:r>
      <w:r w:rsidR="00C62F3A" w:rsidRPr="007D04D7">
        <w:rPr>
          <w:lang w:eastAsia="nl-NL"/>
        </w:rPr>
        <w:t xml:space="preserve"> was </w:t>
      </w:r>
      <w:r w:rsidR="00C62F3A">
        <w:rPr>
          <w:lang w:eastAsia="nl-NL"/>
        </w:rPr>
        <w:t xml:space="preserve">estimated using the same method described in equation </w:t>
      </w:r>
      <w:r w:rsidR="00E729BA">
        <w:rPr>
          <w:lang w:eastAsia="nl-NL"/>
        </w:rPr>
        <w:fldChar w:fldCharType="begin"/>
      </w:r>
      <w:r w:rsidR="009914C2">
        <w:rPr>
          <w:lang w:eastAsia="nl-NL"/>
        </w:rPr>
        <w:instrText xml:space="preserve"> REF probability_6 \w \h </w:instrText>
      </w:r>
      <w:r w:rsidR="00E729BA">
        <w:rPr>
          <w:lang w:eastAsia="nl-NL"/>
        </w:rPr>
      </w:r>
      <w:r w:rsidR="00E729BA">
        <w:rPr>
          <w:lang w:eastAsia="nl-NL"/>
        </w:rPr>
        <w:fldChar w:fldCharType="separate"/>
      </w:r>
      <w:r w:rsidR="004911B7">
        <w:rPr>
          <w:cs/>
          <w:lang w:eastAsia="nl-NL"/>
        </w:rPr>
        <w:t>‎</w:t>
      </w:r>
      <w:r w:rsidR="004911B7">
        <w:rPr>
          <w:lang w:eastAsia="nl-NL"/>
        </w:rPr>
        <w:t>(6.5)</w:t>
      </w:r>
      <w:r w:rsidR="00E729BA">
        <w:rPr>
          <w:lang w:eastAsia="nl-NL"/>
        </w:rPr>
        <w:fldChar w:fldCharType="end"/>
      </w:r>
      <w:r>
        <w:rPr>
          <w:lang w:eastAsia="nl-NL"/>
        </w:rPr>
        <w:t xml:space="preserve"> for organ damage. </w:t>
      </w:r>
      <w:r w:rsidR="00FC126E">
        <w:rPr>
          <w:lang w:eastAsia="nl-NL"/>
        </w:rPr>
        <w:t xml:space="preserve">The proportional hazards Weibull model assumed that the covariates were multiplicatively related to the </w:t>
      </w:r>
      <w:r w:rsidR="00765E56">
        <w:rPr>
          <w:lang w:eastAsia="nl-NL"/>
        </w:rPr>
        <w:t>h</w:t>
      </w:r>
      <w:r w:rsidR="00FC126E">
        <w:rPr>
          <w:lang w:eastAsia="nl-NL"/>
        </w:rPr>
        <w:t xml:space="preserve">azard. </w:t>
      </w:r>
      <w:r w:rsidR="00C62F3A">
        <w:rPr>
          <w:lang w:eastAsia="nl-NL"/>
        </w:rPr>
        <w:t xml:space="preserve">The cumulative </w:t>
      </w:r>
      <w:r w:rsidR="00765E56">
        <w:rPr>
          <w:lang w:eastAsia="nl-NL"/>
        </w:rPr>
        <w:t xml:space="preserve">hazard </w:t>
      </w:r>
      <w:r w:rsidR="00C62F3A">
        <w:rPr>
          <w:lang w:eastAsia="nl-NL"/>
        </w:rPr>
        <w:t xml:space="preserve">for the Weibull distribution can be expressed as a two parameter </w:t>
      </w:r>
      <w:r w:rsidR="0090251C">
        <w:rPr>
          <w:lang w:eastAsia="nl-NL"/>
        </w:rPr>
        <w:t xml:space="preserve">survival </w:t>
      </w:r>
      <w:r w:rsidR="00C62F3A">
        <w:rPr>
          <w:lang w:eastAsia="nl-NL"/>
        </w:rPr>
        <w:t>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0"/>
        <w:gridCol w:w="6824"/>
        <w:gridCol w:w="1090"/>
      </w:tblGrid>
      <w:tr w:rsidR="002737EE" w:rsidTr="00FB7FA6">
        <w:trPr>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=λ</m:t>
                </m:r>
                <m:sSup>
                  <m:sSupPr>
                    <m:ctrlPr>
                      <w:rPr>
                        <w:rFonts w:ascii="Cambria Math" w:hAnsi="Cambria Math"/>
                        <w:i/>
                      </w:rPr>
                    </m:ctrlPr>
                  </m:sSupPr>
                  <m:e>
                    <m:r>
                      <w:rPr>
                        <w:rFonts w:ascii="Cambria Math" w:hAnsi="Cambria Math"/>
                      </w:rPr>
                      <m:t>t</m:t>
                    </m:r>
                  </m:e>
                  <m:sup>
                    <m:r>
                      <w:rPr>
                        <w:rFonts w:ascii="Cambria Math" w:hAnsi="Cambria Math"/>
                      </w:rPr>
                      <m:t>γ</m:t>
                    </m:r>
                  </m:sup>
                </m:sSup>
              </m:oMath>
            </m:oMathPara>
          </w:p>
        </w:tc>
        <w:tc>
          <w:tcPr>
            <w:tcW w:w="1196" w:type="dxa"/>
          </w:tcPr>
          <w:p w:rsidR="002737EE" w:rsidRDefault="002737EE" w:rsidP="009914C2">
            <w:pPr>
              <w:pStyle w:val="ListParagraph"/>
              <w:numPr>
                <w:ilvl w:val="1"/>
                <w:numId w:val="30"/>
              </w:numPr>
              <w:ind w:right="220"/>
              <w:jc w:val="right"/>
            </w:pPr>
          </w:p>
        </w:tc>
      </w:tr>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rPr>
                  <m:t>λ=</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
                        <w:bCs/>
                        <w:i/>
                      </w:rPr>
                    </m:ctrlPr>
                  </m:sSubPr>
                  <m:e>
                    <m:r>
                      <m:rPr>
                        <m:sty m:val="bi"/>
                      </m:rPr>
                      <w:rPr>
                        <w:rFonts w:ascii="Cambria Math" w:hAnsi="Cambria Math"/>
                      </w:rPr>
                      <m:t>β</m:t>
                    </m:r>
                  </m:e>
                  <m:sub>
                    <m:r>
                      <w:rPr>
                        <w:rFonts w:ascii="Cambria Math" w:hAnsi="Cambria Math"/>
                      </w:rPr>
                      <m:t>1:11</m:t>
                    </m:r>
                  </m:sub>
                </m:sSub>
                <m:sSub>
                  <m:sSubPr>
                    <m:ctrlPr>
                      <w:rPr>
                        <w:rFonts w:ascii="Cambria Math" w:hAnsi="Cambria Math"/>
                        <w:b/>
                        <w:bCs/>
                        <w:i/>
                      </w:rPr>
                    </m:ctrlPr>
                  </m:sSubPr>
                  <m:e>
                    <m:r>
                      <m:rPr>
                        <m:sty m:val="bi"/>
                      </m:rPr>
                      <w:rPr>
                        <w:rFonts w:ascii="Cambria Math" w:hAnsi="Cambria Math"/>
                      </w:rPr>
                      <m:t>X</m:t>
                    </m:r>
                  </m:e>
                  <m:sub>
                    <m:r>
                      <w:rPr>
                        <w:rFonts w:ascii="Cambria Math" w:hAnsi="Cambria Math"/>
                      </w:rPr>
                      <m:t>ij</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w:rPr>
                        <w:rFonts w:ascii="Cambria Math" w:hAnsi="Cambria Math"/>
                      </w:rPr>
                      <m:t>12</m:t>
                    </m:r>
                  </m:sub>
                </m:sSub>
                <m:r>
                  <w:rPr>
                    <w:rFonts w:ascii="Cambria Math" w:hAnsi="Cambria Math"/>
                  </w:rPr>
                  <m:t>D)</m:t>
                </m:r>
              </m:oMath>
            </m:oMathPara>
          </w:p>
        </w:tc>
        <w:tc>
          <w:tcPr>
            <w:tcW w:w="1196" w:type="dxa"/>
          </w:tcPr>
          <w:p w:rsidR="002737EE" w:rsidRDefault="002737EE" w:rsidP="009914C2">
            <w:pPr>
              <w:pStyle w:val="ListParagraph"/>
              <w:numPr>
                <w:ilvl w:val="1"/>
                <w:numId w:val="30"/>
              </w:numPr>
              <w:ind w:right="220"/>
              <w:jc w:val="right"/>
            </w:pPr>
            <w:bookmarkStart w:id="386" w:name="mortlambda_6"/>
            <w:bookmarkEnd w:id="386"/>
          </w:p>
        </w:tc>
      </w:tr>
    </w:tbl>
    <w:p w:rsidR="00C62F3A" w:rsidRDefault="00C62F3A" w:rsidP="00CD42AE">
      <w:r>
        <w:rPr>
          <w:lang w:eastAsia="nl-NL"/>
        </w:rPr>
        <w:t xml:space="preserve">where </w:t>
      </w:r>
      <m:oMath>
        <m:r>
          <w:rPr>
            <w:rFonts w:ascii="Cambria Math" w:hAnsi="Cambria Math"/>
          </w:rPr>
          <m:t>λ</m:t>
        </m:r>
      </m:oMath>
      <w:r>
        <w:t xml:space="preserve"> describes the scale of the distribution and </w:t>
      </w:r>
      <m:oMath>
        <m:r>
          <w:rPr>
            <w:rFonts w:ascii="Cambria Math" w:hAnsi="Cambria Math"/>
          </w:rPr>
          <m:t>γ</m:t>
        </m:r>
      </m:oMath>
      <w:r>
        <w:t xml:space="preserve"> is the shape parameter of the </w:t>
      </w:r>
      <w:r w:rsidR="0090251C">
        <w:t xml:space="preserve">survival </w:t>
      </w:r>
      <w:r>
        <w:t xml:space="preserve">model. The scale of the distribution is estimated from the baseline hazard </w:t>
      </w:r>
      <m:oMath>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oMath>
      <w:r>
        <w:rPr>
          <w:lang w:bidi="ar-SA"/>
        </w:rPr>
        <w:t xml:space="preserve"> </w:t>
      </w:r>
      <w:r>
        <w:t xml:space="preserve">and eleven covariate effects described in </w:t>
      </w:r>
      <w:r w:rsidR="00E729BA">
        <w:fldChar w:fldCharType="begin"/>
      </w:r>
      <w:r w:rsidR="00CD42AE">
        <w:instrText xml:space="preserve"> REF _Ref274837223 \h </w:instrText>
      </w:r>
      <w:r w:rsidR="00E729BA">
        <w:fldChar w:fldCharType="separate"/>
      </w:r>
      <w:r w:rsidR="004911B7">
        <w:t xml:space="preserve">Table </w:t>
      </w:r>
      <w:r w:rsidR="004911B7">
        <w:rPr>
          <w:noProof/>
        </w:rPr>
        <w:t>31</w:t>
      </w:r>
      <w:r w:rsidR="00E729BA">
        <w:fldChar w:fldCharType="end"/>
      </w:r>
      <w:r w:rsidR="00CD42AE">
        <w:t xml:space="preserve"> in Chapter 5 </w:t>
      </w:r>
      <m:oMath>
        <m:sSub>
          <m:sSubPr>
            <m:ctrlPr>
              <w:rPr>
                <w:rFonts w:ascii="Cambria Math" w:eastAsia="Calibri" w:hAnsi="Cambria Math" w:cs="Times New Roman"/>
                <w:b/>
                <w:bCs/>
                <w:i/>
                <w:lang w:bidi="ar-SA"/>
              </w:rPr>
            </m:ctrlPr>
          </m:sSubPr>
          <m:e>
            <m:r>
              <m:rPr>
                <m:sty m:val="bi"/>
              </m:rPr>
              <w:rPr>
                <w:rFonts w:ascii="Cambria Math" w:hAnsi="Cambria Math"/>
              </w:rPr>
              <m:t>β</m:t>
            </m:r>
          </m:e>
          <m:sub>
            <m:r>
              <w:rPr>
                <w:rFonts w:ascii="Cambria Math" w:hAnsi="Cambria Math"/>
              </w:rPr>
              <m:t>1:11</m:t>
            </m:r>
          </m:sub>
        </m:sSub>
      </m:oMath>
      <w:r>
        <w:t xml:space="preserve">. An additional coefficient for treatment can be appended onto the mortality </w:t>
      </w:r>
      <w:r w:rsidR="0090251C">
        <w:t xml:space="preserve">survival </w:t>
      </w:r>
      <w:r>
        <w:t>model to modify the risk of mortality in treated patients (</w:t>
      </w:r>
      <w:r w:rsidRPr="0097579C">
        <w:rPr>
          <w:i/>
          <w:iCs/>
        </w:rPr>
        <w:t>D</w:t>
      </w:r>
      <w:r>
        <w:t xml:space="preserve">=1). The shape parameter of the Weibull </w:t>
      </w:r>
      <w:r w:rsidR="0090251C">
        <w:t xml:space="preserve">survival </w:t>
      </w:r>
      <w:r>
        <w:t>model is assumed to be unchanged by treatment and the impact of treatment is made on the scale parameter</w:t>
      </w:r>
      <w:r w:rsidR="00FC126E">
        <w:t xml:space="preserve"> through the proportional hazards assumption</w:t>
      </w:r>
      <w:r>
        <w:t>.</w:t>
      </w:r>
    </w:p>
    <w:p w:rsidR="0087718E" w:rsidRPr="009F699E" w:rsidRDefault="00206C7D" w:rsidP="00736835">
      <w:pPr>
        <w:rPr>
          <w:lang w:eastAsia="nl-NL"/>
        </w:rPr>
      </w:pPr>
      <w:r>
        <w:t xml:space="preserve">Section </w:t>
      </w:r>
      <w:r w:rsidR="00E729BA">
        <w:fldChar w:fldCharType="begin"/>
      </w:r>
      <w:r>
        <w:instrText xml:space="preserve"> REF _Ref354831951 \n \h </w:instrText>
      </w:r>
      <w:r w:rsidR="00E729BA">
        <w:fldChar w:fldCharType="separate"/>
      </w:r>
      <w:r w:rsidR="004911B7">
        <w:rPr>
          <w:cs/>
        </w:rPr>
        <w:t>‎</w:t>
      </w:r>
      <w:r w:rsidR="004911B7">
        <w:t>5.2.4.1</w:t>
      </w:r>
      <w:r w:rsidR="00E729BA">
        <w:fldChar w:fldCharType="end"/>
      </w:r>
      <w:r>
        <w:t xml:space="preserve"> of </w:t>
      </w:r>
      <w:r w:rsidR="00C62F3A">
        <w:t>C</w:t>
      </w:r>
      <w:r w:rsidR="00C62F3A" w:rsidRPr="004B7BD0">
        <w:t xml:space="preserve">hapter </w:t>
      </w:r>
      <w:r w:rsidR="00C62F3A">
        <w:t>5 reports</w:t>
      </w:r>
      <w:r w:rsidR="00C62F3A" w:rsidRPr="004B7BD0">
        <w:t xml:space="preserve"> the estimates for</w:t>
      </w:r>
      <w:r w:rsidR="00C62F3A">
        <w:t xml:space="preserve"> mortality </w:t>
      </w:r>
      <w:r w:rsidR="0090251C">
        <w:t xml:space="preserve">survival </w:t>
      </w:r>
      <w:r w:rsidR="00C62F3A">
        <w:t xml:space="preserve">model parameters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11</m:t>
            </m:r>
          </m:sub>
        </m:sSub>
      </m:oMath>
      <w:r w:rsidR="00C62F3A">
        <w:t xml:space="preserve">  used in the BCTS. The </w:t>
      </w:r>
      <w:r w:rsidR="0090251C">
        <w:t xml:space="preserve">survival </w:t>
      </w:r>
      <w:r w:rsidR="00C62F3A">
        <w:t xml:space="preserve">models with haematological organ involvement, and plaquenil covariates were used to predict organ damage </w:t>
      </w:r>
      <w:r w:rsidR="00CD42AE">
        <w:t xml:space="preserve">and mortality </w:t>
      </w:r>
      <w:r w:rsidR="00C62F3A">
        <w:t>events in the BCTS. This was possible because the BCTS simulates a detailed description of the SLEDAI score.</w:t>
      </w:r>
      <w:r w:rsidR="00C62F3A" w:rsidRPr="00AC68A8">
        <w:t xml:space="preserve"> </w:t>
      </w:r>
      <w:r w:rsidR="00C62F3A">
        <w:t xml:space="preserve">The variance-covariance matrix for the mortality </w:t>
      </w:r>
      <w:r w:rsidR="0090251C">
        <w:t xml:space="preserve">survival </w:t>
      </w:r>
      <w:r w:rsidR="00C62F3A">
        <w:t>models can be found in the Appendix</w:t>
      </w:r>
      <w:r w:rsidR="007F49FE">
        <w:t xml:space="preserve"> 11</w:t>
      </w:r>
      <w:r w:rsidR="00C62F3A">
        <w:t xml:space="preserve">. </w:t>
      </w:r>
      <w:r w:rsidR="00C62F3A">
        <w:rPr>
          <w:lang w:eastAsia="nl-NL"/>
        </w:rPr>
        <w:t xml:space="preserve">At every </w:t>
      </w:r>
      <w:r w:rsidR="00FC126E">
        <w:rPr>
          <w:lang w:eastAsia="nl-NL"/>
        </w:rPr>
        <w:t xml:space="preserve">3 month cycle </w:t>
      </w:r>
      <w:r w:rsidR="00C62F3A">
        <w:rPr>
          <w:lang w:eastAsia="nl-NL"/>
        </w:rPr>
        <w:t>of the simulation a probability for mortality is calculated and events were sampled from the Bernoulli distribution.</w:t>
      </w:r>
    </w:p>
    <w:p w:rsidR="00C62F3A" w:rsidRDefault="00C62F3A" w:rsidP="006452F1">
      <w:pPr>
        <w:pStyle w:val="Heading4"/>
      </w:pPr>
      <w:bookmarkStart w:id="387" w:name="_Toc335051114"/>
      <w:bookmarkStart w:id="388" w:name="_Toc341366943"/>
      <w:r>
        <w:t>Concommitant Medications</w:t>
      </w:r>
      <w:bookmarkEnd w:id="387"/>
      <w:bookmarkEnd w:id="388"/>
    </w:p>
    <w:p w:rsidR="00C62F3A" w:rsidRDefault="00C62F3A" w:rsidP="008731E8">
      <w:r>
        <w:t xml:space="preserve">The list of concomitant medications permitted in an SLE clinical trial is extensive because of the breadth of organ systems involved in the SLE and the high prevalence of co-morbid conditions. Treatment regimens vary between geographical locations due to paucity of licensed treatments and evidenced based recommendations from large scale clinical trials. Consequently, it is not feasible to simulate a comprehensive list of concomitant medications for SLE patients. Discussion with </w:t>
      </w:r>
      <w:r w:rsidR="008731E8">
        <w:t>Professor</w:t>
      </w:r>
      <w:r w:rsidR="00CD42AE">
        <w:t xml:space="preserve"> Michelle Petri from the Hopkins Lupus Cohort </w:t>
      </w:r>
      <w:r>
        <w:t>identified three classes of drugs that affect the risk of long term outcomes in SLE; corticosteroids, immunosuppressants, and anti-malarials</w:t>
      </w:r>
      <w:r w:rsidR="001C3490">
        <w:t xml:space="preserve"> (March 2010)</w:t>
      </w:r>
      <w:r>
        <w:t xml:space="preserve">. </w:t>
      </w:r>
      <w:r w:rsidR="00765E56">
        <w:t xml:space="preserve">Broadly speaking corticosteroids and immunosuppressants increase the risk of organ damage and anti-malarials are protective against organ </w:t>
      </w:r>
      <w:r w:rsidR="0016510D">
        <w:t>damage. These</w:t>
      </w:r>
      <w:r>
        <w:t xml:space="preserve"> are simulated in the BCTS to describe concomitant medications.</w:t>
      </w:r>
    </w:p>
    <w:p w:rsidR="00C62F3A" w:rsidRDefault="00C62F3A" w:rsidP="009914C2">
      <w:r>
        <w:t xml:space="preserve">The </w:t>
      </w:r>
      <w:r w:rsidR="0090251C">
        <w:t>regression</w:t>
      </w:r>
      <w:r>
        <w:t xml:space="preserve"> model to predict steroid dose is the same as that described in Section</w:t>
      </w:r>
      <w:r w:rsidR="00206C7D">
        <w:t xml:space="preserve"> </w:t>
      </w:r>
      <w:r w:rsidR="00E729BA">
        <w:fldChar w:fldCharType="begin"/>
      </w:r>
      <w:r w:rsidR="00206C7D">
        <w:instrText xml:space="preserve"> REF _Ref354832133 \n \h </w:instrText>
      </w:r>
      <w:r w:rsidR="00E729BA">
        <w:fldChar w:fldCharType="separate"/>
      </w:r>
      <w:r w:rsidR="004911B7">
        <w:rPr>
          <w:cs/>
        </w:rPr>
        <w:t>‎</w:t>
      </w:r>
      <w:r w:rsidR="004911B7">
        <w:t>6.2.2.3</w:t>
      </w:r>
      <w:r w:rsidR="00E729BA">
        <w:fldChar w:fldCharType="end"/>
      </w:r>
      <w:r>
        <w:t xml:space="preserve">. The </w:t>
      </w:r>
      <w:r w:rsidR="0090251C">
        <w:t xml:space="preserve">Hurdle </w:t>
      </w:r>
      <w:r>
        <w:t xml:space="preserve">models estimate steroid in two stages, the first </w:t>
      </w:r>
      <w:r w:rsidR="0090251C">
        <w:t xml:space="preserve">regression </w:t>
      </w:r>
      <w:r>
        <w:t>model determines the probability that the patient is prescribed steroid</w:t>
      </w:r>
      <w:r w:rsidR="009914C2">
        <w:t xml:space="preserve"> (equation </w:t>
      </w:r>
      <w:r w:rsidR="00E729BA">
        <w:fldChar w:fldCharType="begin"/>
      </w:r>
      <w:r w:rsidR="009914C2">
        <w:instrText xml:space="preserve"> REF mu_6 \w \h </w:instrText>
      </w:r>
      <w:r w:rsidR="00E729BA">
        <w:fldChar w:fldCharType="separate"/>
      </w:r>
      <w:r w:rsidR="004911B7">
        <w:rPr>
          <w:cs/>
        </w:rPr>
        <w:t>‎</w:t>
      </w:r>
      <w:r w:rsidR="004911B7">
        <w:t>(6.2)</w:t>
      </w:r>
      <w:r w:rsidR="00E729BA">
        <w:fldChar w:fldCharType="end"/>
      </w:r>
      <w:r w:rsidR="009914C2">
        <w:t>)</w:t>
      </w:r>
      <w:r>
        <w:t>. The second stage estimates steroid dose</w:t>
      </w:r>
      <w:r w:rsidR="008134B7">
        <w:t xml:space="preserve"> from the Negative Binomial distribution</w:t>
      </w:r>
      <w:r w:rsidR="009914C2">
        <w:t xml:space="preserve"> (equation </w:t>
      </w:r>
      <w:r w:rsidR="00E729BA">
        <w:fldChar w:fldCharType="begin"/>
      </w:r>
      <w:r w:rsidR="009914C2">
        <w:instrText xml:space="preserve"> REF negbin_6 \w \h </w:instrText>
      </w:r>
      <w:r w:rsidR="00E729BA">
        <w:fldChar w:fldCharType="separate"/>
      </w:r>
      <w:r w:rsidR="004911B7">
        <w:rPr>
          <w:cs/>
        </w:rPr>
        <w:t>‎</w:t>
      </w:r>
      <w:r w:rsidR="004911B7">
        <w:t>(6.3)</w:t>
      </w:r>
      <w:r w:rsidR="00E729BA">
        <w:fldChar w:fldCharType="end"/>
      </w:r>
      <w:r w:rsidR="009914C2">
        <w:t>)</w:t>
      </w:r>
      <w:r>
        <w:t xml:space="preserve">. </w:t>
      </w:r>
    </w:p>
    <w:p w:rsidR="00C62F3A" w:rsidRDefault="00C62F3A" w:rsidP="00E51D6F">
      <w:r>
        <w:t>Treatment with immunosuppressants and anti-malarials are indicated with binary indicators. Patients are assumed to remain on these treatments during the clinical trials. Patients’ immunosuppressant and anti-</w:t>
      </w:r>
      <w:r w:rsidR="00E51D6F">
        <w:t>malarial status is determined at baseline</w:t>
      </w:r>
      <w:r>
        <w:t xml:space="preserve">, based on the characteristics of the Hopkins Lupus </w:t>
      </w:r>
      <w:r w:rsidR="00E51D6F">
        <w:t>Cohort described in Chapter 5. The simulation assumes a strict concomitant medications protocol in which no patients can initiate new treatments, other than steroids.</w:t>
      </w:r>
    </w:p>
    <w:p w:rsidR="00C62F3A" w:rsidRDefault="00C62F3A" w:rsidP="006452F1">
      <w:pPr>
        <w:pStyle w:val="Heading4"/>
      </w:pPr>
      <w:bookmarkStart w:id="389" w:name="_Toc335051115"/>
      <w:bookmarkStart w:id="390" w:name="_Toc341366944"/>
      <w:r>
        <w:t>Adverse events</w:t>
      </w:r>
      <w:bookmarkEnd w:id="389"/>
      <w:bookmarkEnd w:id="390"/>
    </w:p>
    <w:p w:rsidR="00584E81" w:rsidRDefault="00C62F3A" w:rsidP="00E51D6F">
      <w:r>
        <w:t xml:space="preserve">Adverse events are </w:t>
      </w:r>
      <w:r w:rsidR="00E51D6F">
        <w:t>recorded</w:t>
      </w:r>
      <w:r w:rsidR="008134B7">
        <w:t xml:space="preserve"> during a trial</w:t>
      </w:r>
      <w:r>
        <w:t xml:space="preserve"> to understand the safety profile of a new treatment. It </w:t>
      </w:r>
      <w:r w:rsidR="00E51D6F">
        <w:t xml:space="preserve">can be </w:t>
      </w:r>
      <w:r>
        <w:t>justifiable to exclude them from a CE model if there is no difference observed between the treatment arms</w:t>
      </w:r>
      <w:r w:rsidR="008134B7">
        <w:t>. In this situation</w:t>
      </w:r>
      <w:r>
        <w:t xml:space="preserve"> the adverse events would not impact on the economic evaluation outcomes. Evidence from previous clinical trials suggests that the differences between the proportions of adverse events between the treatment arms in previous studies were very small and not statistically significant</w:t>
      </w:r>
      <w:r w:rsidR="00E51D6F">
        <w:t xml:space="preserve"> </w:t>
      </w:r>
      <w:r w:rsidR="00E729BA">
        <w:fldChar w:fldCharType="begin"/>
      </w:r>
      <w:r w:rsidR="00FC61FD">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sidR="00E729BA">
        <w:fldChar w:fldCharType="separate"/>
      </w:r>
      <w:r w:rsidR="00F12F58">
        <w:t>(74;75)</w:t>
      </w:r>
      <w:r w:rsidR="00E729BA">
        <w:fldChar w:fldCharType="end"/>
      </w:r>
      <w:r>
        <w:t xml:space="preserve">. The focus of this research is to investigate how CE analyses can help to design future trial design. </w:t>
      </w:r>
      <w:r w:rsidR="008134B7">
        <w:t xml:space="preserve">Simulating adverse events would add to the complexity of the BCTS and it was decided that they could be excluded from this </w:t>
      </w:r>
      <w:r w:rsidR="0090251C">
        <w:t>BCTS</w:t>
      </w:r>
      <w:r w:rsidR="008134B7">
        <w:t xml:space="preserve"> if it was assumed that the hypothetical new treatment did not cause</w:t>
      </w:r>
      <w:r w:rsidR="00765E56">
        <w:t xml:space="preserve"> more</w:t>
      </w:r>
      <w:r w:rsidR="008134B7">
        <w:t xml:space="preserve"> adverse events</w:t>
      </w:r>
      <w:r w:rsidR="00765E56">
        <w:t xml:space="preserve"> than standard care</w:t>
      </w:r>
      <w:r>
        <w:t xml:space="preserve">. </w:t>
      </w:r>
    </w:p>
    <w:p w:rsidR="00C62F3A" w:rsidRDefault="00C62F3A" w:rsidP="006452F1">
      <w:pPr>
        <w:pStyle w:val="Heading4"/>
      </w:pPr>
      <w:bookmarkStart w:id="391" w:name="_Toc335051116"/>
      <w:bookmarkStart w:id="392" w:name="_Toc341366945"/>
      <w:bookmarkStart w:id="393" w:name="_Ref377895408"/>
      <w:r>
        <w:t>Patient Withdrawal from the Trial</w:t>
      </w:r>
      <w:bookmarkEnd w:id="391"/>
      <w:bookmarkEnd w:id="392"/>
      <w:bookmarkEnd w:id="393"/>
    </w:p>
    <w:p w:rsidR="00C62F3A" w:rsidRDefault="00C62F3A" w:rsidP="006B182D">
      <w:r>
        <w:t xml:space="preserve">In the BCTS, patients </w:t>
      </w:r>
      <w:r w:rsidR="006B182D">
        <w:t>could</w:t>
      </w:r>
      <w:r>
        <w:t xml:space="preserve"> withdraw from the trial at </w:t>
      </w:r>
      <w:r w:rsidR="006B182D">
        <w:t>any</w:t>
      </w:r>
      <w:r>
        <w:t xml:space="preserve"> clinic visit for both treatment arms. The risk of withdrawal from the clinical trial was modelled using the exponential distribution and </w:t>
      </w:r>
      <w:r w:rsidR="00E51D6F">
        <w:t xml:space="preserve">a </w:t>
      </w:r>
      <w:r>
        <w:t xml:space="preserve">coefficient for treatment arm was included. The hazard rate for the exponential distribution can be estimated as a function of the log-baseline hazard rate plus the log hazard ratio for treatment.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7"/>
        <w:gridCol w:w="6837"/>
        <w:gridCol w:w="1080"/>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sz w:val="20"/>
                    <w:lang w:eastAsia="nl-NL"/>
                  </w:rPr>
                  <m:t>λ</m:t>
                </m:r>
                <m:r>
                  <w:rPr>
                    <w:rFonts w:ascii="Cambria Math"/>
                    <w:sz w:val="20"/>
                    <w:lang w:eastAsia="nl-NL"/>
                  </w:rPr>
                  <m:t>=</m:t>
                </m:r>
                <m:func>
                  <m:funcPr>
                    <m:ctrlPr>
                      <w:rPr>
                        <w:rFonts w:ascii="Cambria Math" w:hAnsi="Cambria Math"/>
                        <w:i/>
                        <w:sz w:val="20"/>
                        <w:lang w:eastAsia="nl-NL"/>
                      </w:rPr>
                    </m:ctrlPr>
                  </m:funcPr>
                  <m:fName>
                    <m:func>
                      <m:funcPr>
                        <m:ctrlPr>
                          <w:rPr>
                            <w:rFonts w:ascii="Cambria Math" w:hAnsi="Cambria Math"/>
                            <w:sz w:val="20"/>
                            <w:lang w:eastAsia="nl-NL"/>
                          </w:rPr>
                        </m:ctrlPr>
                      </m:funcPr>
                      <m:fName>
                        <m:r>
                          <m:rPr>
                            <m:sty m:val="p"/>
                          </m:rPr>
                          <w:rPr>
                            <w:rFonts w:ascii="Cambria Math" w:hAnsi="Cambria Math"/>
                            <w:sz w:val="20"/>
                            <w:lang w:eastAsia="nl-NL"/>
                          </w:rPr>
                          <m:t>exp</m:t>
                        </m:r>
                      </m:fName>
                      <m:e>
                        <m:d>
                          <m:dPr>
                            <m:ctrlPr>
                              <w:rPr>
                                <w:rFonts w:ascii="Cambria Math" w:hAnsi="Cambria Math"/>
                                <w:i/>
                                <w:sz w:val="20"/>
                                <w:lang w:eastAsia="nl-NL"/>
                              </w:rPr>
                            </m:ctrlPr>
                          </m:dPr>
                          <m:e>
                            <m:sSub>
                              <m:sSubPr>
                                <m:ctrlPr>
                                  <w:rPr>
                                    <w:rFonts w:ascii="Cambria Math" w:hAnsi="Cambria Math"/>
                                    <w:bCs/>
                                    <w:i/>
                                    <w:sz w:val="20"/>
                                    <w:lang w:eastAsia="nl-NL"/>
                                  </w:rPr>
                                </m:ctrlPr>
                              </m:sSubPr>
                              <m:e>
                                <m:r>
                                  <w:rPr>
                                    <w:rFonts w:ascii="Cambria Math" w:hAnsi="Cambria Math"/>
                                    <w:sz w:val="20"/>
                                    <w:lang w:eastAsia="nl-NL"/>
                                  </w:rPr>
                                  <m:t>β</m:t>
                                </m:r>
                              </m:e>
                              <m:sub>
                                <m:r>
                                  <w:rPr>
                                    <w:rFonts w:ascii="Cambria Math" w:hAnsi="Cambria Math"/>
                                    <w:sz w:val="20"/>
                                    <w:lang w:eastAsia="nl-NL"/>
                                  </w:rPr>
                                  <m:t>0</m:t>
                                </m:r>
                              </m:sub>
                            </m:sSub>
                            <m:r>
                              <w:rPr>
                                <w:rFonts w:ascii="Cambria Math" w:hAnsi="Cambria Math"/>
                                <w:sz w:val="20"/>
                                <w:lang w:eastAsia="nl-NL"/>
                              </w:rPr>
                              <m:t>+</m:t>
                            </m:r>
                            <m:sSub>
                              <m:sSubPr>
                                <m:ctrlPr>
                                  <w:rPr>
                                    <w:rFonts w:ascii="Cambria Math" w:hAnsi="Cambria Math"/>
                                    <w:bCs/>
                                    <w:i/>
                                    <w:sz w:val="20"/>
                                    <w:lang w:eastAsia="nl-NL"/>
                                  </w:rPr>
                                </m:ctrlPr>
                              </m:sSubPr>
                              <m:e>
                                <m:r>
                                  <w:rPr>
                                    <w:rFonts w:ascii="Cambria Math" w:hAnsi="Cambria Math"/>
                                    <w:sz w:val="20"/>
                                    <w:lang w:eastAsia="nl-NL"/>
                                  </w:rPr>
                                  <m:t>β</m:t>
                                </m:r>
                              </m:e>
                              <m:sub>
                                <m:r>
                                  <w:rPr>
                                    <w:rFonts w:ascii="Cambria Math" w:hAnsi="Cambria Math"/>
                                    <w:sz w:val="20"/>
                                    <w:lang w:eastAsia="nl-NL"/>
                                  </w:rPr>
                                  <m:t>1</m:t>
                                </m:r>
                              </m:sub>
                            </m:sSub>
                            <m:r>
                              <w:rPr>
                                <w:rFonts w:ascii="Cambria Math" w:hAnsi="Cambria Math"/>
                                <w:sz w:val="20"/>
                                <w:lang w:eastAsia="nl-NL"/>
                              </w:rPr>
                              <m:t>D</m:t>
                            </m:r>
                          </m:e>
                        </m:d>
                      </m:e>
                    </m:func>
                    <m:r>
                      <m:rPr>
                        <m:sty m:val="p"/>
                      </m:rPr>
                      <w:rPr>
                        <w:rFonts w:ascii="Cambria Math" w:hAnsi="Cambria Math"/>
                        <w:sz w:val="20"/>
                        <w:lang w:eastAsia="nl-NL"/>
                      </w:rPr>
                      <m:t xml:space="preserve"> </m:t>
                    </m:r>
                    <m:r>
                      <m:rPr>
                        <m:sty m:val="p"/>
                      </m:rPr>
                      <w:rPr>
                        <w:rFonts w:ascii="Cambria Math" w:eastAsia="Cambria Math" w:hAnsi="Cambria Math" w:cs="Cambria Math"/>
                        <w:sz w:val="20"/>
                        <w:lang w:eastAsia="nl-NL"/>
                      </w:rPr>
                      <m:t xml:space="preserve"> </m:t>
                    </m:r>
                  </m:fName>
                  <m:e>
                    <m:r>
                      <w:rPr>
                        <w:rFonts w:ascii="Cambria Math" w:hAnsi="Cambria Math"/>
                        <w:sz w:val="20"/>
                        <w:lang w:eastAsia="nl-NL"/>
                      </w:rPr>
                      <m:t xml:space="preserve"> </m:t>
                    </m:r>
                  </m:e>
                </m:func>
              </m:oMath>
            </m:oMathPara>
          </w:p>
        </w:tc>
        <w:tc>
          <w:tcPr>
            <w:tcW w:w="1196" w:type="dxa"/>
          </w:tcPr>
          <w:p w:rsidR="002737EE" w:rsidRDefault="002737EE" w:rsidP="00597CF5">
            <w:pPr>
              <w:pStyle w:val="ListParagraph"/>
              <w:numPr>
                <w:ilvl w:val="1"/>
                <w:numId w:val="30"/>
              </w:numPr>
              <w:bidi/>
              <w:ind w:right="220"/>
              <w:jc w:val="right"/>
            </w:pPr>
          </w:p>
        </w:tc>
      </w:tr>
    </w:tbl>
    <w:p w:rsidR="00C62F3A" w:rsidRDefault="00C62F3A" w:rsidP="008134B7">
      <w:r>
        <w:t xml:space="preserve">where </w:t>
      </w:r>
      <m:oMath>
        <m:r>
          <w:rPr>
            <w:rFonts w:ascii="Cambria Math" w:hAnsi="Cambria Math"/>
            <w:sz w:val="20"/>
            <w:lang w:eastAsia="nl-NL"/>
          </w:rPr>
          <m:t>λ</m:t>
        </m:r>
      </m:oMath>
      <w:r>
        <w:t xml:space="preserve"> describes the hazard, </w:t>
      </w:r>
      <m:oMath>
        <m:sSub>
          <m:sSubPr>
            <m:ctrlPr>
              <w:rPr>
                <w:rFonts w:ascii="Cambria Math" w:hAnsi="Cambria Math"/>
                <w:bCs/>
                <w:i/>
                <w:sz w:val="20"/>
                <w:lang w:eastAsia="nl-NL"/>
              </w:rPr>
            </m:ctrlPr>
          </m:sSubPr>
          <m:e>
            <m:r>
              <w:rPr>
                <w:rFonts w:ascii="Cambria Math" w:hAnsi="Cambria Math"/>
                <w:sz w:val="20"/>
                <w:lang w:eastAsia="nl-NL"/>
              </w:rPr>
              <m:t>β</m:t>
            </m:r>
          </m:e>
          <m:sub>
            <m:r>
              <w:rPr>
                <w:rFonts w:ascii="Cambria Math" w:hAnsi="Cambria Math"/>
                <w:sz w:val="20"/>
                <w:lang w:eastAsia="nl-NL"/>
              </w:rPr>
              <m:t>0</m:t>
            </m:r>
          </m:sub>
        </m:sSub>
      </m:oMath>
      <w:r>
        <w:rPr>
          <w:bCs/>
          <w:sz w:val="20"/>
          <w:lang w:eastAsia="nl-NL"/>
        </w:rPr>
        <w:t xml:space="preserve"> </w:t>
      </w:r>
      <w:r w:rsidRPr="0031270F">
        <w:t>is the log-baseline hazard</w:t>
      </w:r>
      <w:r>
        <w:rPr>
          <w:bCs/>
          <w:sz w:val="20"/>
          <w:lang w:eastAsia="nl-NL"/>
        </w:rPr>
        <w:t xml:space="preserve">, </w:t>
      </w:r>
      <m:oMath>
        <m:sSub>
          <m:sSubPr>
            <m:ctrlPr>
              <w:rPr>
                <w:rFonts w:ascii="Cambria Math" w:hAnsi="Cambria Math"/>
                <w:bCs/>
                <w:i/>
                <w:sz w:val="20"/>
                <w:lang w:eastAsia="nl-NL"/>
              </w:rPr>
            </m:ctrlPr>
          </m:sSubPr>
          <m:e>
            <m:r>
              <w:rPr>
                <w:rFonts w:ascii="Cambria Math" w:hAnsi="Cambria Math"/>
                <w:sz w:val="20"/>
                <w:lang w:eastAsia="nl-NL"/>
              </w:rPr>
              <m:t>β</m:t>
            </m:r>
          </m:e>
          <m:sub>
            <m:r>
              <w:rPr>
                <w:rFonts w:ascii="Cambria Math" w:hAnsi="Cambria Math"/>
                <w:sz w:val="20"/>
                <w:lang w:eastAsia="nl-NL"/>
              </w:rPr>
              <m:t>1</m:t>
            </m:r>
          </m:sub>
        </m:sSub>
      </m:oMath>
      <w:r>
        <w:rPr>
          <w:bCs/>
          <w:sz w:val="20"/>
          <w:lang w:eastAsia="nl-NL"/>
        </w:rPr>
        <w:t xml:space="preserve"> </w:t>
      </w:r>
      <w:r w:rsidRPr="0031270F">
        <w:t>is the log hazard ratio for treatment and</w:t>
      </w:r>
      <w:r>
        <w:rPr>
          <w:bCs/>
          <w:sz w:val="20"/>
          <w:lang w:eastAsia="nl-NL"/>
        </w:rPr>
        <w:t xml:space="preserve"> </w:t>
      </w:r>
      <m:oMath>
        <m:r>
          <w:rPr>
            <w:rFonts w:ascii="Cambria Math" w:hAnsi="Cambria Math"/>
            <w:sz w:val="20"/>
            <w:lang w:eastAsia="nl-NL"/>
          </w:rPr>
          <m:t>D</m:t>
        </m:r>
      </m:oMath>
      <w:r>
        <w:t xml:space="preserve"> indicates whether the patient was randomised to receive treatment. These beta parameters were assumed to be normally distributed and independent. The estimated hazard rate was converted into a probability using the following conversion: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6827"/>
        <w:gridCol w:w="1088"/>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rPr>
                  <m:t>p</m:t>
                </m:r>
                <m:r>
                  <m:rPr>
                    <m:sty m:val="p"/>
                  </m:rPr>
                  <w:rPr>
                    <w:rFonts w:ascii="Cambria Math" w:hAnsi="Cambria Math"/>
                  </w:rPr>
                  <m:t>=1-exp⁡(-λt)</m:t>
                </m:r>
              </m:oMath>
            </m:oMathPara>
          </w:p>
        </w:tc>
        <w:tc>
          <w:tcPr>
            <w:tcW w:w="1196" w:type="dxa"/>
          </w:tcPr>
          <w:p w:rsidR="002737EE" w:rsidRDefault="002737EE" w:rsidP="00597CF5">
            <w:pPr>
              <w:pStyle w:val="ListParagraph"/>
              <w:numPr>
                <w:ilvl w:val="1"/>
                <w:numId w:val="30"/>
              </w:numPr>
              <w:bidi/>
              <w:ind w:right="220"/>
              <w:jc w:val="right"/>
            </w:pPr>
          </w:p>
        </w:tc>
      </w:tr>
    </w:tbl>
    <w:p w:rsidR="00E51D6F" w:rsidRDefault="00C62F3A" w:rsidP="00C419FD">
      <w:pPr>
        <w:rPr>
          <w:b/>
          <w:bCs/>
          <w:sz w:val="18"/>
          <w:szCs w:val="16"/>
        </w:rPr>
      </w:pPr>
      <w:r>
        <w:t xml:space="preserve">In a real-life scenario it is likely that the rate of withdrawal would be based on data from a Phase II clinical trial for the </w:t>
      </w:r>
      <w:r w:rsidR="008134B7">
        <w:t xml:space="preserve">new </w:t>
      </w:r>
      <w:r>
        <w:t xml:space="preserve">treatment. </w:t>
      </w:r>
      <w:r w:rsidR="008134B7">
        <w:t>I</w:t>
      </w:r>
      <w:r>
        <w:t>n th</w:t>
      </w:r>
      <w:r w:rsidR="008134B7">
        <w:t xml:space="preserve">is hypothetical case there is an absence of </w:t>
      </w:r>
      <w:r>
        <w:t>data from a Phase II trial</w:t>
      </w:r>
      <w:r w:rsidR="008134B7">
        <w:t xml:space="preserve"> to provide this data. W</w:t>
      </w:r>
      <w:r>
        <w:t>ithdrawal rates are estimated from previous clinical trials in SLE (Trials identified in Chapter 2). The rates of withdrawal in placebo controlled arms and activity treatment arms were extracted from data from previous clinical trials.</w:t>
      </w:r>
      <w:r w:rsidR="0016789D">
        <w:t xml:space="preserve"> </w:t>
      </w:r>
      <w:fldSimple w:instr=" REF _Ref379468515 \h  \* MERGEFORMAT ">
        <w:r w:rsidR="004911B7">
          <w:t xml:space="preserve">Table </w:t>
        </w:r>
        <w:r w:rsidR="004911B7">
          <w:rPr>
            <w:noProof/>
          </w:rPr>
          <w:t>37</w:t>
        </w:r>
      </w:fldSimple>
      <w:r w:rsidR="00C419FD">
        <w:t xml:space="preserve"> </w:t>
      </w:r>
      <w:r>
        <w:t>reports the proportion of patients withdrawn from the clinical trials for the placebo and new treatment arms. A weighted average withdrawal rate and variance was calculated for the placebo arm</w:t>
      </w:r>
      <w:r w:rsidR="000F72CB">
        <w:t xml:space="preserve"> based on trial sample size</w:t>
      </w:r>
      <w:r>
        <w:t xml:space="preserve">. The differences between the placebo and treatment arms were used to estimate the log hazard ratio for treatment effect using the same weights. </w:t>
      </w:r>
      <w:bookmarkStart w:id="394" w:name="_Ref332722251"/>
    </w:p>
    <w:p w:rsidR="00C62F3A" w:rsidRDefault="00C62F3A" w:rsidP="00234693">
      <w:pPr>
        <w:pStyle w:val="Caption"/>
      </w:pPr>
      <w:bookmarkStart w:id="395" w:name="_Ref364078517"/>
      <w:bookmarkStart w:id="396" w:name="_Ref379468515"/>
      <w:r>
        <w:t xml:space="preserve">Table </w:t>
      </w:r>
      <w:fldSimple w:instr=" SEQ Table \* ARABIC ">
        <w:r w:rsidR="004911B7">
          <w:rPr>
            <w:noProof/>
          </w:rPr>
          <w:t>37</w:t>
        </w:r>
      </w:fldSimple>
      <w:bookmarkEnd w:id="394"/>
      <w:bookmarkEnd w:id="395"/>
      <w:bookmarkEnd w:id="396"/>
      <w:r>
        <w:t>: Withdrawal rates for simulation calculated from published clinical trials in SLE patients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906"/>
        <w:gridCol w:w="659"/>
        <w:gridCol w:w="870"/>
        <w:gridCol w:w="1599"/>
        <w:gridCol w:w="1428"/>
        <w:gridCol w:w="1472"/>
        <w:gridCol w:w="1480"/>
      </w:tblGrid>
      <w:tr w:rsidR="00C62F3A" w:rsidRPr="00CE73BB" w:rsidTr="00C62F3A">
        <w:tc>
          <w:tcPr>
            <w:tcW w:w="940" w:type="dxa"/>
            <w:vMerge w:val="restart"/>
            <w:tcBorders>
              <w:top w:val="single" w:sz="8" w:space="0" w:color="auto"/>
              <w:bottom w:val="nil"/>
            </w:tcBorders>
          </w:tcPr>
          <w:p w:rsidR="00C62F3A" w:rsidRPr="00CE73BB" w:rsidRDefault="00C62F3A" w:rsidP="00C62F3A">
            <w:pPr>
              <w:spacing w:line="276" w:lineRule="auto"/>
              <w:jc w:val="center"/>
              <w:rPr>
                <w:sz w:val="18"/>
                <w:szCs w:val="18"/>
              </w:rPr>
            </w:pPr>
            <w:r w:rsidRPr="00CE73BB">
              <w:rPr>
                <w:sz w:val="18"/>
                <w:szCs w:val="18"/>
              </w:rPr>
              <w:t>Author</w:t>
            </w:r>
          </w:p>
        </w:tc>
        <w:tc>
          <w:tcPr>
            <w:tcW w:w="688" w:type="dxa"/>
            <w:vMerge w:val="restart"/>
            <w:tcBorders>
              <w:top w:val="single" w:sz="8" w:space="0" w:color="auto"/>
              <w:bottom w:val="nil"/>
            </w:tcBorders>
          </w:tcPr>
          <w:p w:rsidR="00C62F3A" w:rsidRPr="00CE73BB" w:rsidRDefault="00C62F3A" w:rsidP="00C62F3A">
            <w:pPr>
              <w:spacing w:line="276" w:lineRule="auto"/>
              <w:jc w:val="center"/>
              <w:rPr>
                <w:sz w:val="18"/>
                <w:szCs w:val="18"/>
              </w:rPr>
            </w:pPr>
            <w:r w:rsidRPr="00CE73BB">
              <w:rPr>
                <w:sz w:val="18"/>
                <w:szCs w:val="18"/>
              </w:rPr>
              <w:t>Year</w:t>
            </w:r>
          </w:p>
        </w:tc>
        <w:tc>
          <w:tcPr>
            <w:tcW w:w="910" w:type="dxa"/>
            <w:vMerge w:val="restart"/>
            <w:tcBorders>
              <w:top w:val="single" w:sz="8" w:space="0" w:color="auto"/>
              <w:bottom w:val="nil"/>
            </w:tcBorders>
          </w:tcPr>
          <w:p w:rsidR="00C62F3A" w:rsidRPr="00CE73BB" w:rsidRDefault="00C62F3A" w:rsidP="00C62F3A">
            <w:pPr>
              <w:spacing w:line="276" w:lineRule="auto"/>
              <w:jc w:val="center"/>
              <w:rPr>
                <w:sz w:val="18"/>
                <w:szCs w:val="18"/>
              </w:rPr>
            </w:pPr>
            <w:r w:rsidRPr="00CE73BB">
              <w:rPr>
                <w:sz w:val="18"/>
                <w:szCs w:val="18"/>
              </w:rPr>
              <w:t>Sample size</w:t>
            </w:r>
          </w:p>
        </w:tc>
        <w:tc>
          <w:tcPr>
            <w:tcW w:w="1747" w:type="dxa"/>
            <w:vMerge w:val="restart"/>
            <w:tcBorders>
              <w:top w:val="single" w:sz="8" w:space="0" w:color="auto"/>
              <w:bottom w:val="nil"/>
            </w:tcBorders>
          </w:tcPr>
          <w:p w:rsidR="00C62F3A" w:rsidRPr="00CE73BB" w:rsidRDefault="00C62F3A" w:rsidP="00C62F3A">
            <w:pPr>
              <w:spacing w:line="276" w:lineRule="auto"/>
              <w:jc w:val="center"/>
              <w:rPr>
                <w:sz w:val="18"/>
                <w:szCs w:val="18"/>
              </w:rPr>
            </w:pPr>
            <w:r w:rsidRPr="00CE73BB">
              <w:rPr>
                <w:sz w:val="18"/>
                <w:szCs w:val="18"/>
              </w:rPr>
              <w:t>New treatment</w:t>
            </w:r>
          </w:p>
        </w:tc>
        <w:tc>
          <w:tcPr>
            <w:tcW w:w="4957" w:type="dxa"/>
            <w:gridSpan w:val="3"/>
            <w:tcBorders>
              <w:top w:val="single" w:sz="8" w:space="0" w:color="auto"/>
              <w:bottom w:val="nil"/>
            </w:tcBorders>
          </w:tcPr>
          <w:p w:rsidR="00C62F3A" w:rsidRPr="00CE73BB" w:rsidRDefault="00C62F3A" w:rsidP="00C62F3A">
            <w:pPr>
              <w:spacing w:line="276" w:lineRule="auto"/>
              <w:jc w:val="center"/>
              <w:rPr>
                <w:sz w:val="18"/>
                <w:szCs w:val="18"/>
              </w:rPr>
            </w:pPr>
            <w:r w:rsidRPr="00CE73BB">
              <w:rPr>
                <w:sz w:val="18"/>
                <w:szCs w:val="18"/>
              </w:rPr>
              <w:t>Proportion of patients withdrawn from the trial after 12 months</w:t>
            </w:r>
          </w:p>
        </w:tc>
      </w:tr>
      <w:tr w:rsidR="00C62F3A" w:rsidRPr="00CE73BB" w:rsidTr="00C62F3A">
        <w:tc>
          <w:tcPr>
            <w:tcW w:w="940" w:type="dxa"/>
            <w:vMerge/>
            <w:tcBorders>
              <w:top w:val="nil"/>
              <w:bottom w:val="single" w:sz="4" w:space="0" w:color="auto"/>
            </w:tcBorders>
          </w:tcPr>
          <w:p w:rsidR="00C62F3A" w:rsidRPr="00CE73BB" w:rsidRDefault="00C62F3A" w:rsidP="00C62F3A">
            <w:pPr>
              <w:spacing w:line="276" w:lineRule="auto"/>
              <w:jc w:val="center"/>
              <w:rPr>
                <w:sz w:val="18"/>
                <w:szCs w:val="18"/>
              </w:rPr>
            </w:pPr>
          </w:p>
        </w:tc>
        <w:tc>
          <w:tcPr>
            <w:tcW w:w="688" w:type="dxa"/>
            <w:vMerge/>
            <w:tcBorders>
              <w:top w:val="nil"/>
              <w:bottom w:val="single" w:sz="4" w:space="0" w:color="auto"/>
            </w:tcBorders>
          </w:tcPr>
          <w:p w:rsidR="00C62F3A" w:rsidRPr="00CE73BB" w:rsidRDefault="00C62F3A" w:rsidP="00C62F3A">
            <w:pPr>
              <w:spacing w:line="276" w:lineRule="auto"/>
              <w:jc w:val="center"/>
              <w:rPr>
                <w:sz w:val="18"/>
                <w:szCs w:val="18"/>
              </w:rPr>
            </w:pPr>
          </w:p>
        </w:tc>
        <w:tc>
          <w:tcPr>
            <w:tcW w:w="910" w:type="dxa"/>
            <w:vMerge/>
            <w:tcBorders>
              <w:top w:val="nil"/>
              <w:bottom w:val="single" w:sz="4" w:space="0" w:color="auto"/>
            </w:tcBorders>
          </w:tcPr>
          <w:p w:rsidR="00C62F3A" w:rsidRPr="00CE73BB" w:rsidRDefault="00C62F3A" w:rsidP="00C62F3A">
            <w:pPr>
              <w:spacing w:line="276" w:lineRule="auto"/>
              <w:jc w:val="center"/>
              <w:rPr>
                <w:sz w:val="18"/>
                <w:szCs w:val="18"/>
              </w:rPr>
            </w:pPr>
          </w:p>
        </w:tc>
        <w:tc>
          <w:tcPr>
            <w:tcW w:w="1747" w:type="dxa"/>
            <w:vMerge/>
            <w:tcBorders>
              <w:top w:val="nil"/>
              <w:bottom w:val="single" w:sz="4" w:space="0" w:color="auto"/>
            </w:tcBorders>
          </w:tcPr>
          <w:p w:rsidR="00C62F3A" w:rsidRPr="00CE73BB" w:rsidRDefault="00C62F3A" w:rsidP="00C62F3A">
            <w:pPr>
              <w:spacing w:line="276" w:lineRule="auto"/>
              <w:jc w:val="center"/>
              <w:rPr>
                <w:sz w:val="18"/>
                <w:szCs w:val="18"/>
              </w:rPr>
            </w:pPr>
          </w:p>
        </w:tc>
        <w:tc>
          <w:tcPr>
            <w:tcW w:w="1652" w:type="dxa"/>
            <w:tcBorders>
              <w:top w:val="nil"/>
              <w:bottom w:val="single" w:sz="4" w:space="0" w:color="auto"/>
            </w:tcBorders>
          </w:tcPr>
          <w:p w:rsidR="00C62F3A" w:rsidRPr="00CE73BB" w:rsidRDefault="00C62F3A" w:rsidP="00C62F3A">
            <w:pPr>
              <w:spacing w:line="276" w:lineRule="auto"/>
              <w:jc w:val="center"/>
              <w:rPr>
                <w:sz w:val="18"/>
                <w:szCs w:val="18"/>
              </w:rPr>
            </w:pPr>
            <w:r w:rsidRPr="00CE73BB">
              <w:rPr>
                <w:sz w:val="18"/>
                <w:szCs w:val="18"/>
              </w:rPr>
              <w:t>Placebo</w:t>
            </w:r>
          </w:p>
        </w:tc>
        <w:tc>
          <w:tcPr>
            <w:tcW w:w="1652" w:type="dxa"/>
            <w:tcBorders>
              <w:top w:val="nil"/>
              <w:bottom w:val="single" w:sz="4" w:space="0" w:color="auto"/>
            </w:tcBorders>
          </w:tcPr>
          <w:p w:rsidR="00C62F3A" w:rsidRPr="00CE73BB" w:rsidRDefault="00C62F3A" w:rsidP="00C62F3A">
            <w:pPr>
              <w:spacing w:line="276" w:lineRule="auto"/>
              <w:jc w:val="center"/>
              <w:rPr>
                <w:sz w:val="18"/>
                <w:szCs w:val="18"/>
              </w:rPr>
            </w:pPr>
            <w:r w:rsidRPr="00CE73BB">
              <w:rPr>
                <w:sz w:val="18"/>
                <w:szCs w:val="18"/>
              </w:rPr>
              <w:t>Treatment</w:t>
            </w:r>
          </w:p>
        </w:tc>
        <w:tc>
          <w:tcPr>
            <w:tcW w:w="1653" w:type="dxa"/>
            <w:tcBorders>
              <w:top w:val="nil"/>
              <w:bottom w:val="single" w:sz="4" w:space="0" w:color="auto"/>
            </w:tcBorders>
          </w:tcPr>
          <w:p w:rsidR="00C62F3A" w:rsidRPr="00CE73BB" w:rsidRDefault="00C62F3A" w:rsidP="00C62F3A">
            <w:pPr>
              <w:spacing w:line="276" w:lineRule="auto"/>
              <w:jc w:val="center"/>
              <w:rPr>
                <w:sz w:val="18"/>
                <w:szCs w:val="18"/>
              </w:rPr>
            </w:pPr>
            <w:r>
              <w:rPr>
                <w:sz w:val="18"/>
                <w:szCs w:val="18"/>
              </w:rPr>
              <w:t>Difference</w:t>
            </w:r>
          </w:p>
        </w:tc>
      </w:tr>
      <w:tr w:rsidR="00C62F3A" w:rsidRPr="00CE73BB" w:rsidTr="00C62F3A">
        <w:tc>
          <w:tcPr>
            <w:tcW w:w="940" w:type="dxa"/>
            <w:tcBorders>
              <w:top w:val="single" w:sz="4" w:space="0" w:color="auto"/>
            </w:tcBorders>
          </w:tcPr>
          <w:p w:rsidR="00C62F3A" w:rsidRPr="00CE73BB" w:rsidRDefault="00C62F3A" w:rsidP="00C62F3A">
            <w:pPr>
              <w:spacing w:line="276" w:lineRule="auto"/>
              <w:rPr>
                <w:sz w:val="18"/>
                <w:szCs w:val="18"/>
              </w:rPr>
            </w:pPr>
            <w:r w:rsidRPr="00CE73BB">
              <w:rPr>
                <w:sz w:val="18"/>
                <w:szCs w:val="18"/>
              </w:rPr>
              <w:t>Fortin</w:t>
            </w:r>
          </w:p>
        </w:tc>
        <w:tc>
          <w:tcPr>
            <w:tcW w:w="688" w:type="dxa"/>
            <w:tcBorders>
              <w:top w:val="single" w:sz="4" w:space="0" w:color="auto"/>
            </w:tcBorders>
          </w:tcPr>
          <w:p w:rsidR="00C62F3A" w:rsidRPr="00CE73BB" w:rsidRDefault="00C62F3A" w:rsidP="00C62F3A">
            <w:pPr>
              <w:spacing w:line="276" w:lineRule="auto"/>
              <w:rPr>
                <w:sz w:val="18"/>
                <w:szCs w:val="18"/>
              </w:rPr>
            </w:pPr>
            <w:r w:rsidRPr="00CE73BB">
              <w:rPr>
                <w:sz w:val="18"/>
                <w:szCs w:val="18"/>
              </w:rPr>
              <w:t>2008</w:t>
            </w:r>
          </w:p>
        </w:tc>
        <w:tc>
          <w:tcPr>
            <w:tcW w:w="910" w:type="dxa"/>
            <w:tcBorders>
              <w:top w:val="single" w:sz="4" w:space="0" w:color="auto"/>
            </w:tcBorders>
          </w:tcPr>
          <w:p w:rsidR="00C62F3A" w:rsidRPr="00CE73BB" w:rsidRDefault="00C62F3A" w:rsidP="00C62F3A">
            <w:pPr>
              <w:spacing w:line="276" w:lineRule="auto"/>
              <w:rPr>
                <w:sz w:val="18"/>
                <w:szCs w:val="18"/>
              </w:rPr>
            </w:pPr>
            <w:r w:rsidRPr="00CE73BB">
              <w:rPr>
                <w:sz w:val="18"/>
                <w:szCs w:val="18"/>
              </w:rPr>
              <w:t>86</w:t>
            </w:r>
          </w:p>
        </w:tc>
        <w:tc>
          <w:tcPr>
            <w:tcW w:w="1747" w:type="dxa"/>
            <w:tcBorders>
              <w:top w:val="single" w:sz="4" w:space="0" w:color="auto"/>
            </w:tcBorders>
          </w:tcPr>
          <w:p w:rsidR="00C62F3A" w:rsidRPr="00CE73BB" w:rsidRDefault="00C62F3A" w:rsidP="00C62F3A">
            <w:pPr>
              <w:spacing w:line="276" w:lineRule="auto"/>
              <w:rPr>
                <w:sz w:val="18"/>
                <w:szCs w:val="18"/>
              </w:rPr>
            </w:pPr>
            <w:r w:rsidRPr="00CE73BB">
              <w:rPr>
                <w:sz w:val="18"/>
                <w:szCs w:val="18"/>
              </w:rPr>
              <w:t>Methotrexate</w:t>
            </w:r>
          </w:p>
        </w:tc>
        <w:tc>
          <w:tcPr>
            <w:tcW w:w="1652" w:type="dxa"/>
            <w:tcBorders>
              <w:top w:val="single" w:sz="4" w:space="0" w:color="auto"/>
            </w:tcBorders>
          </w:tcPr>
          <w:p w:rsidR="00C62F3A" w:rsidRPr="00CE73BB" w:rsidRDefault="00C62F3A" w:rsidP="00C62F3A">
            <w:pPr>
              <w:spacing w:line="276" w:lineRule="auto"/>
              <w:jc w:val="right"/>
              <w:rPr>
                <w:sz w:val="18"/>
                <w:szCs w:val="18"/>
              </w:rPr>
            </w:pPr>
            <w:r w:rsidRPr="00CE73BB">
              <w:rPr>
                <w:sz w:val="18"/>
                <w:szCs w:val="18"/>
              </w:rPr>
              <w:t>0.2667</w:t>
            </w:r>
          </w:p>
        </w:tc>
        <w:tc>
          <w:tcPr>
            <w:tcW w:w="1652" w:type="dxa"/>
            <w:tcBorders>
              <w:top w:val="single" w:sz="4" w:space="0" w:color="auto"/>
            </w:tcBorders>
          </w:tcPr>
          <w:p w:rsidR="00C62F3A" w:rsidRPr="00CE73BB" w:rsidRDefault="00C62F3A" w:rsidP="00C62F3A">
            <w:pPr>
              <w:spacing w:line="276" w:lineRule="auto"/>
              <w:jc w:val="right"/>
              <w:rPr>
                <w:sz w:val="18"/>
                <w:szCs w:val="18"/>
              </w:rPr>
            </w:pPr>
            <w:r w:rsidRPr="00CE73BB">
              <w:rPr>
                <w:sz w:val="18"/>
                <w:szCs w:val="18"/>
              </w:rPr>
              <w:t>0.3415</w:t>
            </w:r>
          </w:p>
        </w:tc>
        <w:tc>
          <w:tcPr>
            <w:tcW w:w="1653" w:type="dxa"/>
            <w:tcBorders>
              <w:top w:val="single" w:sz="4" w:space="0" w:color="auto"/>
            </w:tcBorders>
          </w:tcPr>
          <w:p w:rsidR="00C62F3A" w:rsidRDefault="00C62F3A" w:rsidP="00C62F3A">
            <w:pPr>
              <w:jc w:val="right"/>
              <w:rPr>
                <w:color w:val="000000"/>
                <w:sz w:val="18"/>
                <w:szCs w:val="18"/>
              </w:rPr>
            </w:pPr>
            <w:r>
              <w:rPr>
                <w:color w:val="000000"/>
                <w:sz w:val="18"/>
                <w:szCs w:val="18"/>
              </w:rPr>
              <w:t>-0.0748</w:t>
            </w:r>
          </w:p>
        </w:tc>
      </w:tr>
      <w:tr w:rsidR="00C62F3A" w:rsidRPr="00CE73BB" w:rsidTr="00C62F3A">
        <w:tc>
          <w:tcPr>
            <w:tcW w:w="940" w:type="dxa"/>
          </w:tcPr>
          <w:p w:rsidR="00C62F3A" w:rsidRPr="00CE73BB" w:rsidRDefault="00C62F3A" w:rsidP="00C62F3A">
            <w:pPr>
              <w:spacing w:line="276" w:lineRule="auto"/>
              <w:rPr>
                <w:sz w:val="18"/>
                <w:szCs w:val="18"/>
              </w:rPr>
            </w:pPr>
            <w:r w:rsidRPr="00CE73BB">
              <w:rPr>
                <w:sz w:val="18"/>
                <w:szCs w:val="18"/>
              </w:rPr>
              <w:t>Wallace</w:t>
            </w:r>
          </w:p>
        </w:tc>
        <w:tc>
          <w:tcPr>
            <w:tcW w:w="688" w:type="dxa"/>
          </w:tcPr>
          <w:p w:rsidR="00C62F3A" w:rsidRPr="00CE73BB" w:rsidRDefault="00C62F3A" w:rsidP="00C62F3A">
            <w:pPr>
              <w:spacing w:line="276" w:lineRule="auto"/>
              <w:rPr>
                <w:sz w:val="18"/>
                <w:szCs w:val="18"/>
              </w:rPr>
            </w:pPr>
            <w:r w:rsidRPr="00CE73BB">
              <w:rPr>
                <w:sz w:val="18"/>
                <w:szCs w:val="18"/>
              </w:rPr>
              <w:t>2009</w:t>
            </w:r>
          </w:p>
        </w:tc>
        <w:tc>
          <w:tcPr>
            <w:tcW w:w="910" w:type="dxa"/>
          </w:tcPr>
          <w:p w:rsidR="00C62F3A" w:rsidRPr="00CE73BB" w:rsidRDefault="00C62F3A" w:rsidP="00C62F3A">
            <w:pPr>
              <w:spacing w:line="276" w:lineRule="auto"/>
              <w:rPr>
                <w:sz w:val="18"/>
                <w:szCs w:val="18"/>
              </w:rPr>
            </w:pPr>
            <w:r w:rsidRPr="00CE73BB">
              <w:rPr>
                <w:sz w:val="18"/>
                <w:szCs w:val="18"/>
              </w:rPr>
              <w:t>449</w:t>
            </w:r>
          </w:p>
        </w:tc>
        <w:tc>
          <w:tcPr>
            <w:tcW w:w="1747" w:type="dxa"/>
          </w:tcPr>
          <w:p w:rsidR="00C62F3A" w:rsidRPr="00CE73BB" w:rsidRDefault="00C62F3A" w:rsidP="00C62F3A">
            <w:pPr>
              <w:spacing w:line="276" w:lineRule="auto"/>
              <w:rPr>
                <w:sz w:val="18"/>
                <w:szCs w:val="18"/>
              </w:rPr>
            </w:pPr>
            <w:r w:rsidRPr="00CE73BB">
              <w:rPr>
                <w:sz w:val="18"/>
                <w:szCs w:val="18"/>
              </w:rPr>
              <w:t>Belimumab</w:t>
            </w:r>
          </w:p>
        </w:tc>
        <w:tc>
          <w:tcPr>
            <w:tcW w:w="1652" w:type="dxa"/>
          </w:tcPr>
          <w:p w:rsidR="00C62F3A" w:rsidRPr="00CE73BB" w:rsidRDefault="00C62F3A" w:rsidP="00C62F3A">
            <w:pPr>
              <w:spacing w:line="276" w:lineRule="auto"/>
              <w:jc w:val="right"/>
              <w:rPr>
                <w:sz w:val="18"/>
                <w:szCs w:val="18"/>
              </w:rPr>
            </w:pPr>
            <w:r w:rsidRPr="00CE73BB">
              <w:rPr>
                <w:sz w:val="18"/>
                <w:szCs w:val="18"/>
              </w:rPr>
              <w:t>0.1786</w:t>
            </w:r>
          </w:p>
        </w:tc>
        <w:tc>
          <w:tcPr>
            <w:tcW w:w="1652" w:type="dxa"/>
          </w:tcPr>
          <w:p w:rsidR="00C62F3A" w:rsidRPr="00CE73BB" w:rsidRDefault="00C62F3A" w:rsidP="00C62F3A">
            <w:pPr>
              <w:spacing w:line="276" w:lineRule="auto"/>
              <w:jc w:val="right"/>
              <w:rPr>
                <w:sz w:val="18"/>
                <w:szCs w:val="18"/>
              </w:rPr>
            </w:pPr>
            <w:r w:rsidRPr="00CE73BB">
              <w:rPr>
                <w:sz w:val="18"/>
                <w:szCs w:val="18"/>
              </w:rPr>
              <w:t>0.1935</w:t>
            </w:r>
          </w:p>
        </w:tc>
        <w:tc>
          <w:tcPr>
            <w:tcW w:w="1653" w:type="dxa"/>
          </w:tcPr>
          <w:p w:rsidR="00C62F3A" w:rsidRDefault="00C62F3A" w:rsidP="00C62F3A">
            <w:pPr>
              <w:jc w:val="right"/>
              <w:rPr>
                <w:color w:val="000000"/>
                <w:sz w:val="18"/>
                <w:szCs w:val="18"/>
              </w:rPr>
            </w:pPr>
            <w:r>
              <w:rPr>
                <w:color w:val="000000"/>
                <w:sz w:val="18"/>
                <w:szCs w:val="18"/>
              </w:rPr>
              <w:t>-0.0149</w:t>
            </w:r>
          </w:p>
        </w:tc>
      </w:tr>
      <w:tr w:rsidR="00C62F3A" w:rsidRPr="00CE73BB" w:rsidTr="00C62F3A">
        <w:tc>
          <w:tcPr>
            <w:tcW w:w="940" w:type="dxa"/>
          </w:tcPr>
          <w:p w:rsidR="00C62F3A" w:rsidRPr="00CE73BB" w:rsidRDefault="00C62F3A" w:rsidP="00C62F3A">
            <w:pPr>
              <w:spacing w:line="276" w:lineRule="auto"/>
              <w:rPr>
                <w:sz w:val="18"/>
                <w:szCs w:val="18"/>
              </w:rPr>
            </w:pPr>
            <w:r w:rsidRPr="00CE73BB">
              <w:rPr>
                <w:sz w:val="18"/>
                <w:szCs w:val="18"/>
              </w:rPr>
              <w:t>Merril</w:t>
            </w:r>
          </w:p>
        </w:tc>
        <w:tc>
          <w:tcPr>
            <w:tcW w:w="688" w:type="dxa"/>
          </w:tcPr>
          <w:p w:rsidR="00C62F3A" w:rsidRPr="00CE73BB" w:rsidRDefault="00C62F3A" w:rsidP="00C62F3A">
            <w:pPr>
              <w:spacing w:line="276" w:lineRule="auto"/>
              <w:rPr>
                <w:sz w:val="18"/>
                <w:szCs w:val="18"/>
              </w:rPr>
            </w:pPr>
            <w:r w:rsidRPr="00CE73BB">
              <w:rPr>
                <w:sz w:val="18"/>
                <w:szCs w:val="18"/>
              </w:rPr>
              <w:t>2010</w:t>
            </w:r>
          </w:p>
        </w:tc>
        <w:tc>
          <w:tcPr>
            <w:tcW w:w="910" w:type="dxa"/>
          </w:tcPr>
          <w:p w:rsidR="00C62F3A" w:rsidRPr="00CE73BB" w:rsidRDefault="00C62F3A" w:rsidP="00C62F3A">
            <w:pPr>
              <w:spacing w:line="276" w:lineRule="auto"/>
              <w:rPr>
                <w:sz w:val="18"/>
                <w:szCs w:val="18"/>
              </w:rPr>
            </w:pPr>
            <w:r w:rsidRPr="00CE73BB">
              <w:rPr>
                <w:sz w:val="18"/>
                <w:szCs w:val="18"/>
              </w:rPr>
              <w:t>175</w:t>
            </w:r>
          </w:p>
        </w:tc>
        <w:tc>
          <w:tcPr>
            <w:tcW w:w="1747" w:type="dxa"/>
          </w:tcPr>
          <w:p w:rsidR="00C62F3A" w:rsidRPr="00CE73BB" w:rsidRDefault="00C62F3A" w:rsidP="00C62F3A">
            <w:pPr>
              <w:spacing w:line="276" w:lineRule="auto"/>
              <w:rPr>
                <w:sz w:val="18"/>
                <w:szCs w:val="18"/>
              </w:rPr>
            </w:pPr>
            <w:r w:rsidRPr="00CE73BB">
              <w:rPr>
                <w:sz w:val="18"/>
                <w:szCs w:val="18"/>
              </w:rPr>
              <w:t>Abatacept</w:t>
            </w:r>
          </w:p>
        </w:tc>
        <w:tc>
          <w:tcPr>
            <w:tcW w:w="1652" w:type="dxa"/>
          </w:tcPr>
          <w:p w:rsidR="00C62F3A" w:rsidRPr="00CE73BB" w:rsidRDefault="00C62F3A" w:rsidP="00C62F3A">
            <w:pPr>
              <w:spacing w:line="276" w:lineRule="auto"/>
              <w:jc w:val="right"/>
              <w:rPr>
                <w:sz w:val="18"/>
                <w:szCs w:val="18"/>
              </w:rPr>
            </w:pPr>
            <w:r w:rsidRPr="00CE73BB">
              <w:rPr>
                <w:sz w:val="18"/>
                <w:szCs w:val="18"/>
              </w:rPr>
              <w:t>0.2456</w:t>
            </w:r>
          </w:p>
        </w:tc>
        <w:tc>
          <w:tcPr>
            <w:tcW w:w="1652" w:type="dxa"/>
          </w:tcPr>
          <w:p w:rsidR="00C62F3A" w:rsidRPr="00CE73BB" w:rsidRDefault="00C62F3A" w:rsidP="00C62F3A">
            <w:pPr>
              <w:spacing w:line="276" w:lineRule="auto"/>
              <w:jc w:val="right"/>
              <w:rPr>
                <w:sz w:val="18"/>
                <w:szCs w:val="18"/>
              </w:rPr>
            </w:pPr>
            <w:r w:rsidRPr="00CE73BB">
              <w:rPr>
                <w:sz w:val="18"/>
                <w:szCs w:val="18"/>
              </w:rPr>
              <w:t>0.3136</w:t>
            </w:r>
          </w:p>
        </w:tc>
        <w:tc>
          <w:tcPr>
            <w:tcW w:w="1653" w:type="dxa"/>
          </w:tcPr>
          <w:p w:rsidR="00C62F3A" w:rsidRDefault="00C62F3A" w:rsidP="00C62F3A">
            <w:pPr>
              <w:jc w:val="right"/>
              <w:rPr>
                <w:color w:val="000000"/>
                <w:sz w:val="18"/>
                <w:szCs w:val="18"/>
              </w:rPr>
            </w:pPr>
            <w:r>
              <w:rPr>
                <w:color w:val="000000"/>
                <w:sz w:val="18"/>
                <w:szCs w:val="18"/>
              </w:rPr>
              <w:t>-0.068</w:t>
            </w:r>
          </w:p>
        </w:tc>
      </w:tr>
      <w:tr w:rsidR="00C62F3A" w:rsidRPr="00CE73BB" w:rsidTr="00C62F3A">
        <w:tc>
          <w:tcPr>
            <w:tcW w:w="940" w:type="dxa"/>
          </w:tcPr>
          <w:p w:rsidR="00C62F3A" w:rsidRPr="00CE73BB" w:rsidRDefault="00C62F3A" w:rsidP="00C62F3A">
            <w:pPr>
              <w:spacing w:line="276" w:lineRule="auto"/>
              <w:rPr>
                <w:sz w:val="18"/>
                <w:szCs w:val="18"/>
              </w:rPr>
            </w:pPr>
            <w:r w:rsidRPr="00CE73BB">
              <w:rPr>
                <w:sz w:val="18"/>
                <w:szCs w:val="18"/>
              </w:rPr>
              <w:t>Merril</w:t>
            </w:r>
          </w:p>
        </w:tc>
        <w:tc>
          <w:tcPr>
            <w:tcW w:w="688" w:type="dxa"/>
          </w:tcPr>
          <w:p w:rsidR="00C62F3A" w:rsidRPr="00CE73BB" w:rsidRDefault="00C62F3A" w:rsidP="00C62F3A">
            <w:pPr>
              <w:spacing w:line="276" w:lineRule="auto"/>
              <w:rPr>
                <w:sz w:val="18"/>
                <w:szCs w:val="18"/>
              </w:rPr>
            </w:pPr>
            <w:r w:rsidRPr="00CE73BB">
              <w:rPr>
                <w:sz w:val="18"/>
                <w:szCs w:val="18"/>
              </w:rPr>
              <w:t>2010</w:t>
            </w:r>
          </w:p>
        </w:tc>
        <w:tc>
          <w:tcPr>
            <w:tcW w:w="910" w:type="dxa"/>
          </w:tcPr>
          <w:p w:rsidR="00C62F3A" w:rsidRPr="00CE73BB" w:rsidRDefault="00C62F3A" w:rsidP="00C62F3A">
            <w:pPr>
              <w:spacing w:line="276" w:lineRule="auto"/>
              <w:rPr>
                <w:sz w:val="18"/>
                <w:szCs w:val="18"/>
              </w:rPr>
            </w:pPr>
            <w:r w:rsidRPr="00CE73BB">
              <w:rPr>
                <w:sz w:val="18"/>
                <w:szCs w:val="18"/>
              </w:rPr>
              <w:t>227</w:t>
            </w:r>
          </w:p>
        </w:tc>
        <w:tc>
          <w:tcPr>
            <w:tcW w:w="1747" w:type="dxa"/>
          </w:tcPr>
          <w:p w:rsidR="00C62F3A" w:rsidRPr="00CE73BB" w:rsidRDefault="00C62F3A" w:rsidP="00C62F3A">
            <w:pPr>
              <w:spacing w:line="276" w:lineRule="auto"/>
              <w:rPr>
                <w:sz w:val="18"/>
                <w:szCs w:val="18"/>
              </w:rPr>
            </w:pPr>
            <w:r w:rsidRPr="00CE73BB">
              <w:rPr>
                <w:sz w:val="18"/>
                <w:szCs w:val="18"/>
              </w:rPr>
              <w:t>Rituximab</w:t>
            </w:r>
          </w:p>
        </w:tc>
        <w:tc>
          <w:tcPr>
            <w:tcW w:w="1652" w:type="dxa"/>
          </w:tcPr>
          <w:p w:rsidR="00C62F3A" w:rsidRPr="00CE73BB" w:rsidRDefault="00C62F3A" w:rsidP="00C62F3A">
            <w:pPr>
              <w:spacing w:line="276" w:lineRule="auto"/>
              <w:jc w:val="right"/>
              <w:rPr>
                <w:sz w:val="18"/>
                <w:szCs w:val="18"/>
              </w:rPr>
            </w:pPr>
            <w:r w:rsidRPr="00CE73BB">
              <w:rPr>
                <w:sz w:val="18"/>
                <w:szCs w:val="18"/>
              </w:rPr>
              <w:t>0.2727</w:t>
            </w:r>
          </w:p>
        </w:tc>
        <w:tc>
          <w:tcPr>
            <w:tcW w:w="1652" w:type="dxa"/>
          </w:tcPr>
          <w:p w:rsidR="00C62F3A" w:rsidRPr="00CE73BB" w:rsidRDefault="00C62F3A" w:rsidP="00C62F3A">
            <w:pPr>
              <w:spacing w:line="276" w:lineRule="auto"/>
              <w:jc w:val="right"/>
              <w:rPr>
                <w:sz w:val="18"/>
                <w:szCs w:val="18"/>
              </w:rPr>
            </w:pPr>
            <w:r w:rsidRPr="00CE73BB">
              <w:rPr>
                <w:sz w:val="18"/>
                <w:szCs w:val="18"/>
              </w:rPr>
              <w:t>0.2899</w:t>
            </w:r>
          </w:p>
        </w:tc>
        <w:tc>
          <w:tcPr>
            <w:tcW w:w="1653" w:type="dxa"/>
          </w:tcPr>
          <w:p w:rsidR="00C62F3A" w:rsidRDefault="00C62F3A" w:rsidP="00C62F3A">
            <w:pPr>
              <w:jc w:val="right"/>
              <w:rPr>
                <w:color w:val="000000"/>
                <w:sz w:val="18"/>
                <w:szCs w:val="18"/>
              </w:rPr>
            </w:pPr>
            <w:r>
              <w:rPr>
                <w:color w:val="000000"/>
                <w:sz w:val="18"/>
                <w:szCs w:val="18"/>
              </w:rPr>
              <w:t>-0.0172</w:t>
            </w:r>
          </w:p>
        </w:tc>
      </w:tr>
      <w:tr w:rsidR="00C62F3A" w:rsidRPr="00CE73BB" w:rsidTr="00C62F3A">
        <w:tc>
          <w:tcPr>
            <w:tcW w:w="940" w:type="dxa"/>
          </w:tcPr>
          <w:p w:rsidR="00C62F3A" w:rsidRPr="00CE73BB" w:rsidRDefault="00C62F3A" w:rsidP="00C62F3A">
            <w:pPr>
              <w:spacing w:line="276" w:lineRule="auto"/>
              <w:rPr>
                <w:sz w:val="18"/>
                <w:szCs w:val="18"/>
              </w:rPr>
            </w:pPr>
            <w:r w:rsidRPr="00CE73BB">
              <w:rPr>
                <w:sz w:val="18"/>
                <w:szCs w:val="18"/>
              </w:rPr>
              <w:t>Navarra</w:t>
            </w:r>
          </w:p>
        </w:tc>
        <w:tc>
          <w:tcPr>
            <w:tcW w:w="688" w:type="dxa"/>
          </w:tcPr>
          <w:p w:rsidR="00C62F3A" w:rsidRPr="00CE73BB" w:rsidRDefault="00C62F3A" w:rsidP="00C62F3A">
            <w:pPr>
              <w:spacing w:line="276" w:lineRule="auto"/>
              <w:rPr>
                <w:sz w:val="18"/>
                <w:szCs w:val="18"/>
              </w:rPr>
            </w:pPr>
            <w:r w:rsidRPr="00CE73BB">
              <w:rPr>
                <w:sz w:val="18"/>
                <w:szCs w:val="18"/>
              </w:rPr>
              <w:t>2011</w:t>
            </w:r>
          </w:p>
        </w:tc>
        <w:tc>
          <w:tcPr>
            <w:tcW w:w="910" w:type="dxa"/>
          </w:tcPr>
          <w:p w:rsidR="00C62F3A" w:rsidRPr="00CE73BB" w:rsidRDefault="00C62F3A" w:rsidP="00C62F3A">
            <w:pPr>
              <w:spacing w:line="276" w:lineRule="auto"/>
              <w:rPr>
                <w:sz w:val="18"/>
                <w:szCs w:val="18"/>
              </w:rPr>
            </w:pPr>
            <w:r w:rsidRPr="00CE73BB">
              <w:rPr>
                <w:sz w:val="18"/>
                <w:szCs w:val="18"/>
              </w:rPr>
              <w:t>865</w:t>
            </w:r>
          </w:p>
        </w:tc>
        <w:tc>
          <w:tcPr>
            <w:tcW w:w="1747" w:type="dxa"/>
          </w:tcPr>
          <w:p w:rsidR="00C62F3A" w:rsidRPr="00CE73BB" w:rsidRDefault="00C62F3A" w:rsidP="00C62F3A">
            <w:pPr>
              <w:spacing w:line="276" w:lineRule="auto"/>
              <w:rPr>
                <w:sz w:val="18"/>
                <w:szCs w:val="18"/>
              </w:rPr>
            </w:pPr>
            <w:r w:rsidRPr="00CE73BB">
              <w:rPr>
                <w:sz w:val="18"/>
                <w:szCs w:val="18"/>
              </w:rPr>
              <w:t>Belimumab</w:t>
            </w:r>
          </w:p>
        </w:tc>
        <w:tc>
          <w:tcPr>
            <w:tcW w:w="1652" w:type="dxa"/>
          </w:tcPr>
          <w:p w:rsidR="00C62F3A" w:rsidRPr="00CE73BB" w:rsidRDefault="00C62F3A" w:rsidP="00C62F3A">
            <w:pPr>
              <w:spacing w:line="276" w:lineRule="auto"/>
              <w:jc w:val="right"/>
              <w:rPr>
                <w:sz w:val="18"/>
                <w:szCs w:val="18"/>
              </w:rPr>
            </w:pPr>
            <w:r w:rsidRPr="00CE73BB">
              <w:rPr>
                <w:sz w:val="18"/>
                <w:szCs w:val="18"/>
              </w:rPr>
              <w:t>0.2125</w:t>
            </w:r>
          </w:p>
        </w:tc>
        <w:tc>
          <w:tcPr>
            <w:tcW w:w="1652" w:type="dxa"/>
          </w:tcPr>
          <w:p w:rsidR="00C62F3A" w:rsidRPr="00CE73BB" w:rsidRDefault="00C62F3A" w:rsidP="00C62F3A">
            <w:pPr>
              <w:spacing w:line="276" w:lineRule="auto"/>
              <w:jc w:val="right"/>
              <w:rPr>
                <w:sz w:val="18"/>
                <w:szCs w:val="18"/>
              </w:rPr>
            </w:pPr>
            <w:r w:rsidRPr="00CE73BB">
              <w:rPr>
                <w:sz w:val="18"/>
                <w:szCs w:val="18"/>
              </w:rPr>
              <w:t>0.1678</w:t>
            </w:r>
          </w:p>
        </w:tc>
        <w:tc>
          <w:tcPr>
            <w:tcW w:w="1653" w:type="dxa"/>
          </w:tcPr>
          <w:p w:rsidR="00C62F3A" w:rsidRDefault="00C62F3A" w:rsidP="00C62F3A">
            <w:pPr>
              <w:jc w:val="right"/>
              <w:rPr>
                <w:color w:val="000000"/>
                <w:sz w:val="18"/>
                <w:szCs w:val="18"/>
              </w:rPr>
            </w:pPr>
            <w:r>
              <w:rPr>
                <w:color w:val="000000"/>
                <w:sz w:val="18"/>
                <w:szCs w:val="18"/>
              </w:rPr>
              <w:t>0.0447</w:t>
            </w:r>
          </w:p>
        </w:tc>
      </w:tr>
      <w:tr w:rsidR="00C62F3A" w:rsidRPr="00CE73BB" w:rsidTr="00C62F3A">
        <w:tc>
          <w:tcPr>
            <w:tcW w:w="940" w:type="dxa"/>
          </w:tcPr>
          <w:p w:rsidR="00C62F3A" w:rsidRPr="00CE73BB" w:rsidRDefault="00C62F3A" w:rsidP="00C62F3A">
            <w:pPr>
              <w:spacing w:line="276" w:lineRule="auto"/>
              <w:rPr>
                <w:sz w:val="18"/>
                <w:szCs w:val="18"/>
              </w:rPr>
            </w:pPr>
            <w:r w:rsidRPr="00CE73BB">
              <w:rPr>
                <w:sz w:val="18"/>
                <w:szCs w:val="18"/>
              </w:rPr>
              <w:t>Furie</w:t>
            </w:r>
          </w:p>
        </w:tc>
        <w:tc>
          <w:tcPr>
            <w:tcW w:w="688" w:type="dxa"/>
          </w:tcPr>
          <w:p w:rsidR="00C62F3A" w:rsidRPr="00CE73BB" w:rsidRDefault="00C62F3A" w:rsidP="00C62F3A">
            <w:pPr>
              <w:spacing w:line="276" w:lineRule="auto"/>
              <w:rPr>
                <w:sz w:val="18"/>
                <w:szCs w:val="18"/>
              </w:rPr>
            </w:pPr>
            <w:r w:rsidRPr="00CE73BB">
              <w:rPr>
                <w:sz w:val="18"/>
                <w:szCs w:val="18"/>
              </w:rPr>
              <w:t>2011</w:t>
            </w:r>
          </w:p>
        </w:tc>
        <w:tc>
          <w:tcPr>
            <w:tcW w:w="910" w:type="dxa"/>
          </w:tcPr>
          <w:p w:rsidR="00C62F3A" w:rsidRPr="00CE73BB" w:rsidRDefault="00C62F3A" w:rsidP="00C62F3A">
            <w:pPr>
              <w:spacing w:line="276" w:lineRule="auto"/>
              <w:rPr>
                <w:sz w:val="18"/>
                <w:szCs w:val="18"/>
              </w:rPr>
            </w:pPr>
            <w:r w:rsidRPr="00CE73BB">
              <w:rPr>
                <w:sz w:val="18"/>
                <w:szCs w:val="18"/>
              </w:rPr>
              <w:t>819</w:t>
            </w:r>
          </w:p>
        </w:tc>
        <w:tc>
          <w:tcPr>
            <w:tcW w:w="1747" w:type="dxa"/>
          </w:tcPr>
          <w:p w:rsidR="00C62F3A" w:rsidRPr="00CE73BB" w:rsidRDefault="00C62F3A" w:rsidP="00C62F3A">
            <w:pPr>
              <w:spacing w:line="276" w:lineRule="auto"/>
              <w:rPr>
                <w:sz w:val="18"/>
                <w:szCs w:val="18"/>
              </w:rPr>
            </w:pPr>
            <w:r w:rsidRPr="00CE73BB">
              <w:rPr>
                <w:sz w:val="18"/>
                <w:szCs w:val="18"/>
              </w:rPr>
              <w:t>Belimumab</w:t>
            </w:r>
          </w:p>
        </w:tc>
        <w:tc>
          <w:tcPr>
            <w:tcW w:w="1652" w:type="dxa"/>
          </w:tcPr>
          <w:p w:rsidR="00C62F3A" w:rsidRPr="00CE73BB" w:rsidRDefault="00C62F3A" w:rsidP="00C62F3A">
            <w:pPr>
              <w:spacing w:line="276" w:lineRule="auto"/>
              <w:jc w:val="right"/>
              <w:rPr>
                <w:sz w:val="18"/>
                <w:szCs w:val="18"/>
              </w:rPr>
            </w:pPr>
            <w:r w:rsidRPr="00CE73BB">
              <w:rPr>
                <w:sz w:val="18"/>
                <w:szCs w:val="18"/>
              </w:rPr>
              <w:t>0.3260</w:t>
            </w:r>
          </w:p>
        </w:tc>
        <w:tc>
          <w:tcPr>
            <w:tcW w:w="1652" w:type="dxa"/>
          </w:tcPr>
          <w:p w:rsidR="00C62F3A" w:rsidRPr="00CE73BB" w:rsidRDefault="00C62F3A" w:rsidP="00C62F3A">
            <w:pPr>
              <w:spacing w:line="276" w:lineRule="auto"/>
              <w:jc w:val="right"/>
              <w:rPr>
                <w:sz w:val="18"/>
                <w:szCs w:val="18"/>
              </w:rPr>
            </w:pPr>
            <w:r w:rsidRPr="00CE73BB">
              <w:rPr>
                <w:sz w:val="18"/>
                <w:szCs w:val="18"/>
              </w:rPr>
              <w:t>0.2821</w:t>
            </w:r>
          </w:p>
        </w:tc>
        <w:tc>
          <w:tcPr>
            <w:tcW w:w="1653" w:type="dxa"/>
          </w:tcPr>
          <w:p w:rsidR="00C62F3A" w:rsidRDefault="00C62F3A" w:rsidP="00C62F3A">
            <w:pPr>
              <w:jc w:val="right"/>
              <w:rPr>
                <w:color w:val="000000"/>
                <w:sz w:val="18"/>
                <w:szCs w:val="18"/>
              </w:rPr>
            </w:pPr>
            <w:r>
              <w:rPr>
                <w:color w:val="000000"/>
                <w:sz w:val="18"/>
                <w:szCs w:val="18"/>
              </w:rPr>
              <w:t>0.0439</w:t>
            </w:r>
          </w:p>
        </w:tc>
      </w:tr>
      <w:tr w:rsidR="00C62F3A" w:rsidRPr="00CE73BB" w:rsidTr="00C62F3A">
        <w:tc>
          <w:tcPr>
            <w:tcW w:w="4285" w:type="dxa"/>
            <w:gridSpan w:val="4"/>
          </w:tcPr>
          <w:p w:rsidR="00C62F3A" w:rsidRPr="00CE73BB" w:rsidRDefault="00C62F3A" w:rsidP="00C62F3A">
            <w:pPr>
              <w:spacing w:line="276" w:lineRule="auto"/>
              <w:jc w:val="right"/>
              <w:rPr>
                <w:sz w:val="18"/>
                <w:szCs w:val="18"/>
              </w:rPr>
            </w:pPr>
            <w:r w:rsidRPr="00CE73BB">
              <w:rPr>
                <w:sz w:val="18"/>
                <w:szCs w:val="18"/>
              </w:rPr>
              <w:t xml:space="preserve">Weighted Mean </w:t>
            </w:r>
          </w:p>
        </w:tc>
        <w:tc>
          <w:tcPr>
            <w:tcW w:w="1652" w:type="dxa"/>
          </w:tcPr>
          <w:p w:rsidR="00C62F3A" w:rsidRPr="00CE73BB" w:rsidRDefault="00C62F3A" w:rsidP="00C62F3A">
            <w:pPr>
              <w:spacing w:line="276" w:lineRule="auto"/>
              <w:jc w:val="right"/>
              <w:rPr>
                <w:sz w:val="18"/>
                <w:szCs w:val="18"/>
              </w:rPr>
            </w:pPr>
            <w:r w:rsidRPr="00CE73BB">
              <w:rPr>
                <w:sz w:val="18"/>
                <w:szCs w:val="18"/>
              </w:rPr>
              <w:t>0.2514</w:t>
            </w:r>
          </w:p>
        </w:tc>
        <w:tc>
          <w:tcPr>
            <w:tcW w:w="1652" w:type="dxa"/>
          </w:tcPr>
          <w:p w:rsidR="00C62F3A" w:rsidRPr="00CE73BB" w:rsidRDefault="00C62F3A" w:rsidP="00C62F3A">
            <w:pPr>
              <w:spacing w:line="276" w:lineRule="auto"/>
              <w:jc w:val="right"/>
              <w:rPr>
                <w:sz w:val="18"/>
                <w:szCs w:val="18"/>
              </w:rPr>
            </w:pPr>
            <w:r w:rsidRPr="00CE73BB">
              <w:rPr>
                <w:sz w:val="18"/>
                <w:szCs w:val="18"/>
              </w:rPr>
              <w:t>0.2339</w:t>
            </w:r>
          </w:p>
        </w:tc>
        <w:tc>
          <w:tcPr>
            <w:tcW w:w="1653" w:type="dxa"/>
          </w:tcPr>
          <w:p w:rsidR="00C62F3A" w:rsidRPr="00CE73BB" w:rsidRDefault="00C62F3A" w:rsidP="00C62F3A">
            <w:pPr>
              <w:spacing w:line="276" w:lineRule="auto"/>
              <w:jc w:val="right"/>
              <w:rPr>
                <w:sz w:val="18"/>
                <w:szCs w:val="18"/>
              </w:rPr>
            </w:pPr>
            <w:r>
              <w:rPr>
                <w:sz w:val="18"/>
                <w:szCs w:val="18"/>
              </w:rPr>
              <w:t>0.0178</w:t>
            </w:r>
          </w:p>
        </w:tc>
      </w:tr>
      <w:tr w:rsidR="00C62F3A" w:rsidRPr="00CE73BB" w:rsidTr="00C62F3A">
        <w:tc>
          <w:tcPr>
            <w:tcW w:w="4285" w:type="dxa"/>
            <w:gridSpan w:val="4"/>
          </w:tcPr>
          <w:p w:rsidR="00C62F3A" w:rsidRPr="00CE73BB" w:rsidRDefault="00C62F3A" w:rsidP="00C62F3A">
            <w:pPr>
              <w:spacing w:line="276" w:lineRule="auto"/>
              <w:jc w:val="right"/>
              <w:rPr>
                <w:sz w:val="18"/>
                <w:szCs w:val="18"/>
              </w:rPr>
            </w:pPr>
            <w:r w:rsidRPr="00CE73BB">
              <w:rPr>
                <w:sz w:val="18"/>
                <w:szCs w:val="18"/>
              </w:rPr>
              <w:t>Log hazard parameter mean</w:t>
            </w:r>
          </w:p>
        </w:tc>
        <w:tc>
          <w:tcPr>
            <w:tcW w:w="1652" w:type="dxa"/>
          </w:tcPr>
          <w:p w:rsidR="00C62F3A" w:rsidRPr="00CE73BB" w:rsidRDefault="00C62F3A" w:rsidP="00C62F3A">
            <w:pPr>
              <w:spacing w:line="276" w:lineRule="auto"/>
              <w:jc w:val="right"/>
              <w:rPr>
                <w:sz w:val="18"/>
                <w:szCs w:val="18"/>
              </w:rPr>
            </w:pPr>
            <w:r w:rsidRPr="00CE73BB">
              <w:rPr>
                <w:sz w:val="18"/>
                <w:szCs w:val="18"/>
              </w:rPr>
              <w:t>-1.4061</w:t>
            </w:r>
          </w:p>
        </w:tc>
        <w:tc>
          <w:tcPr>
            <w:tcW w:w="1652" w:type="dxa"/>
          </w:tcPr>
          <w:p w:rsidR="00C62F3A" w:rsidRPr="00CE73BB" w:rsidRDefault="00C62F3A" w:rsidP="00C62F3A">
            <w:pPr>
              <w:spacing w:line="276" w:lineRule="auto"/>
              <w:jc w:val="right"/>
              <w:rPr>
                <w:sz w:val="18"/>
                <w:szCs w:val="18"/>
              </w:rPr>
            </w:pPr>
          </w:p>
        </w:tc>
        <w:tc>
          <w:tcPr>
            <w:tcW w:w="1653" w:type="dxa"/>
          </w:tcPr>
          <w:p w:rsidR="00C62F3A" w:rsidRPr="00CE73BB" w:rsidRDefault="00C62F3A" w:rsidP="00C62F3A">
            <w:pPr>
              <w:spacing w:line="276" w:lineRule="auto"/>
              <w:jc w:val="right"/>
              <w:rPr>
                <w:sz w:val="18"/>
                <w:szCs w:val="18"/>
              </w:rPr>
            </w:pPr>
            <w:r w:rsidRPr="00CE73BB">
              <w:rPr>
                <w:sz w:val="18"/>
                <w:szCs w:val="18"/>
              </w:rPr>
              <w:t>-0.079</w:t>
            </w:r>
          </w:p>
        </w:tc>
      </w:tr>
      <w:tr w:rsidR="00C62F3A" w:rsidRPr="00CE73BB" w:rsidTr="00C62F3A">
        <w:tc>
          <w:tcPr>
            <w:tcW w:w="4285" w:type="dxa"/>
            <w:gridSpan w:val="4"/>
          </w:tcPr>
          <w:p w:rsidR="00C62F3A" w:rsidRPr="00CE73BB" w:rsidRDefault="00C62F3A" w:rsidP="00C62F3A">
            <w:pPr>
              <w:spacing w:line="276" w:lineRule="auto"/>
              <w:jc w:val="right"/>
              <w:rPr>
                <w:sz w:val="18"/>
                <w:szCs w:val="18"/>
                <w:lang w:val="sv-SE"/>
              </w:rPr>
            </w:pPr>
            <w:r w:rsidRPr="00CE73BB">
              <w:rPr>
                <w:sz w:val="18"/>
                <w:szCs w:val="18"/>
                <w:lang w:val="sv-SE"/>
              </w:rPr>
              <w:t>Log hazard parameter standard error</w:t>
            </w:r>
          </w:p>
        </w:tc>
        <w:tc>
          <w:tcPr>
            <w:tcW w:w="1652" w:type="dxa"/>
          </w:tcPr>
          <w:p w:rsidR="00C62F3A" w:rsidRPr="00CE73BB" w:rsidRDefault="00C62F3A" w:rsidP="00C62F3A">
            <w:pPr>
              <w:spacing w:line="276" w:lineRule="auto"/>
              <w:jc w:val="right"/>
              <w:rPr>
                <w:sz w:val="18"/>
                <w:szCs w:val="18"/>
                <w:lang w:val="sv-SE"/>
              </w:rPr>
            </w:pPr>
            <w:r w:rsidRPr="00CE73BB">
              <w:rPr>
                <w:sz w:val="18"/>
                <w:szCs w:val="18"/>
                <w:lang w:val="sv-SE"/>
              </w:rPr>
              <w:t>0.0206</w:t>
            </w:r>
          </w:p>
        </w:tc>
        <w:tc>
          <w:tcPr>
            <w:tcW w:w="1652" w:type="dxa"/>
          </w:tcPr>
          <w:p w:rsidR="00C62F3A" w:rsidRPr="00CE73BB" w:rsidRDefault="00C62F3A" w:rsidP="00C62F3A">
            <w:pPr>
              <w:spacing w:line="276" w:lineRule="auto"/>
              <w:jc w:val="right"/>
              <w:rPr>
                <w:sz w:val="18"/>
                <w:szCs w:val="18"/>
                <w:lang w:val="sv-SE"/>
              </w:rPr>
            </w:pPr>
          </w:p>
        </w:tc>
        <w:tc>
          <w:tcPr>
            <w:tcW w:w="1653" w:type="dxa"/>
          </w:tcPr>
          <w:p w:rsidR="00C62F3A" w:rsidRPr="00CE73BB" w:rsidRDefault="00C62F3A" w:rsidP="00C62F3A">
            <w:pPr>
              <w:spacing w:line="276" w:lineRule="auto"/>
              <w:jc w:val="right"/>
              <w:rPr>
                <w:sz w:val="18"/>
                <w:szCs w:val="18"/>
                <w:lang w:val="sv-SE"/>
              </w:rPr>
            </w:pPr>
            <w:r w:rsidRPr="00CE73BB">
              <w:rPr>
                <w:sz w:val="18"/>
                <w:szCs w:val="18"/>
                <w:lang w:val="sv-SE"/>
              </w:rPr>
              <w:t>0.0106</w:t>
            </w:r>
          </w:p>
        </w:tc>
      </w:tr>
    </w:tbl>
    <w:p w:rsidR="00C62F3A" w:rsidRDefault="00C62F3A" w:rsidP="00C62F3A"/>
    <w:p w:rsidR="00C62F3A" w:rsidRDefault="00C62F3A" w:rsidP="00C62F3A">
      <w:pPr>
        <w:pStyle w:val="Heading3"/>
      </w:pPr>
      <w:bookmarkStart w:id="397" w:name="_Toc335051122"/>
      <w:bookmarkStart w:id="398" w:name="_Toc341366946"/>
      <w:bookmarkStart w:id="399" w:name="_Toc379467635"/>
      <w:r>
        <w:t>Treatment Efficacy</w:t>
      </w:r>
      <w:bookmarkEnd w:id="397"/>
      <w:bookmarkEnd w:id="398"/>
      <w:bookmarkEnd w:id="399"/>
      <w:r>
        <w:t xml:space="preserve"> </w:t>
      </w:r>
    </w:p>
    <w:p w:rsidR="00C62F3A" w:rsidRPr="00B63CBD" w:rsidRDefault="00C62F3A" w:rsidP="00C62F3A">
      <w:pPr>
        <w:pStyle w:val="Heading4"/>
      </w:pPr>
      <w:r>
        <w:t>Efficacy at 12 months</w:t>
      </w:r>
    </w:p>
    <w:p w:rsidR="00E51D6F" w:rsidRDefault="003D21FA" w:rsidP="00E51D6F">
      <w:r>
        <w:t>Estimating treatment effect for the first 12 months was complicated by the absence of a Phase II trial. In a real-life case study s</w:t>
      </w:r>
      <w:r w:rsidR="00C62F3A">
        <w:t xml:space="preserve">tatistical analysis of the Phase II data would </w:t>
      </w:r>
      <w:r>
        <w:t xml:space="preserve">be used to </w:t>
      </w:r>
      <w:r w:rsidR="00C62F3A">
        <w:t>estimate the treatment effect</w:t>
      </w:r>
      <w:r w:rsidR="006B182D">
        <w:t xml:space="preserve"> parameters</w:t>
      </w:r>
      <w:r w:rsidR="00C62F3A">
        <w:t>. However, in this study the new treatment was a hypothetical new biologic drug</w:t>
      </w:r>
      <w:r>
        <w:t>. T</w:t>
      </w:r>
      <w:r w:rsidR="00C62F3A">
        <w:t xml:space="preserve">he distribution of the log odds ratio for treatment </w:t>
      </w:r>
      <m:oMath>
        <m:sSub>
          <m:sSubPr>
            <m:ctrlPr>
              <w:rPr>
                <w:rFonts w:ascii="Cambria Math" w:hAnsi="Cambria Math"/>
                <w:i/>
              </w:rPr>
            </m:ctrlPr>
          </m:sSubPr>
          <m:e>
            <m:r>
              <w:rPr>
                <w:rFonts w:ascii="Cambria Math" w:hAnsi="Cambria Math"/>
              </w:rPr>
              <m:t>β</m:t>
            </m:r>
          </m:e>
          <m:sub>
            <m:r>
              <w:rPr>
                <w:rFonts w:ascii="Cambria Math" w:hAnsi="Cambria Math"/>
              </w:rPr>
              <m:t>k+1</m:t>
            </m:r>
          </m:sub>
        </m:sSub>
      </m:oMath>
      <w:r w:rsidR="00C62F3A">
        <w:t xml:space="preserve">  </w:t>
      </w:r>
      <w:r w:rsidR="00E51D6F">
        <w:t xml:space="preserve">in reducing the odds of SLEDAI items </w:t>
      </w:r>
      <w:r>
        <w:t>was</w:t>
      </w:r>
      <w:r w:rsidR="00E51D6F">
        <w:t xml:space="preserve"> estimate</w:t>
      </w:r>
      <w:r w:rsidR="001C3490">
        <w:t>d</w:t>
      </w:r>
      <w:r w:rsidR="00E51D6F">
        <w:t xml:space="preserve"> from summary trial </w:t>
      </w:r>
      <w:r w:rsidR="00C62F3A">
        <w:t xml:space="preserve">rather than estimated </w:t>
      </w:r>
      <w:r w:rsidR="00E51D6F">
        <w:t>individual patient data</w:t>
      </w:r>
      <w:r w:rsidR="00C62F3A">
        <w:t xml:space="preserve">. </w:t>
      </w:r>
      <w:r>
        <w:t>As such, d</w:t>
      </w:r>
      <w:r w:rsidR="00C62F3A">
        <w:t xml:space="preserve">ata from </w:t>
      </w:r>
      <w:r w:rsidR="00E13EF3">
        <w:t>two articles describing a</w:t>
      </w:r>
      <w:r w:rsidR="00C62F3A">
        <w:t xml:space="preserve"> Phase II trial</w:t>
      </w:r>
      <w:r w:rsidR="00E13EF3">
        <w:t xml:space="preserve"> for a new biologic</w:t>
      </w:r>
      <w:r w:rsidR="00C62F3A">
        <w:t xml:space="preserve"> was sought</w:t>
      </w:r>
      <w:r w:rsidR="00E13EF3">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sidR="00E729BA">
        <w:fldChar w:fldCharType="separate"/>
      </w:r>
      <w:r w:rsidR="00F12F58">
        <w:t>(72;73)</w:t>
      </w:r>
      <w:r w:rsidR="00E729BA">
        <w:fldChar w:fldCharType="end"/>
      </w:r>
      <w:r w:rsidR="00C62F3A">
        <w:t xml:space="preserve">. This Phase II trial reported the efficacy of belimumab after 12 months of treatment. </w:t>
      </w:r>
    </w:p>
    <w:p w:rsidR="00C62F3A" w:rsidRDefault="00C62F3A" w:rsidP="0081424E">
      <w:r>
        <w:t xml:space="preserve">The odds ratio for response was </w:t>
      </w:r>
      <w:r w:rsidR="00E51D6F">
        <w:t>divided</w:t>
      </w:r>
      <w:r>
        <w:t xml:space="preserve"> bet</w:t>
      </w:r>
      <w:r w:rsidR="00E51D6F">
        <w:t xml:space="preserve">ween the 24 items of the SLEDAI, </w:t>
      </w:r>
      <w:r>
        <w:t xml:space="preserve">weighted by the prevalence of each item. The published data showed that there was evidence that the treatment effect varied between organ systems and the simulation was adjusted to reflect </w:t>
      </w:r>
      <w:r w:rsidR="00E51D6F">
        <w:t xml:space="preserve">the data reported </w:t>
      </w:r>
      <w:r w:rsidR="0081424E">
        <w:t>the article</w:t>
      </w:r>
      <w:r w:rsidR="00E51D6F">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F12F58">
        <w:t>(73)</w:t>
      </w:r>
      <w:r w:rsidR="00E729BA">
        <w:fldChar w:fldCharType="end"/>
      </w:r>
      <w:r>
        <w:t>.</w:t>
      </w:r>
      <w:r w:rsidR="00FC126E">
        <w:t xml:space="preserve"> The method of distributing the odds ratio between the SLEDAI items is crude due to the absence of Phase II trial outcomes that are compatible with the natural history </w:t>
      </w:r>
      <w:r w:rsidR="0016510D">
        <w:t>model. In</w:t>
      </w:r>
      <w:r w:rsidR="00E51D6F">
        <w:t xml:space="preserve"> a future ‘real world’ application one would utilise phase II trial evidence for the new product of interest rather than going back to previously published trials of other products.</w:t>
      </w:r>
    </w:p>
    <w:p w:rsidR="00C419FD" w:rsidRDefault="00C419FD" w:rsidP="0081424E"/>
    <w:p w:rsidR="00C62F3A" w:rsidRDefault="00C62F3A" w:rsidP="00C62F3A">
      <w:pPr>
        <w:pStyle w:val="Heading4"/>
      </w:pPr>
      <w:r>
        <w:t>Efficacy beyond 12 months</w:t>
      </w:r>
    </w:p>
    <w:p w:rsidR="00C62F3A" w:rsidRDefault="00C62F3A" w:rsidP="00E51D6F">
      <w:r>
        <w:t xml:space="preserve">The Phase II data is an </w:t>
      </w:r>
      <w:r w:rsidR="00E51D6F">
        <w:t>useful</w:t>
      </w:r>
      <w:r>
        <w:t xml:space="preserve"> source of evidence for the</w:t>
      </w:r>
      <w:r w:rsidR="00E51D6F">
        <w:t xml:space="preserve"> existing uncertainty in the</w:t>
      </w:r>
      <w:r>
        <w:t xml:space="preserve"> efficacy of treatment in reducing disease activity scores </w:t>
      </w:r>
      <w:r w:rsidR="00E51D6F">
        <w:t>up to</w:t>
      </w:r>
      <w:r>
        <w:t xml:space="preserve"> 12 months follow-up. However, the Phase II trial cannot be used to estimate efficacy beyond 12 months</w:t>
      </w:r>
      <w:r w:rsidR="003D21FA">
        <w:t>,</w:t>
      </w:r>
      <w:r>
        <w:t xml:space="preserve"> or estimate the treatment effect in reducing organ damage and mortality. </w:t>
      </w:r>
      <w:r w:rsidR="00E51D6F">
        <w:t xml:space="preserve">There is therefore an evidence gap when considering how uncertain we might be about efficacy beyond 12 months. </w:t>
      </w:r>
      <w:r w:rsidR="003D21FA">
        <w:t>C</w:t>
      </w:r>
      <w:r>
        <w:t xml:space="preserve">onsultation with clinical experts </w:t>
      </w:r>
      <w:r w:rsidR="00E51D6F">
        <w:t>can be used to elicit the scale of uncertainty for such data gaps</w:t>
      </w:r>
      <w:r>
        <w:t>.</w:t>
      </w:r>
      <w:r w:rsidR="003D21FA">
        <w:t xml:space="preserve"> </w:t>
      </w:r>
    </w:p>
    <w:p w:rsidR="00C62F3A" w:rsidRDefault="00C62F3A" w:rsidP="00C725EF">
      <w:pPr>
        <w:pStyle w:val="Heading2"/>
        <w:spacing w:after="100"/>
      </w:pPr>
      <w:bookmarkStart w:id="400" w:name="_Ref334701618"/>
      <w:bookmarkStart w:id="401" w:name="_Toc335051123"/>
      <w:bookmarkStart w:id="402" w:name="_Toc341366947"/>
      <w:bookmarkStart w:id="403" w:name="_Toc379467636"/>
      <w:r>
        <w:t xml:space="preserve">Elicitation of </w:t>
      </w:r>
      <w:bookmarkEnd w:id="400"/>
      <w:bookmarkEnd w:id="401"/>
      <w:bookmarkEnd w:id="402"/>
      <w:r w:rsidR="00C725EF">
        <w:t>Uncertainty in Long-term treatment effects on disease Activity, Organ Damage and Mortality</w:t>
      </w:r>
      <w:bookmarkEnd w:id="403"/>
    </w:p>
    <w:p w:rsidR="00B07104" w:rsidRPr="00B07104" w:rsidRDefault="00B07104" w:rsidP="00B07104">
      <w:pPr>
        <w:pStyle w:val="Heading3"/>
      </w:pPr>
      <w:bookmarkStart w:id="404" w:name="_Toc379467637"/>
      <w:r>
        <w:t>Elicitation Introduction</w:t>
      </w:r>
      <w:bookmarkEnd w:id="404"/>
    </w:p>
    <w:p w:rsidR="00C62F3A" w:rsidRDefault="00C62F3A" w:rsidP="009554D6">
      <w:r w:rsidRPr="00756B3A">
        <w:t>Elicitation is the appropriate method by which to formulate judgements from people</w:t>
      </w:r>
      <w:r w:rsidR="0081424E">
        <w:t xml:space="preserve">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81424E">
        <w:t>(221)</w:t>
      </w:r>
      <w:r w:rsidR="00E729BA">
        <w:fldChar w:fldCharType="end"/>
      </w:r>
      <w:r w:rsidRPr="00756B3A">
        <w:t xml:space="preserve">. </w:t>
      </w:r>
      <w:r>
        <w:t>Estimation of efficacy parameters</w:t>
      </w:r>
      <w:r w:rsidR="003D21FA">
        <w:t xml:space="preserve"> for the BCTS</w:t>
      </w:r>
      <w:r>
        <w:t xml:space="preserve"> require</w:t>
      </w:r>
      <w:r w:rsidR="003D21FA">
        <w:t>d</w:t>
      </w:r>
      <w:r>
        <w:t xml:space="preserve"> the estimation of the frequency of an event for a treated population. The elicitation also needs to quantify the </w:t>
      </w:r>
      <w:r w:rsidR="0016510D">
        <w:t>expert’s</w:t>
      </w:r>
      <w:r>
        <w:t xml:space="preserve"> uncertainty using a probability distribution.</w:t>
      </w:r>
      <w:r w:rsidR="00765E56">
        <w:t xml:space="preserve"> This enables the uncertainty of the experts to be incorporated into probabilistic sensitivity analysis.</w:t>
      </w:r>
      <w:r>
        <w:t xml:space="preserve"> Elicitation of a probability density function </w:t>
      </w:r>
      <m:oMath>
        <m:r>
          <w:rPr>
            <w:rFonts w:ascii="Cambria Math" w:hAnsi="Cambria Math"/>
          </w:rPr>
          <m:t>f(X)</m:t>
        </m:r>
      </m:oMath>
      <w:r>
        <w:t xml:space="preserve"> from a non-statistician raises several challenges. </w:t>
      </w:r>
    </w:p>
    <w:p w:rsidR="00C62F3A" w:rsidRDefault="00C62F3A" w:rsidP="00ED3FB6">
      <w:r>
        <w:t>Tversky and Kahneman (1974) identified three well known types of heuristics: availability; representiveness; and anchoring and adjusting. These</w:t>
      </w:r>
      <w:r w:rsidR="00AB4C16">
        <w:t xml:space="preserve"> are often adopted to</w:t>
      </w:r>
      <w:r>
        <w:t xml:space="preserve"> help people solve problems, make decisions, or form judgements. Heuristics can lead to biases in people’s judgements of probabilities. Availability describes the impact of recent or personal experience of the clinician that may affect the expert’s perceptions. For example, if the expert saw a patient in their clinic before the interview, this patient may have a disproportionate impact on their estimates. Representativeness relates to the judgement of similarities and difference</w:t>
      </w:r>
      <w:r w:rsidR="00765E56">
        <w:t>s</w:t>
      </w:r>
      <w:r>
        <w:t xml:space="preserve"> between two groups to estimate the probability. </w:t>
      </w:r>
      <w:r w:rsidR="00E51D6F">
        <w:t xml:space="preserve">This can </w:t>
      </w:r>
      <w:r w:rsidR="00ED3FB6">
        <w:t>mean that if two groups have similar characteristics on attribute A the expert assumes that they will have similar attributes on the elicited attribute B</w:t>
      </w:r>
      <w:r w:rsidR="00E51D6F">
        <w:t xml:space="preserve">. </w:t>
      </w:r>
      <w:r>
        <w:t xml:space="preserve">Anchoring and Adjusting suggests that people use an anchor value and then adjust upwards or downwards. This can lead to bias if the respondent has a tendency to stay close to the anchor. These potential sources of bias must be considered when designing the elicitation exercise to minimise their impact. </w:t>
      </w:r>
    </w:p>
    <w:p w:rsidR="00C62F3A" w:rsidRDefault="00C62F3A" w:rsidP="0090251C">
      <w:r>
        <w:t>As a consequence, the design of the elicitation exercise was informed by a detailed consultation of the literature on eliciting probability density functions. O’Hagan et al. (2006) provided a broad introduction to elicitation and supplied useful guidelines to the process</w:t>
      </w:r>
      <w:r w:rsidR="00AB4C16">
        <w:t xml:space="preserve"> that take account of the problems of heuristics</w:t>
      </w:r>
      <w:r>
        <w:t xml:space="preserve">. This was supplemented with a review of elicitation studies in </w:t>
      </w:r>
      <w:r w:rsidR="0090251C">
        <w:t>CE</w:t>
      </w:r>
      <w:r>
        <w:t xml:space="preserve"> models. These findings of this review are summarised in the Appendix</w:t>
      </w:r>
      <w:r w:rsidR="007F49FE">
        <w:t xml:space="preserve"> 13</w:t>
      </w:r>
      <w:r>
        <w:t xml:space="preserve">. </w:t>
      </w:r>
    </w:p>
    <w:p w:rsidR="00B07104" w:rsidRDefault="00B07104" w:rsidP="00C62F3A">
      <w:pPr>
        <w:pStyle w:val="Heading3"/>
      </w:pPr>
      <w:bookmarkStart w:id="405" w:name="_Toc335051124"/>
      <w:bookmarkStart w:id="406" w:name="_Toc341366948"/>
      <w:bookmarkStart w:id="407" w:name="_Toc379467638"/>
      <w:r>
        <w:t>Elicitation Methods</w:t>
      </w:r>
      <w:bookmarkEnd w:id="407"/>
    </w:p>
    <w:p w:rsidR="00C62F3A" w:rsidRDefault="00C62F3A" w:rsidP="00B07104">
      <w:pPr>
        <w:pStyle w:val="Heading4"/>
      </w:pPr>
      <w:r>
        <w:t>Defining the Aims</w:t>
      </w:r>
      <w:bookmarkEnd w:id="405"/>
      <w:bookmarkEnd w:id="406"/>
    </w:p>
    <w:p w:rsidR="00C62F3A" w:rsidRDefault="00C62F3A" w:rsidP="0090251C">
      <w:r>
        <w:t xml:space="preserve">The aims of this elicitation were to inform </w:t>
      </w:r>
      <w:r w:rsidR="0090251C">
        <w:t>the parameters of</w:t>
      </w:r>
      <w:r>
        <w:t xml:space="preserve"> a BCTS that cannot be estimated from other data sources. </w:t>
      </w:r>
      <w:r w:rsidR="00AB4C16">
        <w:t>E</w:t>
      </w:r>
      <w:r>
        <w:t xml:space="preserve">licitation is only required to estimate the </w:t>
      </w:r>
      <w:r w:rsidR="00AB4C16">
        <w:t xml:space="preserve">difference in the long-term outcomes with </w:t>
      </w:r>
      <w:r w:rsidR="00765E56">
        <w:t xml:space="preserve">the </w:t>
      </w:r>
      <w:r w:rsidR="00AB4C16">
        <w:t xml:space="preserve">new treatment compared with the Hopkins </w:t>
      </w:r>
      <w:r w:rsidR="0090251C">
        <w:t>regression</w:t>
      </w:r>
      <w:r w:rsidR="00AB4C16">
        <w:t xml:space="preserve"> model predictions.</w:t>
      </w:r>
    </w:p>
    <w:p w:rsidR="00C62F3A" w:rsidRDefault="00C62F3A" w:rsidP="0090251C">
      <w:r>
        <w:t xml:space="preserve">A clear specification of what parameters </w:t>
      </w:r>
      <w:r w:rsidR="007D4FFD">
        <w:t>were</w:t>
      </w:r>
      <w:r>
        <w:t xml:space="preserve"> needed </w:t>
      </w:r>
      <w:r w:rsidR="007D4FFD">
        <w:t>was</w:t>
      </w:r>
      <w:r>
        <w:t xml:space="preserve"> important to ensure that the data </w:t>
      </w:r>
      <w:r w:rsidR="007D4FFD">
        <w:t>was</w:t>
      </w:r>
      <w:r>
        <w:t xml:space="preserve"> compatible with the </w:t>
      </w:r>
      <w:r w:rsidR="0090251C">
        <w:t>BCTS and CE</w:t>
      </w:r>
      <w:r>
        <w:t xml:space="preserve"> model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4D7951">
        <w:t>(221)</w:t>
      </w:r>
      <w:r w:rsidR="00E729BA">
        <w:fldChar w:fldCharType="end"/>
      </w:r>
      <w:r>
        <w:t>. Consequently, the elicitation was planned after the simulation was developed. The following quantities for the BCTS are unknown and will need to be informed by elicitation:</w:t>
      </w:r>
    </w:p>
    <w:p w:rsidR="00C62F3A" w:rsidRDefault="00C62F3A" w:rsidP="00597CF5">
      <w:pPr>
        <w:pStyle w:val="ListParagraph"/>
        <w:numPr>
          <w:ilvl w:val="0"/>
          <w:numId w:val="18"/>
        </w:numPr>
      </w:pPr>
      <w:r>
        <w:t>The probability of SLEDAI items being present whilst receiving treatment after 12 months.</w:t>
      </w:r>
    </w:p>
    <w:p w:rsidR="00C62F3A" w:rsidRDefault="00C62F3A" w:rsidP="00597CF5">
      <w:pPr>
        <w:pStyle w:val="ListParagraph"/>
        <w:numPr>
          <w:ilvl w:val="0"/>
          <w:numId w:val="18"/>
        </w:numPr>
      </w:pPr>
      <w:r>
        <w:t>The risk of mortality for patients receiving treatment independent of the effects of SLEDAI.</w:t>
      </w:r>
    </w:p>
    <w:p w:rsidR="00C62F3A" w:rsidRDefault="00C62F3A" w:rsidP="00597CF5">
      <w:pPr>
        <w:pStyle w:val="ListParagraph"/>
        <w:numPr>
          <w:ilvl w:val="0"/>
          <w:numId w:val="18"/>
        </w:numPr>
      </w:pPr>
      <w:r>
        <w:t>The risk of organ damage for patients receiving treatment independent of the reduction in average SLEDAI score and other treatment effects.</w:t>
      </w:r>
    </w:p>
    <w:p w:rsidR="00C62F3A" w:rsidRPr="00DB1D98" w:rsidRDefault="00C62F3A" w:rsidP="00C62F3A">
      <w:pPr>
        <w:rPr>
          <w:u w:val="single"/>
        </w:rPr>
      </w:pPr>
      <w:r>
        <w:rPr>
          <w:u w:val="single"/>
        </w:rPr>
        <w:t>The probability</w:t>
      </w:r>
      <w:r w:rsidRPr="00DB1D98">
        <w:rPr>
          <w:u w:val="single"/>
        </w:rPr>
        <w:t xml:space="preserve"> of SLEDAI items (</w:t>
      </w:r>
      <w:r>
        <w:rPr>
          <w:u w:val="single"/>
        </w:rPr>
        <w:t>A</w:t>
      </w:r>
      <w:r w:rsidRPr="00DB1D98">
        <w:rPr>
          <w:u w:val="single"/>
        </w:rPr>
        <w:t>)</w:t>
      </w:r>
    </w:p>
    <w:p w:rsidR="00C62F3A" w:rsidRDefault="007D4FFD" w:rsidP="00704C25">
      <w:r>
        <w:t xml:space="preserve">The effectiveness of treatment </w:t>
      </w:r>
      <w:r w:rsidR="00361E36">
        <w:t xml:space="preserve">in reducing SLEDAI involvement </w:t>
      </w:r>
      <w:r>
        <w:t>beyond the 12 month</w:t>
      </w:r>
      <w:r w:rsidR="00361E36">
        <w:t>s</w:t>
      </w:r>
      <w:r>
        <w:t xml:space="preserve"> needed to be elicited from clinical experts. </w:t>
      </w:r>
      <w:r w:rsidR="00361E36">
        <w:t>T</w:t>
      </w:r>
      <w:r w:rsidR="00C62F3A">
        <w:t xml:space="preserve">he elicitation needed to identify </w:t>
      </w:r>
      <w:r w:rsidR="00361E36">
        <w:t xml:space="preserve">parameter </w:t>
      </w:r>
      <w:r w:rsidR="00C62F3A">
        <w:t xml:space="preserve">distributions for 22 </w:t>
      </w:r>
      <m:oMath>
        <m:sSub>
          <m:sSubPr>
            <m:ctrlPr>
              <w:rPr>
                <w:rFonts w:ascii="Cambria Math" w:hAnsi="Cambria Math"/>
                <w:i/>
              </w:rPr>
            </m:ctrlPr>
          </m:sSubPr>
          <m:e>
            <m:r>
              <w:rPr>
                <w:rFonts w:ascii="Cambria Math" w:hAnsi="Cambria Math"/>
              </w:rPr>
              <m:t xml:space="preserve"> β</m:t>
            </m:r>
          </m:e>
          <m:sub>
            <m:r>
              <w:rPr>
                <w:rFonts w:ascii="Cambria Math" w:hAnsi="Cambria Math"/>
              </w:rPr>
              <m:t>k+1</m:t>
            </m:r>
          </m:sub>
        </m:sSub>
      </m:oMath>
      <w:r w:rsidR="00C62F3A">
        <w:t xml:space="preserve">  </w:t>
      </w:r>
      <w:r>
        <w:t xml:space="preserve">log-odds </w:t>
      </w:r>
      <w:r w:rsidR="00C62F3A">
        <w:t>coefficients</w:t>
      </w:r>
      <w:r w:rsidR="00704C25">
        <w:t xml:space="preserve"> to be used in the models estimating the probability of 22 items of the SLEDAI</w:t>
      </w:r>
      <w:r w:rsidR="00C62F3A">
        <w:t xml:space="preserve">. </w:t>
      </w:r>
      <w:r w:rsidR="00361E36">
        <w:t xml:space="preserve">Vasculitis and fever were not included in the </w:t>
      </w:r>
      <w:r w:rsidR="00704C25">
        <w:t>elicitation;</w:t>
      </w:r>
      <w:r w:rsidR="00361E36">
        <w:t xml:space="preserve"> these are </w:t>
      </w:r>
      <w:r w:rsidR="00704C25">
        <w:t>very rare</w:t>
      </w:r>
      <w:r w:rsidR="00361E36">
        <w:t xml:space="preserve"> events that could not be </w:t>
      </w:r>
      <w:r w:rsidR="00704C25">
        <w:t>grouped</w:t>
      </w:r>
      <w:r w:rsidR="00361E36">
        <w:t xml:space="preserve"> with other items of the SLEDAI.</w:t>
      </w:r>
    </w:p>
    <w:p w:rsidR="00C62F3A" w:rsidRDefault="00C62F3A" w:rsidP="00C62F3A">
      <w:pPr>
        <w:rPr>
          <w:u w:val="single"/>
        </w:rPr>
      </w:pPr>
      <w:r>
        <w:rPr>
          <w:u w:val="single"/>
        </w:rPr>
        <w:t>The risk of</w:t>
      </w:r>
      <w:r w:rsidRPr="00437F35">
        <w:rPr>
          <w:u w:val="single"/>
        </w:rPr>
        <w:t xml:space="preserve"> long term outcomes (</w:t>
      </w:r>
      <w:r>
        <w:rPr>
          <w:u w:val="single"/>
        </w:rPr>
        <w:t>B and C</w:t>
      </w:r>
      <w:r w:rsidRPr="00437F35">
        <w:rPr>
          <w:u w:val="single"/>
        </w:rPr>
        <w:t>)</w:t>
      </w:r>
    </w:p>
    <w:p w:rsidR="00C62F3A" w:rsidRDefault="00361E36" w:rsidP="009554D6">
      <w:r>
        <w:t>The new treatment may modify the rate of damage accumulation and the risk of mortality</w:t>
      </w:r>
      <w:r w:rsidR="00F0444E">
        <w:t xml:space="preserve">. Treatment has an indirect effect on these outcomes </w:t>
      </w:r>
      <w:r>
        <w:t xml:space="preserve">through Adjusted Mean SLEDAI and cumulative average prednisone dose. </w:t>
      </w:r>
      <w:r w:rsidR="00C62F3A">
        <w:t xml:space="preserve">The elicitation aimed to estimate clinical experts’ beliefs </w:t>
      </w:r>
      <w:r w:rsidR="009554D6">
        <w:t xml:space="preserve">and uncertainty </w:t>
      </w:r>
      <w:r w:rsidR="00C62F3A">
        <w:t xml:space="preserve">about the </w:t>
      </w:r>
      <w:r w:rsidR="00F0444E">
        <w:t xml:space="preserve">direct </w:t>
      </w:r>
      <w:r w:rsidR="00C62F3A">
        <w:t>effec</w:t>
      </w:r>
      <w:r w:rsidR="009554D6">
        <w:t>t</w:t>
      </w:r>
      <w:r w:rsidR="007679AD">
        <w:t>, i.e. the effect over and above that mediated by adjusted mean SLEDAI and steroid dose,</w:t>
      </w:r>
      <w:r w:rsidR="009554D6">
        <w:t xml:space="preserve"> of biologic treatment on long-</w:t>
      </w:r>
      <w:r w:rsidR="00C62F3A">
        <w:t xml:space="preserve">term outcomes. </w:t>
      </w:r>
      <w:r w:rsidR="00F0444E">
        <w:t xml:space="preserve">A treatment </w:t>
      </w:r>
      <w:r w:rsidR="00C62F3A">
        <w:t xml:space="preserve">coefficient </w:t>
      </w:r>
      <w:r w:rsidR="00F0444E">
        <w:t>was added to the survival</w:t>
      </w:r>
      <w:r w:rsidR="00C62F3A">
        <w:t xml:space="preserve"> models as described in </w:t>
      </w:r>
      <w:r w:rsidR="00E729BA">
        <w:fldChar w:fldCharType="begin"/>
      </w:r>
      <w:r w:rsidR="00907F0D">
        <w:instrText xml:space="preserve"> REF _Ref335652130 \h </w:instrText>
      </w:r>
      <w:r w:rsidR="00E729BA">
        <w:fldChar w:fldCharType="separate"/>
      </w:r>
      <w:r w:rsidR="004911B7">
        <w:t xml:space="preserve">Table </w:t>
      </w:r>
      <w:r w:rsidR="004911B7">
        <w:rPr>
          <w:noProof/>
        </w:rPr>
        <w:t>36</w:t>
      </w:r>
      <w:r w:rsidR="00E729BA">
        <w:fldChar w:fldCharType="end"/>
      </w:r>
      <w:r w:rsidR="00907F0D">
        <w:t xml:space="preserve"> </w:t>
      </w:r>
      <w:r w:rsidR="00C62F3A">
        <w:t xml:space="preserve">for </w:t>
      </w:r>
      <w:r w:rsidR="007679AD">
        <w:t xml:space="preserve">each of the twelve </w:t>
      </w:r>
      <w:r w:rsidR="00C62F3A">
        <w:t>organ damage</w:t>
      </w:r>
      <w:r w:rsidR="007679AD">
        <w:t xml:space="preserve"> models</w:t>
      </w:r>
      <w:r w:rsidR="00C62F3A">
        <w:t xml:space="preserve"> and equation </w:t>
      </w:r>
      <w:r w:rsidR="00E729BA">
        <w:fldChar w:fldCharType="begin"/>
      </w:r>
      <w:r w:rsidR="009914C2">
        <w:instrText xml:space="preserve"> REF mortlambda_6 \w \h </w:instrText>
      </w:r>
      <w:r w:rsidR="00E729BA">
        <w:fldChar w:fldCharType="separate"/>
      </w:r>
      <w:r w:rsidR="004911B7">
        <w:rPr>
          <w:cs/>
        </w:rPr>
        <w:t>‎</w:t>
      </w:r>
      <w:r w:rsidR="004911B7">
        <w:t>(6.7)</w:t>
      </w:r>
      <w:r w:rsidR="00E729BA">
        <w:fldChar w:fldCharType="end"/>
      </w:r>
      <w:r w:rsidR="00C62F3A">
        <w:t xml:space="preserve"> for mortality. Therefore, the elicitation needed to identify distributions for 13 </w:t>
      </w:r>
      <m:oMath>
        <m:sSub>
          <m:sSubPr>
            <m:ctrlPr>
              <w:rPr>
                <w:rFonts w:ascii="Cambria Math" w:hAnsi="Cambria Math"/>
                <w:i/>
              </w:rPr>
            </m:ctrlPr>
          </m:sSubPr>
          <m:e>
            <m:r>
              <w:rPr>
                <w:rFonts w:ascii="Cambria Math" w:hAnsi="Cambria Math"/>
              </w:rPr>
              <m:t xml:space="preserve"> β</m:t>
            </m:r>
          </m:e>
          <m:sub>
            <m:r>
              <w:rPr>
                <w:rFonts w:ascii="Cambria Math" w:hAnsi="Cambria Math"/>
              </w:rPr>
              <m:t>k+1</m:t>
            </m:r>
          </m:sub>
        </m:sSub>
      </m:oMath>
      <w:r w:rsidR="00C62F3A">
        <w:t xml:space="preserve">  coefficients.</w:t>
      </w:r>
    </w:p>
    <w:p w:rsidR="00A50D8C" w:rsidRPr="00A50D8C" w:rsidRDefault="00A50D8C" w:rsidP="00A50D8C">
      <w:pPr>
        <w:pStyle w:val="Heading4"/>
      </w:pPr>
      <w:r>
        <w:t>Defining the Object to Elicit</w:t>
      </w:r>
    </w:p>
    <w:p w:rsidR="00C62F3A" w:rsidRDefault="00C62F3A" w:rsidP="00F0444E">
      <w:pPr>
        <w:rPr>
          <w:rFonts w:cs="Times New Roman"/>
        </w:rPr>
      </w:pPr>
      <w:r>
        <w:t>It would have been difficult for the clinical experts to express distributions for the quantities</w:t>
      </w:r>
      <m:oMath>
        <m:sSub>
          <m:sSubPr>
            <m:ctrlPr>
              <w:rPr>
                <w:rFonts w:ascii="Cambria Math" w:hAnsi="Cambria Math"/>
                <w:i/>
              </w:rPr>
            </m:ctrlPr>
          </m:sSubPr>
          <m:e>
            <m:r>
              <w:rPr>
                <w:rFonts w:ascii="Cambria Math" w:hAnsi="Cambria Math"/>
              </w:rPr>
              <m:t xml:space="preserve"> β</m:t>
            </m:r>
          </m:e>
          <m:sub>
            <m:r>
              <w:rPr>
                <w:rFonts w:ascii="Cambria Math" w:hAnsi="Cambria Math"/>
              </w:rPr>
              <m:t>k+1</m:t>
            </m:r>
          </m:sub>
        </m:sSub>
      </m:oMath>
      <w:r>
        <w:rPr>
          <w:rFonts w:cs="Times New Roman"/>
        </w:rPr>
        <w:t>, or their corresponding odds ratios, hazard ratios, and time ratios</w:t>
      </w:r>
      <w:r w:rsidR="00F0444E">
        <w:rPr>
          <w:rFonts w:cs="Times New Roman"/>
        </w:rPr>
        <w:t>. These are no</w:t>
      </w:r>
      <w:r>
        <w:rPr>
          <w:rFonts w:cs="Times New Roman"/>
        </w:rPr>
        <w:t xml:space="preserve">n-observable </w:t>
      </w:r>
      <w:r w:rsidR="00F0444E">
        <w:rPr>
          <w:rFonts w:cs="Times New Roman"/>
        </w:rPr>
        <w:t xml:space="preserve">quantities and experts would be likely to draw on heuristics to aid their estimates </w:t>
      </w:r>
      <w:r w:rsidR="00E729BA">
        <w:rPr>
          <w:rFonts w:cs="Times New Roman"/>
        </w:rPr>
        <w:fldChar w:fldCharType="begin"/>
      </w:r>
      <w:r w:rsidR="00FC61FD">
        <w:rPr>
          <w:rFonts w:cs="Times New Roman"/>
        </w:rPr>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rPr>
          <w:rFonts w:cs="Times New Roman"/>
        </w:rPr>
        <w:fldChar w:fldCharType="separate"/>
      </w:r>
      <w:r w:rsidR="004D7951">
        <w:rPr>
          <w:rFonts w:cs="Times New Roman"/>
        </w:rPr>
        <w:t>(221)</w:t>
      </w:r>
      <w:r w:rsidR="00E729BA">
        <w:rPr>
          <w:rFonts w:cs="Times New Roman"/>
        </w:rPr>
        <w:fldChar w:fldCharType="end"/>
      </w:r>
      <w:r>
        <w:rPr>
          <w:rFonts w:cs="Times New Roman"/>
        </w:rPr>
        <w:t xml:space="preserve">. </w:t>
      </w:r>
      <w:r w:rsidR="00F0444E">
        <w:rPr>
          <w:rFonts w:cs="Times New Roman"/>
        </w:rPr>
        <w:t>As such t</w:t>
      </w:r>
      <w:r>
        <w:rPr>
          <w:rFonts w:cs="Times New Roman"/>
        </w:rPr>
        <w:t xml:space="preserve">he questions </w:t>
      </w:r>
      <w:r w:rsidR="00F0444E">
        <w:rPr>
          <w:rFonts w:cs="Times New Roman"/>
        </w:rPr>
        <w:t>were</w:t>
      </w:r>
      <w:r>
        <w:rPr>
          <w:rFonts w:cs="Times New Roman"/>
        </w:rPr>
        <w:t xml:space="preserve"> </w:t>
      </w:r>
      <w:r w:rsidR="00F0444E">
        <w:rPr>
          <w:rFonts w:cs="Times New Roman"/>
        </w:rPr>
        <w:t>rephrased to</w:t>
      </w:r>
      <w:r>
        <w:rPr>
          <w:rFonts w:cs="Times New Roman"/>
        </w:rPr>
        <w:t xml:space="preserve"> elicit observable quantities from the clinical experts, which </w:t>
      </w:r>
      <w:r w:rsidR="00F0444E">
        <w:rPr>
          <w:rFonts w:cs="Times New Roman"/>
        </w:rPr>
        <w:t>were transformed to</w:t>
      </w:r>
      <w:r>
        <w:rPr>
          <w:rFonts w:cs="Times New Roman"/>
        </w:rPr>
        <w:t xml:space="preserve"> reveal the parameters</w:t>
      </w:r>
      <w:r w:rsidR="00F0444E">
        <w:rPr>
          <w:rFonts w:cs="Times New Roman"/>
        </w:rPr>
        <w:t xml:space="preserve"> of interest. </w:t>
      </w:r>
    </w:p>
    <w:p w:rsidR="00F0444E" w:rsidRDefault="00C62F3A" w:rsidP="00C060BE">
      <w:pPr>
        <w:rPr>
          <w:rFonts w:cs="Times New Roman"/>
        </w:rPr>
      </w:pPr>
      <w:r>
        <w:rPr>
          <w:rFonts w:cs="Times New Roman"/>
        </w:rPr>
        <w:t>O’Hagan et al. (2006) recommend framing questions to clinical experts in terms of the proportion of a cohort of patients</w:t>
      </w:r>
      <w:r w:rsidR="0081424E">
        <w:rPr>
          <w:rFonts w:cs="Times New Roman"/>
        </w:rPr>
        <w:t xml:space="preserve"> </w:t>
      </w:r>
      <w:r w:rsidR="00E729BA">
        <w:rPr>
          <w:rFonts w:cs="Times New Roman"/>
        </w:rPr>
        <w:fldChar w:fldCharType="begin"/>
      </w:r>
      <w:r w:rsidR="00FC61FD">
        <w:rPr>
          <w:rFonts w:cs="Times New Roman"/>
        </w:rPr>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rPr>
          <w:rFonts w:cs="Times New Roman"/>
        </w:rPr>
        <w:fldChar w:fldCharType="separate"/>
      </w:r>
      <w:r w:rsidR="0081424E">
        <w:rPr>
          <w:rFonts w:cs="Times New Roman"/>
        </w:rPr>
        <w:t>(221)</w:t>
      </w:r>
      <w:r w:rsidR="00E729BA">
        <w:rPr>
          <w:rFonts w:cs="Times New Roman"/>
        </w:rPr>
        <w:fldChar w:fldCharType="end"/>
      </w:r>
      <w:r>
        <w:rPr>
          <w:rFonts w:cs="Times New Roman"/>
        </w:rPr>
        <w:t xml:space="preserve">. </w:t>
      </w:r>
      <w:r w:rsidR="00F0444E">
        <w:rPr>
          <w:rFonts w:cs="Times New Roman"/>
        </w:rPr>
        <w:t>Respondents can conceptualise a cohort of patients and estimate difference in the number of the cohort who</w:t>
      </w:r>
      <w:r w:rsidR="007679AD">
        <w:rPr>
          <w:rFonts w:cs="Times New Roman"/>
        </w:rPr>
        <w:t xml:space="preserve"> experience an</w:t>
      </w:r>
      <w:r w:rsidR="003536A7">
        <w:rPr>
          <w:rFonts w:cs="Times New Roman"/>
        </w:rPr>
        <w:t xml:space="preserve"> event.</w:t>
      </w:r>
      <w:r w:rsidR="003536A7" w:rsidRPr="003536A7">
        <w:rPr>
          <w:rFonts w:cs="Times New Roman"/>
        </w:rPr>
        <w:t xml:space="preserve"> </w:t>
      </w:r>
      <w:r w:rsidR="003536A7">
        <w:rPr>
          <w:rFonts w:cs="Times New Roman"/>
        </w:rPr>
        <w:t>These proportions can be interpreted as an expression of the probability of an event.</w:t>
      </w:r>
      <w:r w:rsidR="00C060BE">
        <w:rPr>
          <w:rFonts w:cs="Times New Roman"/>
        </w:rPr>
        <w:t xml:space="preserve"> Therefore, in each elicitation questions the experts were presented with the number of individuals out of a cohort of 1,000</w:t>
      </w:r>
      <w:r w:rsidR="00765E56">
        <w:rPr>
          <w:rFonts w:cs="Times New Roman"/>
        </w:rPr>
        <w:t xml:space="preserve"> patients</w:t>
      </w:r>
      <w:r w:rsidR="00C060BE">
        <w:rPr>
          <w:rFonts w:cs="Times New Roman"/>
        </w:rPr>
        <w:t xml:space="preserve"> who had an event at time t in the baseline scenario. They were asked to estimate how many fewer, or more, patients they would expect to experience an event whilst on treatment compared with the baseline estimate. </w:t>
      </w:r>
    </w:p>
    <w:p w:rsidR="00C62F3A" w:rsidRDefault="00C62F3A" w:rsidP="00C060BE">
      <w:pPr>
        <w:rPr>
          <w:rFonts w:cs="Times New Roman"/>
        </w:rPr>
      </w:pPr>
      <w:r>
        <w:rPr>
          <w:rFonts w:cs="Times New Roman"/>
        </w:rPr>
        <w:t xml:space="preserve">It </w:t>
      </w:r>
      <w:r w:rsidR="003536A7">
        <w:rPr>
          <w:rFonts w:cs="Times New Roman"/>
        </w:rPr>
        <w:t>was</w:t>
      </w:r>
      <w:r>
        <w:rPr>
          <w:rFonts w:cs="Times New Roman"/>
        </w:rPr>
        <w:t xml:space="preserve"> recommended to elicit independent parameters, rather than conditional parameters, because it is challenging to elicit correlations or </w:t>
      </w:r>
      <w:r w:rsidR="003536A7">
        <w:rPr>
          <w:rFonts w:cs="Times New Roman"/>
        </w:rPr>
        <w:t>a</w:t>
      </w:r>
      <w:r>
        <w:rPr>
          <w:rFonts w:cs="Times New Roman"/>
        </w:rPr>
        <w:t>ssociations between parameters</w:t>
      </w:r>
      <w:r w:rsidR="003536A7">
        <w:rPr>
          <w:rFonts w:cs="Times New Roman"/>
        </w:rPr>
        <w:t xml:space="preserve"> </w:t>
      </w:r>
      <w:r w:rsidR="00E729BA">
        <w:rPr>
          <w:rFonts w:cs="Times New Roman"/>
        </w:rPr>
        <w:fldChar w:fldCharType="begin"/>
      </w:r>
      <w:r w:rsidR="00FC61FD">
        <w:rPr>
          <w:rFonts w:cs="Times New Roman"/>
        </w:rPr>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rPr>
          <w:rFonts w:cs="Times New Roman"/>
        </w:rPr>
        <w:fldChar w:fldCharType="separate"/>
      </w:r>
      <w:r w:rsidR="0081424E">
        <w:rPr>
          <w:rFonts w:cs="Times New Roman"/>
        </w:rPr>
        <w:t>(221)</w:t>
      </w:r>
      <w:r w:rsidR="00E729BA">
        <w:rPr>
          <w:rFonts w:cs="Times New Roman"/>
        </w:rPr>
        <w:fldChar w:fldCharType="end"/>
      </w:r>
      <w:r>
        <w:rPr>
          <w:rFonts w:cs="Times New Roman"/>
        </w:rPr>
        <w:t xml:space="preserve">. </w:t>
      </w:r>
      <w:r w:rsidR="003536A7">
        <w:rPr>
          <w:rFonts w:cs="Times New Roman"/>
        </w:rPr>
        <w:t>T</w:t>
      </w:r>
      <w:r>
        <w:rPr>
          <w:rFonts w:cs="Times New Roman"/>
        </w:rPr>
        <w:t>he proportion of patients in the treatment arm with a particular SLE symptom</w:t>
      </w:r>
      <w:r w:rsidR="003536A7">
        <w:rPr>
          <w:rFonts w:cs="Times New Roman"/>
        </w:rPr>
        <w:t xml:space="preserve"> is not an independent parameter</w:t>
      </w:r>
      <w:r>
        <w:rPr>
          <w:rFonts w:cs="Times New Roman"/>
        </w:rPr>
        <w:t xml:space="preserve">. The elicited </w:t>
      </w:r>
      <w:r w:rsidR="00FC126E">
        <w:rPr>
          <w:rFonts w:cs="Times New Roman"/>
        </w:rPr>
        <w:t>proportions were</w:t>
      </w:r>
      <w:r>
        <w:rPr>
          <w:rFonts w:cs="Times New Roman"/>
        </w:rPr>
        <w:t xml:space="preserve"> conditional </w:t>
      </w:r>
      <w:r w:rsidR="00C060BE">
        <w:rPr>
          <w:rFonts w:cs="Times New Roman"/>
        </w:rPr>
        <w:t xml:space="preserve">on </w:t>
      </w:r>
      <w:r w:rsidR="003536A7">
        <w:rPr>
          <w:rFonts w:cs="Times New Roman"/>
        </w:rPr>
        <w:t>whatever</w:t>
      </w:r>
      <w:r>
        <w:rPr>
          <w:rFonts w:cs="Times New Roman"/>
        </w:rPr>
        <w:t xml:space="preserve"> baseline value for standard of care that the expert considered at the time. </w:t>
      </w:r>
      <w:r w:rsidR="003536A7">
        <w:rPr>
          <w:rFonts w:cs="Times New Roman"/>
        </w:rPr>
        <w:t>T</w:t>
      </w:r>
      <w:r>
        <w:rPr>
          <w:rFonts w:cs="Times New Roman"/>
        </w:rPr>
        <w:t xml:space="preserve">he difference between the two arms </w:t>
      </w:r>
      <w:r w:rsidR="003536A7">
        <w:rPr>
          <w:rFonts w:cs="Times New Roman"/>
        </w:rPr>
        <w:t>expresses</w:t>
      </w:r>
      <w:r>
        <w:rPr>
          <w:rFonts w:cs="Times New Roman"/>
        </w:rPr>
        <w:t xml:space="preserve"> the treatment effect and can be assumed to be independent of the baseline value. </w:t>
      </w:r>
    </w:p>
    <w:p w:rsidR="00765E56" w:rsidRDefault="00765E56" w:rsidP="00087603">
      <w:pPr>
        <w:rPr>
          <w:rFonts w:cs="Times New Roman"/>
        </w:rPr>
      </w:pPr>
      <w:r>
        <w:rPr>
          <w:rFonts w:cs="Times New Roman"/>
        </w:rPr>
        <w:t xml:space="preserve">The experts were asked to consider the treatment effect of a hypothetical biologic treatment with efficacy and safety characteristics from a </w:t>
      </w:r>
      <w:r w:rsidR="0016510D">
        <w:rPr>
          <w:rFonts w:cs="Times New Roman"/>
        </w:rPr>
        <w:t>Phase</w:t>
      </w:r>
      <w:r>
        <w:rPr>
          <w:rFonts w:cs="Times New Roman"/>
        </w:rPr>
        <w:t xml:space="preserve"> II trial similar to those observed from belimumab.</w:t>
      </w:r>
      <w:r w:rsidR="00087603">
        <w:rPr>
          <w:rFonts w:cs="Times New Roman"/>
        </w:rPr>
        <w:t xml:space="preserve"> They were presented with hypothetical data to describe the effectiveness of the treatment from a Phase II trial. The experts were asked to elicit clinically plausible treatment effects in reducing the number of clinical events. This may have been challenging given that they did not have personal experience with the treatment. However, their experience of treating patients with other drugs would allow them to consider what magnitude of benefits or harm would be possible.</w:t>
      </w:r>
    </w:p>
    <w:p w:rsidR="00C62F3A" w:rsidRDefault="00C62F3A" w:rsidP="00C060BE">
      <w:pPr>
        <w:rPr>
          <w:rFonts w:cs="Times New Roman"/>
        </w:rPr>
      </w:pPr>
      <w:r>
        <w:rPr>
          <w:rFonts w:cs="Times New Roman"/>
        </w:rPr>
        <w:t xml:space="preserve">The experts </w:t>
      </w:r>
      <w:r w:rsidR="00C060BE">
        <w:rPr>
          <w:rFonts w:cs="Times New Roman"/>
        </w:rPr>
        <w:t>were</w:t>
      </w:r>
      <w:r>
        <w:rPr>
          <w:rFonts w:cs="Times New Roman"/>
        </w:rPr>
        <w:t xml:space="preserve"> asked to describe</w:t>
      </w:r>
      <m:oMath>
        <m:r>
          <w:rPr>
            <w:rFonts w:ascii="Cambria Math" w:hAnsi="Cambria Math" w:cs="Times New Roman"/>
          </w:rPr>
          <m:t xml:space="preserve"> Δ</m:t>
        </m:r>
      </m:oMath>
      <w:r>
        <w:rPr>
          <w:rFonts w:cs="Times New Roman"/>
        </w:rPr>
        <w:t>, the distribution for the difference</w:t>
      </w:r>
      <w:r w:rsidR="007679AD">
        <w:rPr>
          <w:rFonts w:cs="Times New Roman"/>
        </w:rPr>
        <w:t xml:space="preserve"> in the</w:t>
      </w:r>
      <w:r>
        <w:rPr>
          <w:rFonts w:cs="Times New Roman"/>
        </w:rPr>
        <w:t xml:space="preserve"> </w:t>
      </w:r>
      <w:r w:rsidR="00A50D8C">
        <w:rPr>
          <w:rFonts w:cs="Times New Roman"/>
        </w:rPr>
        <w:t>proportion of individuals with a characteristic receiving SoC</w:t>
      </w:r>
      <w:r>
        <w:rPr>
          <w:rFonts w:cs="Times New Roman"/>
        </w:rPr>
        <w:t xml:space="preserve"> and treatment at a </w:t>
      </w:r>
      <w:r w:rsidR="00A50D8C">
        <w:rPr>
          <w:rFonts w:cs="Times New Roman"/>
        </w:rPr>
        <w:t>single point in</w:t>
      </w:r>
      <w:r>
        <w:rPr>
          <w:rFonts w:cs="Times New Roman"/>
        </w:rPr>
        <w:t xml:space="preserve"> time.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6829"/>
        <w:gridCol w:w="1086"/>
      </w:tblGrid>
      <w:tr w:rsidR="002737EE" w:rsidTr="00FB7FA6">
        <w:trPr>
          <w:cantSplit/>
          <w:trHeight w:val="435"/>
        </w:trPr>
        <w:tc>
          <w:tcPr>
            <w:tcW w:w="534" w:type="dxa"/>
          </w:tcPr>
          <w:p w:rsidR="002737EE" w:rsidRDefault="002737EE" w:rsidP="002737EE"/>
        </w:tc>
        <w:tc>
          <w:tcPr>
            <w:tcW w:w="7512" w:type="dxa"/>
          </w:tcPr>
          <w:p w:rsidR="002737EE" w:rsidRPr="002367E4" w:rsidRDefault="002737EE" w:rsidP="002737EE">
            <m:oMathPara>
              <m:oMath>
                <m:r>
                  <w:rPr>
                    <w:rFonts w:ascii="Cambria Math" w:hAnsi="Cambria Math" w:cs="Times New Roman"/>
                  </w:rPr>
                  <m:t>pr</m:t>
                </m:r>
                <m:d>
                  <m:dPr>
                    <m:ctrlPr>
                      <w:rPr>
                        <w:rFonts w:ascii="Cambria Math" w:hAnsi="Cambria Math" w:cs="Times New Roman"/>
                        <w:i/>
                      </w:rPr>
                    </m:ctrlPr>
                  </m:dPr>
                  <m:e>
                    <m:r>
                      <w:rPr>
                        <w:rFonts w:ascii="Cambria Math" w:hAnsi="Cambria Math" w:cs="Times New Roman"/>
                      </w:rPr>
                      <m:t>y=1</m:t>
                    </m:r>
                  </m:e>
                  <m:e>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1</m:t>
                        </m:r>
                      </m:sub>
                    </m:sSub>
                  </m:e>
                </m:d>
                <m:r>
                  <w:rPr>
                    <w:rFonts w:ascii="Cambria Math" w:hAnsi="Cambria Math" w:cs="Times New Roman"/>
                  </w:rPr>
                  <m:t>=pr</m:t>
                </m:r>
                <m:d>
                  <m:dPr>
                    <m:ctrlPr>
                      <w:rPr>
                        <w:rFonts w:ascii="Cambria Math" w:hAnsi="Cambria Math" w:cs="Times New Roman"/>
                        <w:i/>
                      </w:rPr>
                    </m:ctrlPr>
                  </m:dPr>
                  <m:e>
                    <m:r>
                      <w:rPr>
                        <w:rFonts w:ascii="Cambria Math" w:hAnsi="Cambria Math" w:cs="Times New Roman"/>
                      </w:rPr>
                      <m:t>y=1|</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0</m:t>
                        </m:r>
                      </m:sub>
                    </m:sSub>
                  </m:e>
                </m:d>
                <m:r>
                  <w:rPr>
                    <w:rFonts w:ascii="Cambria Math" w:hAnsi="Cambria Math" w:cs="Times New Roman"/>
                  </w:rPr>
                  <m:t>+Δ</m:t>
                </m:r>
              </m:oMath>
            </m:oMathPara>
          </w:p>
        </w:tc>
        <w:tc>
          <w:tcPr>
            <w:tcW w:w="1196" w:type="dxa"/>
          </w:tcPr>
          <w:p w:rsidR="002737EE" w:rsidRDefault="002737EE" w:rsidP="00597CF5">
            <w:pPr>
              <w:pStyle w:val="ListParagraph"/>
              <w:numPr>
                <w:ilvl w:val="1"/>
                <w:numId w:val="30"/>
              </w:numPr>
              <w:bidi/>
              <w:ind w:right="220"/>
              <w:jc w:val="right"/>
            </w:pPr>
          </w:p>
        </w:tc>
      </w:tr>
    </w:tbl>
    <w:p w:rsidR="00C62F3A" w:rsidRDefault="00C62F3A" w:rsidP="00A50D8C">
      <w:pPr>
        <w:rPr>
          <w:rFonts w:cs="Times New Roman"/>
        </w:rPr>
      </w:pPr>
      <w:r>
        <w:rPr>
          <w:rFonts w:cs="Times New Roman"/>
        </w:rPr>
        <w:t xml:space="preserve">The proportion of the </w:t>
      </w:r>
      <w:r w:rsidR="00A50D8C">
        <w:rPr>
          <w:rFonts w:cs="Times New Roman"/>
        </w:rPr>
        <w:t>patient</w:t>
      </w:r>
      <w:r w:rsidR="007679AD">
        <w:rPr>
          <w:rFonts w:cs="Times New Roman"/>
        </w:rPr>
        <w:t>s</w:t>
      </w:r>
      <w:r w:rsidR="00A50D8C">
        <w:rPr>
          <w:rFonts w:cs="Times New Roman"/>
        </w:rPr>
        <w:t xml:space="preserve"> receiving the new treatment</w:t>
      </w:r>
      <w:r>
        <w:rPr>
          <w:rFonts w:cs="Times New Roman"/>
        </w:rPr>
        <w:t xml:space="preserve"> that demonstrate this disease feature, </w:t>
      </w:r>
      <m:oMath>
        <m:r>
          <w:rPr>
            <w:rFonts w:ascii="Cambria Math" w:hAnsi="Cambria Math" w:cs="Times New Roman"/>
          </w:rPr>
          <m:t>y=1</m:t>
        </m:r>
      </m:oMath>
      <w:r>
        <w:rPr>
          <w:rFonts w:cs="Times New Roman"/>
        </w:rPr>
        <w:t>, is a function of the proportion of the cohort that demonstrate this disease feature</w:t>
      </w:r>
      <w:r w:rsidR="00A50D8C">
        <w:rPr>
          <w:rFonts w:cs="Times New Roman"/>
        </w:rPr>
        <w:t xml:space="preserve"> in SoC</w:t>
      </w:r>
      <w:r>
        <w:rPr>
          <w:rFonts w:cs="Times New Roman"/>
        </w:rPr>
        <w:t xml:space="preserve"> plus a</w:t>
      </w:r>
      <w:r w:rsidR="0081424E">
        <w:rPr>
          <w:rFonts w:cs="Times New Roman"/>
        </w:rPr>
        <w:t>n</w:t>
      </w:r>
      <w:r>
        <w:rPr>
          <w:rFonts w:cs="Times New Roman"/>
        </w:rPr>
        <w:t xml:space="preserve"> adjustment parameter </w:t>
      </w:r>
      <m:oMath>
        <m:r>
          <w:rPr>
            <w:rFonts w:ascii="Cambria Math" w:hAnsi="Cambria Math" w:cs="Times New Roman"/>
          </w:rPr>
          <m:t>Δ</m:t>
        </m:r>
      </m:oMath>
      <w:r>
        <w:rPr>
          <w:rFonts w:cs="Times New Roman"/>
        </w:rPr>
        <w:t xml:space="preserve">. The difference between </w:t>
      </w:r>
      <w:r w:rsidR="00A50D8C">
        <w:rPr>
          <w:rFonts w:cs="Times New Roman"/>
        </w:rPr>
        <w:t>SoC</w:t>
      </w:r>
      <w:r>
        <w:rPr>
          <w:rFonts w:cs="Times New Roman"/>
        </w:rPr>
        <w:t xml:space="preserve"> and treatment </w:t>
      </w:r>
      <w:r w:rsidR="00A50D8C">
        <w:rPr>
          <w:rFonts w:cs="Times New Roman"/>
        </w:rPr>
        <w:t>was</w:t>
      </w:r>
      <w:r>
        <w:rPr>
          <w:rFonts w:cs="Times New Roman"/>
        </w:rPr>
        <w:t xml:space="preserve"> assumed to be independent of the </w:t>
      </w:r>
      <w:r w:rsidR="00A50D8C">
        <w:rPr>
          <w:rFonts w:cs="Times New Roman"/>
        </w:rPr>
        <w:t>SoC</w:t>
      </w:r>
      <w:r>
        <w:rPr>
          <w:rFonts w:cs="Times New Roman"/>
        </w:rPr>
        <w:t xml:space="preserve"> risk.</w:t>
      </w:r>
      <w:r w:rsidRPr="00F35751">
        <w:t xml:space="preserve"> </w:t>
      </w:r>
      <w:r>
        <w:t>The distribution for</w:t>
      </w:r>
      <w:r w:rsidR="007679AD">
        <w:t xml:space="preserve"> </w:t>
      </w:r>
      <m:oMath>
        <m:r>
          <w:rPr>
            <w:rFonts w:ascii="Cambria Math" w:hAnsi="Cambria Math" w:cs="Times New Roman"/>
          </w:rPr>
          <m:t>Δ</m:t>
        </m:r>
      </m:oMath>
      <w:r>
        <w:t xml:space="preserve"> is assumed to be normal </w:t>
      </w:r>
      <w:r w:rsidRPr="00301C63">
        <w:rPr>
          <w:i/>
          <w:iCs/>
        </w:rPr>
        <w:t>Δ~</w:t>
      </w:r>
      <w:r w:rsidRPr="00301C63">
        <w:t>N(</w:t>
      </w:r>
      <w:r w:rsidRPr="00301C63">
        <w:rPr>
          <w:rFonts w:cs="Times New Roman"/>
          <w:i/>
          <w:iCs/>
        </w:rPr>
        <w:t>μ,σ</w:t>
      </w:r>
      <w:r w:rsidRPr="00301C63">
        <w:rPr>
          <w:rFonts w:cs="Times New Roman"/>
          <w:i/>
          <w:iCs/>
          <w:vertAlign w:val="superscript"/>
        </w:rPr>
        <w:t>2</w:t>
      </w:r>
      <w:r w:rsidRPr="00301C63">
        <w:rPr>
          <w:rFonts w:cs="Times New Roman"/>
        </w:rPr>
        <w:t>)</w:t>
      </w:r>
      <w:r>
        <w:rPr>
          <w:rFonts w:cs="Times New Roman"/>
        </w:rPr>
        <w:t xml:space="preserve"> allowing improvements and worsening in outcomes for the new treatment.</w:t>
      </w:r>
    </w:p>
    <w:p w:rsidR="00A50D8C" w:rsidRDefault="00A50D8C" w:rsidP="00A50D8C">
      <w:pPr>
        <w:pStyle w:val="Heading4"/>
      </w:pPr>
      <w:r>
        <w:t>SImplifying the Interview</w:t>
      </w:r>
    </w:p>
    <w:p w:rsidR="00C62F3A" w:rsidRDefault="00C62F3A" w:rsidP="0090251C">
      <w:r>
        <w:t xml:space="preserve">The elicitation needed to estimate 35 parameters for the BCTS. To simplify the elicitation task and reduce the workload for the clinicians the coefficients were grouped into </w:t>
      </w:r>
      <w:r w:rsidR="007679AD">
        <w:t xml:space="preserve">ten </w:t>
      </w:r>
      <w:r>
        <w:t>categories. Discussion with Dr Akil in the pilot elicitation helped to develop a grouping system</w:t>
      </w:r>
      <w:r w:rsidR="0081424E">
        <w:t xml:space="preserve"> (March 2011)</w:t>
      </w:r>
      <w:r>
        <w:t xml:space="preserve">. Items of the SLEDAI were grouped according to organ system, organ damage outcomes were grouped according to the main risk factors identified in the </w:t>
      </w:r>
      <w:r w:rsidR="0090251C">
        <w:t>natural h</w:t>
      </w:r>
      <w:r>
        <w:t>istory model. Low complement and increased DNA binding were elicited individually because they have a high incidence in the Hopkins Cohort. Grouping the outcomes reduced the burden of the elicitation interview to 13 questions.</w:t>
      </w:r>
      <w:r w:rsidR="00A50D8C">
        <w:t xml:space="preserve"> For the purposes of notation I will refer to the 13 elicitation estimates as </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v</m:t>
            </m:r>
          </m:sub>
        </m:sSub>
      </m:oMath>
      <w:r w:rsidR="00A50D8C">
        <w:t xml:space="preserve">, where </w:t>
      </w:r>
      <w:r w:rsidR="00A50D8C" w:rsidRPr="00301C63">
        <w:rPr>
          <w:i/>
          <w:iCs/>
        </w:rPr>
        <w:t>v</w:t>
      </w:r>
      <w:r w:rsidR="00A50D8C">
        <w:t xml:space="preserve"> indicates the 13 elicitation question</w:t>
      </w:r>
      <w:r w:rsidR="007679AD">
        <w:t>s</w:t>
      </w:r>
      <w:r w:rsidR="00A50D8C">
        <w:t xml:space="preserve">, and </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w</m:t>
            </m:r>
          </m:sub>
        </m:sSub>
      </m:oMath>
      <w:r w:rsidR="005F1913">
        <w:t xml:space="preserve"> describe the difference in proportion assigned to the 35 individual outcomes</w:t>
      </w:r>
      <w:r w:rsidR="00A50D8C">
        <w:t xml:space="preserve"> </w:t>
      </w:r>
      <w:r w:rsidR="00A50D8C" w:rsidRPr="005F1913">
        <w:rPr>
          <w:i/>
          <w:iCs/>
        </w:rPr>
        <w:t>w</w:t>
      </w:r>
      <w:r w:rsidR="00A50D8C">
        <w:t>.</w:t>
      </w:r>
    </w:p>
    <w:p w:rsidR="002B5C9D" w:rsidRDefault="002B5C9D">
      <w:pPr>
        <w:spacing w:after="0" w:afterAutospacing="0" w:line="240" w:lineRule="auto"/>
        <w:rPr>
          <w:b/>
          <w:bCs/>
          <w:sz w:val="18"/>
          <w:szCs w:val="16"/>
        </w:rPr>
      </w:pPr>
      <w:r>
        <w:br w:type="page"/>
      </w:r>
    </w:p>
    <w:p w:rsidR="00C62F3A" w:rsidRDefault="00C62F3A" w:rsidP="00234693">
      <w:pPr>
        <w:pStyle w:val="Caption"/>
      </w:pPr>
      <w:r>
        <w:t xml:space="preserve">Table </w:t>
      </w:r>
      <w:fldSimple w:instr=" SEQ Table \* ARABIC ">
        <w:r w:rsidR="004911B7">
          <w:rPr>
            <w:noProof/>
          </w:rPr>
          <w:t>38</w:t>
        </w:r>
      </w:fldSimple>
      <w:r>
        <w:t>: Details of how model outcomes were grouped in the elicitation questions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left w:w="28" w:type="dxa"/>
          <w:right w:w="28" w:type="dxa"/>
        </w:tblCellMar>
        <w:tblLook w:val="04A0"/>
      </w:tblPr>
      <w:tblGrid>
        <w:gridCol w:w="2527"/>
        <w:gridCol w:w="1935"/>
        <w:gridCol w:w="1907"/>
        <w:gridCol w:w="1885"/>
      </w:tblGrid>
      <w:tr w:rsidR="00C62F3A" w:rsidRPr="009432E4" w:rsidTr="00EB0286">
        <w:tc>
          <w:tcPr>
            <w:tcW w:w="2863" w:type="dxa"/>
            <w:tcBorders>
              <w:top w:val="single" w:sz="12" w:space="0" w:color="auto"/>
              <w:bottom w:val="single" w:sz="4" w:space="0" w:color="auto"/>
            </w:tcBorders>
          </w:tcPr>
          <w:p w:rsidR="00C62F3A" w:rsidRPr="009432E4" w:rsidRDefault="00A50D8C" w:rsidP="00C62F3A">
            <w:pPr>
              <w:rPr>
                <w:sz w:val="18"/>
                <w:szCs w:val="18"/>
              </w:rPr>
            </w:pPr>
            <w:r>
              <w:rPr>
                <w:sz w:val="18"/>
                <w:szCs w:val="18"/>
              </w:rPr>
              <w:t>Elicitation Questions (</w:t>
            </w:r>
            <w:r w:rsidRPr="00A50D8C">
              <w:rPr>
                <w:i/>
                <w:iCs/>
                <w:sz w:val="18"/>
                <w:szCs w:val="18"/>
              </w:rPr>
              <w:t>v</w:t>
            </w:r>
            <w:r>
              <w:rPr>
                <w:sz w:val="18"/>
                <w:szCs w:val="18"/>
              </w:rPr>
              <w:t>)</w:t>
            </w:r>
          </w:p>
        </w:tc>
        <w:tc>
          <w:tcPr>
            <w:tcW w:w="6219" w:type="dxa"/>
            <w:gridSpan w:val="3"/>
            <w:tcBorders>
              <w:top w:val="single" w:sz="12" w:space="0" w:color="auto"/>
              <w:bottom w:val="single" w:sz="4" w:space="0" w:color="auto"/>
            </w:tcBorders>
          </w:tcPr>
          <w:p w:rsidR="00C62F3A" w:rsidRPr="009432E4" w:rsidRDefault="00A50D8C" w:rsidP="00C62F3A">
            <w:pPr>
              <w:rPr>
                <w:sz w:val="18"/>
                <w:szCs w:val="18"/>
              </w:rPr>
            </w:pPr>
            <w:r>
              <w:rPr>
                <w:sz w:val="18"/>
                <w:szCs w:val="18"/>
              </w:rPr>
              <w:t>Disease Outcomes Covered (</w:t>
            </w:r>
            <w:r w:rsidRPr="00A50D8C">
              <w:rPr>
                <w:i/>
                <w:iCs/>
                <w:sz w:val="18"/>
                <w:szCs w:val="18"/>
              </w:rPr>
              <w:t>w</w:t>
            </w:r>
            <w:r>
              <w:rPr>
                <w:sz w:val="18"/>
                <w:szCs w:val="18"/>
              </w:rPr>
              <w:t>)</w:t>
            </w:r>
          </w:p>
        </w:tc>
      </w:tr>
      <w:tr w:rsidR="00C62F3A" w:rsidRPr="009432E4" w:rsidTr="00C62F3A">
        <w:tc>
          <w:tcPr>
            <w:tcW w:w="2863" w:type="dxa"/>
            <w:vMerge w:val="restart"/>
            <w:tcBorders>
              <w:top w:val="single" w:sz="4" w:space="0" w:color="auto"/>
            </w:tcBorders>
          </w:tcPr>
          <w:p w:rsidR="00C62F3A" w:rsidRPr="009432E4" w:rsidRDefault="00C62F3A" w:rsidP="00C62F3A">
            <w:pPr>
              <w:rPr>
                <w:sz w:val="18"/>
                <w:szCs w:val="18"/>
              </w:rPr>
            </w:pPr>
            <w:r w:rsidRPr="009432E4">
              <w:rPr>
                <w:sz w:val="18"/>
                <w:szCs w:val="18"/>
              </w:rPr>
              <w:t>Neuropsychiatric SLEDAI</w:t>
            </w:r>
          </w:p>
        </w:tc>
        <w:tc>
          <w:tcPr>
            <w:tcW w:w="2073" w:type="dxa"/>
            <w:tcBorders>
              <w:top w:val="single" w:sz="4" w:space="0" w:color="auto"/>
            </w:tcBorders>
          </w:tcPr>
          <w:p w:rsidR="00C62F3A" w:rsidRPr="009432E4" w:rsidRDefault="00C62F3A" w:rsidP="00C62F3A">
            <w:pPr>
              <w:rPr>
                <w:sz w:val="18"/>
                <w:szCs w:val="18"/>
              </w:rPr>
            </w:pPr>
            <w:r w:rsidRPr="009432E4">
              <w:rPr>
                <w:sz w:val="18"/>
                <w:szCs w:val="18"/>
              </w:rPr>
              <w:t>Seizure</w:t>
            </w:r>
          </w:p>
        </w:tc>
        <w:tc>
          <w:tcPr>
            <w:tcW w:w="2073" w:type="dxa"/>
            <w:tcBorders>
              <w:top w:val="single" w:sz="4" w:space="0" w:color="auto"/>
            </w:tcBorders>
          </w:tcPr>
          <w:p w:rsidR="00C62F3A" w:rsidRPr="009432E4" w:rsidRDefault="00C62F3A" w:rsidP="00C62F3A">
            <w:pPr>
              <w:rPr>
                <w:sz w:val="18"/>
                <w:szCs w:val="18"/>
              </w:rPr>
            </w:pPr>
            <w:r w:rsidRPr="009432E4">
              <w:rPr>
                <w:sz w:val="18"/>
                <w:szCs w:val="18"/>
              </w:rPr>
              <w:t>Psychosis</w:t>
            </w:r>
          </w:p>
        </w:tc>
        <w:tc>
          <w:tcPr>
            <w:tcW w:w="2073" w:type="dxa"/>
            <w:tcBorders>
              <w:top w:val="single" w:sz="4" w:space="0" w:color="auto"/>
            </w:tcBorders>
          </w:tcPr>
          <w:p w:rsidR="00C62F3A" w:rsidRPr="009432E4" w:rsidRDefault="00C62F3A" w:rsidP="00C62F3A">
            <w:pPr>
              <w:rPr>
                <w:sz w:val="18"/>
                <w:szCs w:val="18"/>
              </w:rPr>
            </w:pPr>
            <w:r w:rsidRPr="009432E4">
              <w:rPr>
                <w:sz w:val="18"/>
                <w:szCs w:val="18"/>
              </w:rPr>
              <w:t>Organic Brain Syndrome</w:t>
            </w:r>
          </w:p>
        </w:tc>
      </w:tr>
      <w:tr w:rsidR="00C62F3A" w:rsidRPr="009432E4" w:rsidTr="00C62F3A">
        <w:tc>
          <w:tcPr>
            <w:tcW w:w="2863" w:type="dxa"/>
            <w:vMerge/>
          </w:tcPr>
          <w:p w:rsidR="00C62F3A" w:rsidRPr="009432E4" w:rsidRDefault="00C62F3A" w:rsidP="00C62F3A">
            <w:pPr>
              <w:rPr>
                <w:sz w:val="18"/>
                <w:szCs w:val="18"/>
              </w:rPr>
            </w:pPr>
          </w:p>
        </w:tc>
        <w:tc>
          <w:tcPr>
            <w:tcW w:w="2073" w:type="dxa"/>
          </w:tcPr>
          <w:p w:rsidR="00C62F3A" w:rsidRPr="009432E4" w:rsidRDefault="00C62F3A" w:rsidP="00C62F3A">
            <w:pPr>
              <w:rPr>
                <w:sz w:val="18"/>
                <w:szCs w:val="18"/>
              </w:rPr>
            </w:pPr>
            <w:r w:rsidRPr="009432E4">
              <w:rPr>
                <w:sz w:val="18"/>
                <w:szCs w:val="18"/>
              </w:rPr>
              <w:t>Visual Disturbance</w:t>
            </w:r>
          </w:p>
        </w:tc>
        <w:tc>
          <w:tcPr>
            <w:tcW w:w="2073" w:type="dxa"/>
          </w:tcPr>
          <w:p w:rsidR="00C62F3A" w:rsidRPr="009432E4" w:rsidRDefault="00C62F3A" w:rsidP="00C62F3A">
            <w:pPr>
              <w:rPr>
                <w:sz w:val="18"/>
                <w:szCs w:val="18"/>
              </w:rPr>
            </w:pPr>
            <w:r w:rsidRPr="009432E4">
              <w:rPr>
                <w:sz w:val="18"/>
                <w:szCs w:val="18"/>
              </w:rPr>
              <w:t>Cranial Nerve Disorder</w:t>
            </w:r>
          </w:p>
        </w:tc>
        <w:tc>
          <w:tcPr>
            <w:tcW w:w="2073" w:type="dxa"/>
          </w:tcPr>
          <w:p w:rsidR="00C62F3A" w:rsidRPr="009432E4" w:rsidRDefault="00C62F3A" w:rsidP="00C62F3A">
            <w:pPr>
              <w:rPr>
                <w:sz w:val="18"/>
                <w:szCs w:val="18"/>
              </w:rPr>
            </w:pPr>
            <w:r w:rsidRPr="009432E4">
              <w:rPr>
                <w:sz w:val="18"/>
                <w:szCs w:val="18"/>
              </w:rPr>
              <w:t>Lupus Headache</w:t>
            </w:r>
          </w:p>
        </w:tc>
      </w:tr>
      <w:tr w:rsidR="00C62F3A" w:rsidRPr="009432E4" w:rsidTr="00C62F3A">
        <w:tc>
          <w:tcPr>
            <w:tcW w:w="2863" w:type="dxa"/>
            <w:vMerge/>
            <w:tcBorders>
              <w:bottom w:val="single" w:sz="4" w:space="0" w:color="auto"/>
            </w:tcBorders>
          </w:tcPr>
          <w:p w:rsidR="00C62F3A" w:rsidRPr="009432E4" w:rsidRDefault="00C62F3A" w:rsidP="00C62F3A">
            <w:pPr>
              <w:rPr>
                <w:sz w:val="18"/>
                <w:szCs w:val="18"/>
              </w:rPr>
            </w:pPr>
          </w:p>
        </w:tc>
        <w:tc>
          <w:tcPr>
            <w:tcW w:w="2073" w:type="dxa"/>
            <w:tcBorders>
              <w:bottom w:val="single" w:sz="4" w:space="0" w:color="auto"/>
            </w:tcBorders>
          </w:tcPr>
          <w:p w:rsidR="00C62F3A" w:rsidRPr="009432E4" w:rsidRDefault="00C62F3A" w:rsidP="00C62F3A">
            <w:pPr>
              <w:rPr>
                <w:sz w:val="18"/>
                <w:szCs w:val="18"/>
              </w:rPr>
            </w:pPr>
            <w:r w:rsidRPr="009432E4">
              <w:rPr>
                <w:sz w:val="18"/>
                <w:szCs w:val="18"/>
              </w:rPr>
              <w:t>Cerebrovascular event</w:t>
            </w:r>
          </w:p>
        </w:tc>
        <w:tc>
          <w:tcPr>
            <w:tcW w:w="2073" w:type="dxa"/>
            <w:tcBorders>
              <w:bottom w:val="single" w:sz="4" w:space="0" w:color="auto"/>
            </w:tcBorders>
          </w:tcPr>
          <w:p w:rsidR="00C62F3A" w:rsidRPr="009432E4" w:rsidRDefault="00C62F3A" w:rsidP="00C62F3A">
            <w:pPr>
              <w:rPr>
                <w:sz w:val="18"/>
                <w:szCs w:val="18"/>
              </w:rPr>
            </w:pPr>
          </w:p>
        </w:tc>
        <w:tc>
          <w:tcPr>
            <w:tcW w:w="2073" w:type="dxa"/>
            <w:tcBorders>
              <w:bottom w:val="single" w:sz="4" w:space="0" w:color="auto"/>
            </w:tcBorders>
          </w:tcPr>
          <w:p w:rsidR="00C62F3A" w:rsidRPr="009432E4" w:rsidRDefault="00C62F3A" w:rsidP="00C62F3A">
            <w:pPr>
              <w:rPr>
                <w:sz w:val="18"/>
                <w:szCs w:val="18"/>
              </w:rPr>
            </w:pPr>
          </w:p>
        </w:tc>
      </w:tr>
      <w:tr w:rsidR="00C62F3A" w:rsidRPr="009432E4" w:rsidTr="00C62F3A">
        <w:tc>
          <w:tcPr>
            <w:tcW w:w="2863" w:type="dxa"/>
            <w:vMerge w:val="restart"/>
            <w:tcBorders>
              <w:top w:val="single" w:sz="4" w:space="0" w:color="auto"/>
              <w:bottom w:val="nil"/>
            </w:tcBorders>
          </w:tcPr>
          <w:p w:rsidR="00C62F3A" w:rsidRPr="009432E4" w:rsidRDefault="00C62F3A" w:rsidP="00C62F3A">
            <w:pPr>
              <w:rPr>
                <w:sz w:val="18"/>
                <w:szCs w:val="18"/>
              </w:rPr>
            </w:pPr>
            <w:r w:rsidRPr="009432E4">
              <w:rPr>
                <w:sz w:val="18"/>
                <w:szCs w:val="18"/>
              </w:rPr>
              <w:t>Renal SLEDAI</w:t>
            </w:r>
          </w:p>
        </w:tc>
        <w:tc>
          <w:tcPr>
            <w:tcW w:w="2073" w:type="dxa"/>
            <w:tcBorders>
              <w:top w:val="single" w:sz="4" w:space="0" w:color="auto"/>
              <w:bottom w:val="nil"/>
            </w:tcBorders>
          </w:tcPr>
          <w:p w:rsidR="00C62F3A" w:rsidRPr="009432E4" w:rsidRDefault="00C62F3A" w:rsidP="00C62F3A">
            <w:pPr>
              <w:rPr>
                <w:sz w:val="18"/>
                <w:szCs w:val="18"/>
              </w:rPr>
            </w:pPr>
            <w:r w:rsidRPr="009432E4">
              <w:rPr>
                <w:sz w:val="18"/>
                <w:szCs w:val="18"/>
              </w:rPr>
              <w:t>Urinary Casts</w:t>
            </w:r>
          </w:p>
        </w:tc>
        <w:tc>
          <w:tcPr>
            <w:tcW w:w="2073" w:type="dxa"/>
            <w:tcBorders>
              <w:top w:val="single" w:sz="4" w:space="0" w:color="auto"/>
              <w:bottom w:val="nil"/>
            </w:tcBorders>
          </w:tcPr>
          <w:p w:rsidR="00C62F3A" w:rsidRPr="009432E4" w:rsidRDefault="00C62F3A" w:rsidP="00C62F3A">
            <w:pPr>
              <w:rPr>
                <w:sz w:val="18"/>
                <w:szCs w:val="18"/>
              </w:rPr>
            </w:pPr>
            <w:r w:rsidRPr="009432E4">
              <w:rPr>
                <w:sz w:val="18"/>
                <w:szCs w:val="18"/>
              </w:rPr>
              <w:t>Hematuria</w:t>
            </w:r>
          </w:p>
        </w:tc>
        <w:tc>
          <w:tcPr>
            <w:tcW w:w="2073" w:type="dxa"/>
            <w:tcBorders>
              <w:top w:val="single" w:sz="4" w:space="0" w:color="auto"/>
              <w:bottom w:val="nil"/>
            </w:tcBorders>
          </w:tcPr>
          <w:p w:rsidR="00C62F3A" w:rsidRPr="009432E4" w:rsidRDefault="00C62F3A" w:rsidP="00C62F3A">
            <w:pPr>
              <w:rPr>
                <w:sz w:val="18"/>
                <w:szCs w:val="18"/>
              </w:rPr>
            </w:pPr>
            <w:r w:rsidRPr="009432E4">
              <w:rPr>
                <w:sz w:val="18"/>
                <w:szCs w:val="18"/>
              </w:rPr>
              <w:t>Proteinuria</w:t>
            </w:r>
          </w:p>
        </w:tc>
      </w:tr>
      <w:tr w:rsidR="00C62F3A" w:rsidRPr="009432E4" w:rsidTr="00C62F3A">
        <w:tc>
          <w:tcPr>
            <w:tcW w:w="2863" w:type="dxa"/>
            <w:vMerge/>
            <w:tcBorders>
              <w:top w:val="nil"/>
              <w:bottom w:val="single" w:sz="4" w:space="0" w:color="auto"/>
            </w:tcBorders>
          </w:tcPr>
          <w:p w:rsidR="00C62F3A" w:rsidRPr="009432E4" w:rsidRDefault="00C62F3A" w:rsidP="00C62F3A">
            <w:pPr>
              <w:rPr>
                <w:sz w:val="18"/>
                <w:szCs w:val="18"/>
              </w:rPr>
            </w:pPr>
          </w:p>
        </w:tc>
        <w:tc>
          <w:tcPr>
            <w:tcW w:w="2073" w:type="dxa"/>
            <w:tcBorders>
              <w:top w:val="nil"/>
              <w:bottom w:val="single" w:sz="4" w:space="0" w:color="auto"/>
            </w:tcBorders>
          </w:tcPr>
          <w:p w:rsidR="00C62F3A" w:rsidRPr="009432E4" w:rsidRDefault="00C62F3A" w:rsidP="00C62F3A">
            <w:pPr>
              <w:rPr>
                <w:sz w:val="18"/>
                <w:szCs w:val="18"/>
              </w:rPr>
            </w:pPr>
            <w:r w:rsidRPr="009432E4">
              <w:rPr>
                <w:sz w:val="18"/>
                <w:szCs w:val="18"/>
              </w:rPr>
              <w:t>Pyuria</w:t>
            </w:r>
          </w:p>
        </w:tc>
        <w:tc>
          <w:tcPr>
            <w:tcW w:w="2073" w:type="dxa"/>
            <w:tcBorders>
              <w:top w:val="nil"/>
              <w:bottom w:val="single" w:sz="4" w:space="0" w:color="auto"/>
            </w:tcBorders>
          </w:tcPr>
          <w:p w:rsidR="00C62F3A" w:rsidRPr="009432E4" w:rsidRDefault="00C62F3A" w:rsidP="00C62F3A">
            <w:pPr>
              <w:rPr>
                <w:sz w:val="18"/>
                <w:szCs w:val="18"/>
              </w:rPr>
            </w:pPr>
          </w:p>
        </w:tc>
        <w:tc>
          <w:tcPr>
            <w:tcW w:w="2073" w:type="dxa"/>
            <w:tcBorders>
              <w:top w:val="nil"/>
              <w:bottom w:val="single" w:sz="4" w:space="0" w:color="auto"/>
            </w:tcBorders>
          </w:tcPr>
          <w:p w:rsidR="00C62F3A" w:rsidRPr="009432E4" w:rsidRDefault="00C62F3A" w:rsidP="00C62F3A">
            <w:pPr>
              <w:rPr>
                <w:sz w:val="18"/>
                <w:szCs w:val="18"/>
              </w:rPr>
            </w:pPr>
          </w:p>
        </w:tc>
      </w:tr>
      <w:tr w:rsidR="00C62F3A" w:rsidRPr="009432E4" w:rsidTr="00C62F3A">
        <w:tc>
          <w:tcPr>
            <w:tcW w:w="286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Musculoskeletal SLEDAI</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Arthritis</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Myositis</w:t>
            </w:r>
          </w:p>
        </w:tc>
        <w:tc>
          <w:tcPr>
            <w:tcW w:w="2073" w:type="dxa"/>
            <w:tcBorders>
              <w:top w:val="single" w:sz="4" w:space="0" w:color="auto"/>
              <w:bottom w:val="single" w:sz="4" w:space="0" w:color="auto"/>
            </w:tcBorders>
          </w:tcPr>
          <w:p w:rsidR="00C62F3A" w:rsidRPr="009432E4" w:rsidRDefault="00C62F3A" w:rsidP="00C62F3A">
            <w:pPr>
              <w:rPr>
                <w:sz w:val="18"/>
                <w:szCs w:val="18"/>
              </w:rPr>
            </w:pPr>
          </w:p>
        </w:tc>
      </w:tr>
      <w:tr w:rsidR="00C62F3A" w:rsidRPr="009432E4" w:rsidTr="00C62F3A">
        <w:tc>
          <w:tcPr>
            <w:tcW w:w="286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Skin SLEDAI</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Rash</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Alopecia</w:t>
            </w:r>
          </w:p>
        </w:tc>
        <w:tc>
          <w:tcPr>
            <w:tcW w:w="2073" w:type="dxa"/>
            <w:tcBorders>
              <w:top w:val="single" w:sz="4" w:space="0" w:color="auto"/>
              <w:bottom w:val="single" w:sz="4" w:space="0" w:color="auto"/>
            </w:tcBorders>
          </w:tcPr>
          <w:p w:rsidR="00C62F3A" w:rsidRPr="009432E4" w:rsidRDefault="0016510D" w:rsidP="00C62F3A">
            <w:pPr>
              <w:rPr>
                <w:sz w:val="18"/>
                <w:szCs w:val="18"/>
              </w:rPr>
            </w:pPr>
            <w:r w:rsidRPr="009432E4">
              <w:rPr>
                <w:sz w:val="18"/>
                <w:szCs w:val="18"/>
              </w:rPr>
              <w:t>Mucosal</w:t>
            </w:r>
            <w:r w:rsidR="00C62F3A" w:rsidRPr="009432E4">
              <w:rPr>
                <w:sz w:val="18"/>
                <w:szCs w:val="18"/>
              </w:rPr>
              <w:t xml:space="preserve"> Ulcers</w:t>
            </w:r>
          </w:p>
        </w:tc>
      </w:tr>
      <w:tr w:rsidR="00C62F3A" w:rsidRPr="009432E4" w:rsidTr="00C62F3A">
        <w:tc>
          <w:tcPr>
            <w:tcW w:w="286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Serositis SLEDAI</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Pleurisy</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Pericarditis</w:t>
            </w:r>
          </w:p>
        </w:tc>
        <w:tc>
          <w:tcPr>
            <w:tcW w:w="2073" w:type="dxa"/>
            <w:tcBorders>
              <w:top w:val="single" w:sz="4" w:space="0" w:color="auto"/>
              <w:bottom w:val="single" w:sz="4" w:space="0" w:color="auto"/>
            </w:tcBorders>
          </w:tcPr>
          <w:p w:rsidR="00C62F3A" w:rsidRPr="009432E4" w:rsidRDefault="00C62F3A" w:rsidP="00C62F3A">
            <w:pPr>
              <w:rPr>
                <w:sz w:val="18"/>
                <w:szCs w:val="18"/>
              </w:rPr>
            </w:pPr>
          </w:p>
        </w:tc>
      </w:tr>
      <w:tr w:rsidR="00C62F3A" w:rsidRPr="009432E4" w:rsidTr="00C62F3A">
        <w:tc>
          <w:tcPr>
            <w:tcW w:w="286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Haematological SLEDAI</w:t>
            </w:r>
          </w:p>
        </w:tc>
        <w:tc>
          <w:tcPr>
            <w:tcW w:w="2073" w:type="dxa"/>
            <w:tcBorders>
              <w:top w:val="single" w:sz="4" w:space="0" w:color="auto"/>
              <w:bottom w:val="single" w:sz="4" w:space="0" w:color="auto"/>
            </w:tcBorders>
          </w:tcPr>
          <w:p w:rsidR="00C62F3A" w:rsidRPr="009432E4" w:rsidRDefault="0016510D" w:rsidP="00C62F3A">
            <w:pPr>
              <w:rPr>
                <w:sz w:val="18"/>
                <w:szCs w:val="18"/>
              </w:rPr>
            </w:pPr>
            <w:r w:rsidRPr="009432E4">
              <w:rPr>
                <w:sz w:val="18"/>
                <w:szCs w:val="18"/>
              </w:rPr>
              <w:t>Thrombocytopenia</w:t>
            </w:r>
          </w:p>
        </w:tc>
        <w:tc>
          <w:tcPr>
            <w:tcW w:w="2073" w:type="dxa"/>
            <w:tcBorders>
              <w:top w:val="single" w:sz="4" w:space="0" w:color="auto"/>
              <w:bottom w:val="single" w:sz="4" w:space="0" w:color="auto"/>
            </w:tcBorders>
          </w:tcPr>
          <w:p w:rsidR="00C62F3A" w:rsidRPr="009432E4" w:rsidRDefault="00C62F3A" w:rsidP="00C62F3A">
            <w:pPr>
              <w:rPr>
                <w:sz w:val="18"/>
                <w:szCs w:val="18"/>
              </w:rPr>
            </w:pPr>
            <w:r w:rsidRPr="009432E4">
              <w:rPr>
                <w:sz w:val="18"/>
                <w:szCs w:val="18"/>
              </w:rPr>
              <w:t>Leukopenia</w:t>
            </w:r>
          </w:p>
        </w:tc>
        <w:tc>
          <w:tcPr>
            <w:tcW w:w="2073" w:type="dxa"/>
            <w:tcBorders>
              <w:top w:val="single" w:sz="4" w:space="0" w:color="auto"/>
              <w:bottom w:val="single" w:sz="4" w:space="0" w:color="auto"/>
            </w:tcBorders>
          </w:tcPr>
          <w:p w:rsidR="00C62F3A" w:rsidRPr="009432E4" w:rsidRDefault="00C62F3A" w:rsidP="00C62F3A">
            <w:pPr>
              <w:rPr>
                <w:sz w:val="18"/>
                <w:szCs w:val="18"/>
              </w:rPr>
            </w:pPr>
          </w:p>
        </w:tc>
      </w:tr>
      <w:tr w:rsidR="007679AD" w:rsidRPr="009432E4" w:rsidTr="00C62F3A">
        <w:tc>
          <w:tcPr>
            <w:tcW w:w="2863" w:type="dxa"/>
            <w:tcBorders>
              <w:top w:val="single" w:sz="4" w:space="0" w:color="auto"/>
              <w:bottom w:val="single" w:sz="4" w:space="0" w:color="auto"/>
            </w:tcBorders>
          </w:tcPr>
          <w:p w:rsidR="007679AD" w:rsidRPr="009432E4" w:rsidRDefault="007679AD" w:rsidP="00C62F3A">
            <w:pPr>
              <w:rPr>
                <w:sz w:val="18"/>
                <w:szCs w:val="18"/>
              </w:rPr>
            </w:pPr>
            <w:r>
              <w:rPr>
                <w:sz w:val="18"/>
                <w:szCs w:val="18"/>
              </w:rPr>
              <w:t>Low Complement</w:t>
            </w:r>
          </w:p>
        </w:tc>
        <w:tc>
          <w:tcPr>
            <w:tcW w:w="2073" w:type="dxa"/>
            <w:tcBorders>
              <w:top w:val="single" w:sz="4" w:space="0" w:color="auto"/>
              <w:bottom w:val="single" w:sz="4" w:space="0" w:color="auto"/>
            </w:tcBorders>
          </w:tcPr>
          <w:p w:rsidR="007679AD" w:rsidRPr="009432E4" w:rsidRDefault="007679AD" w:rsidP="00C62F3A">
            <w:pPr>
              <w:rPr>
                <w:sz w:val="18"/>
                <w:szCs w:val="18"/>
              </w:rPr>
            </w:pPr>
            <w:r>
              <w:rPr>
                <w:sz w:val="18"/>
                <w:szCs w:val="18"/>
              </w:rPr>
              <w:t>Low Complement</w:t>
            </w:r>
          </w:p>
        </w:tc>
        <w:tc>
          <w:tcPr>
            <w:tcW w:w="2073" w:type="dxa"/>
            <w:tcBorders>
              <w:top w:val="single" w:sz="4" w:space="0" w:color="auto"/>
              <w:bottom w:val="single" w:sz="4" w:space="0" w:color="auto"/>
            </w:tcBorders>
          </w:tcPr>
          <w:p w:rsidR="007679AD" w:rsidRPr="009432E4" w:rsidRDefault="007679AD" w:rsidP="00C62F3A">
            <w:pPr>
              <w:rPr>
                <w:sz w:val="18"/>
                <w:szCs w:val="18"/>
              </w:rPr>
            </w:pPr>
          </w:p>
        </w:tc>
        <w:tc>
          <w:tcPr>
            <w:tcW w:w="2073" w:type="dxa"/>
            <w:tcBorders>
              <w:top w:val="single" w:sz="4" w:space="0" w:color="auto"/>
              <w:bottom w:val="single" w:sz="4" w:space="0" w:color="auto"/>
            </w:tcBorders>
          </w:tcPr>
          <w:p w:rsidR="007679AD" w:rsidRPr="009432E4" w:rsidRDefault="007679AD" w:rsidP="00C62F3A">
            <w:pPr>
              <w:rPr>
                <w:sz w:val="18"/>
                <w:szCs w:val="18"/>
              </w:rPr>
            </w:pPr>
          </w:p>
        </w:tc>
      </w:tr>
      <w:tr w:rsidR="007679AD" w:rsidRPr="009432E4" w:rsidTr="00C62F3A">
        <w:tc>
          <w:tcPr>
            <w:tcW w:w="2863" w:type="dxa"/>
            <w:tcBorders>
              <w:top w:val="single" w:sz="4" w:space="0" w:color="auto"/>
              <w:bottom w:val="single" w:sz="4" w:space="0" w:color="auto"/>
            </w:tcBorders>
          </w:tcPr>
          <w:p w:rsidR="007679AD" w:rsidRPr="009432E4" w:rsidRDefault="007679AD" w:rsidP="00C62F3A">
            <w:pPr>
              <w:rPr>
                <w:sz w:val="18"/>
                <w:szCs w:val="18"/>
              </w:rPr>
            </w:pPr>
            <w:r>
              <w:rPr>
                <w:sz w:val="18"/>
                <w:szCs w:val="18"/>
              </w:rPr>
              <w:t>Increased DNA Binding</w:t>
            </w:r>
          </w:p>
        </w:tc>
        <w:tc>
          <w:tcPr>
            <w:tcW w:w="2073" w:type="dxa"/>
            <w:tcBorders>
              <w:top w:val="single" w:sz="4" w:space="0" w:color="auto"/>
              <w:bottom w:val="single" w:sz="4" w:space="0" w:color="auto"/>
            </w:tcBorders>
          </w:tcPr>
          <w:p w:rsidR="007679AD" w:rsidRPr="009432E4" w:rsidRDefault="007679AD" w:rsidP="00C62F3A">
            <w:pPr>
              <w:rPr>
                <w:sz w:val="18"/>
                <w:szCs w:val="18"/>
              </w:rPr>
            </w:pPr>
            <w:r>
              <w:rPr>
                <w:sz w:val="18"/>
                <w:szCs w:val="18"/>
              </w:rPr>
              <w:t>Increased DNA Binding</w:t>
            </w:r>
          </w:p>
        </w:tc>
        <w:tc>
          <w:tcPr>
            <w:tcW w:w="2073" w:type="dxa"/>
            <w:tcBorders>
              <w:top w:val="single" w:sz="4" w:space="0" w:color="auto"/>
              <w:bottom w:val="single" w:sz="4" w:space="0" w:color="auto"/>
            </w:tcBorders>
          </w:tcPr>
          <w:p w:rsidR="007679AD" w:rsidRPr="009432E4" w:rsidRDefault="007679AD" w:rsidP="00C62F3A">
            <w:pPr>
              <w:rPr>
                <w:sz w:val="18"/>
                <w:szCs w:val="18"/>
              </w:rPr>
            </w:pPr>
          </w:p>
        </w:tc>
        <w:tc>
          <w:tcPr>
            <w:tcW w:w="2073" w:type="dxa"/>
            <w:tcBorders>
              <w:top w:val="single" w:sz="4" w:space="0" w:color="auto"/>
              <w:bottom w:val="single" w:sz="4" w:space="0" w:color="auto"/>
            </w:tcBorders>
          </w:tcPr>
          <w:p w:rsidR="007679AD" w:rsidRPr="009432E4" w:rsidRDefault="007679AD" w:rsidP="00C62F3A">
            <w:pPr>
              <w:rPr>
                <w:sz w:val="18"/>
                <w:szCs w:val="18"/>
              </w:rPr>
            </w:pPr>
          </w:p>
        </w:tc>
      </w:tr>
      <w:tr w:rsidR="00C62F3A" w:rsidRPr="009432E4" w:rsidTr="00C62F3A">
        <w:tc>
          <w:tcPr>
            <w:tcW w:w="2863" w:type="dxa"/>
            <w:vMerge w:val="restart"/>
            <w:tcBorders>
              <w:top w:val="single" w:sz="4" w:space="0" w:color="auto"/>
              <w:bottom w:val="nil"/>
            </w:tcBorders>
          </w:tcPr>
          <w:p w:rsidR="00C62F3A" w:rsidRPr="009432E4" w:rsidRDefault="00C62F3A" w:rsidP="00C62F3A">
            <w:pPr>
              <w:rPr>
                <w:sz w:val="18"/>
                <w:szCs w:val="18"/>
              </w:rPr>
            </w:pPr>
            <w:r>
              <w:rPr>
                <w:sz w:val="18"/>
                <w:szCs w:val="18"/>
              </w:rPr>
              <w:t>Disease Activity induced damage</w:t>
            </w:r>
          </w:p>
        </w:tc>
        <w:tc>
          <w:tcPr>
            <w:tcW w:w="2073" w:type="dxa"/>
            <w:tcBorders>
              <w:top w:val="single" w:sz="4" w:space="0" w:color="auto"/>
              <w:bottom w:val="nil"/>
            </w:tcBorders>
          </w:tcPr>
          <w:p w:rsidR="00C62F3A" w:rsidRPr="009432E4" w:rsidRDefault="00C62F3A" w:rsidP="00C62F3A">
            <w:pPr>
              <w:rPr>
                <w:sz w:val="18"/>
                <w:szCs w:val="18"/>
              </w:rPr>
            </w:pPr>
            <w:r>
              <w:rPr>
                <w:sz w:val="18"/>
                <w:szCs w:val="18"/>
              </w:rPr>
              <w:t>Renal damage</w:t>
            </w:r>
          </w:p>
        </w:tc>
        <w:tc>
          <w:tcPr>
            <w:tcW w:w="2073" w:type="dxa"/>
            <w:tcBorders>
              <w:top w:val="single" w:sz="4" w:space="0" w:color="auto"/>
              <w:bottom w:val="nil"/>
            </w:tcBorders>
          </w:tcPr>
          <w:p w:rsidR="00C62F3A" w:rsidRPr="009432E4" w:rsidRDefault="00C62F3A" w:rsidP="00C62F3A">
            <w:pPr>
              <w:rPr>
                <w:sz w:val="18"/>
                <w:szCs w:val="18"/>
              </w:rPr>
            </w:pPr>
            <w:r>
              <w:rPr>
                <w:sz w:val="18"/>
                <w:szCs w:val="18"/>
              </w:rPr>
              <w:t>Skin damage</w:t>
            </w:r>
          </w:p>
        </w:tc>
        <w:tc>
          <w:tcPr>
            <w:tcW w:w="2073" w:type="dxa"/>
            <w:tcBorders>
              <w:top w:val="single" w:sz="4" w:space="0" w:color="auto"/>
              <w:bottom w:val="nil"/>
            </w:tcBorders>
          </w:tcPr>
          <w:p w:rsidR="00C62F3A" w:rsidRPr="009432E4" w:rsidRDefault="00C62F3A" w:rsidP="00C62F3A">
            <w:pPr>
              <w:rPr>
                <w:sz w:val="18"/>
                <w:szCs w:val="18"/>
              </w:rPr>
            </w:pPr>
            <w:r>
              <w:rPr>
                <w:sz w:val="18"/>
                <w:szCs w:val="18"/>
              </w:rPr>
              <w:t>Peripheral Vasculitis</w:t>
            </w:r>
          </w:p>
        </w:tc>
      </w:tr>
      <w:tr w:rsidR="00C62F3A" w:rsidRPr="009432E4" w:rsidTr="00C62F3A">
        <w:tc>
          <w:tcPr>
            <w:tcW w:w="2863" w:type="dxa"/>
            <w:vMerge/>
            <w:tcBorders>
              <w:top w:val="nil"/>
              <w:bottom w:val="single" w:sz="4" w:space="0" w:color="auto"/>
            </w:tcBorders>
          </w:tcPr>
          <w:p w:rsidR="00C62F3A" w:rsidRDefault="00C62F3A" w:rsidP="00C62F3A">
            <w:pPr>
              <w:rPr>
                <w:sz w:val="18"/>
                <w:szCs w:val="18"/>
              </w:rPr>
            </w:pPr>
          </w:p>
        </w:tc>
        <w:tc>
          <w:tcPr>
            <w:tcW w:w="2073" w:type="dxa"/>
            <w:tcBorders>
              <w:top w:val="nil"/>
              <w:bottom w:val="single" w:sz="4" w:space="0" w:color="auto"/>
            </w:tcBorders>
          </w:tcPr>
          <w:p w:rsidR="00C62F3A" w:rsidRDefault="00C62F3A" w:rsidP="00C62F3A">
            <w:pPr>
              <w:rPr>
                <w:sz w:val="18"/>
                <w:szCs w:val="18"/>
              </w:rPr>
            </w:pPr>
            <w:r>
              <w:rPr>
                <w:sz w:val="18"/>
                <w:szCs w:val="18"/>
              </w:rPr>
              <w:t>Pulmonary damage</w:t>
            </w:r>
          </w:p>
        </w:tc>
        <w:tc>
          <w:tcPr>
            <w:tcW w:w="2073" w:type="dxa"/>
            <w:tcBorders>
              <w:top w:val="nil"/>
              <w:bottom w:val="single" w:sz="4" w:space="0" w:color="auto"/>
            </w:tcBorders>
          </w:tcPr>
          <w:p w:rsidR="00C62F3A" w:rsidRDefault="00C62F3A" w:rsidP="00C62F3A">
            <w:pPr>
              <w:rPr>
                <w:sz w:val="18"/>
                <w:szCs w:val="18"/>
              </w:rPr>
            </w:pPr>
          </w:p>
        </w:tc>
        <w:tc>
          <w:tcPr>
            <w:tcW w:w="2073" w:type="dxa"/>
            <w:tcBorders>
              <w:top w:val="nil"/>
              <w:bottom w:val="single" w:sz="4" w:space="0" w:color="auto"/>
            </w:tcBorders>
          </w:tcPr>
          <w:p w:rsidR="00C62F3A" w:rsidRDefault="00C62F3A" w:rsidP="00C62F3A">
            <w:pPr>
              <w:rPr>
                <w:sz w:val="18"/>
                <w:szCs w:val="18"/>
              </w:rPr>
            </w:pPr>
          </w:p>
        </w:tc>
      </w:tr>
      <w:tr w:rsidR="00C62F3A" w:rsidRPr="009432E4" w:rsidTr="00C62F3A">
        <w:tc>
          <w:tcPr>
            <w:tcW w:w="2863" w:type="dxa"/>
            <w:tcBorders>
              <w:top w:val="single" w:sz="4" w:space="0" w:color="auto"/>
              <w:bottom w:val="single" w:sz="4" w:space="0" w:color="auto"/>
            </w:tcBorders>
          </w:tcPr>
          <w:p w:rsidR="00C62F3A" w:rsidRDefault="00C62F3A" w:rsidP="00C62F3A">
            <w:pPr>
              <w:rPr>
                <w:sz w:val="18"/>
                <w:szCs w:val="18"/>
              </w:rPr>
            </w:pPr>
            <w:r>
              <w:rPr>
                <w:sz w:val="18"/>
                <w:szCs w:val="18"/>
              </w:rPr>
              <w:t>Steroid induced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Musculoskeletal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Ocular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Diabetes</w:t>
            </w:r>
          </w:p>
        </w:tc>
      </w:tr>
      <w:tr w:rsidR="00C62F3A" w:rsidRPr="009432E4" w:rsidTr="00C62F3A">
        <w:tc>
          <w:tcPr>
            <w:tcW w:w="2863" w:type="dxa"/>
            <w:tcBorders>
              <w:top w:val="single" w:sz="4" w:space="0" w:color="auto"/>
              <w:bottom w:val="single" w:sz="4" w:space="0" w:color="auto"/>
            </w:tcBorders>
          </w:tcPr>
          <w:p w:rsidR="00C62F3A" w:rsidRDefault="00C62F3A" w:rsidP="00C62F3A">
            <w:pPr>
              <w:rPr>
                <w:sz w:val="18"/>
                <w:szCs w:val="18"/>
              </w:rPr>
            </w:pPr>
            <w:r>
              <w:rPr>
                <w:sz w:val="18"/>
                <w:szCs w:val="18"/>
              </w:rPr>
              <w:t>Disease Activity and steroid induced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Cardiovascular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Neuropsychiatric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Gastrointestinal damage</w:t>
            </w:r>
          </w:p>
        </w:tc>
      </w:tr>
      <w:tr w:rsidR="00C62F3A" w:rsidRPr="009432E4" w:rsidTr="007679AD">
        <w:tc>
          <w:tcPr>
            <w:tcW w:w="2863" w:type="dxa"/>
            <w:tcBorders>
              <w:top w:val="single" w:sz="4" w:space="0" w:color="auto"/>
              <w:bottom w:val="single" w:sz="4" w:space="0" w:color="auto"/>
            </w:tcBorders>
          </w:tcPr>
          <w:p w:rsidR="00C62F3A" w:rsidRDefault="00C62F3A" w:rsidP="00C62F3A">
            <w:pPr>
              <w:rPr>
                <w:sz w:val="18"/>
                <w:szCs w:val="18"/>
              </w:rPr>
            </w:pPr>
            <w:r>
              <w:rPr>
                <w:sz w:val="18"/>
                <w:szCs w:val="18"/>
              </w:rPr>
              <w:t>Other damage</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Malignancy</w:t>
            </w:r>
          </w:p>
        </w:tc>
        <w:tc>
          <w:tcPr>
            <w:tcW w:w="2073" w:type="dxa"/>
            <w:tcBorders>
              <w:top w:val="single" w:sz="4" w:space="0" w:color="auto"/>
              <w:bottom w:val="single" w:sz="4" w:space="0" w:color="auto"/>
            </w:tcBorders>
          </w:tcPr>
          <w:p w:rsidR="00C62F3A" w:rsidRDefault="00C62F3A" w:rsidP="00C62F3A">
            <w:pPr>
              <w:rPr>
                <w:sz w:val="18"/>
                <w:szCs w:val="18"/>
              </w:rPr>
            </w:pPr>
            <w:r>
              <w:rPr>
                <w:sz w:val="18"/>
                <w:szCs w:val="18"/>
              </w:rPr>
              <w:t>Gonadal Failure</w:t>
            </w:r>
          </w:p>
        </w:tc>
        <w:tc>
          <w:tcPr>
            <w:tcW w:w="2073" w:type="dxa"/>
            <w:tcBorders>
              <w:top w:val="single" w:sz="4" w:space="0" w:color="auto"/>
              <w:bottom w:val="single" w:sz="4" w:space="0" w:color="auto"/>
            </w:tcBorders>
          </w:tcPr>
          <w:p w:rsidR="00C62F3A" w:rsidRDefault="00C62F3A" w:rsidP="00C62F3A">
            <w:pPr>
              <w:rPr>
                <w:sz w:val="18"/>
                <w:szCs w:val="18"/>
              </w:rPr>
            </w:pPr>
          </w:p>
        </w:tc>
      </w:tr>
      <w:tr w:rsidR="007679AD" w:rsidRPr="009432E4" w:rsidTr="00EB0286">
        <w:tc>
          <w:tcPr>
            <w:tcW w:w="2863" w:type="dxa"/>
            <w:tcBorders>
              <w:top w:val="single" w:sz="4" w:space="0" w:color="auto"/>
              <w:bottom w:val="single" w:sz="12" w:space="0" w:color="auto"/>
            </w:tcBorders>
          </w:tcPr>
          <w:p w:rsidR="007679AD" w:rsidRDefault="007679AD" w:rsidP="00C62F3A">
            <w:pPr>
              <w:rPr>
                <w:sz w:val="18"/>
                <w:szCs w:val="18"/>
              </w:rPr>
            </w:pPr>
            <w:r>
              <w:rPr>
                <w:sz w:val="18"/>
                <w:szCs w:val="18"/>
              </w:rPr>
              <w:t>Mortality</w:t>
            </w:r>
          </w:p>
        </w:tc>
        <w:tc>
          <w:tcPr>
            <w:tcW w:w="2073" w:type="dxa"/>
            <w:tcBorders>
              <w:top w:val="single" w:sz="4" w:space="0" w:color="auto"/>
              <w:bottom w:val="single" w:sz="12" w:space="0" w:color="auto"/>
            </w:tcBorders>
          </w:tcPr>
          <w:p w:rsidR="007679AD" w:rsidRDefault="007679AD" w:rsidP="00C62F3A">
            <w:pPr>
              <w:rPr>
                <w:sz w:val="18"/>
                <w:szCs w:val="18"/>
              </w:rPr>
            </w:pPr>
            <w:r>
              <w:rPr>
                <w:sz w:val="18"/>
                <w:szCs w:val="18"/>
              </w:rPr>
              <w:t>Mortality</w:t>
            </w:r>
          </w:p>
        </w:tc>
        <w:tc>
          <w:tcPr>
            <w:tcW w:w="2073" w:type="dxa"/>
            <w:tcBorders>
              <w:top w:val="single" w:sz="4" w:space="0" w:color="auto"/>
              <w:bottom w:val="single" w:sz="12" w:space="0" w:color="auto"/>
            </w:tcBorders>
          </w:tcPr>
          <w:p w:rsidR="007679AD" w:rsidRDefault="007679AD" w:rsidP="00C62F3A">
            <w:pPr>
              <w:rPr>
                <w:sz w:val="18"/>
                <w:szCs w:val="18"/>
              </w:rPr>
            </w:pPr>
          </w:p>
        </w:tc>
        <w:tc>
          <w:tcPr>
            <w:tcW w:w="2073" w:type="dxa"/>
            <w:tcBorders>
              <w:top w:val="single" w:sz="4" w:space="0" w:color="auto"/>
              <w:bottom w:val="single" w:sz="12" w:space="0" w:color="auto"/>
            </w:tcBorders>
          </w:tcPr>
          <w:p w:rsidR="007679AD" w:rsidRDefault="007679AD" w:rsidP="00C62F3A">
            <w:pPr>
              <w:rPr>
                <w:sz w:val="18"/>
                <w:szCs w:val="18"/>
              </w:rPr>
            </w:pPr>
          </w:p>
        </w:tc>
      </w:tr>
    </w:tbl>
    <w:p w:rsidR="00C62F3A" w:rsidRDefault="00C62F3A" w:rsidP="00C62F3A"/>
    <w:p w:rsidR="0087718E" w:rsidRDefault="0087718E" w:rsidP="00C62F3A"/>
    <w:p w:rsidR="00A50D8C" w:rsidRDefault="00A50D8C" w:rsidP="00A50D8C">
      <w:pPr>
        <w:pStyle w:val="Heading4"/>
      </w:pPr>
      <w:r>
        <w:t xml:space="preserve">Statistical Transformation From Elicited Values to </w:t>
      </w:r>
      <w:r w:rsidR="0090251C">
        <w:t xml:space="preserve">Regression </w:t>
      </w:r>
      <w:r>
        <w:t>model Coefficients</w:t>
      </w:r>
    </w:p>
    <w:p w:rsidR="00C62F3A" w:rsidRDefault="00A50D8C" w:rsidP="00765E56">
      <w:r>
        <w:t>The elicited quantities were transformed in</w:t>
      </w:r>
      <w:r w:rsidR="005F1913">
        <w:t xml:space="preserve">to </w:t>
      </w:r>
      <w:r>
        <w:t>coefficient parameters</w:t>
      </w:r>
      <w:r w:rsidR="005F1913">
        <w:t xml:space="preserve"> through a two stage transformation process</w:t>
      </w:r>
      <w:r>
        <w:t xml:space="preserve">. </w:t>
      </w:r>
      <w:r w:rsidR="005F1913">
        <w:t>The first stage estimates</w:t>
      </w:r>
      <w:r w:rsidR="007679AD">
        <w:t xml:space="preserve"> the</w:t>
      </w:r>
      <w:r w:rsidR="005F1913">
        <w:t xml:space="preserve"> difference in proportions for the individual outcomes from the elicited quantities. </w:t>
      </w:r>
      <w:r w:rsidR="00C62F3A">
        <w:t>The transformation from</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v</m:t>
            </m:r>
          </m:sub>
        </m:sSub>
      </m:oMath>
      <w:r>
        <w:t xml:space="preserve"> </w:t>
      </w:r>
      <w:r w:rsidR="00C62F3A">
        <w:t>into coefficient estimates for 35 outcomes required additional assumptions to be made about the distribution of treatment effect within the groups. It is reasonable to assum</w:t>
      </w:r>
      <w:r w:rsidR="00C060BE">
        <w:t>e that the treatment effect is</w:t>
      </w:r>
      <w:r w:rsidR="00C62F3A">
        <w:t xml:space="preserve"> distributed between the outcomes </w:t>
      </w:r>
      <w:r w:rsidR="005F1913">
        <w:t>M</w:t>
      </w:r>
      <w:r w:rsidR="00C62F3A">
        <w:t xml:space="preserve">ore common outcomes should be allocated a larger proportion of the difference. Incidence rates for each of the outcomes were used to estimate weights for the outcomes according to their occurrence, </w:t>
      </w:r>
      <m:oMath>
        <m:r>
          <w:rPr>
            <w:rFonts w:ascii="Cambria Math" w:hAnsi="Cambria Math"/>
          </w:rPr>
          <m:t>ω</m:t>
        </m:r>
      </m:oMath>
      <w:r w:rsidR="00C62F3A">
        <w:t xml:space="preserve">. </w:t>
      </w:r>
      <w:r w:rsidR="005F1913">
        <w:t xml:space="preserve">The weights </w:t>
      </w:r>
      <m:oMath>
        <m:r>
          <w:rPr>
            <w:rFonts w:ascii="Cambria Math" w:hAnsi="Cambria Math"/>
          </w:rPr>
          <m:t>ω</m:t>
        </m:r>
      </m:oMath>
      <w:r w:rsidR="005F1913">
        <w:t xml:space="preserve"> were estimated from the incidence of SLEDAI items observed in the Hopkins Cohort</w:t>
      </w:r>
      <w:r w:rsidR="00C62F3A">
        <w:t xml:space="preserve">. </w:t>
      </w:r>
      <w:r w:rsidR="005F1913">
        <w:t>The</w:t>
      </w:r>
      <w:r w:rsidR="00C62F3A">
        <w:t xml:space="preserve">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v</m:t>
            </m:r>
          </m:sub>
        </m:sSub>
      </m:oMath>
      <w:r w:rsidR="00C62F3A">
        <w:t xml:space="preserve"> estimates were segmented into</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w</m:t>
            </m:r>
          </m:sub>
        </m:sSub>
      </m:oMath>
      <w:r w:rsidR="00C62F3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54"/>
        <w:gridCol w:w="6567"/>
        <w:gridCol w:w="1093"/>
      </w:tblGrid>
      <w:tr w:rsidR="002737EE" w:rsidTr="00FB7FA6">
        <w:trPr>
          <w:trHeight w:val="435"/>
        </w:trPr>
        <w:tc>
          <w:tcPr>
            <w:tcW w:w="817" w:type="dxa"/>
          </w:tcPr>
          <w:p w:rsidR="002737EE" w:rsidRDefault="002737EE" w:rsidP="002737EE"/>
        </w:tc>
        <w:tc>
          <w:tcPr>
            <w:tcW w:w="7229" w:type="dxa"/>
          </w:tcPr>
          <w:p w:rsidR="002737EE" w:rsidRPr="002367E4" w:rsidRDefault="00E729BA" w:rsidP="002737EE">
            <m:oMathPara>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w</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w</m:t>
                    </m:r>
                  </m:sub>
                </m:sSub>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v</m:t>
                    </m:r>
                  </m:sub>
                </m:sSub>
              </m:oMath>
            </m:oMathPara>
          </w:p>
        </w:tc>
        <w:tc>
          <w:tcPr>
            <w:tcW w:w="1196" w:type="dxa"/>
          </w:tcPr>
          <w:p w:rsidR="002737EE" w:rsidRDefault="002737EE" w:rsidP="00597CF5">
            <w:pPr>
              <w:pStyle w:val="ListParagraph"/>
              <w:numPr>
                <w:ilvl w:val="1"/>
                <w:numId w:val="30"/>
              </w:numPr>
              <w:bidi/>
              <w:ind w:right="220"/>
              <w:jc w:val="right"/>
            </w:pPr>
          </w:p>
        </w:tc>
      </w:tr>
    </w:tbl>
    <w:p w:rsidR="00ED3FB6" w:rsidRDefault="00ED3FB6" w:rsidP="0081424E">
      <w:r>
        <w:t xml:space="preserve">For example, </w:t>
      </w:r>
      <w:r w:rsidR="00FC126E">
        <w:t xml:space="preserve">a normal distribution was fitted to the </w:t>
      </w:r>
      <w:r>
        <w:t xml:space="preserve">renal involvement elicitation </w:t>
      </w:r>
      <w:r w:rsidR="00FC126E">
        <w:t xml:space="preserve">responses to give the </w:t>
      </w:r>
      <w:r w:rsidR="0081424E">
        <w:t xml:space="preserve">mean and standard deviation for the distribution </w:t>
      </w:r>
      <m:oMath>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Renal</m:t>
            </m:r>
          </m:sub>
        </m:sSub>
        <m:r>
          <w:rPr>
            <w:rFonts w:ascii="Cambria Math" w:hAnsi="Cambria Math"/>
          </w:rPr>
          <m:t>~N(-10.74,41.46)</m:t>
        </m:r>
      </m:oMath>
      <w:r>
        <w:t>. This estimate was distributed between the four renal items according to the prevalence of each, as reported from the Hopkins Lupus Cohort data.</w:t>
      </w:r>
    </w:p>
    <w:p w:rsidR="00C060BE" w:rsidRDefault="00C060BE" w:rsidP="00234693">
      <w:pPr>
        <w:pStyle w:val="Caption"/>
      </w:pPr>
      <w:r>
        <w:t xml:space="preserve">Table </w:t>
      </w:r>
      <w:fldSimple w:instr=" SEQ Table \* ARABIC ">
        <w:r w:rsidR="004911B7">
          <w:rPr>
            <w:noProof/>
          </w:rPr>
          <w:t>39</w:t>
        </w:r>
      </w:fldSimple>
      <w:r>
        <w:t>: Exemplar distribution of elicited quantities between renal items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2228"/>
        <w:gridCol w:w="1424"/>
        <w:gridCol w:w="1559"/>
        <w:gridCol w:w="1701"/>
      </w:tblGrid>
      <w:tr w:rsidR="00ED3FB6" w:rsidRPr="00C060BE" w:rsidTr="0087718E">
        <w:tc>
          <w:tcPr>
            <w:tcW w:w="2228" w:type="dxa"/>
            <w:tcBorders>
              <w:top w:val="single" w:sz="12" w:space="0" w:color="auto"/>
              <w:bottom w:val="single" w:sz="8" w:space="0" w:color="auto"/>
            </w:tcBorders>
          </w:tcPr>
          <w:p w:rsidR="00ED3FB6" w:rsidRPr="00C060BE" w:rsidRDefault="00ED3FB6" w:rsidP="00C060BE">
            <w:pPr>
              <w:spacing w:line="240" w:lineRule="auto"/>
              <w:jc w:val="right"/>
              <w:rPr>
                <w:rFonts w:asciiTheme="majorBidi" w:hAnsiTheme="majorBidi" w:cstheme="majorBidi"/>
                <w:sz w:val="20"/>
              </w:rPr>
            </w:pPr>
          </w:p>
        </w:tc>
        <w:tc>
          <w:tcPr>
            <w:tcW w:w="1424" w:type="dxa"/>
            <w:tcBorders>
              <w:top w:val="single" w:sz="12" w:space="0" w:color="auto"/>
              <w:bottom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Weight</w:t>
            </w:r>
          </w:p>
        </w:tc>
        <w:tc>
          <w:tcPr>
            <w:tcW w:w="1559" w:type="dxa"/>
            <w:tcBorders>
              <w:top w:val="single" w:sz="12" w:space="0" w:color="auto"/>
              <w:bottom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Delta mean</w:t>
            </w:r>
          </w:p>
        </w:tc>
        <w:tc>
          <w:tcPr>
            <w:tcW w:w="1701" w:type="dxa"/>
            <w:tcBorders>
              <w:top w:val="single" w:sz="12" w:space="0" w:color="auto"/>
              <w:bottom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Delta Standard deviation</w:t>
            </w:r>
          </w:p>
        </w:tc>
      </w:tr>
      <w:tr w:rsidR="00ED3FB6" w:rsidRPr="00C060BE" w:rsidTr="0087718E">
        <w:tc>
          <w:tcPr>
            <w:tcW w:w="2228" w:type="dxa"/>
            <w:tcBorders>
              <w:top w:val="single" w:sz="8" w:space="0" w:color="auto"/>
            </w:tcBorders>
          </w:tcPr>
          <w:p w:rsidR="00ED3FB6" w:rsidRPr="00C060BE" w:rsidRDefault="00C060BE" w:rsidP="00C060BE">
            <w:pPr>
              <w:spacing w:line="240" w:lineRule="auto"/>
              <w:rPr>
                <w:rFonts w:asciiTheme="majorBidi" w:hAnsiTheme="majorBidi" w:cstheme="majorBidi"/>
                <w:sz w:val="20"/>
              </w:rPr>
            </w:pPr>
            <w:r>
              <w:rPr>
                <w:rFonts w:asciiTheme="majorBidi" w:hAnsiTheme="majorBidi" w:cstheme="majorBidi"/>
                <w:sz w:val="20"/>
              </w:rPr>
              <w:t>Urinary casts</w:t>
            </w:r>
          </w:p>
        </w:tc>
        <w:tc>
          <w:tcPr>
            <w:tcW w:w="1424" w:type="dxa"/>
            <w:tcBorders>
              <w:top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0.0039</w:t>
            </w:r>
          </w:p>
        </w:tc>
        <w:tc>
          <w:tcPr>
            <w:tcW w:w="1559" w:type="dxa"/>
            <w:tcBorders>
              <w:top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-0.0421</w:t>
            </w:r>
          </w:p>
        </w:tc>
        <w:tc>
          <w:tcPr>
            <w:tcW w:w="1701" w:type="dxa"/>
            <w:tcBorders>
              <w:top w:val="single" w:sz="8" w:space="0" w:color="auto"/>
            </w:tcBorders>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0.0253</w:t>
            </w:r>
          </w:p>
        </w:tc>
      </w:tr>
      <w:tr w:rsidR="00ED3FB6" w:rsidRPr="00C060BE" w:rsidTr="0087718E">
        <w:tc>
          <w:tcPr>
            <w:tcW w:w="2228" w:type="dxa"/>
          </w:tcPr>
          <w:p w:rsidR="00ED3FB6" w:rsidRPr="00C060BE" w:rsidRDefault="00C060BE" w:rsidP="00C060BE">
            <w:pPr>
              <w:spacing w:line="240" w:lineRule="auto"/>
              <w:rPr>
                <w:rFonts w:asciiTheme="majorBidi" w:hAnsiTheme="majorBidi" w:cstheme="majorBidi"/>
                <w:sz w:val="20"/>
              </w:rPr>
            </w:pPr>
            <w:r>
              <w:rPr>
                <w:rFonts w:asciiTheme="majorBidi" w:hAnsiTheme="majorBidi" w:cstheme="majorBidi"/>
                <w:sz w:val="20"/>
              </w:rPr>
              <w:t>Hematuria</w:t>
            </w:r>
          </w:p>
        </w:tc>
        <w:tc>
          <w:tcPr>
            <w:tcW w:w="1424"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0.3174</w:t>
            </w:r>
          </w:p>
        </w:tc>
        <w:tc>
          <w:tcPr>
            <w:tcW w:w="1559"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-3.4084</w:t>
            </w:r>
          </w:p>
        </w:tc>
        <w:tc>
          <w:tcPr>
            <w:tcW w:w="1701"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2.0439</w:t>
            </w:r>
          </w:p>
        </w:tc>
      </w:tr>
      <w:tr w:rsidR="00ED3FB6" w:rsidRPr="00C060BE" w:rsidTr="0087718E">
        <w:tc>
          <w:tcPr>
            <w:tcW w:w="2228" w:type="dxa"/>
          </w:tcPr>
          <w:p w:rsidR="00ED3FB6" w:rsidRPr="00C060BE" w:rsidRDefault="00C060BE" w:rsidP="00C060BE">
            <w:pPr>
              <w:spacing w:line="240" w:lineRule="auto"/>
              <w:rPr>
                <w:rFonts w:asciiTheme="majorBidi" w:hAnsiTheme="majorBidi" w:cstheme="majorBidi"/>
                <w:sz w:val="20"/>
              </w:rPr>
            </w:pPr>
            <w:r>
              <w:rPr>
                <w:rFonts w:asciiTheme="majorBidi" w:hAnsiTheme="majorBidi" w:cstheme="majorBidi"/>
                <w:sz w:val="20"/>
              </w:rPr>
              <w:t>Proteinuria</w:t>
            </w:r>
          </w:p>
        </w:tc>
        <w:tc>
          <w:tcPr>
            <w:tcW w:w="1424"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0.4671</w:t>
            </w:r>
          </w:p>
        </w:tc>
        <w:tc>
          <w:tcPr>
            <w:tcW w:w="1559"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-5.0161</w:t>
            </w:r>
          </w:p>
        </w:tc>
        <w:tc>
          <w:tcPr>
            <w:tcW w:w="1701"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3.0080</w:t>
            </w:r>
          </w:p>
        </w:tc>
      </w:tr>
      <w:tr w:rsidR="00ED3FB6" w:rsidRPr="00C060BE" w:rsidTr="0087718E">
        <w:tc>
          <w:tcPr>
            <w:tcW w:w="2228" w:type="dxa"/>
          </w:tcPr>
          <w:p w:rsidR="00ED3FB6" w:rsidRPr="00C060BE" w:rsidRDefault="00C060BE" w:rsidP="00C060BE">
            <w:pPr>
              <w:spacing w:line="240" w:lineRule="auto"/>
              <w:rPr>
                <w:rFonts w:asciiTheme="majorBidi" w:hAnsiTheme="majorBidi" w:cstheme="majorBidi"/>
                <w:sz w:val="20"/>
              </w:rPr>
            </w:pPr>
            <w:r>
              <w:rPr>
                <w:rFonts w:asciiTheme="majorBidi" w:hAnsiTheme="majorBidi" w:cstheme="majorBidi"/>
                <w:sz w:val="20"/>
              </w:rPr>
              <w:t>Pyuria</w:t>
            </w:r>
          </w:p>
        </w:tc>
        <w:tc>
          <w:tcPr>
            <w:tcW w:w="1424"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0.2115</w:t>
            </w:r>
          </w:p>
        </w:tc>
        <w:tc>
          <w:tcPr>
            <w:tcW w:w="1559"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-2.2715</w:t>
            </w:r>
          </w:p>
        </w:tc>
        <w:tc>
          <w:tcPr>
            <w:tcW w:w="1701" w:type="dxa"/>
          </w:tcPr>
          <w:p w:rsidR="00ED3FB6" w:rsidRPr="00C060BE" w:rsidRDefault="00ED3FB6" w:rsidP="00C060BE">
            <w:pPr>
              <w:spacing w:line="240" w:lineRule="auto"/>
              <w:jc w:val="right"/>
              <w:rPr>
                <w:rFonts w:asciiTheme="majorBidi" w:hAnsiTheme="majorBidi" w:cstheme="majorBidi"/>
                <w:sz w:val="20"/>
              </w:rPr>
            </w:pPr>
            <w:r w:rsidRPr="00C060BE">
              <w:rPr>
                <w:rFonts w:asciiTheme="majorBidi" w:hAnsiTheme="majorBidi" w:cstheme="majorBidi"/>
                <w:sz w:val="20"/>
              </w:rPr>
              <w:t>1.3621</w:t>
            </w:r>
          </w:p>
        </w:tc>
      </w:tr>
    </w:tbl>
    <w:p w:rsidR="00ED3FB6" w:rsidRDefault="00ED3FB6" w:rsidP="00ED3FB6"/>
    <w:p w:rsidR="00C62F3A" w:rsidRDefault="005F1913" w:rsidP="007679AD">
      <w:pPr>
        <w:rPr>
          <w:sz w:val="24"/>
          <w:szCs w:val="24"/>
        </w:rPr>
      </w:pPr>
      <w:r>
        <w:t>The second stage of the transformation estimated individual coefficient parameters for the</w:t>
      </w:r>
      <w:r w:rsidR="0090251C">
        <w:t xml:space="preserve"> statistical</w:t>
      </w:r>
      <w:r>
        <w:t xml:space="preserve"> models based on the elicited differences. </w:t>
      </w:r>
      <w:r w:rsidR="00C62F3A">
        <w:t xml:space="preserve">The transformations of </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w</m:t>
            </m:r>
          </m:sub>
        </m:sSub>
      </m:oMath>
      <w:r w:rsidR="00C62F3A">
        <w:t xml:space="preserve"> into coefficients for the </w:t>
      </w:r>
      <w:r w:rsidR="0090251C">
        <w:t>statistical</w:t>
      </w:r>
      <w:r w:rsidR="00C62F3A">
        <w:t xml:space="preserve"> models </w:t>
      </w:r>
      <w:r w:rsidR="007679AD">
        <w:t>differed</w:t>
      </w:r>
      <w:r w:rsidR="00C62F3A">
        <w:t xml:space="preserve"> according</w:t>
      </w:r>
      <w:r w:rsidR="0090251C">
        <w:t xml:space="preserve"> to the </w:t>
      </w:r>
      <w:r w:rsidR="007679AD">
        <w:t xml:space="preserve">differing </w:t>
      </w:r>
      <w:r w:rsidR="0090251C">
        <w:t>functional form</w:t>
      </w:r>
      <w:r w:rsidR="007679AD">
        <w:t>s</w:t>
      </w:r>
      <w:r w:rsidR="0090251C">
        <w:t xml:space="preserve"> of the statistical</w:t>
      </w:r>
      <w:r w:rsidR="00C62F3A">
        <w:t xml:space="preserve"> model. For the logit models the coefficient is the difference between the log odds of disease activity with delta minus the log odds of disease activity without</w:t>
      </w:r>
      <w:r>
        <w:t xml:space="preserve"> delta. Mean estimates of the SoC risk of SLEDAI involvement were used to estimate </w:t>
      </w:r>
      <m:oMath>
        <m:sSub>
          <m:sSubPr>
            <m:ctrlPr>
              <w:rPr>
                <w:rFonts w:ascii="Cambria Math" w:hAnsi="Cambria Math" w:cstheme="majorBidi"/>
                <w:sz w:val="24"/>
                <w:szCs w:val="24"/>
              </w:rPr>
            </m:ctrlPr>
          </m:sSubPr>
          <m:e>
            <m:sSub>
              <m:sSubPr>
                <m:ctrlPr>
                  <w:rPr>
                    <w:rFonts w:ascii="Cambria Math" w:hAnsi="Cambria Math" w:cstheme="majorBidi"/>
                    <w:sz w:val="24"/>
                    <w:szCs w:val="24"/>
                  </w:rPr>
                </m:ctrlPr>
              </m:sSubPr>
              <m:e>
                <m:r>
                  <m:rPr>
                    <m:sty m:val="p"/>
                  </m:rPr>
                  <w:rPr>
                    <w:rFonts w:ascii="Cambria Math" w:hAnsi="Cambria Math" w:cstheme="majorBidi"/>
                    <w:sz w:val="24"/>
                    <w:szCs w:val="24"/>
                  </w:rPr>
                  <m:t>β</m:t>
                </m:r>
              </m:e>
              <m:sub>
                <m:r>
                  <m:rPr>
                    <m:sty m:val="p"/>
                  </m:rPr>
                  <w:rPr>
                    <w:rFonts w:ascii="Cambria Math" w:hAnsi="Cambria Math" w:cstheme="majorBidi"/>
                    <w:sz w:val="24"/>
                    <w:szCs w:val="24"/>
                  </w:rPr>
                  <m:t>w</m:t>
                </m:r>
              </m:sub>
            </m:sSub>
          </m:e>
          <m:sub>
            <m:r>
              <m:rPr>
                <m:sty m:val="p"/>
              </m:rPr>
              <w:rPr>
                <w:rFonts w:ascii="Cambria Math" w:hAnsi="Cambria Math" w:cstheme="majorBidi"/>
                <w:sz w:val="24"/>
                <w:szCs w:val="24"/>
              </w:rPr>
              <m:t>k+1</m:t>
            </m:r>
          </m:sub>
        </m:sSub>
      </m:oMath>
      <w:r w:rsidR="00C62F3A">
        <w:rPr>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
        <w:gridCol w:w="6870"/>
        <w:gridCol w:w="1055"/>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sSub>
                  <m:sSubPr>
                    <m:ctrlPr>
                      <w:rPr>
                        <w:rFonts w:ascii="Cambria Math" w:hAnsi="Cambria Math" w:cstheme="majorBidi"/>
                        <w:sz w:val="24"/>
                        <w:szCs w:val="24"/>
                      </w:rPr>
                    </m:ctrlPr>
                  </m:sSubPr>
                  <m:e>
                    <m:sSub>
                      <m:sSubPr>
                        <m:ctrlPr>
                          <w:rPr>
                            <w:rFonts w:ascii="Cambria Math" w:hAnsi="Cambria Math" w:cstheme="majorBidi"/>
                            <w:sz w:val="24"/>
                            <w:szCs w:val="24"/>
                          </w:rPr>
                        </m:ctrlPr>
                      </m:sSubPr>
                      <m:e>
                        <m:r>
                          <m:rPr>
                            <m:sty m:val="p"/>
                          </m:rPr>
                          <w:rPr>
                            <w:rFonts w:ascii="Cambria Math" w:hAnsi="Cambria Math" w:cstheme="majorBidi"/>
                            <w:sz w:val="24"/>
                            <w:szCs w:val="24"/>
                          </w:rPr>
                          <m:t>β</m:t>
                        </m:r>
                      </m:e>
                      <m:sub>
                        <m:r>
                          <m:rPr>
                            <m:sty m:val="p"/>
                          </m:rPr>
                          <w:rPr>
                            <w:rFonts w:ascii="Cambria Math" w:hAnsi="Cambria Math" w:cstheme="majorBidi"/>
                            <w:sz w:val="24"/>
                            <w:szCs w:val="24"/>
                          </w:rPr>
                          <m:t>w</m:t>
                        </m:r>
                      </m:sub>
                    </m:sSub>
                  </m:e>
                  <m:sub>
                    <m:r>
                      <m:rPr>
                        <m:sty m:val="p"/>
                      </m:rPr>
                      <w:rPr>
                        <w:rFonts w:ascii="Cambria Math" w:hAnsi="Cambria Math" w:cstheme="majorBidi"/>
                        <w:sz w:val="24"/>
                        <w:szCs w:val="24"/>
                      </w:rPr>
                      <m:t>k+1</m:t>
                    </m:r>
                  </m:sub>
                </m:sSub>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cs="Times New Roman"/>
                                <w:i/>
                              </w:rPr>
                            </m:ctrlPr>
                          </m:fPr>
                          <m:num>
                            <m:r>
                              <w:rPr>
                                <w:rFonts w:ascii="Cambria Math" w:hAnsi="Cambria Math" w:cs="Times New Roman"/>
                              </w:rPr>
                              <m:t>pr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r>
                                  <w:rPr>
                                    <w:rFonts w:ascii="Cambria Math" w:hAnsi="Cambria Math" w:cs="Times New Roman"/>
                                  </w:rPr>
                                  <m:t>=1</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w</m:t>
                                </m:r>
                              </m:sub>
                            </m:sSub>
                          </m:num>
                          <m:den>
                            <m:r>
                              <w:rPr>
                                <w:rFonts w:ascii="Cambria Math" w:hAnsi="Cambria Math" w:cs="Times New Roman"/>
                              </w:rPr>
                              <m:t>1-pr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r>
                                  <w:rPr>
                                    <w:rFonts w:ascii="Cambria Math" w:hAnsi="Cambria Math" w:cs="Times New Roman"/>
                                  </w:rPr>
                                  <m:t>=1</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w:rPr>
                                    <w:rFonts w:ascii="Cambria Math" w:hAnsi="Cambria Math" w:cs="Times New Roman"/>
                                  </w:rPr>
                                  <m:t>w</m:t>
                                </m:r>
                              </m:sub>
                            </m:sSub>
                          </m:den>
                        </m:f>
                        <m:ctrlPr>
                          <w:rPr>
                            <w:rFonts w:ascii="Cambria Math" w:hAnsi="Cambria Math"/>
                            <w:i/>
                          </w:rPr>
                        </m:ctrlPr>
                      </m:e>
                    </m:d>
                    <m:ctrlPr>
                      <w:rPr>
                        <w:rFonts w:ascii="Cambria Math" w:hAnsi="Cambria Math"/>
                        <w:i/>
                      </w:rPr>
                    </m:ctrlPr>
                  </m:e>
                </m:func>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cs="Times New Roman"/>
                                <w:i/>
                              </w:rPr>
                            </m:ctrlPr>
                          </m:fPr>
                          <m:num>
                            <m:r>
                              <w:rPr>
                                <w:rFonts w:ascii="Cambria Math" w:hAnsi="Cambria Math" w:cs="Times New Roman"/>
                              </w:rPr>
                              <m:t>pr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r>
                                  <w:rPr>
                                    <w:rFonts w:ascii="Cambria Math" w:hAnsi="Cambria Math" w:cs="Times New Roman"/>
                                  </w:rPr>
                                  <m:t>=1</m:t>
                                </m:r>
                              </m:e>
                            </m:d>
                          </m:num>
                          <m:den>
                            <m:r>
                              <w:rPr>
                                <w:rFonts w:ascii="Cambria Math" w:hAnsi="Cambria Math" w:cs="Times New Roman"/>
                              </w:rPr>
                              <m:t>1-pr</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w</m:t>
                                    </m:r>
                                  </m:sub>
                                </m:sSub>
                                <m:r>
                                  <w:rPr>
                                    <w:rFonts w:ascii="Cambria Math" w:hAnsi="Cambria Math" w:cs="Times New Roman"/>
                                  </w:rPr>
                                  <m:t>=1</m:t>
                                </m:r>
                              </m:e>
                            </m:d>
                          </m:den>
                        </m:f>
                        <m:ctrlPr>
                          <w:rPr>
                            <w:rFonts w:ascii="Cambria Math" w:hAnsi="Cambria Math"/>
                            <w:i/>
                          </w:rPr>
                        </m:ctrlPr>
                      </m:e>
                    </m:d>
                    <m:ctrlPr>
                      <w:rPr>
                        <w:rFonts w:ascii="Cambria Math" w:hAnsi="Cambria Math"/>
                        <w:i/>
                      </w:rPr>
                    </m:ctrlPr>
                  </m:e>
                </m:func>
              </m:oMath>
            </m:oMathPara>
          </w:p>
        </w:tc>
        <w:tc>
          <w:tcPr>
            <w:tcW w:w="1196" w:type="dxa"/>
          </w:tcPr>
          <w:p w:rsidR="002737EE" w:rsidRDefault="002737EE" w:rsidP="00597CF5">
            <w:pPr>
              <w:pStyle w:val="ListParagraph"/>
              <w:numPr>
                <w:ilvl w:val="1"/>
                <w:numId w:val="30"/>
              </w:numPr>
              <w:bidi/>
              <w:ind w:right="220"/>
              <w:jc w:val="right"/>
            </w:pPr>
          </w:p>
        </w:tc>
      </w:tr>
    </w:tbl>
    <w:p w:rsidR="00C62F3A" w:rsidRDefault="00C62F3A" w:rsidP="00C62F3A"/>
    <w:p w:rsidR="00C62F3A" w:rsidRDefault="00F0444E" w:rsidP="007568A9">
      <w:r>
        <w:rPr>
          <w:rFonts w:cs="Times New Roman"/>
        </w:rPr>
        <w:t xml:space="preserve">The elicitation method for survival parameters was based on a PhD thesis completed at the time of designing this elicitation </w:t>
      </w:r>
      <w:r w:rsidR="00E729BA">
        <w:rPr>
          <w:rFonts w:cs="Times New Roman"/>
        </w:rPr>
        <w:fldChar w:fldCharType="begin"/>
      </w:r>
      <w:r w:rsidR="00FC61FD">
        <w:rPr>
          <w:rFonts w:cs="Times New Roman"/>
        </w:rPr>
        <w:instrText xml:space="preserve"> ADDIN REFMGR.CITE &lt;Refman&gt;&lt;Cite&gt;&lt;Author&gt;Ren&lt;/Author&gt;&lt;Year&gt;2011&lt;/Year&gt;&lt;RecNum&gt;1628&lt;/RecNum&gt;&lt;IDText&gt;Using Prior Information in Clinical Trial Design&lt;/IDText&gt;&lt;MDL Ref_Type="Thesis/Dissertation"&gt;&lt;Ref_Type&gt;Thesis/Dissertation&lt;/Ref_Type&gt;&lt;Ref_ID&gt;1628&lt;/Ref_ID&gt;&lt;Title_Primary&gt;Using Prior Information in Clinical Trial Design&lt;/Title_Primary&gt;&lt;Authors_Primary&gt;Ren,S&lt;/Authors_Primary&gt;&lt;Date_Primary&gt;2011&lt;/Date_Primary&gt;&lt;Keywords&gt;clinical trial&lt;/Keywords&gt;&lt;Reprint&gt;In File&lt;/Reprint&gt;&lt;Publisher&gt;University of Sheffield&lt;/Publisher&gt;&lt;ZZ_WorkformID&gt;29&lt;/ZZ_WorkformID&gt;&lt;/MDL&gt;&lt;/Cite&gt;&lt;/Refman&gt;</w:instrText>
      </w:r>
      <w:r w:rsidR="00E729BA">
        <w:rPr>
          <w:rFonts w:cs="Times New Roman"/>
        </w:rPr>
        <w:fldChar w:fldCharType="separate"/>
      </w:r>
      <w:r w:rsidR="0081424E">
        <w:rPr>
          <w:rFonts w:cs="Times New Roman"/>
        </w:rPr>
        <w:t>(222)</w:t>
      </w:r>
      <w:r w:rsidR="00E729BA">
        <w:rPr>
          <w:rFonts w:cs="Times New Roman"/>
        </w:rPr>
        <w:fldChar w:fldCharType="end"/>
      </w:r>
      <w:r>
        <w:rPr>
          <w:rFonts w:cs="Times New Roman"/>
        </w:rPr>
        <w:t>.</w:t>
      </w:r>
      <w:r w:rsidR="00C62F3A">
        <w:t xml:space="preserve">The elicitation </w:t>
      </w:r>
      <w:r w:rsidR="005F1913">
        <w:t xml:space="preserve">presented respondents with the proportion of patients with an attribute at a given </w:t>
      </w:r>
      <w:r w:rsidR="00C62F3A">
        <w:t>time</w:t>
      </w:r>
      <m:oMath>
        <m:r>
          <w:rPr>
            <w:rFonts w:ascii="Cambria Math" w:hAnsi="Cambria Math"/>
          </w:rPr>
          <m:t xml:space="preserve"> S</m:t>
        </m:r>
        <m:d>
          <m:dPr>
            <m:ctrlPr>
              <w:rPr>
                <w:rFonts w:ascii="Cambria Math" w:hAnsi="Cambria Math"/>
                <w:i/>
              </w:rPr>
            </m:ctrlPr>
          </m:dPr>
          <m:e>
            <m:r>
              <w:rPr>
                <w:rFonts w:ascii="Cambria Math" w:hAnsi="Cambria Math"/>
              </w:rPr>
              <m:t>t</m:t>
            </m:r>
          </m:e>
        </m:d>
      </m:oMath>
      <w:r w:rsidR="00C62F3A">
        <w:t>.</w:t>
      </w:r>
      <w:r w:rsidR="002137C9">
        <w:t xml:space="preserve"> The survival estimates for</w:t>
      </w:r>
      <w:r w:rsidR="00C62F3A">
        <w:t xml:space="preserve"> an exponential survival function can be used to </w:t>
      </w:r>
      <w:r w:rsidR="002137C9">
        <w:t>generate</w:t>
      </w:r>
      <m:oMath>
        <m:sSub>
          <m:sSubPr>
            <m:ctrlPr>
              <w:rPr>
                <w:rFonts w:ascii="Cambria Math" w:hAnsi="Cambria Math"/>
                <w:i/>
              </w:rPr>
            </m:ctrlPr>
          </m:sSubPr>
          <m:e>
            <m:r>
              <w:rPr>
                <w:rFonts w:ascii="Cambria Math" w:hAnsi="Cambria Math"/>
              </w:rPr>
              <m:t xml:space="preserve"> λ</m:t>
            </m:r>
          </m:e>
          <m:sub>
            <m:r>
              <w:rPr>
                <w:rFonts w:ascii="Cambria Math" w:hAnsi="Cambria Math"/>
              </w:rPr>
              <m:t>1</m:t>
            </m:r>
          </m:sub>
        </m:sSub>
      </m:oMath>
      <w:r w:rsidR="002137C9">
        <w:t xml:space="preserve">, </w:t>
      </w:r>
      <w:r w:rsidR="00C62F3A">
        <w:t xml:space="preserve">the baseline hazard.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
        <w:gridCol w:w="6832"/>
        <w:gridCol w:w="1084"/>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num>
                  <m:den>
                    <m:r>
                      <w:rPr>
                        <w:rFonts w:ascii="Cambria Math" w:hAnsi="Cambria Math"/>
                      </w:rPr>
                      <m:t>t</m:t>
                    </m:r>
                  </m:den>
                </m:f>
                <m:r>
                  <w:rPr>
                    <w:rFonts w:ascii="Cambria Math" w:hAnsi="Cambria Math"/>
                  </w:rPr>
                  <m:t xml:space="preserve"> ,</m:t>
                </m:r>
              </m:oMath>
            </m:oMathPara>
          </w:p>
        </w:tc>
        <w:tc>
          <w:tcPr>
            <w:tcW w:w="1196" w:type="dxa"/>
          </w:tcPr>
          <w:p w:rsidR="002737EE" w:rsidRDefault="002737EE" w:rsidP="00597CF5">
            <w:pPr>
              <w:pStyle w:val="ListParagraph"/>
              <w:numPr>
                <w:ilvl w:val="1"/>
                <w:numId w:val="30"/>
              </w:numPr>
              <w:bidi/>
              <w:ind w:right="220"/>
              <w:jc w:val="right"/>
            </w:pPr>
            <w:bookmarkStart w:id="408" w:name="_Ref355006930"/>
          </w:p>
        </w:tc>
        <w:bookmarkEnd w:id="408"/>
      </w:tr>
    </w:tbl>
    <w:p w:rsidR="00C62F3A" w:rsidRDefault="002137C9" w:rsidP="00C62F3A">
      <w:r>
        <w:t>The elicited quantity can be incorporated into the baseline hazard for treatment to calculate the coefficient</w:t>
      </w:r>
      <w:r w:rsidR="00C62F3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
        <w:gridCol w:w="6854"/>
        <w:gridCol w:w="1068"/>
      </w:tblGrid>
      <w:tr w:rsidR="002737EE" w:rsidTr="00FB7FA6">
        <w:trPr>
          <w:cantSplit/>
          <w:trHeight w:val="435"/>
        </w:trPr>
        <w:tc>
          <w:tcPr>
            <w:tcW w:w="534" w:type="dxa"/>
          </w:tcPr>
          <w:p w:rsidR="002737EE" w:rsidRDefault="002737EE" w:rsidP="002737EE"/>
        </w:tc>
        <w:tc>
          <w:tcPr>
            <w:tcW w:w="7512" w:type="dxa"/>
          </w:tcPr>
          <w:p w:rsidR="002737EE" w:rsidRPr="002367E4" w:rsidRDefault="00E729BA" w:rsidP="002737EE">
            <m:oMathPara>
              <m:oMath>
                <m:sSub>
                  <m:sSubPr>
                    <m:ctrlPr>
                      <w:rPr>
                        <w:rFonts w:ascii="Cambria Math" w:hAnsi="Cambria Math"/>
                        <w:i/>
                        <w:sz w:val="24"/>
                        <w:szCs w:val="24"/>
                      </w:rPr>
                    </m:ctrlPr>
                  </m:sSubPr>
                  <m:e>
                    <m:r>
                      <w:rPr>
                        <w:rFonts w:ascii="Cambria Math" w:hAnsi="Cambria Math"/>
                        <w:sz w:val="24"/>
                        <w:szCs w:val="24"/>
                      </w:rPr>
                      <m:t>β</m:t>
                    </m:r>
                  </m:e>
                  <m:sub>
                    <m:r>
                      <w:rPr>
                        <w:rFonts w:ascii="Cambria Math" w:hAnsi="Cambria Math"/>
                        <w:sz w:val="24"/>
                        <w:szCs w:val="24"/>
                      </w:rPr>
                      <m:t>k+1</m:t>
                    </m:r>
                  </m:sub>
                </m:sSub>
                <m: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+δ)</m:t>
                            </m:r>
                          </m:num>
                          <m:den>
                            <m:r>
                              <w:rPr>
                                <w:rFonts w:ascii="Cambria Math" w:hAnsi="Cambria Math"/>
                              </w:rPr>
                              <m:t>t</m:t>
                            </m:r>
                          </m:den>
                        </m:f>
                      </m:e>
                    </m:d>
                    <m:ctrlPr>
                      <w:rPr>
                        <w:rFonts w:ascii="Cambria Math" w:hAnsi="Cambria Math"/>
                        <w:i/>
                      </w:rPr>
                    </m:ctrlPr>
                  </m:e>
                </m:func>
                <m:r>
                  <w:rPr>
                    <w:rFonts w:ascii="Cambria Math" w:hAnsi="Cambria Math"/>
                  </w:rPr>
                  <m:t>-</m:t>
                </m:r>
                <m:r>
                  <m:rPr>
                    <m:sty m:val="p"/>
                  </m:rPr>
                  <w:rPr>
                    <w:rFonts w:ascii="Cambria Math" w:hAnsi="Cambria Math"/>
                  </w:rPr>
                  <m:t>log⁡</m:t>
                </m:r>
                <m:d>
                  <m:dPr>
                    <m:ctrlPr>
                      <w:rPr>
                        <w:rFonts w:ascii="Cambria Math" w:hAnsi="Cambria Math"/>
                      </w:rPr>
                    </m:ctrlPr>
                  </m:dPr>
                  <m:e>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num>
                      <m:den>
                        <m:r>
                          <w:rPr>
                            <w:rFonts w:ascii="Cambria Math" w:hAnsi="Cambria Math"/>
                          </w:rPr>
                          <m:t>t</m:t>
                        </m:r>
                      </m:den>
                    </m:f>
                  </m:e>
                </m:d>
              </m:oMath>
            </m:oMathPara>
          </w:p>
        </w:tc>
        <w:tc>
          <w:tcPr>
            <w:tcW w:w="1196" w:type="dxa"/>
          </w:tcPr>
          <w:p w:rsidR="002737EE" w:rsidRDefault="002737EE" w:rsidP="00597CF5">
            <w:pPr>
              <w:pStyle w:val="ListParagraph"/>
              <w:numPr>
                <w:ilvl w:val="1"/>
                <w:numId w:val="30"/>
              </w:numPr>
              <w:bidi/>
              <w:ind w:right="220"/>
              <w:jc w:val="right"/>
            </w:pPr>
            <w:bookmarkStart w:id="409" w:name="_Ref355006802"/>
          </w:p>
        </w:tc>
        <w:bookmarkEnd w:id="409"/>
      </w:tr>
    </w:tbl>
    <w:p w:rsidR="00C62F3A" w:rsidRDefault="00C62F3A" w:rsidP="00C725EF">
      <w:r>
        <w:t xml:space="preserve">The Weibull, Gompertz and Loglogistic parametric </w:t>
      </w:r>
      <w:r w:rsidR="0090251C">
        <w:t xml:space="preserve">survival </w:t>
      </w:r>
      <w:r>
        <w:t xml:space="preserve">models have two parameters. For these </w:t>
      </w:r>
      <w:r w:rsidR="0090251C">
        <w:t xml:space="preserve">survival </w:t>
      </w:r>
      <w:r>
        <w:t xml:space="preserve">models it is assumed that parameter 2, as detailed in </w:t>
      </w:r>
      <w:r w:rsidR="00E729BA">
        <w:fldChar w:fldCharType="begin"/>
      </w:r>
      <w:r>
        <w:instrText xml:space="preserve"> REF _Ref335652130 \h </w:instrText>
      </w:r>
      <w:r w:rsidR="00E729BA">
        <w:fldChar w:fldCharType="separate"/>
      </w:r>
      <w:r w:rsidR="004911B7">
        <w:t xml:space="preserve">Table </w:t>
      </w:r>
      <w:r w:rsidR="004911B7">
        <w:rPr>
          <w:noProof/>
        </w:rPr>
        <w:t>36</w:t>
      </w:r>
      <w:r w:rsidR="00E729BA">
        <w:fldChar w:fldCharType="end"/>
      </w:r>
      <w:r>
        <w:t xml:space="preserve">, is held constant so that the treatment does not affect parameter 2. Using this assumption, the coefficient can be estimated using the same method described above for the exponential distribution. The calculation for the Weibull distribution </w:t>
      </w:r>
      <w:r w:rsidR="00C725EF">
        <w:t xml:space="preserve">was used to estimate mortality, musculoskeletal damage, neuropsychiatric damage, and ocular damage. The estimation of the Weibull parameter </w:t>
      </w:r>
      <w:r>
        <w:t>is described in equation</w:t>
      </w:r>
      <w:r w:rsidR="009914C2">
        <w:t xml:space="preserve"> </w:t>
      </w:r>
      <w:r w:rsidR="00E729BA">
        <w:fldChar w:fldCharType="begin"/>
      </w:r>
      <w:r w:rsidR="009914C2">
        <w:instrText xml:space="preserve"> REF weibull_6 \w \h </w:instrText>
      </w:r>
      <w:r w:rsidR="00E729BA">
        <w:fldChar w:fldCharType="separate"/>
      </w:r>
      <w:r w:rsidR="004911B7">
        <w:rPr>
          <w:cs/>
        </w:rPr>
        <w:t>‎</w:t>
      </w:r>
      <w:r w:rsidR="004911B7">
        <w:t>(6.15)</w:t>
      </w:r>
      <w:r w:rsidR="00E729BA">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6830"/>
        <w:gridCol w:w="1085"/>
      </w:tblGrid>
      <w:tr w:rsidR="007568A9" w:rsidTr="00C725EF">
        <w:trPr>
          <w:trHeight w:val="435"/>
        </w:trPr>
        <w:tc>
          <w:tcPr>
            <w:tcW w:w="534" w:type="dxa"/>
          </w:tcPr>
          <w:p w:rsidR="007568A9" w:rsidRDefault="007568A9" w:rsidP="00FB7FA6"/>
        </w:tc>
        <w:tc>
          <w:tcPr>
            <w:tcW w:w="7512" w:type="dxa"/>
          </w:tcPr>
          <w:p w:rsidR="007568A9" w:rsidRPr="002367E4" w:rsidRDefault="00E729BA" w:rsidP="00FB7FA6">
            <m:oMathPara>
              <m:oMath>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m:t>
                    </m:r>
                    <m:r>
                      <m:rPr>
                        <m:sty m:val="p"/>
                      </m:rPr>
                      <w:rPr>
                        <w:rFonts w:ascii="Cambria Math" w:hAnsi="Cambria Math"/>
                      </w:rPr>
                      <m:t>log⁡</m:t>
                    </m:r>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m:t>
                    </m:r>
                  </m:num>
                  <m:den>
                    <m:sSup>
                      <m:sSupPr>
                        <m:ctrlPr>
                          <w:rPr>
                            <w:rFonts w:ascii="Cambria Math" w:hAnsi="Cambria Math"/>
                            <w:i/>
                          </w:rPr>
                        </m:ctrlPr>
                      </m:sSupPr>
                      <m:e>
                        <m:r>
                          <w:rPr>
                            <w:rFonts w:ascii="Cambria Math" w:hAnsi="Cambria Math"/>
                          </w:rPr>
                          <m:t>t</m:t>
                        </m:r>
                      </m:e>
                      <m:sup>
                        <m:r>
                          <w:rPr>
                            <w:rFonts w:ascii="Cambria Math" w:hAnsi="Cambria Math"/>
                          </w:rPr>
                          <m:t>γ</m:t>
                        </m:r>
                      </m:sup>
                    </m:sSup>
                  </m:den>
                </m:f>
              </m:oMath>
            </m:oMathPara>
          </w:p>
        </w:tc>
        <w:tc>
          <w:tcPr>
            <w:tcW w:w="1196" w:type="dxa"/>
          </w:tcPr>
          <w:p w:rsidR="007568A9" w:rsidRDefault="007568A9" w:rsidP="009914C2">
            <w:pPr>
              <w:pStyle w:val="ListParagraph"/>
              <w:numPr>
                <w:ilvl w:val="1"/>
                <w:numId w:val="30"/>
              </w:numPr>
              <w:ind w:right="220"/>
              <w:jc w:val="right"/>
            </w:pPr>
            <w:bookmarkStart w:id="410" w:name="weibull_6"/>
            <w:bookmarkEnd w:id="410"/>
          </w:p>
        </w:tc>
      </w:tr>
    </w:tbl>
    <w:p w:rsidR="00C725EF" w:rsidRDefault="00C725EF">
      <w:r>
        <w:t xml:space="preserve">The Gompertz distribution was used to estimate cardiovascular damage and the calculation for the Gompertz distribution is described in equation </w:t>
      </w:r>
      <w:r w:rsidR="00E729BA">
        <w:fldChar w:fldCharType="begin"/>
      </w:r>
      <w:r>
        <w:instrText xml:space="preserve"> REF gompertz_6 \w \h </w:instrText>
      </w:r>
      <w:r w:rsidR="00E729BA">
        <w:fldChar w:fldCharType="separate"/>
      </w:r>
      <w:r w:rsidR="004911B7">
        <w:rPr>
          <w:cs/>
        </w:rPr>
        <w:t>‎</w:t>
      </w:r>
      <w:r w:rsidR="004911B7">
        <w:t>(6.16)</w:t>
      </w:r>
      <w:r w:rsidR="00E729BA">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6829"/>
        <w:gridCol w:w="1086"/>
      </w:tblGrid>
      <w:tr w:rsidR="007568A9" w:rsidTr="00C725EF">
        <w:trPr>
          <w:trHeight w:val="435"/>
        </w:trPr>
        <w:tc>
          <w:tcPr>
            <w:tcW w:w="534" w:type="dxa"/>
          </w:tcPr>
          <w:p w:rsidR="007568A9" w:rsidRDefault="007568A9" w:rsidP="00FB7FA6"/>
        </w:tc>
        <w:tc>
          <w:tcPr>
            <w:tcW w:w="7512" w:type="dxa"/>
          </w:tcPr>
          <w:p w:rsidR="007568A9" w:rsidRPr="002367E4" w:rsidRDefault="00E729BA" w:rsidP="00FB7FA6">
            <m:oMathPara>
              <m:oMath>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f>
                  <m:fPr>
                    <m:ctrlPr>
                      <w:rPr>
                        <w:rFonts w:ascii="Cambria Math" w:hAnsi="Cambria Math"/>
                      </w:rPr>
                    </m:ctrlPr>
                  </m:fPr>
                  <m:num>
                    <m:r>
                      <m:rPr>
                        <m:sty m:val="p"/>
                      </m:rPr>
                      <w:rPr>
                        <w:rFonts w:ascii="Cambria Math" w:hAnsi="Cambria Math"/>
                      </w:rPr>
                      <m:t>γlog⁡(S</m:t>
                    </m:r>
                    <m:d>
                      <m:dPr>
                        <m:ctrlPr>
                          <w:rPr>
                            <w:rFonts w:ascii="Cambria Math" w:hAnsi="Cambria Math"/>
                          </w:rPr>
                        </m:ctrlPr>
                      </m:dPr>
                      <m:e>
                        <m:r>
                          <m:rPr>
                            <m:sty m:val="p"/>
                          </m:rPr>
                          <w:rPr>
                            <w:rFonts w:ascii="Cambria Math" w:hAnsi="Cambria Math"/>
                          </w:rPr>
                          <m:t>t</m:t>
                        </m:r>
                      </m:e>
                    </m:d>
                    <m:r>
                      <m:rPr>
                        <m:sty m:val="p"/>
                      </m:rPr>
                      <w:rPr>
                        <w:rFonts w:ascii="Cambria Math" w:hAnsi="Cambria Math"/>
                      </w:rPr>
                      <m:t>)</m:t>
                    </m:r>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γt</m:t>
                        </m:r>
                      </m:sup>
                    </m:sSup>
                  </m:den>
                </m:f>
              </m:oMath>
            </m:oMathPara>
          </w:p>
        </w:tc>
        <w:tc>
          <w:tcPr>
            <w:tcW w:w="1196" w:type="dxa"/>
          </w:tcPr>
          <w:p w:rsidR="007568A9" w:rsidRDefault="007568A9" w:rsidP="009914C2">
            <w:pPr>
              <w:pStyle w:val="ListParagraph"/>
              <w:numPr>
                <w:ilvl w:val="1"/>
                <w:numId w:val="30"/>
              </w:numPr>
              <w:ind w:right="220"/>
              <w:jc w:val="right"/>
            </w:pPr>
            <w:bookmarkStart w:id="411" w:name="gompertz_6"/>
            <w:bookmarkEnd w:id="411"/>
          </w:p>
        </w:tc>
      </w:tr>
    </w:tbl>
    <w:p w:rsidR="00C725EF" w:rsidRDefault="00C725EF" w:rsidP="00C725EF">
      <w:r>
        <w:t xml:space="preserve">The loglogistic distribution was used to estimate renal, pulmonary, and skin damage. The calculation for the loglogistic distribution is described in equation </w:t>
      </w:r>
      <w:r w:rsidR="00E729BA">
        <w:fldChar w:fldCharType="begin"/>
      </w:r>
      <w:r>
        <w:instrText xml:space="preserve"> REF loglog_6 \w \h </w:instrText>
      </w:r>
      <w:r w:rsidR="00E729BA">
        <w:fldChar w:fldCharType="separate"/>
      </w:r>
      <w:r w:rsidR="004911B7">
        <w:rPr>
          <w:cs/>
        </w:rPr>
        <w:t>‎</w:t>
      </w:r>
      <w:r w:rsidR="004911B7">
        <w:t>(6.17)</w:t>
      </w:r>
      <w:r w:rsidR="00E729BA">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
        <w:gridCol w:w="6833"/>
        <w:gridCol w:w="1083"/>
      </w:tblGrid>
      <w:tr w:rsidR="007568A9" w:rsidTr="00C725EF">
        <w:trPr>
          <w:cantSplit/>
          <w:trHeight w:val="435"/>
        </w:trPr>
        <w:tc>
          <w:tcPr>
            <w:tcW w:w="534" w:type="dxa"/>
          </w:tcPr>
          <w:p w:rsidR="007568A9" w:rsidRDefault="007568A9" w:rsidP="00FB7FA6"/>
        </w:tc>
        <w:tc>
          <w:tcPr>
            <w:tcW w:w="7512" w:type="dxa"/>
          </w:tcPr>
          <w:p w:rsidR="007568A9" w:rsidRPr="002367E4" w:rsidRDefault="00E729BA" w:rsidP="00FB7FA6">
            <m:oMathPara>
              <m:oMath>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r>
                  <m:rPr>
                    <m:sty m:val="p"/>
                  </m:rPr>
                  <w:rPr>
                    <w:rFonts w:ascii="Cambria Math" w:hAnsi="Cambria Math"/>
                  </w:rPr>
                  <m:t>log⁡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S</m:t>
                        </m:r>
                        <m:d>
                          <m:dPr>
                            <m:ctrlPr>
                              <w:rPr>
                                <w:rFonts w:ascii="Cambria Math" w:hAnsi="Cambria Math"/>
                              </w:rPr>
                            </m:ctrlPr>
                          </m:dPr>
                          <m:e>
                            <m:r>
                              <m:rPr>
                                <m:sty m:val="p"/>
                              </m:rPr>
                              <w:rPr>
                                <w:rFonts w:ascii="Cambria Math" w:hAnsi="Cambria Math"/>
                              </w:rPr>
                              <m:t>t</m:t>
                            </m:r>
                          </m:e>
                        </m:d>
                        <m:sSup>
                          <m:sSupPr>
                            <m:ctrlPr>
                              <w:rPr>
                                <w:rFonts w:ascii="Cambria Math" w:hAnsi="Cambria Math"/>
                              </w:rPr>
                            </m:ctrlPr>
                          </m:sSupPr>
                          <m:e>
                            <m:r>
                              <m:rPr>
                                <m:sty m:val="p"/>
                              </m:rPr>
                              <w:rPr>
                                <w:rFonts w:ascii="Cambria Math" w:hAnsi="Cambria Math"/>
                              </w:rPr>
                              <m:t>t</m:t>
                            </m:r>
                          </m:e>
                          <m:sup>
                            <m:r>
                              <m:rPr>
                                <m:sty m:val="p"/>
                              </m:rPr>
                              <w:rPr>
                                <w:rFonts w:ascii="Cambria Math" w:hAnsi="Cambria Math"/>
                              </w:rPr>
                              <m:t>γ</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γ</m:t>
                            </m:r>
                          </m:sup>
                        </m:sSup>
                      </m:den>
                    </m:f>
                  </m:e>
                </m:d>
              </m:oMath>
            </m:oMathPara>
          </w:p>
        </w:tc>
        <w:tc>
          <w:tcPr>
            <w:tcW w:w="1196" w:type="dxa"/>
          </w:tcPr>
          <w:p w:rsidR="007568A9" w:rsidRDefault="007568A9" w:rsidP="009914C2">
            <w:pPr>
              <w:pStyle w:val="ListParagraph"/>
              <w:numPr>
                <w:ilvl w:val="1"/>
                <w:numId w:val="30"/>
              </w:numPr>
              <w:ind w:right="220"/>
              <w:jc w:val="right"/>
            </w:pPr>
            <w:bookmarkStart w:id="412" w:name="loglog_6"/>
            <w:bookmarkEnd w:id="412"/>
          </w:p>
        </w:tc>
      </w:tr>
    </w:tbl>
    <w:p w:rsidR="00C62F3A" w:rsidRDefault="00C62F3A" w:rsidP="00B07104">
      <w:pPr>
        <w:pStyle w:val="Heading4"/>
      </w:pPr>
      <w:bookmarkStart w:id="413" w:name="_Toc335051126"/>
      <w:bookmarkStart w:id="414" w:name="_Toc341366950"/>
      <w:r>
        <w:t>Elicitation Technique</w:t>
      </w:r>
      <w:bookmarkEnd w:id="413"/>
      <w:bookmarkEnd w:id="414"/>
    </w:p>
    <w:p w:rsidR="00C060BE" w:rsidRDefault="007C678E" w:rsidP="0081424E">
      <w:r>
        <w:t xml:space="preserve">Many techniques can be used to describe the distribution of uncertain parameters in an elicitation. </w:t>
      </w:r>
      <w:r w:rsidR="00C62F3A">
        <w:t xml:space="preserve">The histogram elicitation technique </w:t>
      </w:r>
      <w:r>
        <w:t xml:space="preserve">was </w:t>
      </w:r>
      <w:r w:rsidR="00C62F3A">
        <w:t xml:space="preserve">used in three of the elicitation studies identified in the literature search </w:t>
      </w:r>
      <w:r w:rsidR="00E729BA">
        <w:fldChar w:fldCharType="begin"/>
      </w:r>
      <w:r w:rsidR="00FC61FD">
        <w:instrText xml:space="preserve"> ADDIN REFMGR.CITE &lt;Refman&gt;&lt;Cite&gt;&lt;Author&gt;Bojke&lt;/Author&gt;&lt;Year&gt;2010&lt;/Year&gt;&lt;RecNum&gt;1513&lt;/RecNum&gt;&lt;IDText&gt;Eliciting distributions to populate decision analytic models&lt;/IDText&gt;&lt;MDL Ref_Type="Journal"&gt;&lt;Ref_Type&gt;Journal&lt;/Ref_Type&gt;&lt;Ref_ID&gt;1513&lt;/Ref_ID&gt;&lt;Title_Primary&gt;Eliciting distributions to populate decision analytic models&lt;/Title_Primary&gt;&lt;Authors_Primary&gt;Bojke,L.&lt;/Authors_Primary&gt;&lt;Authors_Primary&gt;Claxton,K.&lt;/Authors_Primary&gt;&lt;Authors_Primary&gt;Bravo-Vergel,Y.&lt;/Authors_Primary&gt;&lt;Authors_Primary&gt;Sculpher,M.&lt;/Authors_Primary&gt;&lt;Authors_Primary&gt;Palmer,S.&lt;/Authors_Primary&gt;&lt;Authors_Primary&gt;Abrams,K.&lt;/Authors_Primary&gt;&lt;Date_Primary&gt;2010/8&lt;/Date_Primary&gt;&lt;Keywords&gt;Anti-Inflammatory Agents,Non-Steroidal&lt;/Keywords&gt;&lt;Keywords&gt;Antibodies,Monoclonal&lt;/Keywords&gt;&lt;Keywords&gt;Antirheumatic Agents&lt;/Keywords&gt;&lt;Keywords&gt;Arthritis&lt;/Keywords&gt;&lt;Keywords&gt;Arthritis,Psoriatic&lt;/Keywords&gt;&lt;Keywords&gt;article&lt;/Keywords&gt;&lt;Keywords&gt;Cost-Benefit Analysis&lt;/Keywords&gt;&lt;Keywords&gt;Decision Support Techniques&lt;/Keywords&gt;&lt;Keywords&gt;Disease Progression&lt;/Keywords&gt;&lt;Keywords&gt;drug therapy&lt;/Keywords&gt;&lt;Keywords&gt;economics&lt;/Keywords&gt;&lt;Keywords&gt;Feasibility Studies&lt;/Keywords&gt;&lt;Keywords&gt;Great Britain&lt;/Keywords&gt;&lt;Keywords&gt;Health&lt;/Keywords&gt;&lt;Keywords&gt;Health Care Costs&lt;/Keywords&gt;&lt;Keywords&gt;Humans&lt;/Keywords&gt;&lt;Keywords&gt;Immunoglobulin G&lt;/Keywords&gt;&lt;Keywords&gt;Life&lt;/Keywords&gt;&lt;Keywords&gt;methods&lt;/Keywords&gt;&lt;Keywords&gt;Models,Economic&lt;/Keywords&gt;&lt;Keywords&gt;Models,Statistical&lt;/Keywords&gt;&lt;Keywords&gt;Palliative Care&lt;/Keywords&gt;&lt;Keywords&gt;Probability&lt;/Keywords&gt;&lt;Keywords&gt;Program Evaluation&lt;/Keywords&gt;&lt;Keywords&gt;Quality of Life&lt;/Keywords&gt;&lt;Keywords&gt;Quality-Adjusted Life Years&lt;/Keywords&gt;&lt;Keywords&gt;Receptors,Tumor Necrosis Factor&lt;/Keywords&gt;&lt;Keywords&gt;Research&lt;/Keywords&gt;&lt;Keywords&gt;therapeutic use&lt;/Keywords&gt;&lt;Keywords&gt;Uncertainty&lt;/Keywords&gt;&lt;Reprint&gt;Not in File&lt;/Reprint&gt;&lt;Start_Page&gt;557&lt;/Start_Page&gt;&lt;End_Page&gt;564&lt;/End_Page&gt;&lt;Periodical&gt;Value.Health.&lt;/Periodical&gt;&lt;Volume&gt;13&lt;/Volume&gt;&lt;Issue&gt;5&lt;/Issue&gt;&lt;User_Def_1&gt;elicitation&lt;/User_Def_1&gt;&lt;ZZ_JournalStdAbbrev&gt;&lt;f name="System"&gt;Value.Health.&lt;/f&gt;&lt;/ZZ_JournalStdAbbrev&gt;&lt;ZZ_WorkformID&gt;1&lt;/ZZ_WorkformID&gt;&lt;/MDL&gt;&lt;/Cite&gt;&lt;Cite&gt;&lt;Author&gt;McKenna&lt;/Author&gt;&lt;Year&gt;2011&lt;/Year&gt;&lt;RecNum&gt;682&lt;/RecNum&gt;&lt;IDText&gt;Addressing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Making&lt;/f&gt;&lt;/ZZ_JournalFull&gt;&lt;ZZ_WorkformID&gt;1&lt;/ZZ_WorkformID&gt;&lt;/MDL&gt;&lt;/Cite&gt;&lt;Cite&gt;&lt;Author&gt;Soares&lt;/Author&gt;&lt;Year&gt;2011&lt;/Year&gt;&lt;RecNum&gt;1514&lt;/RecNum&gt;&lt;IDText&gt;Methods to elicit experts&amp;apos; beliefs over uncertain quantities: application to a cost effectiveness transition model of negative pressure wound therapy for severe pressure ulceration&lt;/IDText&gt;&lt;MDL Ref_Type="Journal"&gt;&lt;Ref_Type&gt;Journal&lt;/Ref_Type&gt;&lt;Ref_ID&gt;1514&lt;/Ref_ID&gt;&lt;Title_Primary&gt;Methods to elicit experts&amp;apos; beliefs over uncertain quantities: application to a cost effectiveness transition model of negative pressure wound therapy for severe pressure ulceration&lt;/Title_Primary&gt;&lt;Authors_Primary&gt;Soares,M.O.&lt;/Authors_Primary&gt;&lt;Authors_Primary&gt;Bojke,L.&lt;/Authors_Primary&gt;&lt;Authors_Primary&gt;Dumville,J.&lt;/Authors_Primary&gt;&lt;Authors_Primary&gt;Iglesias,C.&lt;/Authors_Primary&gt;&lt;Authors_Primary&gt;Cullum,N.&lt;/Authors_Primary&gt;&lt;Authors_Primary&gt;Claxton,K.&lt;/Authors_Primary&gt;&lt;Date_Primary&gt;2011/8/30&lt;/Date_Primary&gt;&lt;Keywords&gt;analysis&lt;/Keywords&gt;&lt;Keywords&gt;economics&lt;/Keywords&gt;&lt;Keywords&gt;Health&lt;/Keywords&gt;&lt;Keywords&gt;methods&lt;/Keywords&gt;&lt;Keywords&gt;Research&lt;/Keywords&gt;&lt;Keywords&gt;therapy&lt;/Keywords&gt;&lt;Keywords&gt;Uncertainty&lt;/Keywords&gt;&lt;Reprint&gt;Not in File&lt;/Reprint&gt;&lt;Start_Page&gt;2363&lt;/Start_Page&gt;&lt;End_Page&gt;2380&lt;/End_Page&gt;&lt;Periodical&gt;Stat.Med.&lt;/Periodical&gt;&lt;Volume&gt;30&lt;/Volume&gt;&lt;Issue&gt;19&lt;/Issue&gt;&lt;User_Def_1&gt;elicitation&lt;/User_Def_1&gt;&lt;ZZ_JournalStdAbbrev&gt;&lt;f name="System"&gt;Stat.Med.&lt;/f&gt;&lt;/ZZ_JournalStdAbbrev&gt;&lt;ZZ_WorkformID&gt;1&lt;/ZZ_WorkformID&gt;&lt;/MDL&gt;&lt;/Cite&gt;&lt;/Refman&gt;</w:instrText>
      </w:r>
      <w:r w:rsidR="00E729BA">
        <w:fldChar w:fldCharType="separate"/>
      </w:r>
      <w:r w:rsidR="0081424E">
        <w:t>(112;131;223)</w:t>
      </w:r>
      <w:r w:rsidR="00E729BA">
        <w:fldChar w:fldCharType="end"/>
      </w:r>
      <w:r w:rsidR="00C62F3A">
        <w:t xml:space="preserve">. </w:t>
      </w:r>
      <w:r>
        <w:t xml:space="preserve">The technique is easy to use and it provides the expert with an immediate visual representation of their estimate. </w:t>
      </w:r>
      <w:r w:rsidR="00C62F3A">
        <w:t>The clinical experts were allowed 21</w:t>
      </w:r>
      <w:r>
        <w:t xml:space="preserve"> x’s to assign in a 21x21 grid in which the x-axis described fixed intervals</w:t>
      </w:r>
      <w:r w:rsidR="00AA3B65">
        <w:t xml:space="preserve"> for possible responses</w:t>
      </w:r>
      <w:r w:rsidR="00C725EF">
        <w:t xml:space="preserve"> </w:t>
      </w:r>
      <w:r w:rsidR="00E729BA">
        <w:fldChar w:fldCharType="begin"/>
      </w:r>
      <w:r w:rsidR="00FC61FD">
        <w:instrText xml:space="preserve"> ADDIN REFMGR.CITE &lt;Refman&gt;&lt;Cite&gt;&lt;Author&gt;Soares&lt;/Author&gt;&lt;Year&gt;2011&lt;/Year&gt;&lt;RecNum&gt;1514&lt;/RecNum&gt;&lt;IDText&gt;Methods to elicit experts&amp;apos; beliefs over uncertain quantities: application to a cost effectiveness transition model of negative pressure wound therapy for severe pressure ulceration&lt;/IDText&gt;&lt;MDL Ref_Type="Journal"&gt;&lt;Ref_Type&gt;Journal&lt;/Ref_Type&gt;&lt;Ref_ID&gt;1514&lt;/Ref_ID&gt;&lt;Title_Primary&gt;Methods to elicit experts&amp;apos; beliefs over uncertain quantities: application to a cost effectiveness transition model of negative pressure wound therapy for severe pressure ulceration&lt;/Title_Primary&gt;&lt;Authors_Primary&gt;Soares,M.O.&lt;/Authors_Primary&gt;&lt;Authors_Primary&gt;Bojke,L.&lt;/Authors_Primary&gt;&lt;Authors_Primary&gt;Dumville,J.&lt;/Authors_Primary&gt;&lt;Authors_Primary&gt;Iglesias,C.&lt;/Authors_Primary&gt;&lt;Authors_Primary&gt;Cullum,N.&lt;/Authors_Primary&gt;&lt;Authors_Primary&gt;Claxton,K.&lt;/Authors_Primary&gt;&lt;Date_Primary&gt;2011/8/30&lt;/Date_Primary&gt;&lt;Keywords&gt;analysis&lt;/Keywords&gt;&lt;Keywords&gt;economics&lt;/Keywords&gt;&lt;Keywords&gt;Health&lt;/Keywords&gt;&lt;Keywords&gt;methods&lt;/Keywords&gt;&lt;Keywords&gt;Research&lt;/Keywords&gt;&lt;Keywords&gt;therapy&lt;/Keywords&gt;&lt;Keywords&gt;Uncertainty&lt;/Keywords&gt;&lt;Reprint&gt;Not in File&lt;/Reprint&gt;&lt;Start_Page&gt;2363&lt;/Start_Page&gt;&lt;End_Page&gt;2380&lt;/End_Page&gt;&lt;Periodical&gt;Stat.Med.&lt;/Periodical&gt;&lt;Volume&gt;30&lt;/Volume&gt;&lt;Issue&gt;19&lt;/Issue&gt;&lt;User_Def_1&gt;elicitation&lt;/User_Def_1&gt;&lt;ZZ_JournalStdAbbrev&gt;&lt;f name="System"&gt;Stat.Med.&lt;/f&gt;&lt;/ZZ_JournalStdAbbrev&gt;&lt;ZZ_WorkformID&gt;1&lt;/ZZ_WorkformID&gt;&lt;/MDL&gt;&lt;/Cite&gt;&lt;/Refman&gt;</w:instrText>
      </w:r>
      <w:r w:rsidR="00E729BA">
        <w:fldChar w:fldCharType="separate"/>
      </w:r>
      <w:r w:rsidR="0081424E">
        <w:t>(223)</w:t>
      </w:r>
      <w:r w:rsidR="00E729BA">
        <w:fldChar w:fldCharType="end"/>
      </w:r>
      <w:r>
        <w:t xml:space="preserve">. </w:t>
      </w:r>
      <w:r w:rsidR="00C62F3A">
        <w:t xml:space="preserve">Two examples of the grid and possible responses are illustrated below. </w:t>
      </w:r>
      <w:r w:rsidR="00C060BE">
        <w:t xml:space="preserve">The limits of the grid were pre-specified, but the expert could change the axis if needed. </w:t>
      </w:r>
    </w:p>
    <w:p w:rsidR="008731E8" w:rsidRDefault="00C62F3A" w:rsidP="00C725EF">
      <w:r>
        <w:t xml:space="preserve">They were advised to assign more x’s to those estimates which they believed to be more likely. A normal distribution was fitted to their histogram using mean and variance estimated from the histogram. The fitted normal distribution and other summary statistics were immediately fed back to the clinical experts so that they could scrutinise the implications of their estimates. If the clinical expert was unhappy with the fitted distribution they could return to the grid to amend their estimate. </w:t>
      </w:r>
      <w:r w:rsidR="0081424E">
        <w:t>Although a flat beta prior would fit responses illustrated in example 2 better than a normal flat prior, a normal distribution was</w:t>
      </w:r>
      <w:r w:rsidR="004911B7">
        <w:t xml:space="preserve"> used to enable pooling between </w:t>
      </w:r>
      <w:r w:rsidR="0081424E">
        <w:t>responses.</w:t>
      </w:r>
    </w:p>
    <w:p w:rsidR="00584E81" w:rsidRDefault="00584E81" w:rsidP="008731E8"/>
    <w:tbl>
      <w:tblPr>
        <w:tblStyle w:val="TableGrid"/>
        <w:tblpPr w:leftFromText="180" w:rightFromText="180" w:vertAnchor="text" w:tblpY="1"/>
        <w:tblOverlap w:val="never"/>
        <w:tblW w:w="8886" w:type="dxa"/>
        <w:tblCellMar>
          <w:left w:w="28" w:type="dxa"/>
          <w:right w:w="28" w:type="dxa"/>
        </w:tblCellMar>
        <w:tblLook w:val="04A0"/>
      </w:tblPr>
      <w:tblGrid>
        <w:gridCol w:w="213"/>
        <w:gridCol w:w="213"/>
        <w:gridCol w:w="213"/>
        <w:gridCol w:w="214"/>
        <w:gridCol w:w="213"/>
        <w:gridCol w:w="214"/>
        <w:gridCol w:w="212"/>
        <w:gridCol w:w="212"/>
        <w:gridCol w:w="214"/>
        <w:gridCol w:w="213"/>
        <w:gridCol w:w="214"/>
        <w:gridCol w:w="213"/>
        <w:gridCol w:w="213"/>
        <w:gridCol w:w="214"/>
        <w:gridCol w:w="213"/>
        <w:gridCol w:w="214"/>
        <w:gridCol w:w="213"/>
        <w:gridCol w:w="213"/>
        <w:gridCol w:w="214"/>
        <w:gridCol w:w="213"/>
        <w:gridCol w:w="101"/>
        <w:gridCol w:w="113"/>
        <w:gridCol w:w="99"/>
        <w:gridCol w:w="205"/>
        <w:gridCol w:w="205"/>
        <w:gridCol w:w="68"/>
        <w:gridCol w:w="137"/>
        <w:gridCol w:w="205"/>
        <w:gridCol w:w="205"/>
        <w:gridCol w:w="205"/>
        <w:gridCol w:w="205"/>
        <w:gridCol w:w="206"/>
        <w:gridCol w:w="205"/>
        <w:gridCol w:w="205"/>
        <w:gridCol w:w="205"/>
        <w:gridCol w:w="205"/>
        <w:gridCol w:w="205"/>
        <w:gridCol w:w="205"/>
        <w:gridCol w:w="206"/>
        <w:gridCol w:w="205"/>
        <w:gridCol w:w="205"/>
        <w:gridCol w:w="205"/>
        <w:gridCol w:w="205"/>
        <w:gridCol w:w="205"/>
        <w:gridCol w:w="90"/>
        <w:gridCol w:w="116"/>
      </w:tblGrid>
      <w:tr w:rsidR="00D36410" w:rsidRPr="00F31EC3" w:rsidTr="00D36410">
        <w:trPr>
          <w:trHeight w:val="20"/>
        </w:trPr>
        <w:tc>
          <w:tcPr>
            <w:tcW w:w="213" w:type="dxa"/>
            <w:tcBorders>
              <w:top w:val="nil"/>
              <w:left w:val="nil"/>
              <w:bottom w:val="single" w:sz="4" w:space="0" w:color="auto"/>
              <w:right w:val="nil"/>
            </w:tcBorders>
          </w:tcPr>
          <w:p w:rsidR="00D36410" w:rsidRDefault="00D36410" w:rsidP="00C62F3A">
            <w:pPr>
              <w:rPr>
                <w:rFonts w:asciiTheme="majorBidi" w:hAnsiTheme="majorBidi" w:cstheme="majorBidi"/>
                <w:sz w:val="16"/>
                <w:szCs w:val="16"/>
              </w:rPr>
            </w:pPr>
          </w:p>
        </w:tc>
        <w:tc>
          <w:tcPr>
            <w:tcW w:w="4153" w:type="dxa"/>
            <w:gridSpan w:val="20"/>
            <w:tcBorders>
              <w:top w:val="nil"/>
              <w:left w:val="nil"/>
              <w:bottom w:val="single" w:sz="4" w:space="0" w:color="auto"/>
              <w:right w:val="nil"/>
            </w:tcBorders>
          </w:tcPr>
          <w:p w:rsidR="00D36410" w:rsidRPr="00F31EC3" w:rsidRDefault="00D36410" w:rsidP="00C62F3A">
            <w:pPr>
              <w:rPr>
                <w:rFonts w:asciiTheme="majorBidi" w:hAnsiTheme="majorBidi" w:cstheme="majorBidi"/>
                <w:sz w:val="16"/>
                <w:szCs w:val="16"/>
              </w:rPr>
            </w:pPr>
            <w:r>
              <w:rPr>
                <w:rFonts w:asciiTheme="majorBidi" w:hAnsiTheme="majorBidi" w:cstheme="majorBidi"/>
                <w:sz w:val="16"/>
                <w:szCs w:val="16"/>
              </w:rPr>
              <w:t>Example1</w:t>
            </w:r>
          </w:p>
        </w:tc>
        <w:tc>
          <w:tcPr>
            <w:tcW w:w="212" w:type="dxa"/>
            <w:gridSpan w:val="2"/>
            <w:tcBorders>
              <w:top w:val="nil"/>
              <w:left w:val="nil"/>
              <w:bottom w:val="single" w:sz="4" w:space="0" w:color="auto"/>
              <w:right w:val="nil"/>
            </w:tcBorders>
          </w:tcPr>
          <w:p w:rsidR="00D36410" w:rsidRPr="00F31EC3" w:rsidRDefault="00D36410" w:rsidP="00C62F3A">
            <w:pPr>
              <w:rPr>
                <w:rFonts w:asciiTheme="majorBidi" w:hAnsiTheme="majorBidi" w:cstheme="majorBidi"/>
                <w:sz w:val="16"/>
                <w:szCs w:val="16"/>
              </w:rPr>
            </w:pPr>
          </w:p>
        </w:tc>
        <w:tc>
          <w:tcPr>
            <w:tcW w:w="205" w:type="dxa"/>
            <w:tcBorders>
              <w:top w:val="nil"/>
              <w:left w:val="nil"/>
              <w:bottom w:val="nil"/>
              <w:right w:val="nil"/>
            </w:tcBorders>
          </w:tcPr>
          <w:p w:rsidR="00D36410" w:rsidRPr="00F31EC3" w:rsidRDefault="00D36410" w:rsidP="00C62F3A">
            <w:pPr>
              <w:rPr>
                <w:rFonts w:asciiTheme="majorBidi" w:hAnsiTheme="majorBidi" w:cstheme="majorBidi"/>
                <w:sz w:val="16"/>
                <w:szCs w:val="16"/>
              </w:rPr>
            </w:pPr>
          </w:p>
        </w:tc>
        <w:tc>
          <w:tcPr>
            <w:tcW w:w="273" w:type="dxa"/>
            <w:gridSpan w:val="2"/>
            <w:tcBorders>
              <w:top w:val="nil"/>
              <w:left w:val="nil"/>
              <w:bottom w:val="nil"/>
              <w:right w:val="nil"/>
            </w:tcBorders>
          </w:tcPr>
          <w:p w:rsidR="00D36410" w:rsidRPr="00F31EC3" w:rsidRDefault="00D36410" w:rsidP="00C62F3A">
            <w:pPr>
              <w:rPr>
                <w:rFonts w:asciiTheme="majorBidi" w:hAnsiTheme="majorBidi" w:cstheme="majorBidi"/>
                <w:sz w:val="16"/>
                <w:szCs w:val="16"/>
              </w:rPr>
            </w:pPr>
          </w:p>
        </w:tc>
        <w:tc>
          <w:tcPr>
            <w:tcW w:w="3714" w:type="dxa"/>
            <w:gridSpan w:val="19"/>
            <w:tcBorders>
              <w:top w:val="nil"/>
              <w:left w:val="nil"/>
              <w:bottom w:val="single" w:sz="4" w:space="0" w:color="auto"/>
              <w:right w:val="nil"/>
            </w:tcBorders>
          </w:tcPr>
          <w:p w:rsidR="00D36410" w:rsidRPr="00F31EC3" w:rsidRDefault="00D36410" w:rsidP="00C62F3A">
            <w:pPr>
              <w:rPr>
                <w:rFonts w:asciiTheme="majorBidi" w:hAnsiTheme="majorBidi" w:cstheme="majorBidi"/>
                <w:sz w:val="16"/>
                <w:szCs w:val="16"/>
              </w:rPr>
            </w:pPr>
            <w:r>
              <w:rPr>
                <w:rFonts w:asciiTheme="majorBidi" w:hAnsiTheme="majorBidi" w:cstheme="majorBidi"/>
                <w:sz w:val="16"/>
                <w:szCs w:val="16"/>
              </w:rPr>
              <w:t>Example 2</w:t>
            </w:r>
          </w:p>
        </w:tc>
        <w:tc>
          <w:tcPr>
            <w:tcW w:w="116" w:type="dxa"/>
            <w:tcBorders>
              <w:top w:val="nil"/>
              <w:left w:val="nil"/>
              <w:bottom w:val="single" w:sz="4" w:space="0" w:color="auto"/>
              <w:right w:val="nil"/>
            </w:tcBorders>
          </w:tcPr>
          <w:p w:rsidR="00D36410" w:rsidRDefault="00D36410" w:rsidP="00C62F3A">
            <w:pPr>
              <w:rPr>
                <w:rFonts w:asciiTheme="majorBidi" w:hAnsiTheme="majorBidi" w:cstheme="majorBidi"/>
                <w:sz w:val="16"/>
                <w:szCs w:val="16"/>
              </w:rPr>
            </w:pPr>
          </w:p>
        </w:tc>
      </w:tr>
      <w:tr w:rsidR="00D36410" w:rsidRPr="00F31EC3" w:rsidTr="00D36410">
        <w:trPr>
          <w:trHeight w:val="20"/>
        </w:trPr>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2"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2"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top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top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6"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6"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top w:val="single" w:sz="4" w:space="0" w:color="auto"/>
            </w:tcBorders>
          </w:tcPr>
          <w:p w:rsidR="00D36410" w:rsidRPr="00F31EC3" w:rsidRDefault="00D36410" w:rsidP="00C62F3A">
            <w:pPr>
              <w:rPr>
                <w:rFonts w:asciiTheme="majorBidi" w:hAnsiTheme="majorBidi" w:cstheme="majorBidi"/>
                <w:sz w:val="12"/>
                <w:szCs w:val="12"/>
              </w:rPr>
            </w:pPr>
          </w:p>
        </w:tc>
        <w:tc>
          <w:tcPr>
            <w:tcW w:w="206" w:type="dxa"/>
            <w:gridSpan w:val="2"/>
            <w:tcBorders>
              <w:top w:val="single" w:sz="4" w:space="0" w:color="auto"/>
            </w:tcBorders>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3" w:type="dxa"/>
          </w:tcPr>
          <w:p w:rsidR="00D36410" w:rsidRPr="00F31EC3" w:rsidRDefault="00D36410" w:rsidP="00C62F3A">
            <w:pPr>
              <w:rPr>
                <w:rFonts w:asciiTheme="majorBidi" w:hAnsiTheme="majorBidi" w:cstheme="majorBidi"/>
                <w:sz w:val="12"/>
                <w:szCs w:val="12"/>
              </w:rPr>
            </w:pPr>
          </w:p>
        </w:tc>
        <w:tc>
          <w:tcPr>
            <w:tcW w:w="214" w:type="dxa"/>
          </w:tcPr>
          <w:p w:rsidR="00D36410" w:rsidRPr="00F31EC3" w:rsidRDefault="00D36410" w:rsidP="00C62F3A">
            <w:pPr>
              <w:rPr>
                <w:rFonts w:asciiTheme="majorBidi" w:hAnsiTheme="majorBidi" w:cstheme="majorBidi"/>
                <w:sz w:val="12"/>
                <w:szCs w:val="12"/>
              </w:rPr>
            </w:pPr>
          </w:p>
        </w:tc>
        <w:tc>
          <w:tcPr>
            <w:tcW w:w="213" w:type="dxa"/>
            <w:tcBorders>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tcBorders>
          </w:tcPr>
          <w:p w:rsidR="00D36410" w:rsidRPr="00F31EC3" w:rsidRDefault="00D36410" w:rsidP="00C62F3A">
            <w:pPr>
              <w:rPr>
                <w:rFonts w:asciiTheme="majorBidi" w:hAnsiTheme="majorBidi" w:cstheme="majorBidi"/>
                <w:sz w:val="12"/>
                <w:szCs w:val="12"/>
              </w:rPr>
            </w:pPr>
          </w:p>
        </w:tc>
        <w:tc>
          <w:tcPr>
            <w:tcW w:w="205" w:type="dxa"/>
            <w:gridSpan w:val="2"/>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5" w:type="dxa"/>
          </w:tcPr>
          <w:p w:rsidR="00D36410" w:rsidRPr="00F31EC3" w:rsidRDefault="00D36410" w:rsidP="00C62F3A">
            <w:pPr>
              <w:rPr>
                <w:rFonts w:asciiTheme="majorBidi" w:hAnsiTheme="majorBidi" w:cstheme="majorBidi"/>
                <w:sz w:val="12"/>
                <w:szCs w:val="12"/>
              </w:rPr>
            </w:pPr>
          </w:p>
        </w:tc>
        <w:tc>
          <w:tcPr>
            <w:tcW w:w="206" w:type="dxa"/>
            <w:gridSpan w:val="2"/>
          </w:tcPr>
          <w:p w:rsidR="00D36410" w:rsidRPr="00F31EC3" w:rsidRDefault="00D36410" w:rsidP="00C62F3A">
            <w:pPr>
              <w:rPr>
                <w:rFonts w:asciiTheme="majorBidi" w:hAnsiTheme="majorBidi" w:cstheme="majorBidi"/>
                <w:sz w:val="12"/>
                <w:szCs w:val="12"/>
              </w:rPr>
            </w:pPr>
          </w:p>
        </w:tc>
      </w:tr>
      <w:tr w:rsidR="00D36410" w:rsidRPr="00F31EC3" w:rsidTr="00D36410">
        <w:trPr>
          <w:trHeight w:val="20"/>
        </w:trPr>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2"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4" w:type="dxa"/>
            <w:tcBorders>
              <w:bottom w:val="single" w:sz="4" w:space="0" w:color="auto"/>
            </w:tcBorders>
          </w:tcPr>
          <w:p w:rsidR="00D36410" w:rsidRPr="00F31EC3" w:rsidRDefault="00D36410" w:rsidP="00C62F3A">
            <w:pPr>
              <w:rPr>
                <w:rFonts w:asciiTheme="majorBidi" w:hAnsiTheme="majorBidi" w:cstheme="majorBidi"/>
                <w:sz w:val="12"/>
                <w:szCs w:val="12"/>
              </w:rPr>
            </w:pPr>
          </w:p>
        </w:tc>
        <w:tc>
          <w:tcPr>
            <w:tcW w:w="213" w:type="dxa"/>
            <w:tcBorders>
              <w:bottom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214" w:type="dxa"/>
            <w:gridSpan w:val="2"/>
            <w:tcBorders>
              <w:bottom w:val="single" w:sz="4" w:space="0" w:color="auto"/>
              <w:right w:val="single" w:sz="4" w:space="0" w:color="auto"/>
            </w:tcBorders>
          </w:tcPr>
          <w:p w:rsidR="00D36410" w:rsidRPr="00F31EC3" w:rsidRDefault="00D36410" w:rsidP="00C62F3A">
            <w:pPr>
              <w:rPr>
                <w:rFonts w:asciiTheme="majorBidi" w:hAnsiTheme="majorBidi" w:cstheme="majorBidi"/>
                <w:sz w:val="12"/>
                <w:szCs w:val="12"/>
              </w:rPr>
            </w:pPr>
          </w:p>
        </w:tc>
        <w:tc>
          <w:tcPr>
            <w:tcW w:w="99" w:type="dxa"/>
            <w:tcBorders>
              <w:top w:val="nil"/>
              <w:left w:val="single" w:sz="4" w:space="0" w:color="auto"/>
              <w:bottom w:val="nil"/>
              <w:right w:val="single" w:sz="4" w:space="0" w:color="auto"/>
            </w:tcBorders>
          </w:tcPr>
          <w:p w:rsidR="00D36410" w:rsidRPr="00F31EC3" w:rsidRDefault="00D36410" w:rsidP="00C62F3A">
            <w:pPr>
              <w:rPr>
                <w:rFonts w:asciiTheme="majorBidi" w:hAnsiTheme="majorBidi" w:cstheme="majorBidi"/>
                <w:sz w:val="12"/>
                <w:szCs w:val="12"/>
              </w:rPr>
            </w:pPr>
          </w:p>
        </w:tc>
        <w:tc>
          <w:tcPr>
            <w:tcW w:w="205" w:type="dxa"/>
            <w:tcBorders>
              <w:left w:val="single" w:sz="4" w:space="0" w:color="auto"/>
              <w:bottom w:val="single" w:sz="4" w:space="0" w:color="auto"/>
              <w:right w:val="single" w:sz="4" w:space="0" w:color="auto"/>
            </w:tcBorders>
          </w:tcPr>
          <w:p w:rsidR="00D36410"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left w:val="single" w:sz="4" w:space="0" w:color="auto"/>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gridSpan w:val="2"/>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6"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6"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5" w:type="dxa"/>
            <w:tcBorders>
              <w:bottom w:val="single" w:sz="4" w:space="0" w:color="auto"/>
            </w:tcBorders>
          </w:tcPr>
          <w:p w:rsidR="00D36410" w:rsidRPr="00F31EC3" w:rsidRDefault="00D36410" w:rsidP="00C62F3A">
            <w:pPr>
              <w:rPr>
                <w:rFonts w:asciiTheme="majorBidi" w:hAnsiTheme="majorBidi" w:cstheme="majorBidi"/>
                <w:sz w:val="12"/>
                <w:szCs w:val="12"/>
              </w:rPr>
            </w:pPr>
            <w:r>
              <w:rPr>
                <w:rFonts w:asciiTheme="majorBidi" w:hAnsiTheme="majorBidi" w:cstheme="majorBidi"/>
                <w:sz w:val="12"/>
                <w:szCs w:val="12"/>
              </w:rPr>
              <w:t>x</w:t>
            </w:r>
          </w:p>
        </w:tc>
        <w:tc>
          <w:tcPr>
            <w:tcW w:w="206" w:type="dxa"/>
            <w:gridSpan w:val="2"/>
            <w:tcBorders>
              <w:bottom w:val="single" w:sz="4" w:space="0" w:color="auto"/>
            </w:tcBorders>
          </w:tcPr>
          <w:p w:rsidR="00D36410" w:rsidRDefault="00D36410" w:rsidP="00C62F3A">
            <w:pPr>
              <w:rPr>
                <w:rFonts w:asciiTheme="majorBidi" w:hAnsiTheme="majorBidi" w:cstheme="majorBidi"/>
                <w:sz w:val="12"/>
                <w:szCs w:val="12"/>
              </w:rPr>
            </w:pPr>
            <w:r>
              <w:rPr>
                <w:rFonts w:asciiTheme="majorBidi" w:hAnsiTheme="majorBidi" w:cstheme="majorBidi"/>
                <w:sz w:val="12"/>
                <w:szCs w:val="12"/>
              </w:rPr>
              <w:t>x</w:t>
            </w:r>
          </w:p>
        </w:tc>
      </w:tr>
      <w:tr w:rsidR="00D36410" w:rsidRPr="00130D28" w:rsidTr="00D36410">
        <w:trPr>
          <w:trHeight w:val="54"/>
        </w:trPr>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Pr>
                <w:rFonts w:asciiTheme="majorBidi" w:hAnsiTheme="majorBidi" w:cstheme="majorBidi"/>
                <w:sz w:val="10"/>
                <w:szCs w:val="10"/>
              </w:rPr>
              <w:t>-15</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-14</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-13</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-12</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-11</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-10</w:t>
            </w:r>
          </w:p>
        </w:tc>
        <w:tc>
          <w:tcPr>
            <w:tcW w:w="212"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-9</w:t>
            </w:r>
          </w:p>
        </w:tc>
        <w:tc>
          <w:tcPr>
            <w:tcW w:w="212"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-8</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-7</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-6</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-5</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-4</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-3</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-2</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0</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2</w:t>
            </w:r>
          </w:p>
        </w:tc>
        <w:tc>
          <w:tcPr>
            <w:tcW w:w="214"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3</w:t>
            </w:r>
          </w:p>
        </w:tc>
        <w:tc>
          <w:tcPr>
            <w:tcW w:w="213"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4</w:t>
            </w:r>
          </w:p>
        </w:tc>
        <w:tc>
          <w:tcPr>
            <w:tcW w:w="214" w:type="dxa"/>
            <w:gridSpan w:val="2"/>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5</w:t>
            </w:r>
          </w:p>
        </w:tc>
        <w:tc>
          <w:tcPr>
            <w:tcW w:w="99" w:type="dxa"/>
            <w:tcBorders>
              <w:top w:val="nil"/>
              <w:left w:val="nil"/>
              <w:bottom w:val="nil"/>
              <w:right w:val="nil"/>
            </w:tcBorders>
          </w:tcPr>
          <w:p w:rsidR="00D36410" w:rsidRPr="00130D28" w:rsidRDefault="00D36410" w:rsidP="00C62F3A">
            <w:pPr>
              <w:rPr>
                <w:rFonts w:asciiTheme="majorBidi" w:hAnsiTheme="majorBidi" w:cstheme="majorBidi"/>
                <w:sz w:val="12"/>
                <w:szCs w:val="12"/>
              </w:rPr>
            </w:pP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Pr>
                <w:rFonts w:asciiTheme="majorBidi" w:hAnsiTheme="majorBidi" w:cstheme="majorBidi"/>
                <w:sz w:val="10"/>
                <w:szCs w:val="10"/>
              </w:rPr>
              <w:t>-15</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-14</w:t>
            </w:r>
          </w:p>
        </w:tc>
        <w:tc>
          <w:tcPr>
            <w:tcW w:w="205" w:type="dxa"/>
            <w:gridSpan w:val="2"/>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-13</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-12</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-11</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-10</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-9</w:t>
            </w:r>
          </w:p>
        </w:tc>
        <w:tc>
          <w:tcPr>
            <w:tcW w:w="206"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-8</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-7</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-6</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-5</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-4</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-3</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-2</w:t>
            </w:r>
          </w:p>
        </w:tc>
        <w:tc>
          <w:tcPr>
            <w:tcW w:w="206"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0</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1</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2</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3</w:t>
            </w:r>
          </w:p>
        </w:tc>
        <w:tc>
          <w:tcPr>
            <w:tcW w:w="205" w:type="dxa"/>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4</w:t>
            </w:r>
          </w:p>
        </w:tc>
        <w:tc>
          <w:tcPr>
            <w:tcW w:w="206" w:type="dxa"/>
            <w:gridSpan w:val="2"/>
            <w:tcBorders>
              <w:top w:val="single" w:sz="4" w:space="0" w:color="auto"/>
              <w:left w:val="nil"/>
              <w:bottom w:val="nil"/>
              <w:right w:val="nil"/>
            </w:tcBorders>
          </w:tcPr>
          <w:p w:rsidR="00D36410" w:rsidRPr="0087718E" w:rsidRDefault="00D36410" w:rsidP="00C62F3A">
            <w:pPr>
              <w:rPr>
                <w:rFonts w:asciiTheme="majorBidi" w:hAnsiTheme="majorBidi" w:cstheme="majorBidi"/>
                <w:sz w:val="10"/>
                <w:szCs w:val="10"/>
              </w:rPr>
            </w:pPr>
            <w:r w:rsidRPr="0087718E">
              <w:rPr>
                <w:rFonts w:asciiTheme="majorBidi" w:hAnsiTheme="majorBidi" w:cstheme="majorBidi"/>
                <w:sz w:val="10"/>
                <w:szCs w:val="10"/>
              </w:rPr>
              <w:t>5</w:t>
            </w:r>
          </w:p>
        </w:tc>
      </w:tr>
    </w:tbl>
    <w:p w:rsidR="00C62F3A" w:rsidRPr="00F54253" w:rsidRDefault="00C62F3A" w:rsidP="00C62F3A"/>
    <w:p w:rsidR="00C62F3A" w:rsidRDefault="00C62F3A" w:rsidP="00B07104">
      <w:pPr>
        <w:pStyle w:val="Heading4"/>
      </w:pPr>
      <w:bookmarkStart w:id="415" w:name="_Toc335051127"/>
      <w:bookmarkStart w:id="416" w:name="_Toc341366951"/>
      <w:r>
        <w:t>Computer Software</w:t>
      </w:r>
      <w:bookmarkEnd w:id="415"/>
      <w:bookmarkEnd w:id="416"/>
    </w:p>
    <w:p w:rsidR="00C62F3A" w:rsidRPr="00F54253" w:rsidRDefault="00C62F3A" w:rsidP="00C62F3A">
      <w:r>
        <w:t xml:space="preserve">An elicitation programme was designed for this study using Microsoft Excel 2010. The software was programmed to give immediate feedback to the clinical experts on the implications of their responses. The software was designed so that their responses to early questions were integrated into the predicted baseline risk estimate presented to the </w:t>
      </w:r>
      <w:r w:rsidR="00C725EF">
        <w:t xml:space="preserve">same </w:t>
      </w:r>
      <w:r>
        <w:t>clinical experts later in the interview. For example, the elicited long term treatment effect on disease activity was used in the estimate of the impact of AMS on organ damage later in the elicitation. The software was designed to be user friendly and operable without assistance from the interviewer so that the exercise could be completed after the meeting, if the interview overran.</w:t>
      </w:r>
    </w:p>
    <w:p w:rsidR="00C62F3A" w:rsidRDefault="00C62F3A" w:rsidP="00B07104">
      <w:pPr>
        <w:pStyle w:val="Heading4"/>
      </w:pPr>
      <w:bookmarkStart w:id="417" w:name="_Toc335051128"/>
      <w:bookmarkStart w:id="418" w:name="_Toc341366952"/>
      <w:r>
        <w:t>Training</w:t>
      </w:r>
      <w:bookmarkEnd w:id="417"/>
      <w:bookmarkEnd w:id="418"/>
      <w:r>
        <w:t xml:space="preserve"> </w:t>
      </w:r>
    </w:p>
    <w:p w:rsidR="00C62F3A" w:rsidRDefault="002B300E" w:rsidP="00C725EF">
      <w:r>
        <w:t>It is important</w:t>
      </w:r>
      <w:r w:rsidR="00C62F3A">
        <w:t xml:space="preserve"> that clinical experts should receive training in preparation </w:t>
      </w:r>
      <w:r w:rsidR="00C725EF">
        <w:t>for</w:t>
      </w:r>
      <w:r w:rsidR="00C62F3A">
        <w:t xml:space="preserve"> the interview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4D7951">
        <w:t>(221)</w:t>
      </w:r>
      <w:r w:rsidR="00E729BA">
        <w:fldChar w:fldCharType="end"/>
      </w:r>
      <w:r w:rsidR="00C62F3A">
        <w:t>. In this study the training constituted background</w:t>
      </w:r>
      <w:r w:rsidR="00AA3B65">
        <w:t xml:space="preserve"> reading, an oral presentation </w:t>
      </w:r>
      <w:r w:rsidR="00C62F3A">
        <w:t>and practice exercises to complete before the elicitation. A background document was emailed prior to the interview and the clinical experts were ask</w:t>
      </w:r>
      <w:r w:rsidR="00AA3B65">
        <w:t>ed to read this before the face-to-</w:t>
      </w:r>
      <w:r w:rsidR="00C62F3A">
        <w:t>face meeting. This document included the following information and an example copy can be found in the Appendix</w:t>
      </w:r>
      <w:r w:rsidR="007F49FE">
        <w:t xml:space="preserve"> 14</w:t>
      </w:r>
      <w:r w:rsidR="00C62F3A">
        <w:t>.</w:t>
      </w:r>
    </w:p>
    <w:p w:rsidR="00C62F3A" w:rsidRDefault="00C62F3A" w:rsidP="00597CF5">
      <w:pPr>
        <w:pStyle w:val="ListParagraph"/>
        <w:numPr>
          <w:ilvl w:val="0"/>
          <w:numId w:val="21"/>
        </w:numPr>
      </w:pPr>
      <w:r>
        <w:t>A concise definition of elicitation</w:t>
      </w:r>
    </w:p>
    <w:p w:rsidR="00C62F3A" w:rsidRDefault="00C62F3A" w:rsidP="00597CF5">
      <w:pPr>
        <w:pStyle w:val="ListParagraph"/>
        <w:numPr>
          <w:ilvl w:val="0"/>
          <w:numId w:val="21"/>
        </w:numPr>
      </w:pPr>
      <w:r>
        <w:t>An explanation of the purpose of the interview</w:t>
      </w:r>
    </w:p>
    <w:p w:rsidR="00C62F3A" w:rsidRDefault="00C62F3A" w:rsidP="00597CF5">
      <w:pPr>
        <w:pStyle w:val="ListParagraph"/>
        <w:numPr>
          <w:ilvl w:val="0"/>
          <w:numId w:val="21"/>
        </w:numPr>
      </w:pPr>
      <w:r>
        <w:t>An explanation of proportions and  probabilities</w:t>
      </w:r>
    </w:p>
    <w:p w:rsidR="00C62F3A" w:rsidRDefault="00C62F3A" w:rsidP="00597CF5">
      <w:pPr>
        <w:pStyle w:val="ListParagraph"/>
        <w:numPr>
          <w:ilvl w:val="0"/>
          <w:numId w:val="21"/>
        </w:numPr>
      </w:pPr>
      <w:r>
        <w:t>An illustration of a probability density function and how this describes uncertainty</w:t>
      </w:r>
    </w:p>
    <w:p w:rsidR="00C62F3A" w:rsidRDefault="00C62F3A" w:rsidP="00597CF5">
      <w:pPr>
        <w:pStyle w:val="ListParagraph"/>
        <w:numPr>
          <w:ilvl w:val="0"/>
          <w:numId w:val="21"/>
        </w:numPr>
      </w:pPr>
      <w:r>
        <w:t>A description of the hypothetical Phase II trial</w:t>
      </w:r>
    </w:p>
    <w:p w:rsidR="00C62F3A" w:rsidRDefault="00C62F3A" w:rsidP="00C725EF">
      <w:pPr>
        <w:pStyle w:val="ListParagraph"/>
        <w:numPr>
          <w:ilvl w:val="0"/>
          <w:numId w:val="21"/>
        </w:numPr>
      </w:pPr>
      <w:r>
        <w:t>A list of questions asked in the elicitation and how the answer w</w:t>
      </w:r>
      <w:r w:rsidR="00C725EF">
        <w:t>ould be</w:t>
      </w:r>
      <w:r>
        <w:t xml:space="preserve"> used in the BCTS.</w:t>
      </w:r>
    </w:p>
    <w:p w:rsidR="00C62F3A" w:rsidRDefault="00C62F3A" w:rsidP="002B300E">
      <w:r>
        <w:t>At the face</w:t>
      </w:r>
      <w:r w:rsidR="00AA3B65">
        <w:t>-to-</w:t>
      </w:r>
      <w:r>
        <w:t xml:space="preserve">face meeting </w:t>
      </w:r>
      <w:r w:rsidR="002B300E">
        <w:t xml:space="preserve">I gave </w:t>
      </w:r>
      <w:r>
        <w:t xml:space="preserve">a short presentation, to reiterate the information provided in the background reading. </w:t>
      </w:r>
      <w:r w:rsidR="002B300E">
        <w:t xml:space="preserve">The details of the presentation were planned before the elicitation to reduce the risk that the information provided to the experts would bias their responses. </w:t>
      </w:r>
      <w:r>
        <w:t xml:space="preserve">The clinical experts were encouraged to ask questions about the elicitation exercise. Two example elicitation questions were presented to the clinicians before commencing the elicitation to demonstrate how to use the software. </w:t>
      </w:r>
    </w:p>
    <w:p w:rsidR="00C62F3A" w:rsidRDefault="00C62F3A" w:rsidP="00B07104">
      <w:pPr>
        <w:pStyle w:val="Heading4"/>
      </w:pPr>
      <w:bookmarkStart w:id="419" w:name="_Toc335051129"/>
      <w:bookmarkStart w:id="420" w:name="_Toc341366953"/>
      <w:r>
        <w:t>Pilot study</w:t>
      </w:r>
      <w:bookmarkEnd w:id="419"/>
      <w:bookmarkEnd w:id="420"/>
    </w:p>
    <w:p w:rsidR="00C62F3A" w:rsidRDefault="00C62F3A" w:rsidP="00C62F3A">
      <w:r>
        <w:t>The elicitation exercise was piloted with Dr Akil</w:t>
      </w:r>
      <w:r w:rsidR="00C725EF">
        <w:t>, a Rheumatologist a</w:t>
      </w:r>
      <w:r w:rsidR="0081424E">
        <w:t>t</w:t>
      </w:r>
      <w:r w:rsidR="00C725EF">
        <w:t xml:space="preserve"> Sheffield Hallamshire Hospital</w:t>
      </w:r>
      <w:r w:rsidR="0081424E">
        <w:t xml:space="preserve"> (March 2011)</w:t>
      </w:r>
      <w:r>
        <w:t>. A number of suggestions for improvements to the elicitation programme were made and incorporated into the final version.</w:t>
      </w:r>
    </w:p>
    <w:p w:rsidR="00C62F3A" w:rsidRDefault="00C62F3A" w:rsidP="00597CF5">
      <w:pPr>
        <w:pStyle w:val="ListParagraph"/>
        <w:numPr>
          <w:ilvl w:val="0"/>
          <w:numId w:val="19"/>
        </w:numPr>
      </w:pPr>
      <w:r>
        <w:t>The inclusion criteria for patients into the hypothetical cohort were changed to better reflect a clinical trial population. Patients were required to be either anti-dsDNA positive or positive for low complement on entry to the simulation. All patients with neuropsychiatric involvement, proteinuria and haematuria at baseline were excluded from the cohort</w:t>
      </w:r>
      <w:r w:rsidR="00C725EF">
        <w:t xml:space="preserve"> because these patients would be considered too sever</w:t>
      </w:r>
      <w:r w:rsidR="00765E56">
        <w:t>e</w:t>
      </w:r>
      <w:r w:rsidR="00C725EF">
        <w:t xml:space="preserve"> to enter a clinical trial</w:t>
      </w:r>
      <w:r>
        <w:t>.</w:t>
      </w:r>
    </w:p>
    <w:p w:rsidR="00C62F3A" w:rsidRDefault="00C62F3A" w:rsidP="00597CF5">
      <w:pPr>
        <w:pStyle w:val="ListParagraph"/>
        <w:numPr>
          <w:ilvl w:val="0"/>
          <w:numId w:val="19"/>
        </w:numPr>
      </w:pPr>
      <w:r>
        <w:t>The training exercise was improved to</w:t>
      </w:r>
      <w:r w:rsidR="00AA3B65">
        <w:t xml:space="preserve"> </w:t>
      </w:r>
      <w:r w:rsidR="00C725EF">
        <w:t xml:space="preserve">more </w:t>
      </w:r>
      <w:r w:rsidR="00AA3B65">
        <w:t>closely</w:t>
      </w:r>
      <w:r>
        <w:t xml:space="preserve"> reflect the wording and structure of the elicitation questions. A second training exercise was developed for the elicitation of the organ damage and mortality </w:t>
      </w:r>
      <w:r w:rsidR="0090251C">
        <w:t xml:space="preserve">survival </w:t>
      </w:r>
      <w:r>
        <w:t xml:space="preserve">models. </w:t>
      </w:r>
    </w:p>
    <w:p w:rsidR="00C62F3A" w:rsidRDefault="00C62F3A" w:rsidP="00597CF5">
      <w:pPr>
        <w:pStyle w:val="ListParagraph"/>
        <w:numPr>
          <w:ilvl w:val="0"/>
          <w:numId w:val="19"/>
        </w:numPr>
      </w:pPr>
      <w:r>
        <w:t xml:space="preserve">The elicitation </w:t>
      </w:r>
      <w:r w:rsidR="00AA3B65">
        <w:t>quantities were grouped to reduce the interview time</w:t>
      </w:r>
      <w:r>
        <w:t xml:space="preserve">. </w:t>
      </w:r>
    </w:p>
    <w:p w:rsidR="00C62F3A" w:rsidRDefault="00C62F3A" w:rsidP="00B07104">
      <w:pPr>
        <w:pStyle w:val="Heading4"/>
      </w:pPr>
      <w:bookmarkStart w:id="421" w:name="_Toc303345478"/>
      <w:bookmarkStart w:id="422" w:name="_Toc335051130"/>
      <w:bookmarkStart w:id="423" w:name="_Toc341366954"/>
      <w:r>
        <w:t>Synthesis of evidence</w:t>
      </w:r>
      <w:bookmarkEnd w:id="421"/>
      <w:bookmarkEnd w:id="422"/>
      <w:bookmarkEnd w:id="423"/>
    </w:p>
    <w:p w:rsidR="00C62F3A" w:rsidRDefault="00C62F3A" w:rsidP="0081424E">
      <w:r>
        <w:t xml:space="preserve">The elicitation interviews were conducted with </w:t>
      </w:r>
      <w:r w:rsidR="00C725EF">
        <w:t xml:space="preserve">four </w:t>
      </w:r>
      <w:r>
        <w:t xml:space="preserve">individual clinical experts rather than a panel discussion. </w:t>
      </w:r>
      <w:r w:rsidR="00AA3B65">
        <w:t>A panel discussion would have been preferable to individual estimate</w:t>
      </w:r>
      <w:r w:rsidR="0081424E">
        <w:t>s,</w:t>
      </w:r>
      <w:r w:rsidR="00C725EF">
        <w:t xml:space="preserve"> as specified in the guidance</w:t>
      </w:r>
      <w:r w:rsidR="00AA3B65">
        <w:t xml:space="preserve">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4D7951">
        <w:t>(221)</w:t>
      </w:r>
      <w:r w:rsidR="00E729BA">
        <w:fldChar w:fldCharType="end"/>
      </w:r>
      <w:r w:rsidR="00AA3B65">
        <w:t xml:space="preserve">. </w:t>
      </w:r>
      <w:r>
        <w:t>Initial discussions with the experts highlighted difficulties in identifying times to meet with the clinicians. In two cases it was necessary to schedule the meeting more than two months in advance to identify a two hour interval in their diary. Consequently, it is necessary to</w:t>
      </w:r>
      <w:r w:rsidR="00AA3B65">
        <w:t xml:space="preserve"> mathematically</w:t>
      </w:r>
      <w:r>
        <w:t xml:space="preserve"> synthesise the results of the individual interviews. A simple mathematical approach to synthesising the results of the elicitation exercises </w:t>
      </w:r>
      <w:r w:rsidR="00C725EF">
        <w:t xml:space="preserve">is </w:t>
      </w:r>
      <w:r>
        <w:t>by linear opinion pooling. An alternative would have been to use logarithmic opinion pooling, in which the consensus distribution is obtained by taking a weighted geometric mean. These two methods are likely to produce different results. O’Hagan et al. recommend that logarithmic pooling should be used if both experts are good judges based on the information available to them, but they have different sources of information</w:t>
      </w:r>
      <w:r w:rsidR="00AA3B65">
        <w:t xml:space="preserve">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81424E">
        <w:t>(221)</w:t>
      </w:r>
      <w:r w:rsidR="00E729BA">
        <w:fldChar w:fldCharType="end"/>
      </w:r>
      <w:r>
        <w:t xml:space="preserve">. Linear pooling is more representative of the full range of values reported by the experts. In this study linear pooling was considered more appropriate because the experts were all presented with the same data about the hypothetical new treatment and none of the experts had practical experience with the treatment so it was preferable to reflect the </w:t>
      </w:r>
      <w:r w:rsidR="00C74BBC">
        <w:t xml:space="preserve">full </w:t>
      </w:r>
      <w:r>
        <w:t xml:space="preserve">range of their responses.  </w:t>
      </w:r>
    </w:p>
    <w:p w:rsidR="00C62F3A" w:rsidRDefault="00C62F3A" w:rsidP="00C725EF">
      <w:r>
        <w:t>Weighting experts</w:t>
      </w:r>
      <w:r w:rsidR="00C725EF">
        <w:t>’</w:t>
      </w:r>
      <w:r>
        <w:t xml:space="preserve"> responses can be challenging and requires appropriate methods to identify the quality of an expert’s response. </w:t>
      </w:r>
      <w:r w:rsidR="00C74BBC">
        <w:t xml:space="preserve">Previous studies suggest that adopting weighted estimates can impact on the parameter estimates </w:t>
      </w:r>
      <w:r w:rsidR="00E729BA">
        <w:fldChar w:fldCharType="begin"/>
      </w:r>
      <w:r w:rsidR="00FC61FD">
        <w:instrText xml:space="preserve"> ADDIN REFMGR.CITE &lt;Refman&gt;&lt;Cite&gt;&lt;Author&gt;Bojke&lt;/Author&gt;&lt;Year&gt;2010&lt;/Year&gt;&lt;RecNum&gt;1513&lt;/RecNum&gt;&lt;IDText&gt;Eliciting distributions to populate decision analytic models&lt;/IDText&gt;&lt;MDL Ref_Type="Journal"&gt;&lt;Ref_Type&gt;Journal&lt;/Ref_Type&gt;&lt;Ref_ID&gt;1513&lt;/Ref_ID&gt;&lt;Title_Primary&gt;Eliciting distributions to populate decision analytic models&lt;/Title_Primary&gt;&lt;Authors_Primary&gt;Bojke,L.&lt;/Authors_Primary&gt;&lt;Authors_Primary&gt;Claxton,K.&lt;/Authors_Primary&gt;&lt;Authors_Primary&gt;Bravo-Vergel,Y.&lt;/Authors_Primary&gt;&lt;Authors_Primary&gt;Sculpher,M.&lt;/Authors_Primary&gt;&lt;Authors_Primary&gt;Palmer,S.&lt;/Authors_Primary&gt;&lt;Authors_Primary&gt;Abrams,K.&lt;/Authors_Primary&gt;&lt;Date_Primary&gt;2010/8&lt;/Date_Primary&gt;&lt;Keywords&gt;Anti-Inflammatory Agents,Non-Steroidal&lt;/Keywords&gt;&lt;Keywords&gt;Antibodies,Monoclonal&lt;/Keywords&gt;&lt;Keywords&gt;Antirheumatic Agents&lt;/Keywords&gt;&lt;Keywords&gt;Arthritis&lt;/Keywords&gt;&lt;Keywords&gt;Arthritis,Psoriatic&lt;/Keywords&gt;&lt;Keywords&gt;article&lt;/Keywords&gt;&lt;Keywords&gt;Cost-Benefit Analysis&lt;/Keywords&gt;&lt;Keywords&gt;Decision Support Techniques&lt;/Keywords&gt;&lt;Keywords&gt;Disease Progression&lt;/Keywords&gt;&lt;Keywords&gt;drug therapy&lt;/Keywords&gt;&lt;Keywords&gt;economics&lt;/Keywords&gt;&lt;Keywords&gt;Feasibility Studies&lt;/Keywords&gt;&lt;Keywords&gt;Great Britain&lt;/Keywords&gt;&lt;Keywords&gt;Health&lt;/Keywords&gt;&lt;Keywords&gt;Health Care Costs&lt;/Keywords&gt;&lt;Keywords&gt;Humans&lt;/Keywords&gt;&lt;Keywords&gt;Immunoglobulin G&lt;/Keywords&gt;&lt;Keywords&gt;Life&lt;/Keywords&gt;&lt;Keywords&gt;methods&lt;/Keywords&gt;&lt;Keywords&gt;Models,Economic&lt;/Keywords&gt;&lt;Keywords&gt;Models,Statistical&lt;/Keywords&gt;&lt;Keywords&gt;Palliative Care&lt;/Keywords&gt;&lt;Keywords&gt;Probability&lt;/Keywords&gt;&lt;Keywords&gt;Program Evaluation&lt;/Keywords&gt;&lt;Keywords&gt;Quality of Life&lt;/Keywords&gt;&lt;Keywords&gt;Quality-Adjusted Life Years&lt;/Keywords&gt;&lt;Keywords&gt;Receptors,Tumor Necrosis Factor&lt;/Keywords&gt;&lt;Keywords&gt;Research&lt;/Keywords&gt;&lt;Keywords&gt;therapeutic use&lt;/Keywords&gt;&lt;Keywords&gt;Uncertainty&lt;/Keywords&gt;&lt;Reprint&gt;Not in File&lt;/Reprint&gt;&lt;Start_Page&gt;557&lt;/Start_Page&gt;&lt;End_Page&gt;564&lt;/End_Page&gt;&lt;Periodical&gt;Value.Health.&lt;/Periodical&gt;&lt;Volume&gt;13&lt;/Volume&gt;&lt;Issue&gt;5&lt;/Issue&gt;&lt;User_Def_1&gt;elicitation&lt;/User_Def_1&gt;&lt;ZZ_JournalStdAbbrev&gt;&lt;f name="System"&gt;Value.Health.&lt;/f&gt;&lt;/ZZ_JournalStdAbbrev&gt;&lt;ZZ_WorkformID&gt;1&lt;/ZZ_WorkformID&gt;&lt;/MDL&gt;&lt;/Cite&gt;&lt;/Refman&gt;</w:instrText>
      </w:r>
      <w:r w:rsidR="00E729BA">
        <w:fldChar w:fldCharType="separate"/>
      </w:r>
      <w:r w:rsidR="0081424E">
        <w:t>(131)</w:t>
      </w:r>
      <w:r w:rsidR="00E729BA">
        <w:fldChar w:fldCharType="end"/>
      </w:r>
      <w:r>
        <w:t xml:space="preserve">. </w:t>
      </w:r>
      <w:r w:rsidR="00C74BBC">
        <w:t xml:space="preserve">However, the methodology for generating weights requires further development </w:t>
      </w:r>
      <w:r w:rsidR="00E729BA">
        <w:fldChar w:fldCharType="begin"/>
      </w:r>
      <w:r w:rsidR="00FC61FD">
        <w:instrText xml:space="preserve"> ADDIN REFMGR.CITE &lt;Refman&gt;&lt;Cite&gt;&lt;Author&gt;Soares&lt;/Author&gt;&lt;Year&gt;2011&lt;/Year&gt;&lt;RecNum&gt;1514&lt;/RecNum&gt;&lt;IDText&gt;Methods to elicit experts&amp;apos; beliefs over uncertain quantities: application to a cost effectiveness transition model of negative pressure wound therapy for severe pressure ulceration&lt;/IDText&gt;&lt;MDL Ref_Type="Journal"&gt;&lt;Ref_Type&gt;Journal&lt;/Ref_Type&gt;&lt;Ref_ID&gt;1514&lt;/Ref_ID&gt;&lt;Title_Primary&gt;Methods to elicit experts&amp;apos; beliefs over uncertain quantities: application to a cost effectiveness transition model of negative pressure wound therapy for severe pressure ulceration&lt;/Title_Primary&gt;&lt;Authors_Primary&gt;Soares,M.O.&lt;/Authors_Primary&gt;&lt;Authors_Primary&gt;Bojke,L.&lt;/Authors_Primary&gt;&lt;Authors_Primary&gt;Dumville,J.&lt;/Authors_Primary&gt;&lt;Authors_Primary&gt;Iglesias,C.&lt;/Authors_Primary&gt;&lt;Authors_Primary&gt;Cullum,N.&lt;/Authors_Primary&gt;&lt;Authors_Primary&gt;Claxton,K.&lt;/Authors_Primary&gt;&lt;Date_Primary&gt;2011/8/30&lt;/Date_Primary&gt;&lt;Keywords&gt;analysis&lt;/Keywords&gt;&lt;Keywords&gt;economics&lt;/Keywords&gt;&lt;Keywords&gt;Health&lt;/Keywords&gt;&lt;Keywords&gt;methods&lt;/Keywords&gt;&lt;Keywords&gt;Research&lt;/Keywords&gt;&lt;Keywords&gt;therapy&lt;/Keywords&gt;&lt;Keywords&gt;Uncertainty&lt;/Keywords&gt;&lt;Reprint&gt;Not in File&lt;/Reprint&gt;&lt;Start_Page&gt;2363&lt;/Start_Page&gt;&lt;End_Page&gt;2380&lt;/End_Page&gt;&lt;Periodical&gt;Stat.Med.&lt;/Periodical&gt;&lt;Volume&gt;30&lt;/Volume&gt;&lt;Issue&gt;19&lt;/Issue&gt;&lt;User_Def_1&gt;elicitation&lt;/User_Def_1&gt;&lt;ZZ_JournalStdAbbrev&gt;&lt;f name="System"&gt;Stat.Med.&lt;/f&gt;&lt;/ZZ_JournalStdAbbrev&gt;&lt;ZZ_WorkformID&gt;1&lt;/ZZ_WorkformID&gt;&lt;/MDL&gt;&lt;/Cite&gt;&lt;/Refman&gt;</w:instrText>
      </w:r>
      <w:r w:rsidR="00E729BA">
        <w:fldChar w:fldCharType="separate"/>
      </w:r>
      <w:r w:rsidR="0081424E">
        <w:t>(223)</w:t>
      </w:r>
      <w:r w:rsidR="00E729BA">
        <w:fldChar w:fldCharType="end"/>
      </w:r>
      <w:r w:rsidR="00C74BBC">
        <w:t>. In this example</w:t>
      </w:r>
      <w:r w:rsidR="0081424E">
        <w:t>,</w:t>
      </w:r>
      <w:r w:rsidR="00C74BBC">
        <w:t xml:space="preserve"> none of the clinical experts had experience with the hypothetical drug described to them. As a consequence, i</w:t>
      </w:r>
      <w:r>
        <w:t xml:space="preserve">t was challenging to formulate an appropriate </w:t>
      </w:r>
      <w:r w:rsidR="00C725EF">
        <w:t xml:space="preserve">test </w:t>
      </w:r>
      <w:r>
        <w:t>question to evaluate the</w:t>
      </w:r>
      <w:r w:rsidR="00C725EF">
        <w:t xml:space="preserve"> reliability of</w:t>
      </w:r>
      <w:r>
        <w:t xml:space="preserve"> clinical experts’ responses to questions about a hypothetical treatment. Therefore, the experts’ responses </w:t>
      </w:r>
      <m:oMath>
        <m:sSub>
          <m:sSubPr>
            <m:ctrlPr>
              <w:rPr>
                <w:rFonts w:ascii="Cambria Math" w:hAnsi="Cambria Math" w:cs="Times New Roman"/>
                <w:i/>
              </w:rPr>
            </m:ctrlPr>
          </m:sSubPr>
          <m:e>
            <m:r>
              <w:rPr>
                <w:rFonts w:ascii="Cambria Math" w:hAnsi="Cambria Math" w:cs="Times New Roman"/>
              </w:rPr>
              <m:t xml:space="preserve"> Δ</m:t>
            </m:r>
          </m:e>
          <m:sub>
            <m:r>
              <w:rPr>
                <w:rFonts w:ascii="Cambria Math" w:hAnsi="Cambria Math" w:cs="Times New Roman"/>
              </w:rPr>
              <m:t>v</m:t>
            </m:r>
          </m:sub>
        </m:sSub>
      </m:oMath>
      <w:r>
        <w:t xml:space="preserve">were weighted equally. </w:t>
      </w:r>
    </w:p>
    <w:p w:rsidR="00C62F3A" w:rsidRDefault="00C62F3A" w:rsidP="00B07104">
      <w:pPr>
        <w:pStyle w:val="Heading4"/>
      </w:pPr>
      <w:r>
        <w:t xml:space="preserve">  </w:t>
      </w:r>
      <w:bookmarkStart w:id="424" w:name="_Toc335051131"/>
      <w:bookmarkStart w:id="425" w:name="_Toc341366955"/>
      <w:r>
        <w:t>Selection of Experts</w:t>
      </w:r>
      <w:bookmarkEnd w:id="424"/>
      <w:bookmarkEnd w:id="425"/>
    </w:p>
    <w:p w:rsidR="00C62F3A" w:rsidRDefault="00C62F3A" w:rsidP="002B300E">
      <w:r>
        <w:t xml:space="preserve">The elicitation guidance states that the expert must have knowledge of the uncertain quantity of interest </w:t>
      </w:r>
      <w:r w:rsidR="00E729BA">
        <w:fldChar w:fldCharType="begin"/>
      </w:r>
      <w:r w:rsidR="00FC61FD">
        <w:instrText xml:space="preserve"> ADDIN REFMGR.CITE &lt;Refman&gt;&lt;Cite&gt;&lt;Author&gt;O&amp;apos;Hagan A.et al&lt;/Author&gt;&lt;Year&gt;2006&lt;/Year&gt;&lt;RecNum&gt;1516&lt;/RecNum&gt;&lt;IDText&gt;Uncertain Judements: Eliciting Experts&amp;apos; Probabilities.&lt;/IDText&gt;&lt;MDL Ref_Type="Book, Whole"&gt;&lt;Ref_Type&gt;Book, Whole&lt;/Ref_Type&gt;&lt;Ref_ID&gt;1516&lt;/Ref_ID&gt;&lt;Title_Primary&gt;Uncertain Judements: Eliciting Experts&amp;apos; Probabilities.&lt;/Title_Primary&gt;&lt;Authors_Primary&gt;O&amp;apos;Hagan A.et al&lt;/Authors_Primary&gt;&lt;Date_Primary&gt;2006&lt;/Date_Primary&gt;&lt;Keywords&gt;Probability&lt;/Keywords&gt;&lt;Reprint&gt;In File&lt;/Reprint&gt;&lt;Pub_Place&gt;Chichester&lt;/Pub_Place&gt;&lt;Publisher&gt;John Wiley &amp;amp; Sons&lt;/Publisher&gt;&lt;User_Def_1&gt;Elicitation&lt;/User_Def_1&gt;&lt;ZZ_WorkformID&gt;2&lt;/ZZ_WorkformID&gt;&lt;/MDL&gt;&lt;/Cite&gt;&lt;/Refman&gt;</w:instrText>
      </w:r>
      <w:r w:rsidR="00E729BA">
        <w:fldChar w:fldCharType="separate"/>
      </w:r>
      <w:r w:rsidR="0081424E">
        <w:t>(221)</w:t>
      </w:r>
      <w:r w:rsidR="00E729BA">
        <w:fldChar w:fldCharType="end"/>
      </w:r>
      <w:r>
        <w:t xml:space="preserve">. </w:t>
      </w:r>
      <w:r w:rsidR="002B300E">
        <w:t xml:space="preserve">This condition posed challenges for the objectives of the elicitation to estimate long-term treatment effects for a new drug whose long term benefits have not been established. Therefore, it was important that the experts had experience with treating the long-term outcomes of SLE but also experience with biologic treatments such as belimumab and rituximab. </w:t>
      </w:r>
      <w:r>
        <w:t>SLE can affect multiple organs therefore patients can be treated by physicians in various different departments. However, the most common primary physician would be base</w:t>
      </w:r>
      <w:r w:rsidR="0090251C">
        <w:t xml:space="preserve">d in Rheumatology. </w:t>
      </w:r>
      <w:r w:rsidR="002B300E">
        <w:t xml:space="preserve">It was anticipated that these clinicians might also be able to draw from experiences of biologics in other rheumatic diseases. </w:t>
      </w:r>
      <w:r w:rsidR="0090251C">
        <w:t>The natural h</w:t>
      </w:r>
      <w:r>
        <w:t>istory model was based on SLE specific indices such as the SLEDAI and SLICC/ACR</w:t>
      </w:r>
      <w:r w:rsidR="00C74BBC">
        <w:t xml:space="preserve"> Damage Index</w:t>
      </w:r>
      <w:r>
        <w:t>. These scoring systems are not often used in routine clinical practi</w:t>
      </w:r>
      <w:r w:rsidR="0081424E">
        <w:t>c</w:t>
      </w:r>
      <w:r>
        <w:t>e; therefore the experts needed to have experience in observational cohort studies or RCTs where the indices are used.</w:t>
      </w:r>
    </w:p>
    <w:p w:rsidR="00C62F3A" w:rsidRDefault="00C62F3A" w:rsidP="0090251C">
      <w:r>
        <w:t>The interviews were designed to be conducted face</w:t>
      </w:r>
      <w:r w:rsidR="00C74BBC">
        <w:t>-</w:t>
      </w:r>
      <w:r>
        <w:t>to</w:t>
      </w:r>
      <w:r w:rsidR="00C74BBC">
        <w:t>-</w:t>
      </w:r>
      <w:r>
        <w:t>face. Therefore, SLE specialists based in the UK were the primary target of the elicitation. I attended the American College of Rheumatology 2011 conference in Chicago, which presented an opportunity to conduct interviews with SLE specialists from the US and Canada who had collabor</w:t>
      </w:r>
      <w:r w:rsidR="0090251C">
        <w:t>ated in the development of the n</w:t>
      </w:r>
      <w:r>
        <w:t xml:space="preserve">atural </w:t>
      </w:r>
      <w:r w:rsidR="0090251C">
        <w:t>h</w:t>
      </w:r>
      <w:r>
        <w:t xml:space="preserve">istory models. Dr Petri, Dr Gladman, and Dr Urowitz were invited to participate in the interviews during this conference, but all declined due to busy schedules. </w:t>
      </w:r>
    </w:p>
    <w:p w:rsidR="00C62F3A" w:rsidRDefault="00C62F3A" w:rsidP="00765E56">
      <w:r>
        <w:t xml:space="preserve">There are several SLE specialists in the UK who are part of a research collaboration called the BILAG group. The BILAG group includes experienced SLE specialists with an interest in clinical research. Following the Pilot study with Dr Akil, he agreed to introduce my elicitation study at a BILAG meeting and encourage its members to participate. Following this meeting six members communicated an interest in the study, however only three were available to complete the interview. Together with Dr Akil </w:t>
      </w:r>
      <w:r w:rsidR="00765E56">
        <w:t xml:space="preserve">(November 2011), Dr Bruce (December 2011), Dr Griffiths (February 2012) and Professor Isenberg (May 2012) </w:t>
      </w:r>
      <w:r>
        <w:t>were recruited into the study.</w:t>
      </w:r>
      <w:r w:rsidR="00765E56">
        <w:t xml:space="preserve"> </w:t>
      </w:r>
    </w:p>
    <w:p w:rsidR="00C62F3A" w:rsidRDefault="00C62F3A" w:rsidP="00C62F3A">
      <w:pPr>
        <w:pStyle w:val="Heading3"/>
      </w:pPr>
      <w:bookmarkStart w:id="426" w:name="_Toc335051132"/>
      <w:bookmarkStart w:id="427" w:name="_Toc341366956"/>
      <w:bookmarkStart w:id="428" w:name="_Toc379467639"/>
      <w:r>
        <w:t>Results</w:t>
      </w:r>
      <w:bookmarkEnd w:id="426"/>
      <w:bookmarkEnd w:id="427"/>
      <w:bookmarkEnd w:id="428"/>
    </w:p>
    <w:p w:rsidR="00C62F3A" w:rsidRDefault="00C62F3A" w:rsidP="00C74BBC">
      <w:pPr>
        <w:sectPr w:rsidR="00C62F3A" w:rsidSect="006A3B1E">
          <w:footerReference w:type="default" r:id="rId33"/>
          <w:pgSz w:w="11906" w:h="16838"/>
          <w:pgMar w:top="1440" w:right="1440" w:bottom="1440" w:left="2268" w:header="708" w:footer="708" w:gutter="0"/>
          <w:cols w:space="708"/>
          <w:docGrid w:linePitch="360"/>
        </w:sectPr>
      </w:pPr>
      <w:r>
        <w:t xml:space="preserve">The results of the elicitation are reported in </w:t>
      </w:r>
      <w:r w:rsidR="00E729BA">
        <w:fldChar w:fldCharType="begin"/>
      </w:r>
      <w:r>
        <w:instrText xml:space="preserve"> REF _Ref334538472 \h </w:instrText>
      </w:r>
      <w:r w:rsidR="00E729BA">
        <w:fldChar w:fldCharType="separate"/>
      </w:r>
      <w:r w:rsidR="004911B7">
        <w:t xml:space="preserve">Table </w:t>
      </w:r>
      <w:r w:rsidR="004911B7">
        <w:rPr>
          <w:noProof/>
        </w:rPr>
        <w:t>40</w:t>
      </w:r>
      <w:r w:rsidR="00E729BA">
        <w:fldChar w:fldCharType="end"/>
      </w:r>
      <w:r>
        <w:t xml:space="preserve">. Graphical representations of the aggregated distributions elicited from the experts are presented in column 2. A brief summary of the individual experts beliefs are reported in column 3. Expert 4 consistently expressed a high degree of uncertainty in his responses to almost all of the questions. He strongly believed that it was </w:t>
      </w:r>
      <w:r w:rsidR="00C74BBC">
        <w:t>impossible</w:t>
      </w:r>
      <w:r>
        <w:t xml:space="preserve"> to predict the effectiveness of treatment beyond the period for which data had been collected. Experts 1, 2 and 3 were generally in agreement for the disease activity questions, but reported very different distributions f</w:t>
      </w:r>
      <w:r w:rsidR="00C74BBC">
        <w:t xml:space="preserve">or the organ damage questions. </w:t>
      </w:r>
      <w:r>
        <w:t xml:space="preserve">All experts stated that </w:t>
      </w:r>
      <w:r w:rsidR="00B83880">
        <w:t xml:space="preserve">they were fairly certain that </w:t>
      </w:r>
      <w:r>
        <w:t xml:space="preserve">treatment was unlikely to modify malignancy and gonadal failure rates in SLE patients. </w:t>
      </w:r>
    </w:p>
    <w:p w:rsidR="00C62F3A" w:rsidRDefault="00C62F3A" w:rsidP="00C62F3A"/>
    <w:p w:rsidR="00C62F3A" w:rsidRDefault="00C62F3A" w:rsidP="00234693">
      <w:pPr>
        <w:pStyle w:val="Caption"/>
      </w:pPr>
      <w:bookmarkStart w:id="429" w:name="_Ref334538472"/>
      <w:r>
        <w:t xml:space="preserve">Table </w:t>
      </w:r>
      <w:fldSimple w:instr=" SEQ Table \* ARABIC ">
        <w:r w:rsidR="004911B7">
          <w:rPr>
            <w:noProof/>
          </w:rPr>
          <w:t>40</w:t>
        </w:r>
      </w:fldSimple>
      <w:bookmarkEnd w:id="429"/>
      <w:r>
        <w:t>: Graphical illustrations of the clinical expert’s responses</w:t>
      </w:r>
      <w:r w:rsidR="00B83880">
        <w:t xml:space="preserve"> in dotted lines and the pooled estimate in a bold solid line</w:t>
      </w:r>
    </w:p>
    <w:tbl>
      <w:tblPr>
        <w:tblStyle w:val="TableGrid"/>
        <w:tblW w:w="0" w:type="auto"/>
        <w:tblLook w:val="04A0"/>
      </w:tblPr>
      <w:tblGrid>
        <w:gridCol w:w="433"/>
        <w:gridCol w:w="4583"/>
        <w:gridCol w:w="4422"/>
        <w:gridCol w:w="3908"/>
      </w:tblGrid>
      <w:tr w:rsidR="00C62F3A" w:rsidRPr="00B54392" w:rsidTr="00C62F3A">
        <w:tc>
          <w:tcPr>
            <w:tcW w:w="436" w:type="dxa"/>
          </w:tcPr>
          <w:p w:rsidR="00C62F3A" w:rsidRPr="00B54392" w:rsidRDefault="00C62F3A" w:rsidP="00C62F3A">
            <w:pPr>
              <w:spacing w:after="0" w:afterAutospacing="0"/>
              <w:rPr>
                <w:sz w:val="20"/>
              </w:rPr>
            </w:pPr>
          </w:p>
        </w:tc>
        <w:tc>
          <w:tcPr>
            <w:tcW w:w="5059" w:type="dxa"/>
          </w:tcPr>
          <w:p w:rsidR="00C62F3A" w:rsidRPr="00B54392" w:rsidRDefault="00C62F3A" w:rsidP="00C62F3A">
            <w:pPr>
              <w:spacing w:after="0" w:afterAutospacing="0"/>
              <w:rPr>
                <w:sz w:val="20"/>
              </w:rPr>
            </w:pPr>
            <w:r w:rsidRPr="00B54392">
              <w:rPr>
                <w:sz w:val="20"/>
              </w:rPr>
              <w:t>Elicitation question</w:t>
            </w:r>
          </w:p>
        </w:tc>
        <w:tc>
          <w:tcPr>
            <w:tcW w:w="4394" w:type="dxa"/>
          </w:tcPr>
          <w:p w:rsidR="00C62F3A" w:rsidRPr="00B54392" w:rsidRDefault="00C62F3A" w:rsidP="00C62F3A">
            <w:pPr>
              <w:spacing w:after="0" w:afterAutospacing="0"/>
              <w:jc w:val="center"/>
              <w:rPr>
                <w:sz w:val="20"/>
              </w:rPr>
            </w:pPr>
            <w:r w:rsidRPr="00B54392">
              <w:rPr>
                <w:sz w:val="20"/>
              </w:rPr>
              <w:t>Histograms of aggregated replies and fitted distribution</w:t>
            </w:r>
          </w:p>
        </w:tc>
        <w:tc>
          <w:tcPr>
            <w:tcW w:w="4285" w:type="dxa"/>
          </w:tcPr>
          <w:p w:rsidR="00C62F3A" w:rsidRPr="00B54392" w:rsidRDefault="00C62F3A" w:rsidP="00C62F3A">
            <w:pPr>
              <w:spacing w:after="0" w:afterAutospacing="0"/>
              <w:rPr>
                <w:sz w:val="20"/>
              </w:rPr>
            </w:pPr>
            <w:r w:rsidRPr="00B54392">
              <w:rPr>
                <w:sz w:val="20"/>
              </w:rPr>
              <w:t>Comments</w:t>
            </w:r>
          </w:p>
          <w:p w:rsidR="00C62F3A" w:rsidRPr="00B54392" w:rsidRDefault="00C62F3A" w:rsidP="00C62F3A">
            <w:pPr>
              <w:spacing w:after="0" w:afterAutospacing="0"/>
              <w:rPr>
                <w:sz w:val="20"/>
              </w:rPr>
            </w:pPr>
          </w:p>
        </w:tc>
      </w:tr>
      <w:tr w:rsidR="00C62F3A" w:rsidRPr="00B54392" w:rsidTr="00C62F3A">
        <w:tc>
          <w:tcPr>
            <w:tcW w:w="436" w:type="dxa"/>
          </w:tcPr>
          <w:p w:rsidR="00C62F3A" w:rsidRPr="00B54392" w:rsidRDefault="00C62F3A" w:rsidP="00C62F3A">
            <w:pPr>
              <w:rPr>
                <w:sz w:val="20"/>
              </w:rPr>
            </w:pPr>
            <w:r w:rsidRPr="00B54392">
              <w:rPr>
                <w:sz w:val="20"/>
              </w:rPr>
              <w:t>1</w:t>
            </w:r>
          </w:p>
        </w:tc>
        <w:tc>
          <w:tcPr>
            <w:tcW w:w="5059" w:type="dxa"/>
          </w:tcPr>
          <w:p w:rsidR="00C62F3A" w:rsidRPr="00B54392" w:rsidRDefault="00C62F3A" w:rsidP="00C62F3A">
            <w:pPr>
              <w:tabs>
                <w:tab w:val="left" w:pos="1994"/>
              </w:tabs>
              <w:rPr>
                <w:sz w:val="20"/>
              </w:rPr>
            </w:pPr>
            <w:r w:rsidRPr="00B54392">
              <w:rPr>
                <w:sz w:val="20"/>
              </w:rPr>
              <w:t>After 24 months of follow-up what difference do you think there could be in the number of patients with neuropsychiatric involvement on the SLEDAI score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389441" cy="1440000"/>
                  <wp:effectExtent l="19050" t="0" r="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2389441"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in reducing neuropsychiatric involvement would be sustained over the long term. Expert 4 was very uncertain about the long term effects of treatment on neuropsychiatric involvement.</w:t>
            </w:r>
          </w:p>
        </w:tc>
      </w:tr>
      <w:tr w:rsidR="00C62F3A" w:rsidRPr="00B54392" w:rsidTr="00C62F3A">
        <w:tc>
          <w:tcPr>
            <w:tcW w:w="436" w:type="dxa"/>
          </w:tcPr>
          <w:p w:rsidR="00C62F3A" w:rsidRPr="00B54392" w:rsidRDefault="00C62F3A" w:rsidP="00C62F3A">
            <w:pPr>
              <w:rPr>
                <w:sz w:val="20"/>
              </w:rPr>
            </w:pPr>
            <w:r w:rsidRPr="00B54392">
              <w:rPr>
                <w:sz w:val="20"/>
              </w:rPr>
              <w:t>2</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renal involvement on the SLEDAI score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389441" cy="1440000"/>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389441"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in reducing renal involvement would be sustained over the long term. Expert 4 was very uncertain about the long term effects of treatment on renal involvement.</w:t>
            </w:r>
          </w:p>
        </w:tc>
      </w:tr>
      <w:tr w:rsidR="00C62F3A" w:rsidRPr="00B54392" w:rsidTr="00C62F3A">
        <w:tc>
          <w:tcPr>
            <w:tcW w:w="436" w:type="dxa"/>
          </w:tcPr>
          <w:p w:rsidR="00C62F3A" w:rsidRPr="00B54392" w:rsidRDefault="00C62F3A" w:rsidP="00C62F3A">
            <w:pPr>
              <w:rPr>
                <w:sz w:val="20"/>
              </w:rPr>
            </w:pPr>
            <w:r w:rsidRPr="00B54392">
              <w:rPr>
                <w:sz w:val="20"/>
              </w:rPr>
              <w:t>3</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musculoskeletal involvement on the SLEDAI score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1313" cy="1440000"/>
                  <wp:effectExtent l="1905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2651313"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in reducing musculoskeletal involvement would be sustained over the long term. Expert 4 was very uncertain about the long term effects of treatment on musculoskeletal involvement.</w:t>
            </w:r>
          </w:p>
        </w:tc>
      </w:tr>
      <w:tr w:rsidR="00C62F3A" w:rsidRPr="00B54392" w:rsidTr="00C62F3A">
        <w:tc>
          <w:tcPr>
            <w:tcW w:w="436" w:type="dxa"/>
          </w:tcPr>
          <w:p w:rsidR="00C62F3A" w:rsidRPr="00B54392" w:rsidRDefault="00C62F3A" w:rsidP="00C62F3A">
            <w:pPr>
              <w:rPr>
                <w:sz w:val="20"/>
              </w:rPr>
            </w:pPr>
            <w:r w:rsidRPr="00B54392">
              <w:rPr>
                <w:sz w:val="20"/>
              </w:rPr>
              <w:t>4</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skin involvement on the SLEDAI score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1313" cy="1440000"/>
                  <wp:effectExtent l="1905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2651313"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in reducing skin involvement would be sustained over the long term. Expert 4 was very uncertain about the long term effects of treatment on skin involvement.</w:t>
            </w:r>
          </w:p>
        </w:tc>
      </w:tr>
      <w:tr w:rsidR="00C62F3A" w:rsidRPr="00B54392" w:rsidTr="00C62F3A">
        <w:tc>
          <w:tcPr>
            <w:tcW w:w="436" w:type="dxa"/>
          </w:tcPr>
          <w:p w:rsidR="00C62F3A" w:rsidRPr="00B54392" w:rsidRDefault="00C62F3A" w:rsidP="00C62F3A">
            <w:pPr>
              <w:rPr>
                <w:sz w:val="20"/>
              </w:rPr>
            </w:pPr>
            <w:r w:rsidRPr="00B54392">
              <w:rPr>
                <w:sz w:val="20"/>
              </w:rPr>
              <w:t>5</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increased DNA binding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1313" cy="1440000"/>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651313"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81424E">
            <w:pPr>
              <w:rPr>
                <w:sz w:val="20"/>
              </w:rPr>
            </w:pPr>
            <w:r w:rsidRPr="00B54392">
              <w:rPr>
                <w:sz w:val="20"/>
              </w:rPr>
              <w:t xml:space="preserve">All experts believed that the benefits of treatment in reducing low complement would be sustained in the long term. The uncertainties in these estimates were </w:t>
            </w:r>
            <w:r w:rsidR="0081424E">
              <w:rPr>
                <w:sz w:val="20"/>
              </w:rPr>
              <w:t>less than for other SLEDAI items</w:t>
            </w:r>
            <w:r w:rsidRPr="00B54392">
              <w:rPr>
                <w:sz w:val="20"/>
              </w:rPr>
              <w:t>.</w:t>
            </w:r>
          </w:p>
        </w:tc>
      </w:tr>
      <w:tr w:rsidR="00C62F3A" w:rsidRPr="00B54392" w:rsidTr="008731E8">
        <w:trPr>
          <w:trHeight w:val="2967"/>
        </w:trPr>
        <w:tc>
          <w:tcPr>
            <w:tcW w:w="436" w:type="dxa"/>
          </w:tcPr>
          <w:p w:rsidR="008731E8" w:rsidRDefault="008731E8" w:rsidP="00C62F3A">
            <w:pPr>
              <w:rPr>
                <w:sz w:val="20"/>
              </w:rPr>
            </w:pPr>
          </w:p>
          <w:p w:rsidR="00C62F3A" w:rsidRPr="00B54392" w:rsidRDefault="00C62F3A" w:rsidP="00C62F3A">
            <w:pPr>
              <w:rPr>
                <w:sz w:val="20"/>
              </w:rPr>
            </w:pPr>
            <w:r w:rsidRPr="00B54392">
              <w:rPr>
                <w:sz w:val="20"/>
              </w:rPr>
              <w:t>6</w:t>
            </w:r>
          </w:p>
        </w:tc>
        <w:tc>
          <w:tcPr>
            <w:tcW w:w="5059" w:type="dxa"/>
          </w:tcPr>
          <w:p w:rsidR="008731E8" w:rsidRDefault="008731E8" w:rsidP="00C62F3A">
            <w:pPr>
              <w:rPr>
                <w:rFonts w:asciiTheme="majorBidi" w:hAnsiTheme="majorBidi" w:cstheme="majorBidi"/>
                <w:sz w:val="20"/>
              </w:rPr>
            </w:pPr>
          </w:p>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low complement between standard of care and the new drug?</w:t>
            </w:r>
          </w:p>
        </w:tc>
        <w:tc>
          <w:tcPr>
            <w:tcW w:w="4394" w:type="dxa"/>
          </w:tcPr>
          <w:p w:rsidR="00C62F3A" w:rsidRDefault="00C62F3A" w:rsidP="00C62F3A">
            <w:pPr>
              <w:jc w:val="center"/>
              <w:rPr>
                <w:sz w:val="20"/>
              </w:rPr>
            </w:pPr>
          </w:p>
          <w:p w:rsidR="008731E8" w:rsidRPr="00B54392" w:rsidRDefault="008731E8" w:rsidP="00C62F3A">
            <w:pPr>
              <w:jc w:val="center"/>
              <w:rPr>
                <w:sz w:val="20"/>
              </w:rPr>
            </w:pPr>
            <w:r w:rsidRPr="00B54392">
              <w:rPr>
                <w:noProof/>
                <w:sz w:val="20"/>
                <w:lang w:eastAsia="zh-CN" w:bidi="ar-SA"/>
              </w:rPr>
              <w:drawing>
                <wp:inline distT="0" distB="0" distL="0" distR="0">
                  <wp:extent cx="2650363" cy="1440000"/>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2650363" cy="1440000"/>
                          </a:xfrm>
                          <a:prstGeom prst="rect">
                            <a:avLst/>
                          </a:prstGeom>
                          <a:noFill/>
                          <a:ln w="9525">
                            <a:noFill/>
                            <a:miter lim="800000"/>
                            <a:headEnd/>
                            <a:tailEnd/>
                          </a:ln>
                        </pic:spPr>
                      </pic:pic>
                    </a:graphicData>
                  </a:graphic>
                </wp:inline>
              </w:drawing>
            </w:r>
          </w:p>
        </w:tc>
        <w:tc>
          <w:tcPr>
            <w:tcW w:w="4285" w:type="dxa"/>
          </w:tcPr>
          <w:p w:rsidR="008731E8" w:rsidRDefault="008731E8" w:rsidP="00C62F3A">
            <w:pPr>
              <w:rPr>
                <w:sz w:val="20"/>
              </w:rPr>
            </w:pPr>
          </w:p>
          <w:p w:rsidR="00C62F3A" w:rsidRPr="00B54392" w:rsidRDefault="00C62F3A" w:rsidP="00C62F3A">
            <w:pPr>
              <w:rPr>
                <w:sz w:val="20"/>
              </w:rPr>
            </w:pPr>
            <w:r w:rsidRPr="00B54392">
              <w:rPr>
                <w:sz w:val="20"/>
              </w:rPr>
              <w:t>All experts believed that the benefits of treatment in reducing low complement would be sustained in the long term. The uncertainties in these estimates were quite low.</w:t>
            </w:r>
          </w:p>
        </w:tc>
      </w:tr>
      <w:tr w:rsidR="00C62F3A" w:rsidRPr="00B54392" w:rsidTr="00C62F3A">
        <w:tc>
          <w:tcPr>
            <w:tcW w:w="436" w:type="dxa"/>
          </w:tcPr>
          <w:p w:rsidR="00C62F3A" w:rsidRPr="00B54392" w:rsidRDefault="00C62F3A" w:rsidP="00C62F3A">
            <w:pPr>
              <w:rPr>
                <w:sz w:val="20"/>
              </w:rPr>
            </w:pPr>
            <w:r w:rsidRPr="00B54392">
              <w:rPr>
                <w:sz w:val="20"/>
              </w:rPr>
              <w:t>7</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serositis on the SLEDAI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2" cy="1440000"/>
                  <wp:effectExtent l="19050" t="0" r="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would be sustained with a small risk of no different from standard of care. Expert 4 was very uncertain of the long term outcomes for patients receiving treatment.</w:t>
            </w:r>
          </w:p>
        </w:tc>
      </w:tr>
      <w:tr w:rsidR="00C62F3A" w:rsidRPr="00B54392" w:rsidTr="00C62F3A">
        <w:tc>
          <w:tcPr>
            <w:tcW w:w="436" w:type="dxa"/>
          </w:tcPr>
          <w:p w:rsidR="00C62F3A" w:rsidRPr="00B54392" w:rsidRDefault="00C62F3A" w:rsidP="00C62F3A">
            <w:pPr>
              <w:rPr>
                <w:sz w:val="20"/>
              </w:rPr>
            </w:pPr>
            <w:r w:rsidRPr="00B54392">
              <w:rPr>
                <w:sz w:val="20"/>
              </w:rPr>
              <w:t>8</w:t>
            </w:r>
          </w:p>
        </w:tc>
        <w:tc>
          <w:tcPr>
            <w:tcW w:w="5059" w:type="dxa"/>
          </w:tcPr>
          <w:p w:rsidR="00C62F3A" w:rsidRPr="00B54392" w:rsidRDefault="00C62F3A" w:rsidP="00C62F3A">
            <w:pPr>
              <w:rPr>
                <w:sz w:val="20"/>
              </w:rPr>
            </w:pPr>
            <w:r w:rsidRPr="00B54392">
              <w:rPr>
                <w:rFonts w:asciiTheme="majorBidi" w:hAnsiTheme="majorBidi" w:cstheme="majorBidi"/>
                <w:sz w:val="20"/>
              </w:rPr>
              <w:t>After 24 months of follow-up what difference do you think there could be in the number of patients with haematological involvement on the SLEDAI between standard of care and the new drug?</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2" cy="1440000"/>
                  <wp:effectExtent l="19050" t="0" r="0" b="0"/>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Experts 1, 2 and 3 believed that the benefits of treatment would be sustained. Expert 4 was very uncertain of the long term outcomes for patients receiving treatment. Expert 4 was very uncertain of the long term outcomes for patients receiving treatment.</w:t>
            </w:r>
          </w:p>
        </w:tc>
      </w:tr>
      <w:tr w:rsidR="00C62F3A" w:rsidRPr="00B54392" w:rsidTr="00C62F3A">
        <w:tc>
          <w:tcPr>
            <w:tcW w:w="436" w:type="dxa"/>
          </w:tcPr>
          <w:p w:rsidR="00C62F3A" w:rsidRPr="00B54392" w:rsidRDefault="00C62F3A" w:rsidP="00C62F3A">
            <w:pPr>
              <w:rPr>
                <w:sz w:val="20"/>
              </w:rPr>
            </w:pPr>
            <w:r w:rsidRPr="00B54392">
              <w:rPr>
                <w:sz w:val="20"/>
              </w:rPr>
              <w:t>9</w:t>
            </w:r>
          </w:p>
        </w:tc>
        <w:tc>
          <w:tcPr>
            <w:tcW w:w="5059" w:type="dxa"/>
          </w:tcPr>
          <w:p w:rsidR="00C62F3A" w:rsidRPr="00B54392" w:rsidRDefault="00C62F3A" w:rsidP="00C62F3A">
            <w:pPr>
              <w:rPr>
                <w:rFonts w:asciiTheme="majorBidi" w:hAnsiTheme="majorBidi" w:cstheme="majorBidi"/>
                <w:sz w:val="20"/>
              </w:rPr>
            </w:pPr>
            <w:r w:rsidRPr="00B54392">
              <w:rPr>
                <w:rFonts w:asciiTheme="majorBidi" w:hAnsiTheme="majorBidi" w:cstheme="majorBidi"/>
                <w:sz w:val="20"/>
              </w:rPr>
              <w:t xml:space="preserve">What difference do you think there could be in the number of patients who have cardiovascular, neuropsychiatric, or gastrointestinal damage after 5 years of biologic treatment compared with the natural history predictions. </w:t>
            </w:r>
          </w:p>
          <w:p w:rsidR="00C62F3A" w:rsidRPr="00B54392" w:rsidRDefault="00C62F3A" w:rsidP="00C62F3A">
            <w:pPr>
              <w:rPr>
                <w:sz w:val="20"/>
              </w:rPr>
            </w:pPr>
            <w:r w:rsidRPr="00B54392">
              <w:rPr>
                <w:rFonts w:asciiTheme="majorBidi" w:hAnsiTheme="majorBidi" w:cstheme="majorBidi"/>
                <w:i/>
                <w:iCs/>
                <w:sz w:val="20"/>
              </w:rPr>
              <w:t>In this question reductions in damage risk due to lower disease activity scores and steroid dose have been adjusted for.</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3" cy="1440000"/>
                  <wp:effectExtent l="19050" t="0" r="0" b="0"/>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2650363"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 1 did not believe that additional benefit to damage would be observed. Expert 2 was uncertain about the effect of treatment.  Expert 3 expected large reductions in organ damage, but expressed uncertainty in the magnitude. Expert 4 was very uncertain of the long term outcomes for patients receiving treatment.</w:t>
            </w:r>
          </w:p>
        </w:tc>
      </w:tr>
      <w:tr w:rsidR="00C62F3A" w:rsidRPr="00B54392" w:rsidTr="00C62F3A">
        <w:tc>
          <w:tcPr>
            <w:tcW w:w="436" w:type="dxa"/>
          </w:tcPr>
          <w:p w:rsidR="00C62F3A" w:rsidRPr="00B54392" w:rsidRDefault="00C62F3A" w:rsidP="00C62F3A">
            <w:pPr>
              <w:rPr>
                <w:sz w:val="20"/>
              </w:rPr>
            </w:pPr>
            <w:r w:rsidRPr="00B54392">
              <w:rPr>
                <w:sz w:val="20"/>
              </w:rPr>
              <w:t>10</w:t>
            </w:r>
          </w:p>
        </w:tc>
        <w:tc>
          <w:tcPr>
            <w:tcW w:w="5059" w:type="dxa"/>
          </w:tcPr>
          <w:p w:rsidR="00C62F3A" w:rsidRPr="00B54392" w:rsidRDefault="00C62F3A" w:rsidP="00C62F3A">
            <w:pPr>
              <w:rPr>
                <w:rFonts w:asciiTheme="majorBidi" w:hAnsiTheme="majorBidi" w:cstheme="majorBidi"/>
                <w:sz w:val="20"/>
              </w:rPr>
            </w:pPr>
            <w:r w:rsidRPr="00B54392">
              <w:rPr>
                <w:rFonts w:asciiTheme="majorBidi" w:hAnsiTheme="majorBidi" w:cstheme="majorBidi"/>
                <w:sz w:val="20"/>
              </w:rPr>
              <w:t xml:space="preserve">What difference do you think there could be in the number of patients who have renal, pulmonary or vascular damage after 5 years of biologic treatment compared with the natural history predictions. </w:t>
            </w:r>
          </w:p>
          <w:p w:rsidR="00C62F3A" w:rsidRPr="00B54392" w:rsidRDefault="00C62F3A" w:rsidP="00C62F3A">
            <w:pPr>
              <w:rPr>
                <w:rFonts w:asciiTheme="majorBidi" w:hAnsiTheme="majorBidi" w:cstheme="majorBidi"/>
                <w:sz w:val="20"/>
              </w:rPr>
            </w:pPr>
            <w:r w:rsidRPr="00B54392">
              <w:rPr>
                <w:rFonts w:asciiTheme="majorBidi" w:hAnsiTheme="majorBidi" w:cstheme="majorBidi"/>
                <w:i/>
                <w:iCs/>
                <w:sz w:val="20"/>
              </w:rPr>
              <w:t>In this question reductions in damage risk due to lower disease activity scores and steroid dose have been adjusted for.</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2" cy="1440000"/>
                  <wp:effectExtent l="1905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 1 did not believe that additional benefit to damage would be observed. Expert 2 believed that fewer patients would develop disease activity related damage. Expert 3 expected improvements in disease activity related organ damage. Expert 4 was uncertain of the effect of treatment on damage.</w:t>
            </w:r>
          </w:p>
        </w:tc>
      </w:tr>
      <w:tr w:rsidR="00C62F3A" w:rsidRPr="00B54392" w:rsidTr="00C62F3A">
        <w:tc>
          <w:tcPr>
            <w:tcW w:w="436" w:type="dxa"/>
          </w:tcPr>
          <w:p w:rsidR="00C62F3A" w:rsidRPr="00B54392" w:rsidRDefault="00C62F3A" w:rsidP="00C62F3A">
            <w:pPr>
              <w:rPr>
                <w:sz w:val="20"/>
              </w:rPr>
            </w:pPr>
            <w:r w:rsidRPr="00B54392">
              <w:rPr>
                <w:sz w:val="20"/>
              </w:rPr>
              <w:t>11</w:t>
            </w:r>
          </w:p>
        </w:tc>
        <w:tc>
          <w:tcPr>
            <w:tcW w:w="5059" w:type="dxa"/>
          </w:tcPr>
          <w:p w:rsidR="00C62F3A" w:rsidRPr="00B54392" w:rsidRDefault="00C62F3A" w:rsidP="00C62F3A">
            <w:pPr>
              <w:rPr>
                <w:rFonts w:asciiTheme="majorBidi" w:hAnsiTheme="majorBidi" w:cstheme="majorBidi"/>
                <w:sz w:val="20"/>
              </w:rPr>
            </w:pPr>
            <w:r w:rsidRPr="00B54392">
              <w:rPr>
                <w:rFonts w:asciiTheme="majorBidi" w:hAnsiTheme="majorBidi" w:cstheme="majorBidi"/>
                <w:sz w:val="20"/>
              </w:rPr>
              <w:t xml:space="preserve">What difference do you think there could be in the number of patients who have musculoskeletal damage, ocular damage or diabetes after 5 years of biologic treatment compared with the natural history predictions. </w:t>
            </w:r>
          </w:p>
          <w:p w:rsidR="00C62F3A" w:rsidRPr="00B54392" w:rsidRDefault="00C62F3A" w:rsidP="00C62F3A">
            <w:pPr>
              <w:rPr>
                <w:sz w:val="20"/>
              </w:rPr>
            </w:pPr>
            <w:r w:rsidRPr="00B54392">
              <w:rPr>
                <w:rFonts w:asciiTheme="majorBidi" w:hAnsiTheme="majorBidi" w:cstheme="majorBidi"/>
                <w:i/>
                <w:iCs/>
                <w:sz w:val="20"/>
              </w:rPr>
              <w:t>In this question reductions in damage risk due to lower steroid dose have been adjusted for.</w:t>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2" cy="1440000"/>
                  <wp:effectExtent l="19050" t="0" r="0" b="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 1 believed that additional benefit to damage caused by steroids would be observed. Expert 2 believed that treatment was less likely to improve outcomes than the predictions. Expert 3 was very uncertain of the effects of treatment on steroid related damage. Expert 4 was uncertain of the effect of treatment on damage.</w:t>
            </w:r>
          </w:p>
        </w:tc>
      </w:tr>
      <w:tr w:rsidR="00C62F3A" w:rsidRPr="00B54392" w:rsidTr="00C62F3A">
        <w:tc>
          <w:tcPr>
            <w:tcW w:w="436" w:type="dxa"/>
          </w:tcPr>
          <w:p w:rsidR="008731E8" w:rsidRDefault="008731E8" w:rsidP="00C62F3A">
            <w:pPr>
              <w:rPr>
                <w:sz w:val="20"/>
              </w:rPr>
            </w:pPr>
          </w:p>
          <w:p w:rsidR="00C62F3A" w:rsidRPr="00B54392" w:rsidRDefault="00C62F3A" w:rsidP="00C62F3A">
            <w:pPr>
              <w:rPr>
                <w:sz w:val="20"/>
              </w:rPr>
            </w:pPr>
            <w:r w:rsidRPr="00B54392">
              <w:rPr>
                <w:sz w:val="20"/>
              </w:rPr>
              <w:t>12</w:t>
            </w:r>
          </w:p>
        </w:tc>
        <w:tc>
          <w:tcPr>
            <w:tcW w:w="5059" w:type="dxa"/>
          </w:tcPr>
          <w:p w:rsidR="008731E8" w:rsidRDefault="008731E8" w:rsidP="00C62F3A">
            <w:pPr>
              <w:rPr>
                <w:rFonts w:asciiTheme="majorBidi" w:hAnsiTheme="majorBidi" w:cstheme="majorBidi"/>
                <w:sz w:val="20"/>
              </w:rPr>
            </w:pPr>
          </w:p>
          <w:p w:rsidR="00C62F3A" w:rsidRPr="00B54392" w:rsidRDefault="00C62F3A" w:rsidP="00C62F3A">
            <w:pPr>
              <w:rPr>
                <w:rFonts w:asciiTheme="majorBidi" w:hAnsiTheme="majorBidi" w:cstheme="majorBidi"/>
                <w:sz w:val="20"/>
              </w:rPr>
            </w:pPr>
            <w:r w:rsidRPr="00B54392">
              <w:rPr>
                <w:rFonts w:asciiTheme="majorBidi" w:hAnsiTheme="majorBidi" w:cstheme="majorBidi"/>
                <w:sz w:val="20"/>
              </w:rPr>
              <w:t xml:space="preserve">What difference do you think there could be in the number of patients who have gonadal failure or malignancy after 5 years of biologic treatment compared with the natural history predictions. </w:t>
            </w:r>
          </w:p>
          <w:p w:rsidR="00C62F3A" w:rsidRPr="00B54392" w:rsidRDefault="00C62F3A" w:rsidP="00C62F3A">
            <w:pPr>
              <w:rPr>
                <w:sz w:val="20"/>
              </w:rPr>
            </w:pPr>
            <w:r w:rsidRPr="00B54392">
              <w:rPr>
                <w:rFonts w:asciiTheme="majorBidi" w:hAnsiTheme="majorBidi" w:cstheme="majorBidi"/>
                <w:i/>
                <w:iCs/>
                <w:sz w:val="20"/>
              </w:rPr>
              <w:t>In this question reductions in damage risk due to lower steroid dose have been adjusted for.</w:t>
            </w:r>
          </w:p>
        </w:tc>
        <w:tc>
          <w:tcPr>
            <w:tcW w:w="4394" w:type="dxa"/>
          </w:tcPr>
          <w:p w:rsidR="00C62F3A" w:rsidRDefault="00C62F3A" w:rsidP="00C62F3A">
            <w:pPr>
              <w:jc w:val="center"/>
              <w:rPr>
                <w:sz w:val="20"/>
              </w:rPr>
            </w:pPr>
          </w:p>
          <w:p w:rsidR="008731E8" w:rsidRPr="00B54392" w:rsidRDefault="008731E8" w:rsidP="00C62F3A">
            <w:pPr>
              <w:jc w:val="center"/>
              <w:rPr>
                <w:sz w:val="20"/>
              </w:rPr>
            </w:pPr>
            <w:r w:rsidRPr="00B54392">
              <w:rPr>
                <w:noProof/>
                <w:sz w:val="20"/>
                <w:lang w:eastAsia="zh-CN" w:bidi="ar-SA"/>
              </w:rPr>
              <w:drawing>
                <wp:inline distT="0" distB="0" distL="0" distR="0">
                  <wp:extent cx="2650362" cy="1440000"/>
                  <wp:effectExtent l="19050" t="0" r="0" b="0"/>
                  <wp:docPr id="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8731E8" w:rsidRDefault="008731E8" w:rsidP="00C62F3A">
            <w:pPr>
              <w:rPr>
                <w:sz w:val="20"/>
              </w:rPr>
            </w:pPr>
          </w:p>
          <w:p w:rsidR="00C62F3A" w:rsidRPr="00B54392" w:rsidRDefault="00C62F3A" w:rsidP="00C62F3A">
            <w:pPr>
              <w:rPr>
                <w:sz w:val="20"/>
              </w:rPr>
            </w:pPr>
            <w:r w:rsidRPr="00B54392">
              <w:rPr>
                <w:sz w:val="20"/>
              </w:rPr>
              <w:t>Expert 1 was confident that additional benefit would not be observed. Expert 2 did not expect treatment to improve these outcomes but was uncertain. Expert 3 was confident that treatment would not modify these outcomes. Expert 4 was confident of no additional benefit for these outcomes.</w:t>
            </w:r>
          </w:p>
        </w:tc>
      </w:tr>
      <w:tr w:rsidR="00C62F3A" w:rsidRPr="00B54392" w:rsidTr="00C62F3A">
        <w:tc>
          <w:tcPr>
            <w:tcW w:w="436" w:type="dxa"/>
          </w:tcPr>
          <w:p w:rsidR="00C62F3A" w:rsidRPr="00B54392" w:rsidRDefault="00C62F3A" w:rsidP="00C62F3A">
            <w:pPr>
              <w:rPr>
                <w:sz w:val="20"/>
              </w:rPr>
            </w:pPr>
            <w:r w:rsidRPr="00B54392">
              <w:rPr>
                <w:sz w:val="20"/>
              </w:rPr>
              <w:t>13</w:t>
            </w:r>
          </w:p>
        </w:tc>
        <w:tc>
          <w:tcPr>
            <w:tcW w:w="5059" w:type="dxa"/>
          </w:tcPr>
          <w:p w:rsidR="00C62F3A" w:rsidRPr="00B54392" w:rsidRDefault="00C62F3A" w:rsidP="00C62F3A">
            <w:pPr>
              <w:rPr>
                <w:rFonts w:asciiTheme="majorBidi" w:hAnsiTheme="majorBidi" w:cstheme="majorBidi"/>
                <w:sz w:val="20"/>
              </w:rPr>
            </w:pPr>
            <w:r w:rsidRPr="00B54392">
              <w:rPr>
                <w:rFonts w:asciiTheme="majorBidi" w:hAnsiTheme="majorBidi" w:cstheme="majorBidi"/>
                <w:sz w:val="20"/>
              </w:rPr>
              <w:t xml:space="preserve">What difference do you think there could be in the number of patients who have died after 5 years of biologic treatment compared with the natural history predictions. </w:t>
            </w:r>
          </w:p>
          <w:p w:rsidR="00C62F3A" w:rsidRPr="00B54392" w:rsidRDefault="00C62F3A" w:rsidP="00C62F3A">
            <w:pPr>
              <w:rPr>
                <w:sz w:val="20"/>
              </w:rPr>
            </w:pPr>
            <w:r w:rsidRPr="00B54392">
              <w:rPr>
                <w:rFonts w:asciiTheme="majorBidi" w:hAnsiTheme="majorBidi" w:cstheme="majorBidi"/>
                <w:i/>
                <w:iCs/>
                <w:sz w:val="20"/>
              </w:rPr>
              <w:t>In this question reductions in mortality risk due to lower disease activity scores have been adjusted for.</w:t>
            </w:r>
            <w:r w:rsidRPr="00B54392">
              <w:rPr>
                <w:sz w:val="20"/>
              </w:rPr>
              <w:tab/>
            </w:r>
          </w:p>
        </w:tc>
        <w:tc>
          <w:tcPr>
            <w:tcW w:w="4394" w:type="dxa"/>
          </w:tcPr>
          <w:p w:rsidR="00C62F3A" w:rsidRPr="00B54392" w:rsidRDefault="00C62F3A" w:rsidP="00C62F3A">
            <w:pPr>
              <w:jc w:val="center"/>
              <w:rPr>
                <w:sz w:val="20"/>
              </w:rPr>
            </w:pPr>
            <w:r w:rsidRPr="00B54392">
              <w:rPr>
                <w:noProof/>
                <w:sz w:val="20"/>
                <w:lang w:eastAsia="zh-CN" w:bidi="ar-SA"/>
              </w:rPr>
              <w:drawing>
                <wp:inline distT="0" distB="0" distL="0" distR="0">
                  <wp:extent cx="2650362" cy="144000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2650362" cy="1440000"/>
                          </a:xfrm>
                          <a:prstGeom prst="rect">
                            <a:avLst/>
                          </a:prstGeom>
                          <a:noFill/>
                          <a:ln w="9525">
                            <a:noFill/>
                            <a:miter lim="800000"/>
                            <a:headEnd/>
                            <a:tailEnd/>
                          </a:ln>
                        </pic:spPr>
                      </pic:pic>
                    </a:graphicData>
                  </a:graphic>
                </wp:inline>
              </w:drawing>
            </w:r>
          </w:p>
        </w:tc>
        <w:tc>
          <w:tcPr>
            <w:tcW w:w="4285" w:type="dxa"/>
          </w:tcPr>
          <w:p w:rsidR="00C62F3A" w:rsidRPr="00B54392" w:rsidRDefault="00C62F3A" w:rsidP="00C62F3A">
            <w:pPr>
              <w:rPr>
                <w:sz w:val="20"/>
              </w:rPr>
            </w:pPr>
            <w:r w:rsidRPr="00B54392">
              <w:rPr>
                <w:sz w:val="20"/>
              </w:rPr>
              <w:t>Expert 1 was confident that additional benefit would not be observed. Expert 2 believed that there was a higher probability of improvements in mortality. Expert 3 expected additional improvements in mortality rates. Expert 4 was uncertain of the effect of treatment on mortality.</w:t>
            </w:r>
          </w:p>
        </w:tc>
      </w:tr>
    </w:tbl>
    <w:p w:rsidR="00C62F3A" w:rsidRDefault="00C62F3A" w:rsidP="00C62F3A">
      <w:pPr>
        <w:sectPr w:rsidR="00C62F3A" w:rsidSect="006A3B1E">
          <w:pgSz w:w="16838" w:h="11906" w:orient="landscape"/>
          <w:pgMar w:top="1440" w:right="1440" w:bottom="1440" w:left="2268" w:header="708" w:footer="708" w:gutter="0"/>
          <w:cols w:space="708"/>
          <w:docGrid w:linePitch="360"/>
        </w:sectPr>
      </w:pPr>
    </w:p>
    <w:p w:rsidR="00C62F3A" w:rsidRDefault="00C62F3A" w:rsidP="0090251C">
      <w:bookmarkStart w:id="430" w:name="_Ref335065298"/>
      <w:r>
        <w:t>The distributions for the coeff</w:t>
      </w:r>
      <w:r w:rsidR="0090251C">
        <w:t>icients of the SLEDAI logit</w:t>
      </w:r>
      <w:r>
        <w:t xml:space="preserve"> models, organ damage </w:t>
      </w:r>
      <w:r w:rsidR="0090251C">
        <w:t xml:space="preserve">survival </w:t>
      </w:r>
      <w:r>
        <w:t>models and mortality</w:t>
      </w:r>
      <w:r w:rsidR="0090251C">
        <w:t xml:space="preserve"> survival</w:t>
      </w:r>
      <w:r>
        <w:t xml:space="preserve"> models are summarised in </w:t>
      </w:r>
      <w:r w:rsidR="00E729BA">
        <w:fldChar w:fldCharType="begin"/>
      </w:r>
      <w:r>
        <w:instrText xml:space="preserve"> REF _Ref335652973 \h </w:instrText>
      </w:r>
      <w:r w:rsidR="00E729BA">
        <w:fldChar w:fldCharType="separate"/>
      </w:r>
      <w:r w:rsidR="004911B7" w:rsidRPr="00220228">
        <w:t xml:space="preserve">Table </w:t>
      </w:r>
      <w:r w:rsidR="004911B7">
        <w:rPr>
          <w:noProof/>
        </w:rPr>
        <w:t>41</w:t>
      </w:r>
      <w:r w:rsidR="00E729BA">
        <w:fldChar w:fldCharType="end"/>
      </w:r>
      <w:r>
        <w:t>.</w:t>
      </w:r>
    </w:p>
    <w:p w:rsidR="00C62F3A" w:rsidRPr="00220228" w:rsidRDefault="00C62F3A" w:rsidP="00234693">
      <w:pPr>
        <w:pStyle w:val="Caption"/>
      </w:pPr>
      <w:bookmarkStart w:id="431" w:name="_Ref335652973"/>
      <w:r w:rsidRPr="00220228">
        <w:t xml:space="preserve">Table </w:t>
      </w:r>
      <w:r w:rsidR="00E729BA">
        <w:fldChar w:fldCharType="begin"/>
      </w:r>
      <w:r w:rsidRPr="00220228">
        <w:instrText xml:space="preserve"> SEQ Table \* ARABIC </w:instrText>
      </w:r>
      <w:r w:rsidR="00E729BA">
        <w:fldChar w:fldCharType="separate"/>
      </w:r>
      <w:r w:rsidR="004911B7">
        <w:rPr>
          <w:noProof/>
        </w:rPr>
        <w:t>41</w:t>
      </w:r>
      <w:r w:rsidR="00E729BA">
        <w:fldChar w:fldCharType="end"/>
      </w:r>
      <w:bookmarkEnd w:id="430"/>
      <w:bookmarkEnd w:id="431"/>
      <w:r w:rsidRPr="00220228">
        <w:t>: Coefficient estimates for treat</w:t>
      </w:r>
      <w:r>
        <w:t>ment effect estimated from the elicitation</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235"/>
        <w:gridCol w:w="992"/>
        <w:gridCol w:w="953"/>
        <w:gridCol w:w="1676"/>
        <w:gridCol w:w="915"/>
        <w:gridCol w:w="418"/>
        <w:gridCol w:w="432"/>
        <w:gridCol w:w="901"/>
      </w:tblGrid>
      <w:tr w:rsidR="00C62F3A" w:rsidRPr="00EB76D4" w:rsidTr="0087718E">
        <w:tc>
          <w:tcPr>
            <w:tcW w:w="2235" w:type="dxa"/>
            <w:tcBorders>
              <w:top w:val="single" w:sz="12" w:space="0" w:color="auto"/>
              <w:bottom w:val="single" w:sz="4" w:space="0" w:color="auto"/>
            </w:tcBorders>
          </w:tcPr>
          <w:p w:rsidR="00C62F3A" w:rsidRPr="00EB76D4" w:rsidRDefault="00C62F3A" w:rsidP="00C62F3A">
            <w:pPr>
              <w:spacing w:line="240" w:lineRule="auto"/>
              <w:rPr>
                <w:sz w:val="18"/>
                <w:szCs w:val="18"/>
              </w:rPr>
            </w:pPr>
          </w:p>
        </w:tc>
        <w:tc>
          <w:tcPr>
            <w:tcW w:w="992" w:type="dxa"/>
            <w:tcBorders>
              <w:top w:val="single" w:sz="12" w:space="0" w:color="auto"/>
              <w:bottom w:val="single" w:sz="4" w:space="0" w:color="auto"/>
            </w:tcBorders>
          </w:tcPr>
          <w:p w:rsidR="00C62F3A" w:rsidRPr="00EB76D4" w:rsidRDefault="00C62F3A" w:rsidP="00C62F3A">
            <w:pPr>
              <w:spacing w:line="240" w:lineRule="auto"/>
              <w:rPr>
                <w:sz w:val="18"/>
                <w:szCs w:val="18"/>
              </w:rPr>
            </w:pPr>
            <w:r>
              <w:rPr>
                <w:sz w:val="18"/>
                <w:szCs w:val="18"/>
              </w:rPr>
              <w:t>Mean</w:t>
            </w:r>
          </w:p>
        </w:tc>
        <w:tc>
          <w:tcPr>
            <w:tcW w:w="953" w:type="dxa"/>
            <w:tcBorders>
              <w:top w:val="single" w:sz="12" w:space="0" w:color="auto"/>
              <w:bottom w:val="single" w:sz="4" w:space="0" w:color="auto"/>
            </w:tcBorders>
          </w:tcPr>
          <w:p w:rsidR="00C62F3A" w:rsidRPr="00EB76D4" w:rsidRDefault="00C62F3A" w:rsidP="00C62F3A">
            <w:pPr>
              <w:spacing w:line="240" w:lineRule="auto"/>
              <w:rPr>
                <w:sz w:val="18"/>
                <w:szCs w:val="18"/>
              </w:rPr>
            </w:pPr>
            <w:r>
              <w:rPr>
                <w:sz w:val="18"/>
                <w:szCs w:val="18"/>
              </w:rPr>
              <w:t>Standard Deviation</w:t>
            </w:r>
          </w:p>
        </w:tc>
        <w:tc>
          <w:tcPr>
            <w:tcW w:w="2591" w:type="dxa"/>
            <w:gridSpan w:val="2"/>
            <w:tcBorders>
              <w:top w:val="single" w:sz="12" w:space="0" w:color="auto"/>
              <w:bottom w:val="single" w:sz="4" w:space="0" w:color="auto"/>
            </w:tcBorders>
          </w:tcPr>
          <w:p w:rsidR="00C62F3A" w:rsidRPr="00EB76D4" w:rsidRDefault="00C62F3A" w:rsidP="00C62F3A">
            <w:pPr>
              <w:spacing w:line="240" w:lineRule="auto"/>
              <w:rPr>
                <w:sz w:val="18"/>
                <w:szCs w:val="18"/>
              </w:rPr>
            </w:pPr>
          </w:p>
        </w:tc>
        <w:tc>
          <w:tcPr>
            <w:tcW w:w="850" w:type="dxa"/>
            <w:gridSpan w:val="2"/>
            <w:tcBorders>
              <w:top w:val="single" w:sz="12" w:space="0" w:color="auto"/>
              <w:bottom w:val="single" w:sz="4" w:space="0" w:color="auto"/>
            </w:tcBorders>
          </w:tcPr>
          <w:p w:rsidR="00C62F3A" w:rsidRPr="00EB76D4" w:rsidRDefault="00C62F3A" w:rsidP="00C62F3A">
            <w:pPr>
              <w:spacing w:line="240" w:lineRule="auto"/>
              <w:rPr>
                <w:sz w:val="18"/>
                <w:szCs w:val="18"/>
              </w:rPr>
            </w:pPr>
            <w:r>
              <w:rPr>
                <w:sz w:val="18"/>
                <w:szCs w:val="18"/>
              </w:rPr>
              <w:t xml:space="preserve">Mean </w:t>
            </w:r>
          </w:p>
        </w:tc>
        <w:tc>
          <w:tcPr>
            <w:tcW w:w="901" w:type="dxa"/>
            <w:tcBorders>
              <w:top w:val="single" w:sz="12" w:space="0" w:color="auto"/>
              <w:bottom w:val="single" w:sz="4" w:space="0" w:color="auto"/>
            </w:tcBorders>
          </w:tcPr>
          <w:p w:rsidR="00C62F3A" w:rsidRPr="00EB76D4" w:rsidRDefault="00C62F3A" w:rsidP="00C62F3A">
            <w:pPr>
              <w:spacing w:line="240" w:lineRule="auto"/>
              <w:rPr>
                <w:sz w:val="18"/>
                <w:szCs w:val="18"/>
              </w:rPr>
            </w:pPr>
            <w:r>
              <w:rPr>
                <w:sz w:val="18"/>
                <w:szCs w:val="18"/>
              </w:rPr>
              <w:t>Standard deviation</w:t>
            </w:r>
          </w:p>
        </w:tc>
      </w:tr>
      <w:tr w:rsidR="00C62F3A" w:rsidRPr="00EB76D4" w:rsidTr="00C62F3A">
        <w:tc>
          <w:tcPr>
            <w:tcW w:w="8522" w:type="dxa"/>
            <w:gridSpan w:val="8"/>
            <w:tcBorders>
              <w:top w:val="single" w:sz="4" w:space="0" w:color="auto"/>
            </w:tcBorders>
          </w:tcPr>
          <w:p w:rsidR="00C62F3A" w:rsidRDefault="00C62F3A" w:rsidP="00C62F3A">
            <w:pPr>
              <w:spacing w:line="240" w:lineRule="auto"/>
              <w:rPr>
                <w:sz w:val="18"/>
                <w:szCs w:val="18"/>
              </w:rPr>
            </w:pPr>
            <w:r>
              <w:rPr>
                <w:sz w:val="18"/>
                <w:szCs w:val="18"/>
              </w:rPr>
              <w:t>Treatment effect coefficients for disease activity</w:t>
            </w:r>
          </w:p>
        </w:tc>
      </w:tr>
      <w:tr w:rsidR="00C62F3A" w:rsidRPr="00EB76D4" w:rsidTr="00C62F3A">
        <w:tc>
          <w:tcPr>
            <w:tcW w:w="2235" w:type="dxa"/>
            <w:tcBorders>
              <w:top w:val="single" w:sz="4" w:space="0" w:color="auto"/>
            </w:tcBorders>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 </w:t>
            </w:r>
            <w:r w:rsidR="00C62F3A" w:rsidRPr="00F91D29">
              <w:rPr>
                <w:rFonts w:asciiTheme="majorBidi" w:hAnsiTheme="majorBidi" w:cstheme="majorBidi"/>
                <w:sz w:val="18"/>
                <w:szCs w:val="18"/>
              </w:rPr>
              <w:t>Seizure</w:t>
            </w:r>
          </w:p>
        </w:tc>
        <w:tc>
          <w:tcPr>
            <w:tcW w:w="992" w:type="dxa"/>
            <w:tcBorders>
              <w:top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-0.2223</w:t>
            </w:r>
          </w:p>
        </w:tc>
        <w:tc>
          <w:tcPr>
            <w:tcW w:w="953" w:type="dxa"/>
            <w:tcBorders>
              <w:top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1.6937</w:t>
            </w:r>
          </w:p>
        </w:tc>
        <w:tc>
          <w:tcPr>
            <w:tcW w:w="2591" w:type="dxa"/>
            <w:gridSpan w:val="2"/>
            <w:tcBorders>
              <w:top w:val="single" w:sz="4" w:space="0" w:color="auto"/>
            </w:tcBorders>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12. </w:t>
            </w:r>
            <w:r w:rsidR="00C62F3A" w:rsidRPr="00F91D29">
              <w:rPr>
                <w:rFonts w:asciiTheme="majorBidi" w:hAnsiTheme="majorBidi" w:cstheme="majorBidi"/>
                <w:sz w:val="18"/>
                <w:szCs w:val="18"/>
              </w:rPr>
              <w:t>Arthritis</w:t>
            </w:r>
          </w:p>
        </w:tc>
        <w:tc>
          <w:tcPr>
            <w:tcW w:w="850" w:type="dxa"/>
            <w:gridSpan w:val="2"/>
            <w:tcBorders>
              <w:top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-0.2090</w:t>
            </w:r>
          </w:p>
        </w:tc>
        <w:tc>
          <w:tcPr>
            <w:tcW w:w="901" w:type="dxa"/>
            <w:tcBorders>
              <w:top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0.3614</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2. </w:t>
            </w:r>
            <w:r w:rsidR="00C62F3A" w:rsidRPr="00F91D29">
              <w:rPr>
                <w:rFonts w:asciiTheme="majorBidi" w:hAnsiTheme="majorBidi" w:cstheme="majorBidi"/>
                <w:sz w:val="18"/>
                <w:szCs w:val="18"/>
              </w:rPr>
              <w:t>Psychosis</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-0.1743</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1.4697</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13. </w:t>
            </w:r>
            <w:r w:rsidR="00C62F3A" w:rsidRPr="00F91D29">
              <w:rPr>
                <w:rFonts w:asciiTheme="majorBidi" w:hAnsiTheme="majorBidi" w:cstheme="majorBidi"/>
                <w:sz w:val="18"/>
                <w:szCs w:val="18"/>
              </w:rPr>
              <w:t>Myositis</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-0.1051</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0.2406</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3. </w:t>
            </w:r>
            <w:r w:rsidR="00C62F3A" w:rsidRPr="00F91D29">
              <w:rPr>
                <w:rFonts w:asciiTheme="majorBidi" w:hAnsiTheme="majorBidi" w:cstheme="majorBidi"/>
                <w:sz w:val="18"/>
                <w:szCs w:val="18"/>
              </w:rPr>
              <w:t>Organic Brain Syndrome</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-0.0148</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0.1595</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14. </w:t>
            </w:r>
            <w:r w:rsidR="00C62F3A" w:rsidRPr="00F91D29">
              <w:rPr>
                <w:rFonts w:asciiTheme="majorBidi" w:hAnsiTheme="majorBidi" w:cstheme="majorBidi"/>
                <w:sz w:val="18"/>
                <w:szCs w:val="18"/>
              </w:rPr>
              <w:t>Rash</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-0.0658</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0.1475</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4. </w:t>
            </w:r>
            <w:r w:rsidR="00C62F3A" w:rsidRPr="00F91D29">
              <w:rPr>
                <w:rFonts w:asciiTheme="majorBidi" w:hAnsiTheme="majorBidi" w:cstheme="majorBidi"/>
                <w:sz w:val="18"/>
                <w:szCs w:val="18"/>
              </w:rPr>
              <w:t>Visual Disturbance</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-0.0243</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0.1901</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15. </w:t>
            </w:r>
            <w:r w:rsidR="00C62F3A" w:rsidRPr="00F91D29">
              <w:rPr>
                <w:rFonts w:asciiTheme="majorBidi" w:hAnsiTheme="majorBidi" w:cstheme="majorBidi"/>
                <w:sz w:val="18"/>
                <w:szCs w:val="18"/>
              </w:rPr>
              <w:t>Alopecia</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-0.2140</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0.3953</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5. </w:t>
            </w:r>
            <w:r w:rsidR="00C62F3A" w:rsidRPr="00F91D29">
              <w:rPr>
                <w:rFonts w:asciiTheme="majorBidi" w:hAnsiTheme="majorBidi" w:cstheme="majorBidi"/>
                <w:sz w:val="18"/>
                <w:szCs w:val="18"/>
              </w:rPr>
              <w:t>Cranial Nerve Disorder</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-0.0200</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0.2058</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16. </w:t>
            </w:r>
            <w:r w:rsidR="0016510D" w:rsidRPr="00F91D29">
              <w:rPr>
                <w:rFonts w:asciiTheme="majorBidi" w:hAnsiTheme="majorBidi" w:cstheme="majorBidi"/>
                <w:sz w:val="18"/>
                <w:szCs w:val="18"/>
              </w:rPr>
              <w:t>Mucosal</w:t>
            </w:r>
            <w:r w:rsidR="00C62F3A" w:rsidRPr="00F91D29">
              <w:rPr>
                <w:rFonts w:asciiTheme="majorBidi" w:hAnsiTheme="majorBidi" w:cstheme="majorBidi"/>
                <w:sz w:val="18"/>
                <w:szCs w:val="18"/>
              </w:rPr>
              <w:t xml:space="preserve"> Ulcers</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-0.1204</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0.2547</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6. </w:t>
            </w:r>
            <w:r w:rsidR="00C62F3A" w:rsidRPr="00F91D29">
              <w:rPr>
                <w:rFonts w:asciiTheme="majorBidi" w:hAnsiTheme="majorBidi" w:cstheme="majorBidi"/>
                <w:sz w:val="18"/>
                <w:szCs w:val="18"/>
              </w:rPr>
              <w:t>Lupus Headache</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-0.0602</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0.3025</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17. </w:t>
            </w:r>
            <w:r w:rsidR="00C62F3A" w:rsidRPr="00F91D29">
              <w:rPr>
                <w:rFonts w:asciiTheme="majorBidi" w:hAnsiTheme="majorBidi" w:cstheme="majorBidi"/>
                <w:sz w:val="18"/>
                <w:szCs w:val="18"/>
              </w:rPr>
              <w:t>Pleurisy</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-0.1977</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0.4631</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7. </w:t>
            </w:r>
            <w:r w:rsidR="00C62F3A" w:rsidRPr="00F91D29">
              <w:rPr>
                <w:rFonts w:asciiTheme="majorBidi" w:hAnsiTheme="majorBidi" w:cstheme="majorBidi"/>
                <w:sz w:val="18"/>
                <w:szCs w:val="18"/>
              </w:rPr>
              <w:t>Cerebrovascular event</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-0.0043</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0.0556</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18. </w:t>
            </w:r>
            <w:r w:rsidR="00C62F3A" w:rsidRPr="00F91D29">
              <w:rPr>
                <w:rFonts w:asciiTheme="majorBidi" w:hAnsiTheme="majorBidi" w:cstheme="majorBidi"/>
                <w:sz w:val="18"/>
                <w:szCs w:val="18"/>
              </w:rPr>
              <w:t>Pericarditis</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-0.0864</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0.2817</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8. </w:t>
            </w:r>
            <w:r w:rsidR="00C62F3A" w:rsidRPr="00F91D29">
              <w:rPr>
                <w:rFonts w:asciiTheme="majorBidi" w:hAnsiTheme="majorBidi" w:cstheme="majorBidi"/>
                <w:sz w:val="18"/>
                <w:szCs w:val="18"/>
              </w:rPr>
              <w:t>Urinary Casts</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-0.0023</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0.0212</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19. </w:t>
            </w:r>
            <w:r w:rsidR="0016510D" w:rsidRPr="00F91D29">
              <w:rPr>
                <w:rFonts w:asciiTheme="majorBidi" w:hAnsiTheme="majorBidi" w:cstheme="majorBidi"/>
                <w:sz w:val="18"/>
                <w:szCs w:val="18"/>
              </w:rPr>
              <w:t>Thrombocytopenia</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-0.1297</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0.3057</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9. </w:t>
            </w:r>
            <w:r w:rsidR="00C62F3A" w:rsidRPr="00F91D29">
              <w:rPr>
                <w:rFonts w:asciiTheme="majorBidi" w:hAnsiTheme="majorBidi" w:cstheme="majorBidi"/>
                <w:sz w:val="18"/>
                <w:szCs w:val="18"/>
              </w:rPr>
              <w:t>Hematuria</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-0.2738</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0.4354</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20. </w:t>
            </w:r>
            <w:r w:rsidR="00C62F3A" w:rsidRPr="00F91D29">
              <w:rPr>
                <w:rFonts w:asciiTheme="majorBidi" w:hAnsiTheme="majorBidi" w:cstheme="majorBidi"/>
                <w:sz w:val="18"/>
                <w:szCs w:val="18"/>
              </w:rPr>
              <w:t>Leukopenia</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-0.0389</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0.1255</w:t>
            </w:r>
          </w:p>
        </w:tc>
      </w:tr>
      <w:tr w:rsidR="00C62F3A" w:rsidRPr="00EB76D4" w:rsidTr="00C62F3A">
        <w:tc>
          <w:tcPr>
            <w:tcW w:w="2235" w:type="dxa"/>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10. </w:t>
            </w:r>
            <w:r w:rsidR="00C62F3A" w:rsidRPr="00F91D29">
              <w:rPr>
                <w:rFonts w:asciiTheme="majorBidi" w:hAnsiTheme="majorBidi" w:cstheme="majorBidi"/>
                <w:sz w:val="18"/>
                <w:szCs w:val="18"/>
              </w:rPr>
              <w:t>Proteinuria</w:t>
            </w:r>
          </w:p>
        </w:tc>
        <w:tc>
          <w:tcPr>
            <w:tcW w:w="992"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-0.1255</w:t>
            </w:r>
          </w:p>
        </w:tc>
        <w:tc>
          <w:tcPr>
            <w:tcW w:w="953"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0.2516</w:t>
            </w:r>
          </w:p>
        </w:tc>
        <w:tc>
          <w:tcPr>
            <w:tcW w:w="2591" w:type="dxa"/>
            <w:gridSpan w:val="2"/>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21. </w:t>
            </w:r>
            <w:r w:rsidR="00C62F3A" w:rsidRPr="00F91D29">
              <w:rPr>
                <w:rFonts w:asciiTheme="majorBidi" w:hAnsiTheme="majorBidi" w:cstheme="majorBidi"/>
                <w:sz w:val="18"/>
                <w:szCs w:val="18"/>
              </w:rPr>
              <w:t>Increased DNA Binding</w:t>
            </w:r>
          </w:p>
        </w:tc>
        <w:tc>
          <w:tcPr>
            <w:tcW w:w="850" w:type="dxa"/>
            <w:gridSpan w:val="2"/>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-0.1056</w:t>
            </w:r>
          </w:p>
        </w:tc>
        <w:tc>
          <w:tcPr>
            <w:tcW w:w="901" w:type="dxa"/>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0.0363</w:t>
            </w:r>
          </w:p>
        </w:tc>
      </w:tr>
      <w:tr w:rsidR="00C62F3A" w:rsidRPr="00EB76D4" w:rsidTr="00C62F3A">
        <w:tc>
          <w:tcPr>
            <w:tcW w:w="2235" w:type="dxa"/>
            <w:tcBorders>
              <w:bottom w:val="single" w:sz="4" w:space="0" w:color="auto"/>
            </w:tcBorders>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11. </w:t>
            </w:r>
            <w:r w:rsidR="00C62F3A" w:rsidRPr="00F91D29">
              <w:rPr>
                <w:rFonts w:asciiTheme="majorBidi" w:hAnsiTheme="majorBidi" w:cstheme="majorBidi"/>
                <w:sz w:val="18"/>
                <w:szCs w:val="18"/>
              </w:rPr>
              <w:t>Pyuria</w:t>
            </w:r>
          </w:p>
        </w:tc>
        <w:tc>
          <w:tcPr>
            <w:tcW w:w="992" w:type="dxa"/>
            <w:tcBorders>
              <w:bottom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-0.3009</w:t>
            </w:r>
          </w:p>
        </w:tc>
        <w:tc>
          <w:tcPr>
            <w:tcW w:w="953" w:type="dxa"/>
            <w:tcBorders>
              <w:bottom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0.4983</w:t>
            </w:r>
          </w:p>
        </w:tc>
        <w:tc>
          <w:tcPr>
            <w:tcW w:w="2591" w:type="dxa"/>
            <w:gridSpan w:val="2"/>
            <w:tcBorders>
              <w:bottom w:val="single" w:sz="4" w:space="0" w:color="auto"/>
            </w:tcBorders>
          </w:tcPr>
          <w:p w:rsidR="00C62F3A" w:rsidRPr="00F91D29" w:rsidRDefault="00B83880" w:rsidP="00C62F3A">
            <w:pPr>
              <w:spacing w:line="240" w:lineRule="auto"/>
              <w:rPr>
                <w:rFonts w:asciiTheme="majorBidi" w:hAnsiTheme="majorBidi" w:cstheme="majorBidi"/>
                <w:sz w:val="18"/>
                <w:szCs w:val="18"/>
              </w:rPr>
            </w:pPr>
            <w:r>
              <w:rPr>
                <w:rFonts w:asciiTheme="majorBidi" w:hAnsiTheme="majorBidi" w:cstheme="majorBidi"/>
                <w:sz w:val="18"/>
                <w:szCs w:val="18"/>
              </w:rPr>
              <w:t xml:space="preserve">22. </w:t>
            </w:r>
            <w:r w:rsidR="00C62F3A" w:rsidRPr="00F91D29">
              <w:rPr>
                <w:rFonts w:asciiTheme="majorBidi" w:hAnsiTheme="majorBidi" w:cstheme="majorBidi"/>
                <w:sz w:val="18"/>
                <w:szCs w:val="18"/>
              </w:rPr>
              <w:t>Low Complement</w:t>
            </w:r>
          </w:p>
        </w:tc>
        <w:tc>
          <w:tcPr>
            <w:tcW w:w="850" w:type="dxa"/>
            <w:gridSpan w:val="2"/>
            <w:tcBorders>
              <w:bottom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-0.1074</w:t>
            </w:r>
          </w:p>
        </w:tc>
        <w:tc>
          <w:tcPr>
            <w:tcW w:w="901" w:type="dxa"/>
            <w:tcBorders>
              <w:bottom w:val="single" w:sz="4" w:space="0" w:color="auto"/>
            </w:tcBorders>
            <w:vAlign w:val="bottom"/>
          </w:tcPr>
          <w:p w:rsidR="00C62F3A" w:rsidRPr="00F91D29" w:rsidRDefault="00C62F3A" w:rsidP="00C62F3A">
            <w:pPr>
              <w:jc w:val="right"/>
              <w:rPr>
                <w:rFonts w:asciiTheme="majorBidi" w:hAnsiTheme="majorBidi" w:cstheme="majorBidi"/>
                <w:color w:val="000000"/>
                <w:sz w:val="18"/>
                <w:szCs w:val="18"/>
              </w:rPr>
            </w:pPr>
            <w:r w:rsidRPr="00F91D29">
              <w:rPr>
                <w:rFonts w:asciiTheme="majorBidi" w:hAnsiTheme="majorBidi" w:cstheme="majorBidi"/>
                <w:color w:val="000000"/>
                <w:sz w:val="18"/>
                <w:szCs w:val="18"/>
              </w:rPr>
              <w:t>0.0343</w:t>
            </w:r>
          </w:p>
        </w:tc>
      </w:tr>
      <w:tr w:rsidR="00C62F3A" w:rsidRPr="00EB76D4" w:rsidTr="00C62F3A">
        <w:tc>
          <w:tcPr>
            <w:tcW w:w="8522" w:type="dxa"/>
            <w:gridSpan w:val="8"/>
            <w:tcBorders>
              <w:top w:val="single" w:sz="4" w:space="0" w:color="auto"/>
              <w:bottom w:val="single" w:sz="4" w:space="0" w:color="auto"/>
            </w:tcBorders>
          </w:tcPr>
          <w:p w:rsidR="00C62F3A" w:rsidRPr="00EB76D4" w:rsidRDefault="00C62F3A" w:rsidP="00C62F3A">
            <w:pPr>
              <w:spacing w:line="240" w:lineRule="auto"/>
              <w:rPr>
                <w:sz w:val="18"/>
                <w:szCs w:val="18"/>
              </w:rPr>
            </w:pPr>
            <w:r>
              <w:rPr>
                <w:sz w:val="18"/>
                <w:szCs w:val="18"/>
              </w:rPr>
              <w:t>Treatment effect coefficients for Disease Activity induced damage</w:t>
            </w:r>
          </w:p>
        </w:tc>
      </w:tr>
      <w:tr w:rsidR="00C62F3A" w:rsidRPr="00EB76D4" w:rsidTr="00C62F3A">
        <w:tc>
          <w:tcPr>
            <w:tcW w:w="2235" w:type="dxa"/>
            <w:tcBorders>
              <w:top w:val="single" w:sz="4" w:space="0" w:color="auto"/>
            </w:tcBorders>
          </w:tcPr>
          <w:p w:rsidR="00C62F3A" w:rsidRPr="00EB76D4" w:rsidRDefault="00B83880" w:rsidP="00C62F3A">
            <w:pPr>
              <w:spacing w:line="240" w:lineRule="auto"/>
              <w:rPr>
                <w:sz w:val="18"/>
                <w:szCs w:val="18"/>
              </w:rPr>
            </w:pPr>
            <w:r>
              <w:rPr>
                <w:sz w:val="18"/>
                <w:szCs w:val="18"/>
              </w:rPr>
              <w:t xml:space="preserve">1. </w:t>
            </w:r>
            <w:r w:rsidR="00C62F3A">
              <w:rPr>
                <w:sz w:val="18"/>
                <w:szCs w:val="18"/>
              </w:rPr>
              <w:t>Renal damage</w:t>
            </w:r>
          </w:p>
        </w:tc>
        <w:tc>
          <w:tcPr>
            <w:tcW w:w="992" w:type="dxa"/>
            <w:tcBorders>
              <w:top w:val="single" w:sz="4" w:space="0" w:color="auto"/>
            </w:tcBorders>
          </w:tcPr>
          <w:p w:rsidR="00C62F3A" w:rsidRPr="00EB76D4" w:rsidRDefault="00C62F3A" w:rsidP="00C62F3A">
            <w:pPr>
              <w:spacing w:line="240" w:lineRule="auto"/>
              <w:rPr>
                <w:sz w:val="18"/>
                <w:szCs w:val="18"/>
              </w:rPr>
            </w:pPr>
            <w:r>
              <w:rPr>
                <w:sz w:val="18"/>
                <w:szCs w:val="18"/>
              </w:rPr>
              <w:t>0.0105</w:t>
            </w:r>
          </w:p>
        </w:tc>
        <w:tc>
          <w:tcPr>
            <w:tcW w:w="953" w:type="dxa"/>
            <w:tcBorders>
              <w:top w:val="single" w:sz="4" w:space="0" w:color="auto"/>
            </w:tcBorders>
          </w:tcPr>
          <w:p w:rsidR="00C62F3A" w:rsidRPr="00EB76D4" w:rsidRDefault="00C62F3A" w:rsidP="00C62F3A">
            <w:pPr>
              <w:spacing w:line="240" w:lineRule="auto"/>
              <w:rPr>
                <w:sz w:val="18"/>
                <w:szCs w:val="18"/>
              </w:rPr>
            </w:pPr>
            <w:r>
              <w:rPr>
                <w:sz w:val="18"/>
                <w:szCs w:val="18"/>
              </w:rPr>
              <w:t>0.0300</w:t>
            </w:r>
          </w:p>
        </w:tc>
        <w:tc>
          <w:tcPr>
            <w:tcW w:w="2591" w:type="dxa"/>
            <w:gridSpan w:val="2"/>
            <w:tcBorders>
              <w:top w:val="single" w:sz="4" w:space="0" w:color="auto"/>
            </w:tcBorders>
          </w:tcPr>
          <w:p w:rsidR="00C62F3A" w:rsidRPr="00EB76D4" w:rsidRDefault="00B83880" w:rsidP="00C62F3A">
            <w:pPr>
              <w:spacing w:line="240" w:lineRule="auto"/>
              <w:rPr>
                <w:sz w:val="18"/>
                <w:szCs w:val="18"/>
              </w:rPr>
            </w:pPr>
            <w:r>
              <w:rPr>
                <w:sz w:val="18"/>
                <w:szCs w:val="18"/>
              </w:rPr>
              <w:t xml:space="preserve">3. </w:t>
            </w:r>
            <w:r w:rsidR="00C62F3A">
              <w:rPr>
                <w:sz w:val="18"/>
                <w:szCs w:val="18"/>
              </w:rPr>
              <w:t>Skin damage</w:t>
            </w:r>
          </w:p>
        </w:tc>
        <w:tc>
          <w:tcPr>
            <w:tcW w:w="850" w:type="dxa"/>
            <w:gridSpan w:val="2"/>
            <w:tcBorders>
              <w:top w:val="single" w:sz="4" w:space="0" w:color="auto"/>
            </w:tcBorders>
          </w:tcPr>
          <w:p w:rsidR="00C62F3A" w:rsidRPr="00EB76D4" w:rsidRDefault="00C62F3A" w:rsidP="00C62F3A">
            <w:pPr>
              <w:spacing w:line="240" w:lineRule="auto"/>
              <w:rPr>
                <w:sz w:val="18"/>
                <w:szCs w:val="18"/>
              </w:rPr>
            </w:pPr>
            <w:r>
              <w:rPr>
                <w:sz w:val="18"/>
                <w:szCs w:val="18"/>
              </w:rPr>
              <w:t>0.0127</w:t>
            </w:r>
          </w:p>
        </w:tc>
        <w:tc>
          <w:tcPr>
            <w:tcW w:w="901" w:type="dxa"/>
            <w:tcBorders>
              <w:top w:val="single" w:sz="4" w:space="0" w:color="auto"/>
            </w:tcBorders>
          </w:tcPr>
          <w:p w:rsidR="00C62F3A" w:rsidRPr="00EB76D4" w:rsidRDefault="00C62F3A" w:rsidP="00C62F3A">
            <w:pPr>
              <w:spacing w:line="240" w:lineRule="auto"/>
              <w:rPr>
                <w:sz w:val="18"/>
                <w:szCs w:val="18"/>
              </w:rPr>
            </w:pPr>
            <w:r>
              <w:rPr>
                <w:sz w:val="18"/>
                <w:szCs w:val="18"/>
              </w:rPr>
              <w:t>0.0414</w:t>
            </w:r>
          </w:p>
        </w:tc>
      </w:tr>
      <w:tr w:rsidR="00C62F3A" w:rsidRPr="00EB76D4" w:rsidTr="00C62F3A">
        <w:tc>
          <w:tcPr>
            <w:tcW w:w="2235" w:type="dxa"/>
            <w:tcBorders>
              <w:bottom w:val="single" w:sz="4" w:space="0" w:color="auto"/>
            </w:tcBorders>
          </w:tcPr>
          <w:p w:rsidR="00C62F3A" w:rsidRDefault="00B83880" w:rsidP="00C62F3A">
            <w:pPr>
              <w:spacing w:line="240" w:lineRule="auto"/>
              <w:rPr>
                <w:sz w:val="18"/>
                <w:szCs w:val="18"/>
              </w:rPr>
            </w:pPr>
            <w:r>
              <w:rPr>
                <w:sz w:val="18"/>
                <w:szCs w:val="18"/>
              </w:rPr>
              <w:t xml:space="preserve">2. </w:t>
            </w:r>
            <w:r w:rsidR="00C62F3A">
              <w:rPr>
                <w:sz w:val="18"/>
                <w:szCs w:val="18"/>
              </w:rPr>
              <w:t>Peripheral Vasculitis</w:t>
            </w:r>
          </w:p>
        </w:tc>
        <w:tc>
          <w:tcPr>
            <w:tcW w:w="992" w:type="dxa"/>
            <w:tcBorders>
              <w:bottom w:val="single" w:sz="4" w:space="0" w:color="auto"/>
            </w:tcBorders>
          </w:tcPr>
          <w:p w:rsidR="00C62F3A" w:rsidRPr="00EB76D4" w:rsidRDefault="00C62F3A" w:rsidP="00C62F3A">
            <w:pPr>
              <w:spacing w:line="240" w:lineRule="auto"/>
              <w:rPr>
                <w:sz w:val="18"/>
                <w:szCs w:val="18"/>
              </w:rPr>
            </w:pPr>
            <w:r>
              <w:rPr>
                <w:sz w:val="18"/>
                <w:szCs w:val="18"/>
              </w:rPr>
              <w:t>-0.0854</w:t>
            </w:r>
          </w:p>
        </w:tc>
        <w:tc>
          <w:tcPr>
            <w:tcW w:w="953" w:type="dxa"/>
            <w:tcBorders>
              <w:bottom w:val="single" w:sz="4" w:space="0" w:color="auto"/>
            </w:tcBorders>
          </w:tcPr>
          <w:p w:rsidR="00C62F3A" w:rsidRPr="00EB76D4" w:rsidRDefault="00C62F3A" w:rsidP="00C62F3A">
            <w:pPr>
              <w:spacing w:line="240" w:lineRule="auto"/>
              <w:rPr>
                <w:sz w:val="18"/>
                <w:szCs w:val="18"/>
              </w:rPr>
            </w:pPr>
            <w:r>
              <w:rPr>
                <w:sz w:val="18"/>
                <w:szCs w:val="18"/>
              </w:rPr>
              <w:t>0.3049</w:t>
            </w:r>
          </w:p>
        </w:tc>
        <w:tc>
          <w:tcPr>
            <w:tcW w:w="2591" w:type="dxa"/>
            <w:gridSpan w:val="2"/>
            <w:tcBorders>
              <w:bottom w:val="single" w:sz="4" w:space="0" w:color="auto"/>
            </w:tcBorders>
          </w:tcPr>
          <w:p w:rsidR="00C62F3A" w:rsidRDefault="00B83880" w:rsidP="00C62F3A">
            <w:pPr>
              <w:spacing w:line="240" w:lineRule="auto"/>
              <w:rPr>
                <w:sz w:val="18"/>
                <w:szCs w:val="18"/>
              </w:rPr>
            </w:pPr>
            <w:r>
              <w:rPr>
                <w:sz w:val="18"/>
                <w:szCs w:val="18"/>
              </w:rPr>
              <w:t xml:space="preserve">4. </w:t>
            </w:r>
            <w:r w:rsidR="00C62F3A">
              <w:rPr>
                <w:sz w:val="18"/>
                <w:szCs w:val="18"/>
              </w:rPr>
              <w:t>Pulmonary damage</w:t>
            </w:r>
          </w:p>
        </w:tc>
        <w:tc>
          <w:tcPr>
            <w:tcW w:w="850" w:type="dxa"/>
            <w:gridSpan w:val="2"/>
            <w:tcBorders>
              <w:bottom w:val="single" w:sz="4" w:space="0" w:color="auto"/>
            </w:tcBorders>
          </w:tcPr>
          <w:p w:rsidR="00C62F3A" w:rsidRPr="00EB76D4" w:rsidRDefault="00C62F3A" w:rsidP="00C62F3A">
            <w:pPr>
              <w:spacing w:line="240" w:lineRule="auto"/>
              <w:rPr>
                <w:sz w:val="18"/>
                <w:szCs w:val="18"/>
              </w:rPr>
            </w:pPr>
            <w:r>
              <w:rPr>
                <w:sz w:val="18"/>
                <w:szCs w:val="18"/>
              </w:rPr>
              <w:t>0.0204</w:t>
            </w:r>
          </w:p>
        </w:tc>
        <w:tc>
          <w:tcPr>
            <w:tcW w:w="901" w:type="dxa"/>
            <w:tcBorders>
              <w:bottom w:val="single" w:sz="4" w:space="0" w:color="auto"/>
            </w:tcBorders>
          </w:tcPr>
          <w:p w:rsidR="00C62F3A" w:rsidRPr="00EB76D4" w:rsidRDefault="00C62F3A" w:rsidP="00C62F3A">
            <w:pPr>
              <w:spacing w:line="240" w:lineRule="auto"/>
              <w:rPr>
                <w:sz w:val="18"/>
                <w:szCs w:val="18"/>
              </w:rPr>
            </w:pPr>
            <w:r>
              <w:rPr>
                <w:sz w:val="18"/>
                <w:szCs w:val="18"/>
              </w:rPr>
              <w:t>0.0565</w:t>
            </w:r>
          </w:p>
        </w:tc>
      </w:tr>
      <w:tr w:rsidR="00C62F3A" w:rsidRPr="00EB76D4" w:rsidTr="00C62F3A">
        <w:tc>
          <w:tcPr>
            <w:tcW w:w="8522" w:type="dxa"/>
            <w:gridSpan w:val="8"/>
            <w:tcBorders>
              <w:top w:val="single" w:sz="4" w:space="0" w:color="auto"/>
              <w:bottom w:val="single" w:sz="4" w:space="0" w:color="auto"/>
            </w:tcBorders>
          </w:tcPr>
          <w:p w:rsidR="00C62F3A" w:rsidRPr="00EB76D4" w:rsidRDefault="00C62F3A" w:rsidP="00C62F3A">
            <w:pPr>
              <w:spacing w:line="240" w:lineRule="auto"/>
              <w:rPr>
                <w:sz w:val="18"/>
                <w:szCs w:val="18"/>
              </w:rPr>
            </w:pPr>
            <w:r>
              <w:rPr>
                <w:sz w:val="18"/>
                <w:szCs w:val="18"/>
              </w:rPr>
              <w:t>Treatment effect coefficients for Steroid induced damage</w:t>
            </w:r>
          </w:p>
        </w:tc>
      </w:tr>
      <w:tr w:rsidR="00C62F3A" w:rsidRPr="00EB76D4" w:rsidTr="00C62F3A">
        <w:tc>
          <w:tcPr>
            <w:tcW w:w="2235" w:type="dxa"/>
            <w:tcBorders>
              <w:top w:val="single" w:sz="4" w:space="0" w:color="auto"/>
            </w:tcBorders>
          </w:tcPr>
          <w:p w:rsidR="00C62F3A" w:rsidRDefault="00B83880" w:rsidP="00C62F3A">
            <w:pPr>
              <w:spacing w:line="240" w:lineRule="auto"/>
              <w:rPr>
                <w:sz w:val="18"/>
                <w:szCs w:val="18"/>
              </w:rPr>
            </w:pPr>
            <w:r>
              <w:rPr>
                <w:sz w:val="18"/>
                <w:szCs w:val="18"/>
              </w:rPr>
              <w:t xml:space="preserve">5. </w:t>
            </w:r>
            <w:r w:rsidR="00C62F3A">
              <w:rPr>
                <w:sz w:val="18"/>
                <w:szCs w:val="18"/>
              </w:rPr>
              <w:t>Musculoskeletal damage</w:t>
            </w:r>
          </w:p>
        </w:tc>
        <w:tc>
          <w:tcPr>
            <w:tcW w:w="992" w:type="dxa"/>
            <w:tcBorders>
              <w:top w:val="single" w:sz="4" w:space="0" w:color="auto"/>
            </w:tcBorders>
          </w:tcPr>
          <w:p w:rsidR="00C62F3A" w:rsidRPr="00EB76D4" w:rsidRDefault="00C62F3A" w:rsidP="00C62F3A">
            <w:pPr>
              <w:spacing w:line="240" w:lineRule="auto"/>
              <w:rPr>
                <w:sz w:val="18"/>
                <w:szCs w:val="18"/>
              </w:rPr>
            </w:pPr>
            <w:r>
              <w:rPr>
                <w:sz w:val="18"/>
                <w:szCs w:val="18"/>
              </w:rPr>
              <w:t>-0.0469</w:t>
            </w:r>
          </w:p>
        </w:tc>
        <w:tc>
          <w:tcPr>
            <w:tcW w:w="953" w:type="dxa"/>
            <w:tcBorders>
              <w:top w:val="single" w:sz="4" w:space="0" w:color="auto"/>
            </w:tcBorders>
          </w:tcPr>
          <w:p w:rsidR="00C62F3A" w:rsidRPr="00EB76D4" w:rsidRDefault="00C62F3A" w:rsidP="00C62F3A">
            <w:pPr>
              <w:spacing w:line="240" w:lineRule="auto"/>
              <w:rPr>
                <w:sz w:val="18"/>
                <w:szCs w:val="18"/>
              </w:rPr>
            </w:pPr>
            <w:r>
              <w:rPr>
                <w:sz w:val="18"/>
                <w:szCs w:val="18"/>
              </w:rPr>
              <w:t>0.0727</w:t>
            </w:r>
          </w:p>
        </w:tc>
        <w:tc>
          <w:tcPr>
            <w:tcW w:w="2591" w:type="dxa"/>
            <w:gridSpan w:val="2"/>
            <w:tcBorders>
              <w:top w:val="single" w:sz="4" w:space="0" w:color="auto"/>
            </w:tcBorders>
          </w:tcPr>
          <w:p w:rsidR="00C62F3A" w:rsidRDefault="00B83880" w:rsidP="00C62F3A">
            <w:pPr>
              <w:spacing w:line="240" w:lineRule="auto"/>
              <w:rPr>
                <w:sz w:val="18"/>
                <w:szCs w:val="18"/>
              </w:rPr>
            </w:pPr>
            <w:r>
              <w:rPr>
                <w:sz w:val="18"/>
                <w:szCs w:val="18"/>
              </w:rPr>
              <w:t xml:space="preserve">7. </w:t>
            </w:r>
            <w:r w:rsidR="00C62F3A">
              <w:rPr>
                <w:sz w:val="18"/>
                <w:szCs w:val="18"/>
              </w:rPr>
              <w:t>Ocular damage</w:t>
            </w:r>
          </w:p>
        </w:tc>
        <w:tc>
          <w:tcPr>
            <w:tcW w:w="850" w:type="dxa"/>
            <w:gridSpan w:val="2"/>
            <w:tcBorders>
              <w:top w:val="single" w:sz="4" w:space="0" w:color="auto"/>
            </w:tcBorders>
          </w:tcPr>
          <w:p w:rsidR="00C62F3A" w:rsidRPr="00EB76D4" w:rsidRDefault="00C62F3A" w:rsidP="00C62F3A">
            <w:pPr>
              <w:spacing w:line="240" w:lineRule="auto"/>
              <w:rPr>
                <w:sz w:val="18"/>
                <w:szCs w:val="18"/>
              </w:rPr>
            </w:pPr>
            <w:r>
              <w:rPr>
                <w:sz w:val="18"/>
                <w:szCs w:val="18"/>
              </w:rPr>
              <w:t>-0.0461</w:t>
            </w:r>
          </w:p>
        </w:tc>
        <w:tc>
          <w:tcPr>
            <w:tcW w:w="901" w:type="dxa"/>
            <w:tcBorders>
              <w:top w:val="single" w:sz="4" w:space="0" w:color="auto"/>
            </w:tcBorders>
          </w:tcPr>
          <w:p w:rsidR="00C62F3A" w:rsidRPr="00EB76D4" w:rsidRDefault="00C62F3A" w:rsidP="00C62F3A">
            <w:pPr>
              <w:spacing w:line="240" w:lineRule="auto"/>
              <w:rPr>
                <w:sz w:val="18"/>
                <w:szCs w:val="18"/>
              </w:rPr>
            </w:pPr>
            <w:r>
              <w:rPr>
                <w:sz w:val="18"/>
                <w:szCs w:val="18"/>
              </w:rPr>
              <w:t>0.0663</w:t>
            </w:r>
          </w:p>
        </w:tc>
      </w:tr>
      <w:tr w:rsidR="00C62F3A" w:rsidRPr="00EB76D4" w:rsidTr="00C62F3A">
        <w:tc>
          <w:tcPr>
            <w:tcW w:w="2235" w:type="dxa"/>
            <w:tcBorders>
              <w:bottom w:val="single" w:sz="4" w:space="0" w:color="auto"/>
            </w:tcBorders>
          </w:tcPr>
          <w:p w:rsidR="00C62F3A" w:rsidRDefault="00B83880" w:rsidP="00C62F3A">
            <w:pPr>
              <w:spacing w:line="240" w:lineRule="auto"/>
              <w:rPr>
                <w:sz w:val="18"/>
                <w:szCs w:val="18"/>
              </w:rPr>
            </w:pPr>
            <w:r>
              <w:rPr>
                <w:sz w:val="18"/>
                <w:szCs w:val="18"/>
              </w:rPr>
              <w:t xml:space="preserve">6. </w:t>
            </w:r>
            <w:r w:rsidR="00C62F3A">
              <w:rPr>
                <w:sz w:val="18"/>
                <w:szCs w:val="18"/>
              </w:rPr>
              <w:t>Diabetes</w:t>
            </w:r>
          </w:p>
        </w:tc>
        <w:tc>
          <w:tcPr>
            <w:tcW w:w="992" w:type="dxa"/>
            <w:tcBorders>
              <w:bottom w:val="single" w:sz="4" w:space="0" w:color="auto"/>
            </w:tcBorders>
          </w:tcPr>
          <w:p w:rsidR="00C62F3A" w:rsidRPr="00EB76D4" w:rsidRDefault="00C62F3A" w:rsidP="00C62F3A">
            <w:pPr>
              <w:spacing w:line="240" w:lineRule="auto"/>
              <w:rPr>
                <w:sz w:val="18"/>
                <w:szCs w:val="18"/>
              </w:rPr>
            </w:pPr>
            <w:r>
              <w:rPr>
                <w:sz w:val="18"/>
                <w:szCs w:val="18"/>
              </w:rPr>
              <w:t>-0.0454</w:t>
            </w:r>
          </w:p>
        </w:tc>
        <w:tc>
          <w:tcPr>
            <w:tcW w:w="953" w:type="dxa"/>
            <w:tcBorders>
              <w:bottom w:val="single" w:sz="4" w:space="0" w:color="auto"/>
            </w:tcBorders>
          </w:tcPr>
          <w:p w:rsidR="00C62F3A" w:rsidRPr="00EB76D4" w:rsidRDefault="00C62F3A" w:rsidP="00C62F3A">
            <w:pPr>
              <w:spacing w:line="240" w:lineRule="auto"/>
              <w:rPr>
                <w:sz w:val="18"/>
                <w:szCs w:val="18"/>
              </w:rPr>
            </w:pPr>
            <w:r>
              <w:rPr>
                <w:sz w:val="18"/>
                <w:szCs w:val="18"/>
              </w:rPr>
              <w:t>0.0721</w:t>
            </w:r>
          </w:p>
        </w:tc>
        <w:tc>
          <w:tcPr>
            <w:tcW w:w="2591" w:type="dxa"/>
            <w:gridSpan w:val="2"/>
            <w:tcBorders>
              <w:bottom w:val="single" w:sz="4" w:space="0" w:color="auto"/>
            </w:tcBorders>
          </w:tcPr>
          <w:p w:rsidR="00C62F3A" w:rsidRDefault="00C62F3A" w:rsidP="00C62F3A">
            <w:pPr>
              <w:spacing w:line="240" w:lineRule="auto"/>
              <w:rPr>
                <w:sz w:val="18"/>
                <w:szCs w:val="18"/>
              </w:rPr>
            </w:pPr>
          </w:p>
        </w:tc>
        <w:tc>
          <w:tcPr>
            <w:tcW w:w="850" w:type="dxa"/>
            <w:gridSpan w:val="2"/>
            <w:tcBorders>
              <w:bottom w:val="single" w:sz="4" w:space="0" w:color="auto"/>
            </w:tcBorders>
          </w:tcPr>
          <w:p w:rsidR="00C62F3A" w:rsidRPr="00EB76D4" w:rsidRDefault="00C62F3A" w:rsidP="00C62F3A">
            <w:pPr>
              <w:spacing w:line="240" w:lineRule="auto"/>
              <w:rPr>
                <w:sz w:val="18"/>
                <w:szCs w:val="18"/>
              </w:rPr>
            </w:pPr>
          </w:p>
        </w:tc>
        <w:tc>
          <w:tcPr>
            <w:tcW w:w="901" w:type="dxa"/>
            <w:tcBorders>
              <w:bottom w:val="single" w:sz="4" w:space="0" w:color="auto"/>
            </w:tcBorders>
          </w:tcPr>
          <w:p w:rsidR="00C62F3A" w:rsidRPr="00EB76D4" w:rsidRDefault="00C62F3A" w:rsidP="00C62F3A">
            <w:pPr>
              <w:spacing w:line="240" w:lineRule="auto"/>
              <w:rPr>
                <w:sz w:val="18"/>
                <w:szCs w:val="18"/>
              </w:rPr>
            </w:pPr>
          </w:p>
        </w:tc>
      </w:tr>
      <w:tr w:rsidR="00C62F3A" w:rsidRPr="00EB76D4" w:rsidTr="00C62F3A">
        <w:tc>
          <w:tcPr>
            <w:tcW w:w="8522" w:type="dxa"/>
            <w:gridSpan w:val="8"/>
            <w:tcBorders>
              <w:top w:val="single" w:sz="4" w:space="0" w:color="auto"/>
              <w:bottom w:val="single" w:sz="4" w:space="0" w:color="auto"/>
            </w:tcBorders>
          </w:tcPr>
          <w:p w:rsidR="00C62F3A" w:rsidRPr="00EB76D4" w:rsidRDefault="00C62F3A" w:rsidP="00C62F3A">
            <w:pPr>
              <w:spacing w:line="240" w:lineRule="auto"/>
              <w:rPr>
                <w:sz w:val="18"/>
                <w:szCs w:val="18"/>
              </w:rPr>
            </w:pPr>
            <w:r>
              <w:rPr>
                <w:sz w:val="18"/>
                <w:szCs w:val="18"/>
              </w:rPr>
              <w:t>Treatment effect coefficients for Disease Activity and Steroid induced damage</w:t>
            </w:r>
          </w:p>
        </w:tc>
      </w:tr>
      <w:tr w:rsidR="00C62F3A" w:rsidRPr="00EB76D4" w:rsidTr="00C62F3A">
        <w:tc>
          <w:tcPr>
            <w:tcW w:w="2235" w:type="dxa"/>
            <w:tcBorders>
              <w:top w:val="single" w:sz="4" w:space="0" w:color="auto"/>
            </w:tcBorders>
          </w:tcPr>
          <w:p w:rsidR="00C62F3A" w:rsidRDefault="00B83880" w:rsidP="00C62F3A">
            <w:pPr>
              <w:spacing w:line="240" w:lineRule="auto"/>
              <w:rPr>
                <w:sz w:val="18"/>
                <w:szCs w:val="18"/>
              </w:rPr>
            </w:pPr>
            <w:r>
              <w:rPr>
                <w:sz w:val="18"/>
                <w:szCs w:val="18"/>
              </w:rPr>
              <w:t xml:space="preserve">8. </w:t>
            </w:r>
            <w:r w:rsidR="00C62F3A">
              <w:rPr>
                <w:sz w:val="18"/>
                <w:szCs w:val="18"/>
              </w:rPr>
              <w:t>Cardiovascular damage</w:t>
            </w:r>
          </w:p>
        </w:tc>
        <w:tc>
          <w:tcPr>
            <w:tcW w:w="992" w:type="dxa"/>
            <w:tcBorders>
              <w:top w:val="single" w:sz="4" w:space="0" w:color="auto"/>
            </w:tcBorders>
          </w:tcPr>
          <w:p w:rsidR="00C62F3A" w:rsidRPr="00EB76D4" w:rsidRDefault="00C62F3A" w:rsidP="00C62F3A">
            <w:pPr>
              <w:spacing w:line="240" w:lineRule="auto"/>
              <w:rPr>
                <w:sz w:val="18"/>
                <w:szCs w:val="18"/>
              </w:rPr>
            </w:pPr>
            <w:r>
              <w:rPr>
                <w:sz w:val="18"/>
                <w:szCs w:val="18"/>
              </w:rPr>
              <w:t>-0.0435</w:t>
            </w:r>
          </w:p>
        </w:tc>
        <w:tc>
          <w:tcPr>
            <w:tcW w:w="953" w:type="dxa"/>
            <w:tcBorders>
              <w:top w:val="single" w:sz="4" w:space="0" w:color="auto"/>
            </w:tcBorders>
          </w:tcPr>
          <w:p w:rsidR="00C62F3A" w:rsidRPr="00EB76D4" w:rsidRDefault="00C62F3A" w:rsidP="00C62F3A">
            <w:pPr>
              <w:spacing w:line="240" w:lineRule="auto"/>
              <w:rPr>
                <w:sz w:val="18"/>
                <w:szCs w:val="18"/>
              </w:rPr>
            </w:pPr>
            <w:r>
              <w:rPr>
                <w:sz w:val="18"/>
                <w:szCs w:val="18"/>
              </w:rPr>
              <w:t>0.0665</w:t>
            </w:r>
          </w:p>
        </w:tc>
        <w:tc>
          <w:tcPr>
            <w:tcW w:w="2591" w:type="dxa"/>
            <w:gridSpan w:val="2"/>
            <w:tcBorders>
              <w:top w:val="single" w:sz="4" w:space="0" w:color="auto"/>
            </w:tcBorders>
          </w:tcPr>
          <w:p w:rsidR="00C62F3A" w:rsidRDefault="00B83880" w:rsidP="00C62F3A">
            <w:pPr>
              <w:spacing w:line="240" w:lineRule="auto"/>
              <w:rPr>
                <w:sz w:val="18"/>
                <w:szCs w:val="18"/>
              </w:rPr>
            </w:pPr>
            <w:r>
              <w:rPr>
                <w:sz w:val="18"/>
                <w:szCs w:val="18"/>
              </w:rPr>
              <w:t xml:space="preserve">10. </w:t>
            </w:r>
            <w:r w:rsidR="00C62F3A">
              <w:rPr>
                <w:sz w:val="18"/>
                <w:szCs w:val="18"/>
              </w:rPr>
              <w:t>Neuropsychiatric damage</w:t>
            </w:r>
          </w:p>
        </w:tc>
        <w:tc>
          <w:tcPr>
            <w:tcW w:w="850" w:type="dxa"/>
            <w:gridSpan w:val="2"/>
            <w:tcBorders>
              <w:top w:val="single" w:sz="4" w:space="0" w:color="auto"/>
            </w:tcBorders>
          </w:tcPr>
          <w:p w:rsidR="00C62F3A" w:rsidRPr="00EB76D4" w:rsidRDefault="00C62F3A" w:rsidP="00C62F3A">
            <w:pPr>
              <w:spacing w:line="240" w:lineRule="auto"/>
              <w:rPr>
                <w:sz w:val="18"/>
                <w:szCs w:val="18"/>
              </w:rPr>
            </w:pPr>
            <w:r>
              <w:rPr>
                <w:sz w:val="18"/>
                <w:szCs w:val="18"/>
              </w:rPr>
              <w:t>-0.0440</w:t>
            </w:r>
          </w:p>
        </w:tc>
        <w:tc>
          <w:tcPr>
            <w:tcW w:w="901" w:type="dxa"/>
            <w:tcBorders>
              <w:top w:val="single" w:sz="4" w:space="0" w:color="auto"/>
            </w:tcBorders>
          </w:tcPr>
          <w:p w:rsidR="00C62F3A" w:rsidRPr="00EB76D4" w:rsidRDefault="00C62F3A" w:rsidP="00C62F3A">
            <w:pPr>
              <w:spacing w:line="240" w:lineRule="auto"/>
              <w:rPr>
                <w:sz w:val="18"/>
                <w:szCs w:val="18"/>
              </w:rPr>
            </w:pPr>
            <w:r>
              <w:rPr>
                <w:sz w:val="18"/>
                <w:szCs w:val="18"/>
              </w:rPr>
              <w:t>0.0666</w:t>
            </w:r>
          </w:p>
        </w:tc>
      </w:tr>
      <w:tr w:rsidR="00C62F3A" w:rsidRPr="00EB76D4" w:rsidTr="00C62F3A">
        <w:tc>
          <w:tcPr>
            <w:tcW w:w="2235" w:type="dxa"/>
            <w:tcBorders>
              <w:bottom w:val="single" w:sz="4" w:space="0" w:color="auto"/>
            </w:tcBorders>
          </w:tcPr>
          <w:p w:rsidR="00C62F3A" w:rsidRDefault="00B83880" w:rsidP="00C62F3A">
            <w:pPr>
              <w:spacing w:line="240" w:lineRule="auto"/>
              <w:rPr>
                <w:sz w:val="18"/>
                <w:szCs w:val="18"/>
              </w:rPr>
            </w:pPr>
            <w:r>
              <w:rPr>
                <w:sz w:val="18"/>
                <w:szCs w:val="18"/>
              </w:rPr>
              <w:t xml:space="preserve">9. </w:t>
            </w:r>
            <w:r w:rsidR="00C62F3A">
              <w:rPr>
                <w:sz w:val="18"/>
                <w:szCs w:val="18"/>
              </w:rPr>
              <w:t>Gastrointestinal damage</w:t>
            </w:r>
          </w:p>
        </w:tc>
        <w:tc>
          <w:tcPr>
            <w:tcW w:w="992" w:type="dxa"/>
            <w:tcBorders>
              <w:bottom w:val="single" w:sz="4" w:space="0" w:color="auto"/>
            </w:tcBorders>
          </w:tcPr>
          <w:p w:rsidR="00C62F3A" w:rsidRPr="00EB76D4" w:rsidRDefault="00C62F3A" w:rsidP="00C62F3A">
            <w:pPr>
              <w:spacing w:line="240" w:lineRule="auto"/>
              <w:rPr>
                <w:sz w:val="18"/>
                <w:szCs w:val="18"/>
              </w:rPr>
            </w:pPr>
            <w:r>
              <w:rPr>
                <w:sz w:val="18"/>
                <w:szCs w:val="18"/>
              </w:rPr>
              <w:t>-0.0432</w:t>
            </w:r>
          </w:p>
        </w:tc>
        <w:tc>
          <w:tcPr>
            <w:tcW w:w="953" w:type="dxa"/>
            <w:tcBorders>
              <w:bottom w:val="single" w:sz="4" w:space="0" w:color="auto"/>
            </w:tcBorders>
          </w:tcPr>
          <w:p w:rsidR="00C62F3A" w:rsidRPr="00EB76D4" w:rsidRDefault="00C62F3A" w:rsidP="00C62F3A">
            <w:pPr>
              <w:spacing w:line="240" w:lineRule="auto"/>
              <w:rPr>
                <w:sz w:val="18"/>
                <w:szCs w:val="18"/>
              </w:rPr>
            </w:pPr>
            <w:r>
              <w:rPr>
                <w:sz w:val="18"/>
                <w:szCs w:val="18"/>
              </w:rPr>
              <w:t>0.0663</w:t>
            </w:r>
          </w:p>
        </w:tc>
        <w:tc>
          <w:tcPr>
            <w:tcW w:w="2591" w:type="dxa"/>
            <w:gridSpan w:val="2"/>
            <w:tcBorders>
              <w:bottom w:val="single" w:sz="4" w:space="0" w:color="auto"/>
            </w:tcBorders>
          </w:tcPr>
          <w:p w:rsidR="00C62F3A" w:rsidRDefault="00C62F3A" w:rsidP="00C62F3A">
            <w:pPr>
              <w:spacing w:line="240" w:lineRule="auto"/>
              <w:rPr>
                <w:sz w:val="18"/>
                <w:szCs w:val="18"/>
              </w:rPr>
            </w:pPr>
          </w:p>
        </w:tc>
        <w:tc>
          <w:tcPr>
            <w:tcW w:w="850" w:type="dxa"/>
            <w:gridSpan w:val="2"/>
            <w:tcBorders>
              <w:bottom w:val="single" w:sz="4" w:space="0" w:color="auto"/>
            </w:tcBorders>
          </w:tcPr>
          <w:p w:rsidR="00C62F3A" w:rsidRPr="00EB76D4" w:rsidRDefault="00C62F3A" w:rsidP="00C62F3A">
            <w:pPr>
              <w:spacing w:line="240" w:lineRule="auto"/>
              <w:rPr>
                <w:sz w:val="18"/>
                <w:szCs w:val="18"/>
              </w:rPr>
            </w:pPr>
          </w:p>
        </w:tc>
        <w:tc>
          <w:tcPr>
            <w:tcW w:w="901" w:type="dxa"/>
            <w:tcBorders>
              <w:bottom w:val="single" w:sz="4" w:space="0" w:color="auto"/>
            </w:tcBorders>
          </w:tcPr>
          <w:p w:rsidR="00C62F3A" w:rsidRPr="00EB76D4" w:rsidRDefault="00C62F3A" w:rsidP="00C62F3A">
            <w:pPr>
              <w:spacing w:line="240" w:lineRule="auto"/>
              <w:rPr>
                <w:sz w:val="18"/>
                <w:szCs w:val="18"/>
              </w:rPr>
            </w:pPr>
          </w:p>
        </w:tc>
      </w:tr>
      <w:tr w:rsidR="00C62F3A" w:rsidRPr="00EB76D4" w:rsidTr="00C62F3A">
        <w:tc>
          <w:tcPr>
            <w:tcW w:w="8522" w:type="dxa"/>
            <w:gridSpan w:val="8"/>
            <w:tcBorders>
              <w:top w:val="single" w:sz="4" w:space="0" w:color="auto"/>
              <w:bottom w:val="single" w:sz="4" w:space="0" w:color="auto"/>
            </w:tcBorders>
          </w:tcPr>
          <w:p w:rsidR="00C62F3A" w:rsidRPr="00EB76D4" w:rsidRDefault="00C62F3A" w:rsidP="00C62F3A">
            <w:pPr>
              <w:spacing w:line="240" w:lineRule="auto"/>
              <w:rPr>
                <w:sz w:val="18"/>
                <w:szCs w:val="18"/>
              </w:rPr>
            </w:pPr>
            <w:r>
              <w:rPr>
                <w:sz w:val="18"/>
                <w:szCs w:val="18"/>
              </w:rPr>
              <w:t>Treatment effect coefficient for mortality</w:t>
            </w:r>
          </w:p>
        </w:tc>
      </w:tr>
      <w:tr w:rsidR="00C62F3A" w:rsidRPr="00EB76D4" w:rsidTr="0087718E">
        <w:tc>
          <w:tcPr>
            <w:tcW w:w="2235" w:type="dxa"/>
            <w:tcBorders>
              <w:top w:val="single" w:sz="4" w:space="0" w:color="auto"/>
              <w:bottom w:val="single" w:sz="12" w:space="0" w:color="auto"/>
            </w:tcBorders>
          </w:tcPr>
          <w:p w:rsidR="00C62F3A" w:rsidRDefault="00B83880" w:rsidP="00C62F3A">
            <w:pPr>
              <w:spacing w:line="240" w:lineRule="auto"/>
              <w:rPr>
                <w:sz w:val="18"/>
                <w:szCs w:val="18"/>
              </w:rPr>
            </w:pPr>
            <w:r>
              <w:rPr>
                <w:sz w:val="18"/>
                <w:szCs w:val="18"/>
              </w:rPr>
              <w:t xml:space="preserve">11. </w:t>
            </w:r>
            <w:r w:rsidR="00C62F3A">
              <w:rPr>
                <w:sz w:val="18"/>
                <w:szCs w:val="18"/>
              </w:rPr>
              <w:t>Mortality</w:t>
            </w:r>
          </w:p>
        </w:tc>
        <w:tc>
          <w:tcPr>
            <w:tcW w:w="992" w:type="dxa"/>
            <w:tcBorders>
              <w:top w:val="single" w:sz="4" w:space="0" w:color="auto"/>
              <w:bottom w:val="single" w:sz="12" w:space="0" w:color="auto"/>
            </w:tcBorders>
          </w:tcPr>
          <w:p w:rsidR="00C62F3A" w:rsidRPr="00EB76D4" w:rsidRDefault="00C62F3A" w:rsidP="00C62F3A">
            <w:pPr>
              <w:spacing w:line="240" w:lineRule="auto"/>
              <w:rPr>
                <w:sz w:val="18"/>
                <w:szCs w:val="18"/>
              </w:rPr>
            </w:pPr>
            <w:r>
              <w:rPr>
                <w:sz w:val="18"/>
                <w:szCs w:val="18"/>
              </w:rPr>
              <w:t>-0.3854</w:t>
            </w:r>
          </w:p>
        </w:tc>
        <w:tc>
          <w:tcPr>
            <w:tcW w:w="953" w:type="dxa"/>
            <w:tcBorders>
              <w:top w:val="single" w:sz="4" w:space="0" w:color="auto"/>
              <w:bottom w:val="single" w:sz="12" w:space="0" w:color="auto"/>
            </w:tcBorders>
          </w:tcPr>
          <w:p w:rsidR="00C62F3A" w:rsidRPr="00EB76D4" w:rsidRDefault="00C62F3A" w:rsidP="00C62F3A">
            <w:pPr>
              <w:spacing w:line="240" w:lineRule="auto"/>
              <w:rPr>
                <w:sz w:val="18"/>
                <w:szCs w:val="18"/>
              </w:rPr>
            </w:pPr>
            <w:r>
              <w:rPr>
                <w:sz w:val="18"/>
                <w:szCs w:val="18"/>
              </w:rPr>
              <w:t>1.3754</w:t>
            </w:r>
          </w:p>
        </w:tc>
        <w:tc>
          <w:tcPr>
            <w:tcW w:w="1676" w:type="dxa"/>
            <w:tcBorders>
              <w:top w:val="single" w:sz="4" w:space="0" w:color="auto"/>
              <w:bottom w:val="single" w:sz="12" w:space="0" w:color="auto"/>
            </w:tcBorders>
          </w:tcPr>
          <w:p w:rsidR="00C62F3A" w:rsidRDefault="00C62F3A" w:rsidP="00C62F3A">
            <w:pPr>
              <w:spacing w:line="240" w:lineRule="auto"/>
              <w:rPr>
                <w:sz w:val="18"/>
                <w:szCs w:val="18"/>
              </w:rPr>
            </w:pPr>
          </w:p>
        </w:tc>
        <w:tc>
          <w:tcPr>
            <w:tcW w:w="1333" w:type="dxa"/>
            <w:gridSpan w:val="2"/>
            <w:tcBorders>
              <w:top w:val="single" w:sz="4" w:space="0" w:color="auto"/>
              <w:bottom w:val="single" w:sz="12" w:space="0" w:color="auto"/>
            </w:tcBorders>
          </w:tcPr>
          <w:p w:rsidR="00C62F3A" w:rsidRPr="00EB76D4" w:rsidRDefault="00C62F3A" w:rsidP="00C62F3A">
            <w:pPr>
              <w:spacing w:line="240" w:lineRule="auto"/>
              <w:rPr>
                <w:sz w:val="18"/>
                <w:szCs w:val="18"/>
              </w:rPr>
            </w:pPr>
          </w:p>
        </w:tc>
        <w:tc>
          <w:tcPr>
            <w:tcW w:w="1333" w:type="dxa"/>
            <w:gridSpan w:val="2"/>
            <w:tcBorders>
              <w:top w:val="single" w:sz="4" w:space="0" w:color="auto"/>
              <w:bottom w:val="single" w:sz="12" w:space="0" w:color="auto"/>
            </w:tcBorders>
          </w:tcPr>
          <w:p w:rsidR="00C62F3A" w:rsidRPr="00EB76D4" w:rsidRDefault="00C62F3A" w:rsidP="00C62F3A">
            <w:pPr>
              <w:spacing w:line="240" w:lineRule="auto"/>
              <w:rPr>
                <w:sz w:val="18"/>
                <w:szCs w:val="18"/>
              </w:rPr>
            </w:pPr>
          </w:p>
        </w:tc>
      </w:tr>
    </w:tbl>
    <w:p w:rsidR="00C62F3A" w:rsidRPr="00EB76D4" w:rsidRDefault="00C62F3A" w:rsidP="00C62F3A"/>
    <w:p w:rsidR="00C62F3A" w:rsidRDefault="00C62F3A" w:rsidP="00C62F3A">
      <w:pPr>
        <w:pStyle w:val="Heading3"/>
      </w:pPr>
      <w:bookmarkStart w:id="432" w:name="_Toc335051133"/>
      <w:bookmarkStart w:id="433" w:name="_Toc341366957"/>
      <w:bookmarkStart w:id="434" w:name="_Toc379467640"/>
      <w:r>
        <w:t>Summary</w:t>
      </w:r>
      <w:bookmarkEnd w:id="432"/>
      <w:bookmarkEnd w:id="433"/>
      <w:bookmarkEnd w:id="434"/>
    </w:p>
    <w:p w:rsidR="00B54392" w:rsidRDefault="00C62F3A" w:rsidP="00B54392">
      <w:r>
        <w:t>The elicitation successfully estimated prior parameters for the</w:t>
      </w:r>
      <w:r w:rsidR="00B83880">
        <w:t xml:space="preserve"> uncertainty in the long term</w:t>
      </w:r>
      <w:r>
        <w:t xml:space="preserve"> effect</w:t>
      </w:r>
      <w:r w:rsidR="00B54392">
        <w:t>iveness</w:t>
      </w:r>
      <w:r>
        <w:t xml:space="preserve"> of </w:t>
      </w:r>
      <w:r w:rsidR="00B54392">
        <w:t xml:space="preserve">a new </w:t>
      </w:r>
      <w:r>
        <w:t xml:space="preserve">treatment. Four clinical experts were recruited into the study. The study would have been strengthened from a larger sample of clinical experts. However the experts that were recruited into the study were all senior SLE specialists, with research experience. </w:t>
      </w:r>
      <w:r w:rsidR="00B54392">
        <w:t xml:space="preserve">It would have been useful to have recruited specialists from other countries, but this was found to be very difficult to organise. </w:t>
      </w:r>
    </w:p>
    <w:p w:rsidR="00C62F3A" w:rsidRDefault="00C62F3A" w:rsidP="00B54392">
      <w:r>
        <w:t xml:space="preserve">The interviews were all conducted within 2 hours. </w:t>
      </w:r>
      <w:r w:rsidR="00B54392">
        <w:t xml:space="preserve">In order to meet this short time-scale the elicitation interview was adapted to reduce the number of questions asked. </w:t>
      </w:r>
      <w:r>
        <w:t xml:space="preserve">Only two out of four of the experts had read the pre-reading before the interview, which increased the time spent in the training exercise. </w:t>
      </w:r>
      <w:r w:rsidR="00B54392">
        <w:t>However, the experts were not rushed to complete the questions within the allocated time.</w:t>
      </w:r>
    </w:p>
    <w:p w:rsidR="00C62F3A" w:rsidRDefault="00C62F3A" w:rsidP="00B54392">
      <w:r>
        <w:t xml:space="preserve">All of the experts responded well to the training exercise and </w:t>
      </w:r>
      <w:r w:rsidR="00B54392">
        <w:t>reported that they were</w:t>
      </w:r>
      <w:r>
        <w:t xml:space="preserve"> comfortable using the software. Three out of four of the experts actively engaged with the feedback page in the software to review their responses at some point. However, the use of this page tended to decline during the course of the interview, particularly towards the end of the interview when response fatigue may have distracted the experts. </w:t>
      </w:r>
    </w:p>
    <w:p w:rsidR="00EE17E9" w:rsidRDefault="000802AD" w:rsidP="00EE17E9">
      <w:r>
        <w:t xml:space="preserve">The elicitation concerned a hypothetical new treatment. It is understandable that the experts would find it difficult to complete the elicitation. Nonetheless, the experts were advised that the new treatment was similar to belimumab, </w:t>
      </w:r>
      <w:r w:rsidR="00EE17E9">
        <w:t>and</w:t>
      </w:r>
      <w:r>
        <w:t xml:space="preserve"> although the experts did not have experience with the hypothetical treatment, they were presented with Phase II trial data</w:t>
      </w:r>
      <w:r w:rsidR="00EE17E9">
        <w:t xml:space="preserve">. The elicitation would have been difficult and may not have elicited accurate estimates of treatment effect. However, the experts all had extensive experience that they could draw upon to </w:t>
      </w:r>
      <w:r>
        <w:t xml:space="preserve">consider what treatment effects would be clinically plausible. </w:t>
      </w:r>
      <w:r w:rsidR="00EE17E9">
        <w:t xml:space="preserve">In the absence of observed data I believe that the clinician’s estimates are valuable. </w:t>
      </w:r>
    </w:p>
    <w:p w:rsidR="00C62F3A" w:rsidRDefault="000802AD" w:rsidP="00EE17E9">
      <w:r>
        <w:t>Only o</w:t>
      </w:r>
      <w:r w:rsidR="00C62F3A">
        <w:t xml:space="preserve">ne of the experts found the purpose of the exercise particularly challenging and </w:t>
      </w:r>
      <w:r w:rsidR="00B54392">
        <w:t>was reluctant to</w:t>
      </w:r>
      <w:r w:rsidR="00C62F3A">
        <w:t xml:space="preserve"> propose answers for many of the questions. He did not believe that it was appropriate to predict treatment effects that had not been observed in follow-up trials or observational studies. </w:t>
      </w:r>
      <w:r w:rsidR="00B54392">
        <w:t xml:space="preserve">After a long discussion he decided to respond by </w:t>
      </w:r>
      <w:r w:rsidR="00C62F3A">
        <w:t xml:space="preserve">allocating the x values in a flat line across all outcomes. </w:t>
      </w:r>
      <w:r w:rsidR="00B54392">
        <w:t>I considered whether</w:t>
      </w:r>
      <w:r w:rsidR="00C62F3A">
        <w:t xml:space="preserve"> to exclude his responses from the study</w:t>
      </w:r>
      <w:r w:rsidR="00B54392">
        <w:t xml:space="preserve"> because it is possible that </w:t>
      </w:r>
      <w:r w:rsidR="00D4731A">
        <w:t>his responses are not a true representation of his judgement about new treatments</w:t>
      </w:r>
      <w:r w:rsidR="00B54392">
        <w:t xml:space="preserve">. </w:t>
      </w:r>
      <w:r w:rsidR="00D4731A">
        <w:t xml:space="preserve">However, </w:t>
      </w:r>
      <w:r w:rsidR="00B54392">
        <w:t xml:space="preserve">I decided that it was more appropriate </w:t>
      </w:r>
      <w:r w:rsidR="00D4731A">
        <w:t xml:space="preserve">to include his survey to </w:t>
      </w:r>
      <w:r w:rsidR="00C62F3A">
        <w:t xml:space="preserve">represent his </w:t>
      </w:r>
      <w:r w:rsidR="00D4731A">
        <w:t>statement</w:t>
      </w:r>
      <w:r w:rsidR="00C62F3A">
        <w:t xml:space="preserve"> </w:t>
      </w:r>
      <w:r w:rsidR="00D4731A">
        <w:t>that the effectiveness of new treatments is uncertain until data have been collected</w:t>
      </w:r>
      <w:r w:rsidR="00C62F3A">
        <w:t xml:space="preserve">.  </w:t>
      </w:r>
    </w:p>
    <w:p w:rsidR="00C62F3A" w:rsidRDefault="00C62F3A" w:rsidP="00AD1550">
      <w:r>
        <w:t xml:space="preserve">A more detailed discussion about the treatment effect on malignancy and gonadal failure with Dr Akil and Dr Bruce revealed that the </w:t>
      </w:r>
      <w:r w:rsidR="002B300E">
        <w:t xml:space="preserve">clinical </w:t>
      </w:r>
      <w:r>
        <w:t xml:space="preserve">mechanisms through which these outcomes occur are not related to the factors that a new treatment would modify. </w:t>
      </w:r>
      <w:r w:rsidR="002B300E">
        <w:t xml:space="preserve">Malignancy and gonadal failure are known </w:t>
      </w:r>
      <w:r w:rsidR="00AD1550">
        <w:t>co morbidities</w:t>
      </w:r>
      <w:r w:rsidR="002B300E">
        <w:t xml:space="preserve"> for SLE, and </w:t>
      </w:r>
      <w:r w:rsidR="00AD1550">
        <w:t xml:space="preserve">cytotoxic </w:t>
      </w:r>
      <w:r w:rsidR="002B300E">
        <w:t xml:space="preserve">treatments for SLE are known to increase the incidence of these events in SLE patients. However, the physiological mechanism of a new biologic drug for SLE is unlikely to impact on the incidence of malignancy and gonadal failure. Dr Bruce and Dr Akil suggested that the treatment parameter was unnecessary. </w:t>
      </w:r>
      <w:r w:rsidR="00AD1550">
        <w:t>It was necessary to decide whether to use the elicited values to reflect the clinicians perspective that there is unlikely to be a treatment effect or to exclude the treatment effect parameter completely because it was not clinically plausible. I decided that</w:t>
      </w:r>
      <w:r>
        <w:t xml:space="preserve"> </w:t>
      </w:r>
      <w:r w:rsidR="00B83880">
        <w:t xml:space="preserve">the elicited values </w:t>
      </w:r>
      <w:r w:rsidR="00AD1550">
        <w:t>should not be</w:t>
      </w:r>
      <w:r w:rsidR="00B83880">
        <w:t xml:space="preserve"> used </w:t>
      </w:r>
      <w:r>
        <w:t xml:space="preserve">to modify the risk of malignancy and gonadal failure for treated patients. </w:t>
      </w:r>
    </w:p>
    <w:p w:rsidR="00087603" w:rsidRDefault="00087603" w:rsidP="00AD1550"/>
    <w:p w:rsidR="00D4731A" w:rsidRDefault="0090251C" w:rsidP="00B35654">
      <w:pPr>
        <w:pStyle w:val="Heading2"/>
      </w:pPr>
      <w:bookmarkStart w:id="435" w:name="_Ref354930526"/>
      <w:bookmarkStart w:id="436" w:name="_Toc379467641"/>
      <w:r>
        <w:t>BCTS</w:t>
      </w:r>
      <w:r w:rsidR="00D4731A">
        <w:t xml:space="preserve"> </w:t>
      </w:r>
      <w:bookmarkEnd w:id="435"/>
      <w:r w:rsidR="00B35654">
        <w:t>Outcomes</w:t>
      </w:r>
      <w:bookmarkEnd w:id="436"/>
    </w:p>
    <w:p w:rsidR="00B35654" w:rsidRPr="00B35654" w:rsidRDefault="0090251C" w:rsidP="00B35654">
      <w:pPr>
        <w:pStyle w:val="Heading3"/>
      </w:pPr>
      <w:bookmarkStart w:id="437" w:name="_Ref377813880"/>
      <w:bookmarkStart w:id="438" w:name="_Toc379467642"/>
      <w:r>
        <w:t>BCTS</w:t>
      </w:r>
      <w:r w:rsidR="00B35654">
        <w:t xml:space="preserve"> Validation</w:t>
      </w:r>
      <w:r>
        <w:t xml:space="preserve"> of Predicted Outcomes</w:t>
      </w:r>
      <w:bookmarkEnd w:id="437"/>
      <w:bookmarkEnd w:id="438"/>
    </w:p>
    <w:p w:rsidR="00D4731A" w:rsidRDefault="00D4731A" w:rsidP="001C0467">
      <w:r>
        <w:t>Outcomes from the BCTS were generated to observe whether the simulation results were compatible with those observed in real data.</w:t>
      </w:r>
      <w:r w:rsidRPr="00D4731A">
        <w:t xml:space="preserve"> </w:t>
      </w:r>
      <w:r w:rsidR="001C0467">
        <w:t>Full d</w:t>
      </w:r>
      <w:r>
        <w:t>etails of the validation exercise are reported in the Appendix</w:t>
      </w:r>
      <w:r w:rsidR="007F49FE">
        <w:t xml:space="preserve"> 15</w:t>
      </w:r>
      <w:r>
        <w:t xml:space="preserve">. The validation exercise compared simulation outcome with data from the Hopkins Lupus Cohort, and three published RCTs for belimumab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81424E">
        <w:t>(72;74;75)</w:t>
      </w:r>
      <w:r w:rsidR="00E729BA">
        <w:fldChar w:fldCharType="end"/>
      </w:r>
      <w:r>
        <w:t xml:space="preserve">. </w:t>
      </w:r>
      <w:r w:rsidR="00E729BA">
        <w:fldChar w:fldCharType="begin"/>
      </w:r>
      <w:r w:rsidR="001C0467">
        <w:instrText xml:space="preserve"> REF _Ref324934586 \h </w:instrText>
      </w:r>
      <w:r w:rsidR="00E729BA">
        <w:fldChar w:fldCharType="separate"/>
      </w:r>
      <w:r w:rsidR="004911B7">
        <w:t xml:space="preserve">Figure </w:t>
      </w:r>
      <w:r w:rsidR="004911B7">
        <w:rPr>
          <w:noProof/>
        </w:rPr>
        <w:t>20</w:t>
      </w:r>
      <w:r w:rsidR="00E729BA">
        <w:fldChar w:fldCharType="end"/>
      </w:r>
      <w:r w:rsidR="001C0467">
        <w:t xml:space="preserve"> illustrates the simulation output as a histogram compared with the distributions reported in two Phase III trials for belimumab </w:t>
      </w:r>
      <w:r w:rsidR="00E729BA">
        <w:fldChar w:fldCharType="begin"/>
      </w:r>
      <w:r w:rsidR="00FC61FD">
        <w:instrText xml:space="preserve"> ADDIN REFMGR.CITE &lt;Refman&gt;&lt;Cite&gt;&lt;Author&gt;Furie&lt;/Author&gt;&lt;Year&gt;2011&lt;/Year&gt;&lt;RecNum&gt;1639&lt;/RecNum&gt;&lt;IDText&gt;A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name="System"&gt;Lancet.&lt;/f&gt;&lt;/ZZ_JournalStdAbbrev&gt;&lt;ZZ_WorkformID&gt;1&lt;/ZZ_WorkformID&gt;&lt;/MDL&gt;&lt;/Cite&gt;&lt;/Refman&gt;</w:instrText>
      </w:r>
      <w:r w:rsidR="00E729BA">
        <w:fldChar w:fldCharType="separate"/>
      </w:r>
      <w:r w:rsidR="0081424E">
        <w:t>(74;75)</w:t>
      </w:r>
      <w:r w:rsidR="00E729BA">
        <w:fldChar w:fldCharType="end"/>
      </w:r>
      <w:r w:rsidR="001C0467">
        <w:t>.</w:t>
      </w:r>
    </w:p>
    <w:p w:rsidR="001C0467" w:rsidRDefault="001C0467" w:rsidP="00234693">
      <w:pPr>
        <w:pStyle w:val="Caption"/>
      </w:pPr>
      <w:bookmarkStart w:id="439" w:name="_Ref324934586"/>
      <w:r>
        <w:t xml:space="preserve">Figure </w:t>
      </w:r>
      <w:r w:rsidR="00E729BA">
        <w:fldChar w:fldCharType="begin"/>
      </w:r>
      <w:r w:rsidR="000B0EDB">
        <w:instrText xml:space="preserve"> SEQ Figure \* ARABIC </w:instrText>
      </w:r>
      <w:r w:rsidR="00E729BA">
        <w:fldChar w:fldCharType="separate"/>
      </w:r>
      <w:r w:rsidR="004911B7">
        <w:rPr>
          <w:noProof/>
        </w:rPr>
        <w:t>20</w:t>
      </w:r>
      <w:r w:rsidR="00E729BA">
        <w:fldChar w:fldCharType="end"/>
      </w:r>
      <w:bookmarkEnd w:id="439"/>
      <w:r>
        <w:t xml:space="preserve">: Distribution of proportion of patients with a </w:t>
      </w:r>
      <w:r>
        <w:rPr>
          <w:rFonts w:cs="Times New Roman"/>
        </w:rPr>
        <w:t>≥</w:t>
      </w:r>
      <w:r w:rsidR="0081424E">
        <w:rPr>
          <w:rFonts w:cs="Times New Roman"/>
        </w:rPr>
        <w:t xml:space="preserve">  </w:t>
      </w:r>
      <w:r>
        <w:t>4 unit reduction in SLEDAI for simulated trials (red bars) and estimate distribution of Phase III results (Blue line) for placebo and treatment arm</w:t>
      </w:r>
    </w:p>
    <w:p w:rsidR="001C0467" w:rsidRDefault="001C0467" w:rsidP="001C0467">
      <w:r w:rsidRPr="0078135A">
        <w:rPr>
          <w:noProof/>
          <w:lang w:eastAsia="zh-CN" w:bidi="ar-SA"/>
        </w:rPr>
        <w:drawing>
          <wp:inline distT="0" distB="0" distL="0" distR="0">
            <wp:extent cx="3254352" cy="3240000"/>
            <wp:effectExtent l="19050" t="19050" r="22248" b="1755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254352" cy="3240000"/>
                    </a:xfrm>
                    <a:prstGeom prst="rect">
                      <a:avLst/>
                    </a:prstGeom>
                    <a:noFill/>
                    <a:ln w="9525">
                      <a:solidFill>
                        <a:schemeClr val="tx1"/>
                      </a:solidFill>
                      <a:miter lim="800000"/>
                      <a:headEnd/>
                      <a:tailEnd/>
                    </a:ln>
                  </pic:spPr>
                </pic:pic>
              </a:graphicData>
            </a:graphic>
          </wp:inline>
        </w:drawing>
      </w:r>
    </w:p>
    <w:p w:rsidR="00D4731A" w:rsidRDefault="00D4731A" w:rsidP="00D4731A">
      <w:r>
        <w:t>The simulation generates clinical trial endpoints that are similar to those that have been observed in large SLE clinical trials. Overall the validation process has illustrated that the simulation outcomes are not substantially different from real-life patient outcomes observed in clinical trials and the Hopkins Lupus Cohort. Therefore, the simulation can be useful in predicting outcomes from clinical trial endpoints.</w:t>
      </w:r>
    </w:p>
    <w:p w:rsidR="00765E56" w:rsidRDefault="00765E56" w:rsidP="00DF14BD">
      <w:r>
        <w:t xml:space="preserve">The simulated trial indicates that 40% of those in the placebo arm </w:t>
      </w:r>
      <w:r w:rsidR="00DF14BD">
        <w:t>were</w:t>
      </w:r>
      <w:r>
        <w:t xml:space="preserve"> expected to meet the response criteria. Whereas 45% of individuals receiving treatment </w:t>
      </w:r>
      <w:r w:rsidR="00DF14BD">
        <w:t xml:space="preserve">were </w:t>
      </w:r>
      <w:r>
        <w:t xml:space="preserve">expected to meet the response criteria. These proportions can vary from approximately 30% to 60% in the treatment arm. The trial </w:t>
      </w:r>
      <w:r w:rsidR="00DF14BD">
        <w:t>was</w:t>
      </w:r>
      <w:r>
        <w:t xml:space="preserve"> expected to demonstrate an odds ratio of treatment benefit greater than 1. </w:t>
      </w:r>
      <w:r w:rsidR="00DF14BD">
        <w:t xml:space="preserve">The average change in SLEDAI score at 12 months between the two arms was -0.363 (standard error 0.4296). </w:t>
      </w:r>
      <w:r>
        <w:t xml:space="preserve">However, there </w:t>
      </w:r>
      <w:r w:rsidR="00DF14BD">
        <w:t>was</w:t>
      </w:r>
      <w:r>
        <w:t xml:space="preserve"> a 15% chance that the odds ratio will be less than 1 showing that the new treatment is less effective than standard care. Therefore, there </w:t>
      </w:r>
      <w:r w:rsidR="00DF14BD">
        <w:t>was</w:t>
      </w:r>
      <w:r>
        <w:t xml:space="preserve"> considerable uncertainty prior to the Phase III trial about the treatment effectiveness at 12 months.</w:t>
      </w:r>
    </w:p>
    <w:p w:rsidR="00B35654" w:rsidRDefault="00B35654" w:rsidP="00B35654">
      <w:pPr>
        <w:pStyle w:val="Heading3"/>
      </w:pPr>
      <w:bookmarkStart w:id="440" w:name="_Toc379467643"/>
      <w:r>
        <w:t>Computation Time</w:t>
      </w:r>
      <w:bookmarkEnd w:id="440"/>
    </w:p>
    <w:p w:rsidR="00B35654" w:rsidRDefault="00B35654" w:rsidP="001C0467">
      <w:r>
        <w:t xml:space="preserve">Computation time is an important consideration in the BCTS because the simulation process must be repeated multiple times to </w:t>
      </w:r>
      <w:r w:rsidR="00C26CB4">
        <w:t>reflect</w:t>
      </w:r>
      <w:r>
        <w:t xml:space="preserve"> uncertainty in clinical trial outcomes. The BCTS is relatively complex </w:t>
      </w:r>
      <w:r w:rsidR="001C0467">
        <w:t xml:space="preserve">compared with the Rheumatoid Arthritis Drug Development Model </w:t>
      </w:r>
      <w:r w:rsidR="00E729BA">
        <w:fldChar w:fldCharType="begin"/>
      </w:r>
      <w:r w:rsidR="00FC61FD">
        <w:instrText xml:space="preserve"> ADDIN REFMGR.CITE &lt;Refman&gt;&lt;Cite&gt;&lt;Author&gt;Nixon&lt;/Author&gt;&lt;Year&gt;2009&lt;/Year&gt;&lt;RecNum&gt;1496&lt;/RecNum&gt;&lt;IDText&gt;The Rheumatoid Arthritis Drug Development Model: a case study in Bayesian clinical trial simulation&lt;/IDText&gt;&lt;MDL Ref_Type="Journal"&gt;&lt;Ref_Type&gt;Journal&lt;/Ref_Type&gt;&lt;Ref_ID&gt;1496&lt;/Ref_ID&gt;&lt;Title_Primary&gt;The Rheumatoid Arthritis Drug Development Model: a case study in Bayesian clinical trial simulation&lt;/Title_Primary&gt;&lt;Authors_Primary&gt;Nixon,R.M.&lt;/Authors_Primary&gt;&lt;Authors_Primary&gt;O&amp;apos;Hagan,A.&lt;/Authors_Primary&gt;&lt;Authors_Primary&gt;Oakley,J.&lt;/Authors_Primary&gt;&lt;Authors_Primary&gt;Madan,J.&lt;/Authors_Primary&gt;&lt;Authors_Primary&gt;Stevens,J.W.&lt;/Authors_Primary&gt;&lt;Authors_Primary&gt;Bansback,N.&lt;/Authors_Primary&gt;&lt;Authors_Primary&gt;Brennan,A.&lt;/Authors_Primary&gt;&lt;Date_Primary&gt;2009/10&lt;/Date_Primary&gt;&lt;Keywords&gt;Algorithms&lt;/Keywords&gt;&lt;Keywords&gt;Antirheumatic Agents&lt;/Keywords&gt;&lt;Keywords&gt;Arthritis&lt;/Keywords&gt;&lt;Keywords&gt;Arthritis,Rheumatoid&lt;/Keywords&gt;&lt;Keywords&gt;Bayes Theorem&lt;/Keywords&gt;&lt;Keywords&gt;clinical trial&lt;/Keywords&gt;&lt;Keywords&gt;Clinical Trials,Phase III as Topic&lt;/Keywords&gt;&lt;Keywords&gt;Clinical Trials,Phase II as Topic&lt;/Keywords&gt;&lt;Keywords&gt;Computer Simulation&lt;/Keywords&gt;&lt;Keywords&gt;Disease&lt;/Keywords&gt;&lt;Keywords&gt;Drug Discovery&lt;/Keywords&gt;&lt;Keywords&gt;drug therapy&lt;/Keywords&gt;&lt;Keywords&gt;Humans&lt;/Keywords&gt;&lt;Keywords&gt;Models,Statistical&lt;/Keywords&gt;&lt;Keywords&gt;population&lt;/Keywords&gt;&lt;Keywords&gt;Probability&lt;/Keywords&gt;&lt;Keywords&gt;safety&lt;/Keywords&gt;&lt;Keywords&gt;sample&lt;/Keywords&gt;&lt;Keywords&gt;statistics &amp;amp; numerical data&lt;/Keywords&gt;&lt;Keywords&gt;therapeutic use&lt;/Keywords&gt;&lt;Keywords&gt;Treatment Outcome&lt;/Keywords&gt;&lt;Reprint&gt;Not in File&lt;/Reprint&gt;&lt;Start_Page&gt;371&lt;/Start_Page&gt;&lt;End_Page&gt;389&lt;/End_Page&gt;&lt;Periodical&gt;Pharm.Stat.&lt;/Periodical&gt;&lt;Volume&gt;8&lt;/Volume&gt;&lt;Issue&gt;4&lt;/Issue&gt;&lt;ZZ_JournalStdAbbrev&gt;&lt;f name="System"&gt;Pharm.Stat.&lt;/f&gt;&lt;/ZZ_JournalStdAbbrev&gt;&lt;ZZ_WorkformID&gt;1&lt;/ZZ_WorkformID&gt;&lt;/MDL&gt;&lt;/Cite&gt;&lt;/Refman&gt;</w:instrText>
      </w:r>
      <w:r w:rsidR="00E729BA">
        <w:fldChar w:fldCharType="separate"/>
      </w:r>
      <w:r w:rsidR="0081424E">
        <w:t>(63)</w:t>
      </w:r>
      <w:r w:rsidR="00E729BA">
        <w:fldChar w:fldCharType="end"/>
      </w:r>
      <w:r w:rsidR="001C0467">
        <w:t xml:space="preserve"> </w:t>
      </w:r>
      <w:r>
        <w:t>because multiple patient outcomes are generated at every visit. A single iteration of a trial with 1000 patients for 12 months took 4.4 seconds to complete. The BCTS was run for 1000 iterations, which took 74 minutes to compute</w:t>
      </w:r>
      <w:r w:rsidR="00737697">
        <w:t xml:space="preserve"> on a desktop PC</w:t>
      </w:r>
      <w:r>
        <w:t xml:space="preserve">. </w:t>
      </w:r>
    </w:p>
    <w:p w:rsidR="00C62F3A" w:rsidRDefault="00C62F3A" w:rsidP="00C62F3A">
      <w:pPr>
        <w:pStyle w:val="Heading2"/>
      </w:pPr>
      <w:bookmarkStart w:id="441" w:name="_Toc341366962"/>
      <w:bookmarkStart w:id="442" w:name="_Ref354930714"/>
      <w:bookmarkStart w:id="443" w:name="_Toc379467644"/>
      <w:r>
        <w:t>Discussion</w:t>
      </w:r>
      <w:bookmarkEnd w:id="441"/>
      <w:bookmarkEnd w:id="442"/>
      <w:bookmarkEnd w:id="443"/>
    </w:p>
    <w:p w:rsidR="00301E96" w:rsidRDefault="00301E96" w:rsidP="00301E96">
      <w:pPr>
        <w:pStyle w:val="Heading3"/>
      </w:pPr>
      <w:bookmarkStart w:id="444" w:name="_Toc379467645"/>
      <w:r>
        <w:t>Generating an SLE population</w:t>
      </w:r>
      <w:bookmarkEnd w:id="444"/>
    </w:p>
    <w:p w:rsidR="00301E96" w:rsidRDefault="00301E96" w:rsidP="002E7F8A">
      <w:r>
        <w:t>The process of simulating baseline characteristics was chosen to represent a broad range of baseline characteristics. The baseline characteristics were sampled independently of one another in the Generate Population process. It is likely that correlation exist</w:t>
      </w:r>
      <w:r w:rsidR="001C0467">
        <w:t>s</w:t>
      </w:r>
      <w:r>
        <w:t xml:space="preserve"> between baseline characteristics, however, due to the number of baseline characteristics, and the different distributions used to generate them, it was considered too complex to add correlation in the baseline characteristics. An alternative method of bootstrapping from the Hopkins Lupus Cohort was considered but was believed to be too restrictive. Firstly, the simulation would be limited to patients with the combinations of disease attributes that are observed in the cohort. Even though it is a large sample it is unlikely to include an exhaustive mix of age, gender, ethnicity and the 24 items of the SLEDAI. Secondly, the current approach has the advantage that it is relatively simple and flexible for the user to specify alternative population profiles.</w:t>
      </w:r>
      <w:r w:rsidR="002E7F8A">
        <w:t xml:space="preserve"> This is advantageous if the user wishes to consider trials in a particular population that has attributes not well represented in the Hopkins Lupus Cohort. For example, a trial of patients with musculoskeletal involvement in a predominantly white population would need to bootstrap from a small sample of 336 patients from the Hopkins Lupus Cohort. This would require duplication of patient characteristics within the trial and may underestimate the variability in trial outcomes based on heterogeneous sampled populations. </w:t>
      </w:r>
    </w:p>
    <w:p w:rsidR="00B07104" w:rsidRPr="00B07104" w:rsidRDefault="006C4C45" w:rsidP="00B07104">
      <w:pPr>
        <w:pStyle w:val="Heading3"/>
      </w:pPr>
      <w:bookmarkStart w:id="445" w:name="_Toc379467646"/>
      <w:r>
        <w:t>Flexibility to Simulate Multiple Design Specifications</w:t>
      </w:r>
      <w:bookmarkEnd w:id="445"/>
    </w:p>
    <w:p w:rsidR="006C4C45" w:rsidRDefault="006C4C45" w:rsidP="006C4C45">
      <w:r>
        <w:t xml:space="preserve">It was important that the BCTS was flexible to simulate many different trial design specifications. The BCTS is flexible to estimate any trial outcome relating to responses to the SLEDAI, steroid dose, organ damage, mortality or withdrawal from the trial. The use of longitudinal cohort data and elicitation enables the simulation of trial outcomes that have not been observed in the Phase II trial. For example, it would be possible to predict the difference in organ damage events between new treatment and standard of care after two, or more, years of follow-up. </w:t>
      </w:r>
    </w:p>
    <w:p w:rsidR="006C4C45" w:rsidRDefault="006C4C45" w:rsidP="00E23011">
      <w:r>
        <w:t xml:space="preserve">As an individual patient simulation it is very easy to specify alternative inclusion criteria to modify the profile of patients recruited into the trial. The </w:t>
      </w:r>
      <w:r w:rsidR="00E23011">
        <w:t>adjusted mean SLEDAI</w:t>
      </w:r>
      <w:r>
        <w:t xml:space="preserve"> and organ damage incidence are automatically updated in the BCTS for alternative patient populations. </w:t>
      </w:r>
    </w:p>
    <w:p w:rsidR="00B07104" w:rsidRDefault="00B07104" w:rsidP="00B07104">
      <w:pPr>
        <w:pStyle w:val="Heading3"/>
      </w:pPr>
      <w:bookmarkStart w:id="446" w:name="_Toc379467647"/>
      <w:r>
        <w:t>Simulating Disease Activity</w:t>
      </w:r>
      <w:r w:rsidR="00301E96">
        <w:t xml:space="preserve"> with One Disease Activity Index</w:t>
      </w:r>
      <w:bookmarkEnd w:id="446"/>
    </w:p>
    <w:p w:rsidR="00B515F6" w:rsidRDefault="00B515F6" w:rsidP="00E23011">
      <w:r>
        <w:t xml:space="preserve">The SLEDAI is not an exhaustive </w:t>
      </w:r>
      <w:r w:rsidR="00301E96">
        <w:t xml:space="preserve">measure of </w:t>
      </w:r>
      <w:r>
        <w:t xml:space="preserve">disease activity, and it is believed that two or more disease activity indices could be employed in clinical trials to more sensitively capture variations in the disease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F12F58">
        <w:t>(73)</w:t>
      </w:r>
      <w:r w:rsidR="00E729BA">
        <w:fldChar w:fldCharType="end"/>
      </w:r>
      <w:r>
        <w:t>. Furie et al. (2009) used data from the Phase II trial to develop an appropriate composite endpoint for the belimumab Phase III trials that defined responders by an improvement in the SLEDAI and no worsening in the BILAG or PGA</w:t>
      </w:r>
      <w:r w:rsidR="00E23011">
        <w:t xml:space="preserve">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81424E">
        <w:t>(73)</w:t>
      </w:r>
      <w:r w:rsidR="00E729BA">
        <w:fldChar w:fldCharType="end"/>
      </w:r>
      <w:r>
        <w:t xml:space="preserve">. This is a strict requirement for response because the other indices are sensitive to symptoms not captured in the SLEDAI. The inclusion of only one disease activity measure is a limitation of the simulation, and consequently the simulations were not able to test </w:t>
      </w:r>
      <w:r w:rsidR="00301E96">
        <w:t>combined</w:t>
      </w:r>
      <w:r>
        <w:t xml:space="preserve"> primary endpoint definitions.</w:t>
      </w:r>
      <w:r w:rsidR="00E23011">
        <w:t xml:space="preserve"> </w:t>
      </w:r>
    </w:p>
    <w:p w:rsidR="00C62F3A" w:rsidRDefault="00E23011" w:rsidP="00E23011">
      <w:r>
        <w:t>There were three main reasons why I did not include more than one disease activity measure in the BCTS</w:t>
      </w:r>
      <w:r w:rsidR="00B515F6">
        <w:t>.</w:t>
      </w:r>
      <w:r w:rsidR="00B515F6" w:rsidRPr="006A13AC">
        <w:t xml:space="preserve"> </w:t>
      </w:r>
      <w:r w:rsidR="00B515F6">
        <w:t>Firstly, the Hopkins Lupus Cohort use the SLEDAI to measure disease activity so another data source would be required to implement multiple disease activity measurements. Secondly, there would be strong correlation between the SLEDAI and other disease activity scores both at the aggregate and organ level. This correlation would have to be accurately represented in the BCTS. This poses considerable methodological challenges in both the analysis of the data and development of the simulation. Thirdly, the analysis natural history model for SLE only includes SLEDAI as a measure of disease activity. There is currently no evidence to relate the BILAG to long-term outcomes independent of the SLEDAI effect. Consequently, the clinical trial endpoint was defined only using the SLEDAI.</w:t>
      </w:r>
      <w:r w:rsidR="00C62F3A">
        <w:t xml:space="preserve"> </w:t>
      </w:r>
      <w:r>
        <w:t xml:space="preserve">Further research to incorporate multiple disease scores within the framework would be interesting.  </w:t>
      </w:r>
    </w:p>
    <w:p w:rsidR="00E1577E" w:rsidRDefault="00E1577E" w:rsidP="00E1577E">
      <w:pPr>
        <w:pStyle w:val="Heading3"/>
      </w:pPr>
      <w:bookmarkStart w:id="447" w:name="_Toc379467648"/>
      <w:r>
        <w:t>The Exclusion of Adverse Events</w:t>
      </w:r>
      <w:bookmarkEnd w:id="447"/>
    </w:p>
    <w:p w:rsidR="00C62F3A" w:rsidRDefault="00C62F3A" w:rsidP="00E23011">
      <w:r>
        <w:t xml:space="preserve">The absence of adverse events in the BCTS is a simplifying assumption that may need to be amended in future applications. </w:t>
      </w:r>
      <w:r w:rsidR="00C26CB4">
        <w:t>T</w:t>
      </w:r>
      <w:r>
        <w:t xml:space="preserve">he </w:t>
      </w:r>
      <w:r w:rsidR="00C26CB4">
        <w:t>expected trial outcomes, positive or negative,</w:t>
      </w:r>
      <w:r>
        <w:t xml:space="preserve"> would be affected by the risk that the new treatment causes more severe adverse events than SoC. By excluding adverse events from the BCTS the uncertainty</w:t>
      </w:r>
      <w:r w:rsidR="00C26CB4">
        <w:t xml:space="preserve"> in trial outcomes c</w:t>
      </w:r>
      <w:r>
        <w:t>ould be underestimated. However, if the Phase II tria</w:t>
      </w:r>
      <w:r w:rsidR="00E23011">
        <w:t>l was reasonably large, as was the case</w:t>
      </w:r>
      <w:r>
        <w:t xml:space="preserve"> with belimumab, the risk of the Phase III trial failing due to safety concerns will be low. The inclusion of adverse events into the BCTS could be integrated in future versions of the simulation with relative ease. However, they would increase the computational burden of </w:t>
      </w:r>
      <w:r w:rsidR="00E23011">
        <w:t>the BCTS and CE model</w:t>
      </w:r>
      <w:r>
        <w:t xml:space="preserve">, and consequently the time it would take to generate </w:t>
      </w:r>
      <w:r w:rsidR="00E1577E">
        <w:t>outcomes</w:t>
      </w:r>
      <w:r>
        <w:t xml:space="preserve">. </w:t>
      </w:r>
    </w:p>
    <w:p w:rsidR="00B07104" w:rsidRDefault="00B07104" w:rsidP="00907F0D">
      <w:pPr>
        <w:pStyle w:val="Heading2"/>
      </w:pPr>
      <w:bookmarkStart w:id="448" w:name="_Toc379467649"/>
      <w:r>
        <w:t>Conclusions</w:t>
      </w:r>
      <w:bookmarkEnd w:id="448"/>
    </w:p>
    <w:p w:rsidR="0010134B" w:rsidRDefault="0010134B" w:rsidP="00B024AC">
      <w:r>
        <w:t xml:space="preserve">The BCTS produced detailed descriptions of patient disease outcomes over a time horizon suitable for a clinical trial. The natural history model describes some of the inter-dependencies between disease outcomes observed in the Hopkins Lupus Cohort. These, together with the elicitation of clinical experts, and a literature review of withdrawal rates, were used in the BCTS to predict numerous outcomes from a clinical trial relating to disease activity in specific organ systems, organ damage, and mortality. </w:t>
      </w:r>
      <w:r w:rsidR="00AD1550">
        <w:t xml:space="preserve">This Chapter demonstrated that patient registry data can be used to simulate clinical trial outcomes for patients with SLE with reasonable accuracy when compared with observed trials. The BCTS described here is able to simulate trial outcomes across multiple disease outcomes and incorporated correlations in treatment effects across these outcomes. </w:t>
      </w:r>
      <w:r w:rsidR="00B024AC">
        <w:t xml:space="preserve">The validation exercise demonstrates that the uncertainty in trial outcomes has been incorporated into the simulation and the simulation produces a range of final trial outcomes. </w:t>
      </w:r>
    </w:p>
    <w:p w:rsidR="00A9011A" w:rsidRDefault="0010134B" w:rsidP="00EB0286">
      <w:r>
        <w:t xml:space="preserve">The BCTS model described in this chapter is flexible to evaluate a broad range of clinical trial designs. The choice of an individual patient simulation enables the analyst to select a large number of different inclusion criteria and clinical trial endpoints.  Multiple decision criteria for a license regulator can be applied to these outcomes to determine whether the treatment would be granted a license given the trial data. SLEDAI score, steroid dose, organ damage and mortality are all simulated in the BCTS and could be used to determine the effectiveness of the new treatment. The BCTS can be used to estimate the assurance for alternative trial designs and license regulators decision criteria. </w:t>
      </w:r>
      <w:r w:rsidR="00E23011">
        <w:t>Some analyses of alternative trial designs are undertaken in Chapter 8.</w:t>
      </w:r>
      <w:r>
        <w:t xml:space="preserve">However, the BCTS </w:t>
      </w:r>
      <w:r w:rsidR="00E23011">
        <w:t xml:space="preserve">on its own </w:t>
      </w:r>
      <w:r>
        <w:t xml:space="preserve">cannot predict whether the treatment would be approved by a reimbursement authority. </w:t>
      </w:r>
      <w:r w:rsidR="00301E96">
        <w:t>T</w:t>
      </w:r>
      <w:r>
        <w:t>he simulated trial data must be i</w:t>
      </w:r>
      <w:r w:rsidR="00301E96">
        <w:t>nput</w:t>
      </w:r>
      <w:r>
        <w:t xml:space="preserve"> into a CE model </w:t>
      </w:r>
      <w:r w:rsidR="00301E96">
        <w:t>to evaluate the long</w:t>
      </w:r>
      <w:r w:rsidR="00EB0286">
        <w:t>-</w:t>
      </w:r>
      <w:r w:rsidR="00301E96">
        <w:t>term costs and QALYs</w:t>
      </w:r>
      <w:r>
        <w:t>.</w:t>
      </w:r>
      <w:r w:rsidR="00E23011">
        <w:t xml:space="preserve"> The development of a long-term CE model to assess the probability of reimbursement given proposed trial designs and their possible results is the topic of Chapter 7.</w:t>
      </w:r>
    </w:p>
    <w:p w:rsidR="0010134B" w:rsidRDefault="0010134B">
      <w:pPr>
        <w:spacing w:after="0" w:afterAutospacing="0" w:line="240" w:lineRule="auto"/>
      </w:pPr>
      <w:r>
        <w:br w:type="page"/>
      </w:r>
    </w:p>
    <w:p w:rsidR="002367E4" w:rsidRDefault="00A9011A" w:rsidP="002367E4">
      <w:pPr>
        <w:pStyle w:val="Heading1"/>
      </w:pPr>
      <w:bookmarkStart w:id="449" w:name="_Toc335051090"/>
      <w:bookmarkStart w:id="450" w:name="_Toc337139002"/>
      <w:bookmarkStart w:id="451" w:name="_Toc379467650"/>
      <w:r>
        <w:t>Chapter 7: Cost-effectiveness analysis</w:t>
      </w:r>
      <w:bookmarkEnd w:id="449"/>
      <w:bookmarkEnd w:id="450"/>
      <w:bookmarkEnd w:id="451"/>
    </w:p>
    <w:p w:rsidR="002367E4" w:rsidRPr="002367E4" w:rsidRDefault="002367E4" w:rsidP="00597CF5">
      <w:pPr>
        <w:pStyle w:val="ListParagraph"/>
        <w:numPr>
          <w:ilvl w:val="0"/>
          <w:numId w:val="30"/>
        </w:numPr>
        <w:rPr>
          <w:sz w:val="16"/>
          <w:szCs w:val="16"/>
        </w:rPr>
      </w:pPr>
    </w:p>
    <w:p w:rsidR="00A9011A" w:rsidRDefault="00A9011A" w:rsidP="00A9011A">
      <w:r w:rsidRPr="0032181F">
        <w:t>The aim of this chapter is to describe a cost-effectiveness</w:t>
      </w:r>
      <w:r>
        <w:t xml:space="preserve"> (CE)</w:t>
      </w:r>
      <w:r w:rsidRPr="0032181F">
        <w:t xml:space="preserve"> model for </w:t>
      </w:r>
      <w:r>
        <w:t>Systemic Lupus Erythematosus (</w:t>
      </w:r>
      <w:r w:rsidRPr="0032181F">
        <w:t>SLE</w:t>
      </w:r>
      <w:r>
        <w:t>)</w:t>
      </w:r>
      <w:r w:rsidRPr="0032181F">
        <w:t xml:space="preserve"> and demonstrate how the analyses can be used in early stage drug development </w:t>
      </w:r>
      <w:r>
        <w:t>by</w:t>
      </w:r>
      <w:r w:rsidRPr="0032181F">
        <w:t xml:space="preserve"> a pharmaceutical </w:t>
      </w:r>
      <w:r>
        <w:t>company</w:t>
      </w:r>
      <w:r w:rsidRPr="0032181F">
        <w:t>.</w:t>
      </w:r>
      <w:r>
        <w:t xml:space="preserve"> </w:t>
      </w:r>
    </w:p>
    <w:p w:rsidR="00983D2F" w:rsidRDefault="00983D2F" w:rsidP="00B539E9">
      <w:r>
        <w:t xml:space="preserve">The CE model was developed to evaluate the lifetime costs and health outcomes for SLE patients in an individual patient simulation. </w:t>
      </w:r>
      <w:r w:rsidRPr="0032181F">
        <w:t xml:space="preserve">The </w:t>
      </w:r>
      <w:r>
        <w:t xml:space="preserve">CE model combined data from the </w:t>
      </w:r>
      <w:r w:rsidR="0090251C">
        <w:t>n</w:t>
      </w:r>
      <w:r>
        <w:t xml:space="preserve">atural </w:t>
      </w:r>
      <w:r w:rsidR="0090251C">
        <w:t>h</w:t>
      </w:r>
      <w:r w:rsidRPr="0032181F">
        <w:t>istory model</w:t>
      </w:r>
      <w:r>
        <w:t xml:space="preserve">, described in section </w:t>
      </w:r>
      <w:r w:rsidR="00E729BA">
        <w:fldChar w:fldCharType="begin"/>
      </w:r>
      <w:r w:rsidR="0090251C">
        <w:instrText xml:space="preserve"> REF _Ref354934820 \n \h </w:instrText>
      </w:r>
      <w:r w:rsidR="00E729BA">
        <w:fldChar w:fldCharType="separate"/>
      </w:r>
      <w:r w:rsidR="004911B7">
        <w:rPr>
          <w:cs/>
        </w:rPr>
        <w:t>‎</w:t>
      </w:r>
      <w:r w:rsidR="004911B7">
        <w:t>5.2</w:t>
      </w:r>
      <w:r w:rsidR="00E729BA">
        <w:fldChar w:fldCharType="end"/>
      </w:r>
      <w:r w:rsidR="0090251C">
        <w:t xml:space="preserve"> </w:t>
      </w:r>
      <w:r>
        <w:t>of Chapter 5,</w:t>
      </w:r>
      <w:r w:rsidRPr="0032181F">
        <w:t xml:space="preserve"> with costs, QALYS</w:t>
      </w:r>
      <w:r>
        <w:t>,</w:t>
      </w:r>
      <w:r w:rsidRPr="0032181F">
        <w:t xml:space="preserve"> hypothetical </w:t>
      </w:r>
      <w:r>
        <w:t>treatment</w:t>
      </w:r>
      <w:r w:rsidRPr="0032181F">
        <w:t xml:space="preserve"> data to </w:t>
      </w:r>
      <w:r>
        <w:t>develop a CE model for</w:t>
      </w:r>
      <w:r w:rsidRPr="0032181F">
        <w:t xml:space="preserve"> SLE. </w:t>
      </w:r>
      <w:r>
        <w:t>The structure, inputs and assumptions used in the</w:t>
      </w:r>
      <w:r w:rsidR="0090251C">
        <w:t xml:space="preserve"> CE</w:t>
      </w:r>
      <w:r>
        <w:t xml:space="preserve"> model are described in this chapter.</w:t>
      </w:r>
      <w:r w:rsidRPr="0032181F">
        <w:t xml:space="preserve"> The outcomes from the </w:t>
      </w:r>
      <w:r>
        <w:t xml:space="preserve">CE </w:t>
      </w:r>
      <w:r w:rsidRPr="0032181F">
        <w:t xml:space="preserve">model </w:t>
      </w:r>
      <w:r>
        <w:t>include an assessment of the value-based price of treatment given societ</w:t>
      </w:r>
      <w:r w:rsidR="00B539E9">
        <w:t>y’s</w:t>
      </w:r>
      <w:r>
        <w:t xml:space="preserve"> willingness to pay for a QALY. </w:t>
      </w:r>
    </w:p>
    <w:p w:rsidR="00983D2F" w:rsidRDefault="00D36410" w:rsidP="00D36410">
      <w:pPr>
        <w:rPr>
          <w:lang w:eastAsia="nl-NL"/>
        </w:rPr>
      </w:pPr>
      <w:r>
        <w:rPr>
          <w:lang w:eastAsia="nl-NL"/>
        </w:rPr>
        <w:t xml:space="preserve">The CE model described in this Chapter was developed independently from the GSK collaboration and I undertook all of the work described in this Chapter. At the same time Pharmerit, a GSK contractor, adopted my statistical models to develop a CE model for belimumab. The Pharmerit model was used in </w:t>
      </w:r>
      <w:r w:rsidRPr="0032181F">
        <w:t>GSK manufacturer’s submission to NICE</w:t>
      </w:r>
      <w:r>
        <w:t xml:space="preserve"> </w:t>
      </w:r>
      <w:r w:rsidR="00E729BA">
        <w:fldChar w:fldCharType="begin"/>
      </w:r>
      <w:r w:rsidR="00FC61FD">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fldChar w:fldCharType="separate"/>
      </w:r>
      <w:r w:rsidR="0081424E">
        <w:t>(224)</w:t>
      </w:r>
      <w:r w:rsidR="00E729BA">
        <w:fldChar w:fldCharType="end"/>
      </w:r>
      <w:r>
        <w:t>.</w:t>
      </w:r>
    </w:p>
    <w:p w:rsidR="00A9011A" w:rsidRPr="0032181F" w:rsidRDefault="00A9011A" w:rsidP="005037D4">
      <w:r>
        <w:t>This chapter is structured to describe and report outcomes from the</w:t>
      </w:r>
      <w:r w:rsidR="0090251C">
        <w:t xml:space="preserve"> CE</w:t>
      </w:r>
      <w:r>
        <w:t xml:space="preserve"> model. Section </w:t>
      </w:r>
      <w:r w:rsidR="00E729BA">
        <w:fldChar w:fldCharType="begin"/>
      </w:r>
      <w:r>
        <w:instrText xml:space="preserve"> REF _Ref332369915 \r \h </w:instrText>
      </w:r>
      <w:r w:rsidR="00E729BA">
        <w:fldChar w:fldCharType="separate"/>
      </w:r>
      <w:r w:rsidR="004911B7">
        <w:rPr>
          <w:cs/>
        </w:rPr>
        <w:t>‎</w:t>
      </w:r>
      <w:r w:rsidR="004911B7">
        <w:t>7.1</w:t>
      </w:r>
      <w:r w:rsidR="00E729BA">
        <w:fldChar w:fldCharType="end"/>
      </w:r>
      <w:r>
        <w:t xml:space="preserve"> introduces the structure of the CE model. Section </w:t>
      </w:r>
      <w:r w:rsidR="00E729BA">
        <w:fldChar w:fldCharType="begin"/>
      </w:r>
      <w:r>
        <w:instrText xml:space="preserve"> REF _Ref332370056 \r \h </w:instrText>
      </w:r>
      <w:r w:rsidR="00E729BA">
        <w:fldChar w:fldCharType="separate"/>
      </w:r>
      <w:r w:rsidR="004911B7">
        <w:rPr>
          <w:cs/>
        </w:rPr>
        <w:t>‎</w:t>
      </w:r>
      <w:r w:rsidR="004911B7">
        <w:t>7.2</w:t>
      </w:r>
      <w:r w:rsidR="00E729BA">
        <w:fldChar w:fldCharType="end"/>
      </w:r>
      <w:r>
        <w:t xml:space="preserve"> describes the simulation process, and how each disease outcome is calculated. Section </w:t>
      </w:r>
      <w:r w:rsidR="00E729BA">
        <w:fldChar w:fldCharType="begin"/>
      </w:r>
      <w:r>
        <w:instrText xml:space="preserve"> REF _Ref332371653 \r \h </w:instrText>
      </w:r>
      <w:r w:rsidR="00E729BA">
        <w:fldChar w:fldCharType="separate"/>
      </w:r>
      <w:r w:rsidR="004911B7">
        <w:rPr>
          <w:cs/>
        </w:rPr>
        <w:t>‎</w:t>
      </w:r>
      <w:r w:rsidR="004911B7">
        <w:t>7.3</w:t>
      </w:r>
      <w:r w:rsidR="00E729BA">
        <w:fldChar w:fldCharType="end"/>
      </w:r>
      <w:r>
        <w:t xml:space="preserve"> describe how the outcomes of the CE model were generated. Section </w:t>
      </w:r>
      <w:r w:rsidR="00E729BA">
        <w:fldChar w:fldCharType="begin"/>
      </w:r>
      <w:r>
        <w:instrText xml:space="preserve"> REF _Ref332371677 \r \h </w:instrText>
      </w:r>
      <w:r w:rsidR="00E729BA">
        <w:fldChar w:fldCharType="separate"/>
      </w:r>
      <w:r w:rsidR="004911B7">
        <w:rPr>
          <w:cs/>
        </w:rPr>
        <w:t>‎</w:t>
      </w:r>
      <w:r w:rsidR="004911B7">
        <w:t>7.4</w:t>
      </w:r>
      <w:r w:rsidR="00E729BA">
        <w:fldChar w:fldCharType="end"/>
      </w:r>
      <w:r>
        <w:t xml:space="preserve"> presents the results of the CE model. Finally, Section </w:t>
      </w:r>
      <w:r w:rsidR="00E729BA">
        <w:fldChar w:fldCharType="begin"/>
      </w:r>
      <w:r w:rsidR="00E23011">
        <w:instrText xml:space="preserve"> REF _Ref363379386 \r \h </w:instrText>
      </w:r>
      <w:r w:rsidR="00E729BA">
        <w:fldChar w:fldCharType="separate"/>
      </w:r>
      <w:r w:rsidR="004911B7">
        <w:rPr>
          <w:cs/>
        </w:rPr>
        <w:t>‎</w:t>
      </w:r>
      <w:r w:rsidR="004911B7">
        <w:t>7.5</w:t>
      </w:r>
      <w:r w:rsidR="00E729BA">
        <w:fldChar w:fldCharType="end"/>
      </w:r>
      <w:r>
        <w:t xml:space="preserve"> </w:t>
      </w:r>
      <w:r w:rsidR="008005BD">
        <w:t>reflects on the important issues raised in this chapter and summarises the differences between the CE model and the GSK manufacturer submission model.</w:t>
      </w:r>
    </w:p>
    <w:p w:rsidR="00A9011A" w:rsidRPr="00D82B8E" w:rsidRDefault="0090251C" w:rsidP="00A9011A">
      <w:pPr>
        <w:pStyle w:val="Heading2"/>
        <w:keepNext/>
        <w:pBdr>
          <w:top w:val="none" w:sz="0" w:space="0" w:color="auto"/>
          <w:left w:val="none" w:sz="0" w:space="0" w:color="auto"/>
          <w:bottom w:val="none" w:sz="0" w:space="0" w:color="auto"/>
          <w:right w:val="none" w:sz="0" w:space="0" w:color="auto"/>
        </w:pBdr>
        <w:tabs>
          <w:tab w:val="num" w:pos="851"/>
        </w:tabs>
        <w:spacing w:before="240" w:after="240" w:afterAutospacing="0" w:line="260" w:lineRule="atLeast"/>
        <w:ind w:left="851" w:hanging="851"/>
      </w:pPr>
      <w:bookmarkStart w:id="452" w:name="_Ref332369915"/>
      <w:bookmarkStart w:id="453" w:name="_Toc335051091"/>
      <w:bookmarkStart w:id="454" w:name="_Toc337139003"/>
      <w:bookmarkStart w:id="455" w:name="_Toc379467651"/>
      <w:r>
        <w:t xml:space="preserve">CE </w:t>
      </w:r>
      <w:r w:rsidR="00A9011A">
        <w:t>Model Structure</w:t>
      </w:r>
      <w:bookmarkEnd w:id="452"/>
      <w:bookmarkEnd w:id="453"/>
      <w:bookmarkEnd w:id="454"/>
      <w:bookmarkEnd w:id="455"/>
    </w:p>
    <w:p w:rsidR="00A9011A" w:rsidRDefault="002D4392" w:rsidP="007E53DD">
      <w:pPr>
        <w:rPr>
          <w:lang w:eastAsia="nl-NL"/>
        </w:rPr>
      </w:pPr>
      <w:r>
        <w:t xml:space="preserve">The model was designed to evaluate the cost-effectiveness of a new hypothetical drug for SLE in order for the Pharmaceutical Company to demonstrate the benefits of the new treatment to institutions like NICE. </w:t>
      </w:r>
      <w:r w:rsidR="00A9011A">
        <w:rPr>
          <w:lang w:eastAsia="nl-NL"/>
        </w:rPr>
        <w:t xml:space="preserve">SLE is a heterogeneous and complex disease and it has been necessary to develop a relatively detailed CE model. The previous chapters identified disease activity, steroid exposure, organ damage and mortality to be key characteristics of SLE. The CE model estimates </w:t>
      </w:r>
      <w:r w:rsidR="00E23011">
        <w:rPr>
          <w:lang w:eastAsia="nl-NL"/>
        </w:rPr>
        <w:t xml:space="preserve">each </w:t>
      </w:r>
      <w:r w:rsidR="00A9011A">
        <w:rPr>
          <w:lang w:eastAsia="nl-NL"/>
        </w:rPr>
        <w:t xml:space="preserve">patient’s disease course in annual cycles and records their disease activity, steroid exposure, and organ damage progression until their death. A microsimulation CE model was built to reflect </w:t>
      </w:r>
      <w:r w:rsidR="007E53DD">
        <w:rPr>
          <w:lang w:eastAsia="nl-NL"/>
        </w:rPr>
        <w:t xml:space="preserve">a detailed account of the </w:t>
      </w:r>
      <w:r w:rsidR="00A9011A">
        <w:rPr>
          <w:lang w:eastAsia="nl-NL"/>
        </w:rPr>
        <w:t>costs and health implications of</w:t>
      </w:r>
      <w:r w:rsidR="007E53DD">
        <w:rPr>
          <w:lang w:eastAsia="nl-NL"/>
        </w:rPr>
        <w:t xml:space="preserve"> individual</w:t>
      </w:r>
      <w:r w:rsidR="00A9011A">
        <w:rPr>
          <w:lang w:eastAsia="nl-NL"/>
        </w:rPr>
        <w:t xml:space="preserve"> SLE </w:t>
      </w:r>
      <w:r w:rsidR="0016510D">
        <w:rPr>
          <w:lang w:eastAsia="nl-NL"/>
        </w:rPr>
        <w:t>patient’s</w:t>
      </w:r>
      <w:r w:rsidR="007E53DD">
        <w:rPr>
          <w:lang w:eastAsia="nl-NL"/>
        </w:rPr>
        <w:t xml:space="preserve"> lifetime according to the organ systems that are affected</w:t>
      </w:r>
      <w:r w:rsidR="00A9011A">
        <w:rPr>
          <w:lang w:eastAsia="nl-NL"/>
        </w:rPr>
        <w:t>.</w:t>
      </w:r>
    </w:p>
    <w:p w:rsidR="00A9011A" w:rsidRDefault="00A9011A" w:rsidP="00A9011A">
      <w:pPr>
        <w:rPr>
          <w:lang w:eastAsia="nl-NL"/>
        </w:rPr>
      </w:pPr>
      <w:r>
        <w:rPr>
          <w:lang w:eastAsia="nl-NL"/>
        </w:rPr>
        <w:t>The CE model is designed to compare two treatment options for SLE. Due to the absence of approved treatments for SLE it is not possible to identify a single comparator. Belimumab has recently received a licence but was rejected by NICE</w:t>
      </w:r>
      <w:r w:rsidR="00E23011">
        <w:rPr>
          <w:lang w:eastAsia="nl-NL"/>
        </w:rPr>
        <w:t xml:space="preserve"> </w:t>
      </w:r>
      <w:r w:rsidR="00E729BA">
        <w:rPr>
          <w:lang w:eastAsia="nl-NL"/>
        </w:rPr>
        <w:fldChar w:fldCharType="begin"/>
      </w:r>
      <w:r w:rsidR="00FC61FD">
        <w:rPr>
          <w:lang w:eastAsia="nl-NL"/>
        </w:rPr>
        <w:instrText xml:space="preserve"> ADDIN REFMGR.CITE &lt;Refman&gt;&lt;Cite&gt;&lt;Author&gt;National Institute for Health and Clinical Excellence&lt;/Author&gt;&lt;Year&gt;2013&lt;/Year&gt;&lt;RecNum&gt;1670&lt;/RecNum&gt;&lt;IDText&gt;Systemic lupus erythematosus (active) - belimumab: appraisal consultation document&lt;/IDText&gt;&lt;MDL Ref_Type="Electronic Citation"&gt;&lt;Ref_Type&gt;Electronic Citation&lt;/Ref_Type&gt;&lt;Ref_ID&gt;1670&lt;/Ref_ID&gt;&lt;Title_Primary&gt;Systemic lupus erythematosus (active) - belimumab: appraisal consultation document&lt;/Title_Primary&gt;&lt;Date_Primary&gt;2013/3&lt;/Date_Primary&gt;&lt;Keywords&gt;systemic lupus erythematosus&lt;/Keywords&gt;&lt;Keywords&gt;lupus erythematosus&lt;/Keywords&gt;&lt;Keywords&gt;erythematosus&lt;/Keywords&gt;&lt;Reprint&gt;In File&lt;/Reprint&gt;&lt;Periodical&gt;National Institute for Health and Clinical Excellence&lt;/Periodical&gt;&lt;Web_URL&gt;&lt;u&gt;http://guidance.nice.org.uk/TAG/273/Consultation/DraftGuidance&lt;/u&gt;&lt;/Web_URL&gt;&lt;ZZ_JournalFull&gt;&lt;f name="System"&gt;National Institute for Health and Clinical Excellence&lt;/f&gt;&lt;/ZZ_JournalFull&gt;&lt;ZZ_WorkformID&gt;34&lt;/ZZ_WorkformID&gt;&lt;/MDL&gt;&lt;/Cite&gt;&lt;/Refman&gt;</w:instrText>
      </w:r>
      <w:r w:rsidR="00E729BA">
        <w:rPr>
          <w:lang w:eastAsia="nl-NL"/>
        </w:rPr>
        <w:fldChar w:fldCharType="separate"/>
      </w:r>
      <w:r w:rsidR="0081424E">
        <w:rPr>
          <w:lang w:eastAsia="nl-NL"/>
        </w:rPr>
        <w:t>(225)</w:t>
      </w:r>
      <w:r w:rsidR="00E729BA">
        <w:rPr>
          <w:lang w:eastAsia="nl-NL"/>
        </w:rPr>
        <w:fldChar w:fldCharType="end"/>
      </w:r>
      <w:r>
        <w:rPr>
          <w:lang w:eastAsia="nl-NL"/>
        </w:rPr>
        <w:t xml:space="preserve">. The CE model is designed to compare a new hypothetical biologic treatment with standard of care (SoC). As such the new treatment is assumed to be added on to SoC therapies and the treatment costs for SoC are not considered in the CE model. </w:t>
      </w:r>
      <w:r w:rsidR="007E53DD">
        <w:rPr>
          <w:lang w:eastAsia="nl-NL"/>
        </w:rPr>
        <w:t>If the new treatment increases life expectancy the overall SoC costs will be greater in the new treatment arm. However, given that SoC treatments for SLE are cheap and generic the cost impact was assumed to be very small compared with the overall treatment costs of the new biologic.</w:t>
      </w:r>
    </w:p>
    <w:p w:rsidR="00A9011A" w:rsidRDefault="0090251C" w:rsidP="00E23011">
      <w:pPr>
        <w:rPr>
          <w:lang w:eastAsia="nl-NL"/>
        </w:rPr>
      </w:pPr>
      <w:r>
        <w:rPr>
          <w:lang w:eastAsia="nl-NL"/>
        </w:rPr>
        <w:t>The structure of the natural h</w:t>
      </w:r>
      <w:r w:rsidR="00A9011A">
        <w:rPr>
          <w:lang w:eastAsia="nl-NL"/>
        </w:rPr>
        <w:t>istory model</w:t>
      </w:r>
      <w:r w:rsidR="00A9011A" w:rsidRPr="00811809">
        <w:rPr>
          <w:lang w:eastAsia="nl-NL"/>
        </w:rPr>
        <w:t xml:space="preserve"> </w:t>
      </w:r>
      <w:r w:rsidR="00A9011A">
        <w:rPr>
          <w:lang w:eastAsia="nl-NL"/>
        </w:rPr>
        <w:t xml:space="preserve">is detailed in </w:t>
      </w:r>
      <w:r w:rsidR="00E729BA">
        <w:rPr>
          <w:lang w:eastAsia="nl-NL"/>
        </w:rPr>
        <w:fldChar w:fldCharType="begin"/>
      </w:r>
      <w:r w:rsidR="00A9011A">
        <w:rPr>
          <w:lang w:eastAsia="nl-NL"/>
        </w:rPr>
        <w:instrText xml:space="preserve"> REF _Ref313262864 \h </w:instrText>
      </w:r>
      <w:r w:rsidR="00E729BA">
        <w:rPr>
          <w:lang w:eastAsia="nl-NL"/>
        </w:rPr>
      </w:r>
      <w:r w:rsidR="00E729BA">
        <w:rPr>
          <w:lang w:eastAsia="nl-NL"/>
        </w:rPr>
        <w:fldChar w:fldCharType="separate"/>
      </w:r>
      <w:r w:rsidR="004911B7">
        <w:t xml:space="preserve">Figure </w:t>
      </w:r>
      <w:r w:rsidR="004911B7">
        <w:rPr>
          <w:noProof/>
        </w:rPr>
        <w:t>21</w:t>
      </w:r>
      <w:r w:rsidR="00E729BA">
        <w:rPr>
          <w:lang w:eastAsia="nl-NL"/>
        </w:rPr>
        <w:fldChar w:fldCharType="end"/>
      </w:r>
      <w:r w:rsidR="00A9011A">
        <w:rPr>
          <w:lang w:eastAsia="nl-NL"/>
        </w:rPr>
        <w:t xml:space="preserve">. The relationships between patient disease profiles and the long term consequences of the disease quantified using the statistical analyses described in Chapter 5. </w:t>
      </w:r>
      <w:r w:rsidR="00E23011">
        <w:rPr>
          <w:lang w:eastAsia="nl-NL"/>
        </w:rPr>
        <w:t>Fifteen-thousand p</w:t>
      </w:r>
      <w:r w:rsidR="00A9011A">
        <w:rPr>
          <w:lang w:eastAsia="nl-NL"/>
        </w:rPr>
        <w:t xml:space="preserve">atients in the simulation have individual characteristics at baseline described in the box in the top left-hand corner in </w:t>
      </w:r>
      <w:r w:rsidR="00E729BA">
        <w:rPr>
          <w:lang w:eastAsia="nl-NL"/>
        </w:rPr>
        <w:fldChar w:fldCharType="begin"/>
      </w:r>
      <w:r w:rsidR="00A9011A">
        <w:rPr>
          <w:lang w:eastAsia="nl-NL"/>
        </w:rPr>
        <w:instrText xml:space="preserve"> REF _Ref313262864 \h </w:instrText>
      </w:r>
      <w:r w:rsidR="00E729BA">
        <w:rPr>
          <w:lang w:eastAsia="nl-NL"/>
        </w:rPr>
      </w:r>
      <w:r w:rsidR="00E729BA">
        <w:rPr>
          <w:lang w:eastAsia="nl-NL"/>
        </w:rPr>
        <w:fldChar w:fldCharType="separate"/>
      </w:r>
      <w:r w:rsidR="004911B7">
        <w:t xml:space="preserve">Figure </w:t>
      </w:r>
      <w:r w:rsidR="004911B7">
        <w:rPr>
          <w:noProof/>
        </w:rPr>
        <w:t>21</w:t>
      </w:r>
      <w:r w:rsidR="00E729BA">
        <w:rPr>
          <w:lang w:eastAsia="nl-NL"/>
        </w:rPr>
        <w:fldChar w:fldCharType="end"/>
      </w:r>
      <w:r w:rsidR="00A9011A">
        <w:rPr>
          <w:lang w:eastAsia="nl-NL"/>
        </w:rPr>
        <w:t>. These characteristics impact on the estimation of a patient’s natural history. Disease activity score determines current steroid dose. Patient characteristics, disease activity score and steroid dose influence the probability of organ damage. Organ damage events have been grouped according to organ system. Patient characteristics, disease activity and organ damage influence the risk of mortality.</w:t>
      </w:r>
    </w:p>
    <w:p w:rsidR="00A9011A" w:rsidRDefault="00A9011A" w:rsidP="00C26CB4">
      <w:pPr>
        <w:rPr>
          <w:lang w:eastAsia="nl-NL"/>
        </w:rPr>
      </w:pPr>
      <w:r>
        <w:t xml:space="preserve">Probabilistic sensitivity analysis, in which costs, utilities, regression parameters and treatment withdrawal rates are sampled at random from parametric distributions, is used to generate the results </w:t>
      </w:r>
      <w:r w:rsidR="0090251C">
        <w:t>based on 10,000 iterations of input parameters</w:t>
      </w:r>
      <w:r>
        <w:t xml:space="preserve"> in order to describe uncertainty in the </w:t>
      </w:r>
      <w:r w:rsidR="0090251C">
        <w:t xml:space="preserve">CE </w:t>
      </w:r>
      <w:r>
        <w:t>model</w:t>
      </w:r>
      <w:r w:rsidR="00C26CB4">
        <w:t xml:space="preserve"> outcomes</w:t>
      </w:r>
      <w:r>
        <w:t>.</w:t>
      </w:r>
    </w:p>
    <w:p w:rsidR="00A9011A" w:rsidRDefault="00A9011A" w:rsidP="00234693">
      <w:pPr>
        <w:pStyle w:val="Caption"/>
      </w:pPr>
      <w:bookmarkStart w:id="456" w:name="_Ref313262864"/>
      <w:r>
        <w:t xml:space="preserve">Figure </w:t>
      </w:r>
      <w:r w:rsidR="00E729BA">
        <w:fldChar w:fldCharType="begin"/>
      </w:r>
      <w:r w:rsidR="000B0EDB">
        <w:instrText xml:space="preserve"> SEQ Figure \* ARABIC </w:instrText>
      </w:r>
      <w:r w:rsidR="00E729BA">
        <w:fldChar w:fldCharType="separate"/>
      </w:r>
      <w:r w:rsidR="004911B7">
        <w:rPr>
          <w:noProof/>
        </w:rPr>
        <w:t>21</w:t>
      </w:r>
      <w:r w:rsidR="00E729BA">
        <w:fldChar w:fldCharType="end"/>
      </w:r>
      <w:bookmarkEnd w:id="456"/>
      <w:r>
        <w:t>: Diagram for the</w:t>
      </w:r>
      <w:r w:rsidR="00E23011">
        <w:t xml:space="preserve"> annual cycles for the</w:t>
      </w:r>
      <w:r>
        <w:t xml:space="preserve"> CE natural history model structure</w:t>
      </w:r>
    </w:p>
    <w:p w:rsidR="00A9011A" w:rsidRDefault="00A9011A" w:rsidP="00A9011A">
      <w:pPr>
        <w:keepNext/>
      </w:pPr>
      <w:r w:rsidRPr="00C53306">
        <w:rPr>
          <w:noProof/>
          <w:lang w:eastAsia="zh-CN" w:bidi="ar-SA"/>
        </w:rPr>
        <w:drawing>
          <wp:inline distT="0" distB="0" distL="0" distR="0">
            <wp:extent cx="5540911" cy="3600000"/>
            <wp:effectExtent l="19050" t="19050" r="21689" b="1950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540911" cy="3600000"/>
                    </a:xfrm>
                    <a:prstGeom prst="rect">
                      <a:avLst/>
                    </a:prstGeom>
                    <a:noFill/>
                    <a:ln w="9525">
                      <a:solidFill>
                        <a:schemeClr val="tx1"/>
                      </a:solidFill>
                      <a:miter lim="800000"/>
                      <a:headEnd/>
                      <a:tailEnd/>
                    </a:ln>
                  </pic:spPr>
                </pic:pic>
              </a:graphicData>
            </a:graphic>
          </wp:inline>
        </w:drawing>
      </w:r>
    </w:p>
    <w:p w:rsidR="00A9011A" w:rsidRDefault="00A9011A" w:rsidP="00A9011A">
      <w:pPr>
        <w:pStyle w:val="Heading2"/>
        <w:keepNext/>
        <w:pBdr>
          <w:top w:val="none" w:sz="0" w:space="0" w:color="auto"/>
          <w:left w:val="none" w:sz="0" w:space="0" w:color="auto"/>
          <w:bottom w:val="none" w:sz="0" w:space="0" w:color="auto"/>
          <w:right w:val="none" w:sz="0" w:space="0" w:color="auto"/>
        </w:pBdr>
        <w:tabs>
          <w:tab w:val="num" w:pos="851"/>
        </w:tabs>
        <w:spacing w:before="240" w:after="240" w:afterAutospacing="0" w:line="260" w:lineRule="atLeast"/>
        <w:ind w:left="851" w:hanging="851"/>
      </w:pPr>
      <w:bookmarkStart w:id="457" w:name="_Ref332370056"/>
      <w:bookmarkStart w:id="458" w:name="_Toc335051092"/>
      <w:bookmarkStart w:id="459" w:name="_Toc337139004"/>
      <w:bookmarkStart w:id="460" w:name="_Toc279746620"/>
      <w:bookmarkStart w:id="461" w:name="_Toc280007179"/>
      <w:bookmarkStart w:id="462" w:name="_Toc280014827"/>
      <w:bookmarkStart w:id="463" w:name="_Toc280881221"/>
      <w:bookmarkStart w:id="464" w:name="_Toc280882289"/>
      <w:bookmarkStart w:id="465" w:name="_Toc287362506"/>
      <w:bookmarkStart w:id="466" w:name="_Toc379467652"/>
      <w:r>
        <w:t>Simulation Process</w:t>
      </w:r>
      <w:bookmarkEnd w:id="457"/>
      <w:bookmarkEnd w:id="458"/>
      <w:r>
        <w:t xml:space="preserve"> and Parameter Inputs</w:t>
      </w:r>
      <w:bookmarkEnd w:id="459"/>
      <w:bookmarkEnd w:id="466"/>
    </w:p>
    <w:p w:rsidR="00A9011A" w:rsidRDefault="00A9011A" w:rsidP="00E23011">
      <w:pPr>
        <w:rPr>
          <w:lang w:eastAsia="nl-NL"/>
        </w:rPr>
      </w:pPr>
      <w:r>
        <w:rPr>
          <w:lang w:eastAsia="nl-NL"/>
        </w:rPr>
        <w:t xml:space="preserve">The CE model relies on two simulation processes. The first generates an SLE population with variable characteristics and disease severity. The second process </w:t>
      </w:r>
      <w:r w:rsidR="00E23011">
        <w:rPr>
          <w:lang w:eastAsia="nl-NL"/>
        </w:rPr>
        <w:t>selects</w:t>
      </w:r>
      <w:r>
        <w:rPr>
          <w:lang w:eastAsia="nl-NL"/>
        </w:rPr>
        <w:t xml:space="preserve"> a sample of SLE patients from the population to populate the CE model and simulates their disease. A summary of the two simulation processes is described in </w:t>
      </w:r>
      <w:r w:rsidR="00E729BA">
        <w:rPr>
          <w:lang w:eastAsia="nl-NL"/>
        </w:rPr>
        <w:fldChar w:fldCharType="begin"/>
      </w:r>
      <w:r>
        <w:rPr>
          <w:lang w:eastAsia="nl-NL"/>
        </w:rPr>
        <w:instrText xml:space="preserve"> REF _Ref330987774 \h </w:instrText>
      </w:r>
      <w:r w:rsidR="00E729BA">
        <w:rPr>
          <w:lang w:eastAsia="nl-NL"/>
        </w:rPr>
      </w:r>
      <w:r w:rsidR="00E729BA">
        <w:rPr>
          <w:lang w:eastAsia="nl-NL"/>
        </w:rPr>
        <w:fldChar w:fldCharType="separate"/>
      </w:r>
      <w:r w:rsidR="004911B7">
        <w:t xml:space="preserve">Figure </w:t>
      </w:r>
      <w:r w:rsidR="004911B7">
        <w:rPr>
          <w:noProof/>
        </w:rPr>
        <w:t>22</w:t>
      </w:r>
      <w:r w:rsidR="00E729BA">
        <w:rPr>
          <w:lang w:eastAsia="nl-NL"/>
        </w:rPr>
        <w:fldChar w:fldCharType="end"/>
      </w:r>
      <w:r>
        <w:rPr>
          <w:lang w:eastAsia="nl-NL"/>
        </w:rPr>
        <w:t xml:space="preserve">. The simulation was developed using R software </w:t>
      </w:r>
      <w:r w:rsidR="00E729BA">
        <w:rPr>
          <w:lang w:eastAsia="nl-NL"/>
        </w:rPr>
        <w:fldChar w:fldCharType="begin"/>
      </w:r>
      <w:r w:rsidR="00FC61FD">
        <w:rPr>
          <w:lang w:eastAsia="nl-NL"/>
        </w:rPr>
        <w:instrText xml:space="preserve"> ADDIN REFMGR.CITE &lt;Refman&gt;&lt;Cite&gt;&lt;Author&gt;R Core Team&lt;/Author&gt;&lt;Year&gt;2012&lt;/Year&gt;&lt;RecNum&gt;1617&lt;/RecNum&gt;&lt;IDText&gt;R: A Language and Environment for Statistical Computing&lt;/IDText&gt;&lt;MDL Ref_Type="Computer Program"&gt;&lt;Ref_Type&gt;Computer Program&lt;/Ref_Type&gt;&lt;Ref_ID&gt;1617&lt;/Ref_ID&gt;&lt;Title_Primary&gt;R: A Language and Environment for Statistical Computing&lt;/Title_Primary&gt;&lt;Authors_Primary&gt;R Core Team&lt;/Authors_Primary&gt;&lt;Date_Primary&gt;2012&lt;/Date_Primary&gt;&lt;Keywords&gt;Environment&lt;/Keywords&gt;&lt;Reprint&gt;In File&lt;/Reprint&gt;&lt;Pub_Place&gt;Vienna, Austria&lt;/Pub_Place&gt;&lt;Publisher&gt;R Foundation for Statistical Computing&lt;/Publisher&gt;&lt;Web_URL&gt;&lt;u&gt;http://www.R-project.org&lt;/u&gt;&lt;/Web_URL&gt;&lt;ZZ_WorkformID&gt;11&lt;/ZZ_WorkformID&gt;&lt;/MDL&gt;&lt;/Cite&gt;&lt;/Refman&gt;</w:instrText>
      </w:r>
      <w:r w:rsidR="00E729BA">
        <w:rPr>
          <w:lang w:eastAsia="nl-NL"/>
        </w:rPr>
        <w:fldChar w:fldCharType="separate"/>
      </w:r>
      <w:r w:rsidR="0081424E">
        <w:rPr>
          <w:lang w:eastAsia="nl-NL"/>
        </w:rPr>
        <w:t>(220)</w:t>
      </w:r>
      <w:r w:rsidR="00E729BA">
        <w:rPr>
          <w:lang w:eastAsia="nl-NL"/>
        </w:rPr>
        <w:fldChar w:fldCharType="end"/>
      </w:r>
      <w:r>
        <w:rPr>
          <w:lang w:eastAsia="nl-NL"/>
        </w:rPr>
        <w:t xml:space="preserve">. </w:t>
      </w:r>
    </w:p>
    <w:p w:rsidR="00A9011A" w:rsidRDefault="00A9011A" w:rsidP="00234693">
      <w:pPr>
        <w:pStyle w:val="Caption"/>
      </w:pPr>
      <w:bookmarkStart w:id="467" w:name="_Ref330987774"/>
      <w:r>
        <w:t xml:space="preserve">Figure </w:t>
      </w:r>
      <w:r w:rsidR="00E729BA">
        <w:fldChar w:fldCharType="begin"/>
      </w:r>
      <w:r w:rsidR="000B0EDB">
        <w:instrText xml:space="preserve"> SEQ Figure \* ARABIC </w:instrText>
      </w:r>
      <w:r w:rsidR="00E729BA">
        <w:fldChar w:fldCharType="separate"/>
      </w:r>
      <w:r w:rsidR="004911B7">
        <w:rPr>
          <w:noProof/>
        </w:rPr>
        <w:t>22</w:t>
      </w:r>
      <w:r w:rsidR="00E729BA">
        <w:fldChar w:fldCharType="end"/>
      </w:r>
      <w:bookmarkEnd w:id="467"/>
      <w:r>
        <w:t>: Summary of simulation process</w:t>
      </w:r>
    </w:p>
    <w:p w:rsidR="00A9011A" w:rsidRDefault="00A9011A" w:rsidP="00A9011A">
      <w:pPr>
        <w:rPr>
          <w:lang w:eastAsia="nl-NL"/>
        </w:rPr>
      </w:pPr>
      <w:r w:rsidRPr="008A1DF3">
        <w:rPr>
          <w:noProof/>
          <w:lang w:eastAsia="zh-CN" w:bidi="ar-SA"/>
        </w:rPr>
        <w:drawing>
          <wp:inline distT="0" distB="0" distL="0" distR="0">
            <wp:extent cx="4680000" cy="2881575"/>
            <wp:effectExtent l="19050" t="0" r="630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4680000" cy="2881575"/>
                    </a:xfrm>
                    <a:prstGeom prst="rect">
                      <a:avLst/>
                    </a:prstGeom>
                    <a:noFill/>
                    <a:ln w="9525">
                      <a:noFill/>
                      <a:miter lim="800000"/>
                      <a:headEnd/>
                      <a:tailEnd/>
                    </a:ln>
                  </pic:spPr>
                </pic:pic>
              </a:graphicData>
            </a:graphic>
          </wp:inline>
        </w:drawing>
      </w:r>
    </w:p>
    <w:p w:rsidR="00A9011A" w:rsidRDefault="00A9011A" w:rsidP="00A9011A">
      <w:pPr>
        <w:pStyle w:val="Heading3"/>
        <w:rPr>
          <w:lang w:eastAsia="nl-NL"/>
        </w:rPr>
      </w:pPr>
      <w:bookmarkStart w:id="468" w:name="_Toc337139005"/>
      <w:bookmarkStart w:id="469" w:name="_Toc379467653"/>
      <w:r>
        <w:rPr>
          <w:lang w:eastAsia="nl-NL"/>
        </w:rPr>
        <w:t>Generate Population</w:t>
      </w:r>
      <w:bookmarkEnd w:id="468"/>
      <w:bookmarkEnd w:id="469"/>
    </w:p>
    <w:p w:rsidR="00A9011A" w:rsidRPr="000C2C76" w:rsidRDefault="00A9011A" w:rsidP="00A9011A">
      <w:r>
        <w:t>The Generate SLE population process described in section 6.2.1 of Chapter 6 is also used in the CE model to sample a large population of SLE patients that are representative of the characteristics observed in the Hopkins Lupus Cohort. The input parameters for the Generate SLE population simulation process are described in section 6.2.1 of Chapter 6.</w:t>
      </w:r>
    </w:p>
    <w:p w:rsidR="00A9011A" w:rsidRDefault="00A9011A" w:rsidP="00236C8F">
      <w:pPr>
        <w:pStyle w:val="Heading3"/>
        <w:rPr>
          <w:lang w:eastAsia="nl-NL"/>
        </w:rPr>
      </w:pPr>
      <w:bookmarkStart w:id="470" w:name="_Toc335051094"/>
      <w:bookmarkStart w:id="471" w:name="_Toc337139006"/>
      <w:bookmarkStart w:id="472" w:name="_Toc379467654"/>
      <w:r>
        <w:rPr>
          <w:lang w:eastAsia="nl-NL"/>
        </w:rPr>
        <w:t xml:space="preserve">The </w:t>
      </w:r>
      <w:r w:rsidR="00236C8F">
        <w:rPr>
          <w:lang w:eastAsia="nl-NL"/>
        </w:rPr>
        <w:t>C</w:t>
      </w:r>
      <w:r>
        <w:rPr>
          <w:lang w:eastAsia="nl-NL"/>
        </w:rPr>
        <w:t>ost-Effectiveness Model</w:t>
      </w:r>
      <w:bookmarkEnd w:id="470"/>
      <w:bookmarkEnd w:id="471"/>
      <w:bookmarkEnd w:id="472"/>
    </w:p>
    <w:p w:rsidR="00584E81" w:rsidRDefault="00A9011A" w:rsidP="0071127D">
      <w:pPr>
        <w:rPr>
          <w:lang w:eastAsia="nl-NL"/>
        </w:rPr>
      </w:pPr>
      <w:r>
        <w:rPr>
          <w:lang w:eastAsia="nl-NL"/>
        </w:rPr>
        <w:t>At the start of the PSA a sample of patients were selected from the SLE population until the sample size for the CE model</w:t>
      </w:r>
      <w:r w:rsidR="00E23011">
        <w:rPr>
          <w:lang w:eastAsia="nl-NL"/>
        </w:rPr>
        <w:t xml:space="preserve"> of fifteen thousand patients</w:t>
      </w:r>
      <w:r>
        <w:rPr>
          <w:lang w:eastAsia="nl-NL"/>
        </w:rPr>
        <w:t xml:space="preserve"> had been reached. The recruited patients were cloned to generate an identical sample in the treatment and SoC arm to reduce random error in the results of the analysis. The CE analysis was repeated </w:t>
      </w:r>
      <w:r w:rsidR="0071127D">
        <w:rPr>
          <w:lang w:eastAsia="nl-NL"/>
        </w:rPr>
        <w:t xml:space="preserve">5,000 </w:t>
      </w:r>
      <w:r>
        <w:rPr>
          <w:lang w:eastAsia="nl-NL"/>
        </w:rPr>
        <w:t xml:space="preserve">times to estimate a range of possible CE outcomes for the PSA. At the start of every </w:t>
      </w:r>
      <w:r w:rsidR="001A1797">
        <w:rPr>
          <w:lang w:eastAsia="nl-NL"/>
        </w:rPr>
        <w:t>iteration</w:t>
      </w:r>
      <w:r>
        <w:rPr>
          <w:lang w:eastAsia="nl-NL"/>
        </w:rPr>
        <w:t xml:space="preserve"> the</w:t>
      </w:r>
      <w:r w:rsidR="001A1797">
        <w:rPr>
          <w:lang w:eastAsia="nl-NL"/>
        </w:rPr>
        <w:t xml:space="preserve"> CE</w:t>
      </w:r>
      <w:r>
        <w:rPr>
          <w:lang w:eastAsia="nl-NL"/>
        </w:rPr>
        <w:t xml:space="preserve"> model input parameters are sampled from their probability distributions. During the simulation the CE model monitors patients in annual intervals to record disease severity, treatment burden, and important events such as organ damage and mortality. Each annual interval generates an estimate of the cost of their disease and the QALY gained in that year. For each PSA iteration the expected direct healthcare costs, expected QALYs, and expected years on new treatment were recorded.</w:t>
      </w:r>
    </w:p>
    <w:p w:rsidR="008731E8" w:rsidRDefault="008731E8" w:rsidP="00A52A3A">
      <w:pPr>
        <w:rPr>
          <w:lang w:eastAsia="nl-NL"/>
        </w:rPr>
      </w:pPr>
    </w:p>
    <w:p w:rsidR="008731E8" w:rsidRDefault="008731E8" w:rsidP="00A52A3A">
      <w:pPr>
        <w:rPr>
          <w:lang w:eastAsia="nl-NL"/>
        </w:rPr>
      </w:pPr>
    </w:p>
    <w:p w:rsidR="00A9011A" w:rsidRDefault="00A9011A" w:rsidP="00A9011A">
      <w:pPr>
        <w:pStyle w:val="Heading4"/>
      </w:pPr>
      <w:bookmarkStart w:id="473" w:name="_Toc279746624"/>
      <w:bookmarkStart w:id="474" w:name="_Toc280007186"/>
      <w:bookmarkStart w:id="475" w:name="_Toc280014834"/>
      <w:bookmarkStart w:id="476" w:name="_Toc280881228"/>
      <w:bookmarkStart w:id="477" w:name="_Toc280882296"/>
      <w:bookmarkStart w:id="478" w:name="_Ref283889543"/>
      <w:bookmarkStart w:id="479" w:name="_Toc287362514"/>
      <w:r>
        <w:t xml:space="preserve">Average Change in </w:t>
      </w:r>
      <w:bookmarkEnd w:id="473"/>
      <w:bookmarkEnd w:id="474"/>
      <w:bookmarkEnd w:id="475"/>
      <w:r>
        <w:t>SLEDAI score</w:t>
      </w:r>
      <w:bookmarkEnd w:id="476"/>
      <w:bookmarkEnd w:id="477"/>
      <w:bookmarkEnd w:id="478"/>
      <w:bookmarkEnd w:id="479"/>
    </w:p>
    <w:p w:rsidR="00A9011A" w:rsidRDefault="006D613B" w:rsidP="0071127D">
      <w:pPr>
        <w:rPr>
          <w:lang w:eastAsia="nl-NL"/>
        </w:rPr>
      </w:pPr>
      <w:r>
        <w:rPr>
          <w:lang w:eastAsia="nl-NL"/>
        </w:rPr>
        <w:t xml:space="preserve">A regression model to predict annual changes in mean SLEDAI was used to update the average SLEDAI score for each annual interval. </w:t>
      </w:r>
      <w:r w:rsidR="00A9011A">
        <w:rPr>
          <w:lang w:eastAsia="nl-NL"/>
        </w:rPr>
        <w:t xml:space="preserve">The composite SLEDAI score was used to avoid having to simulate disease activity organ involvement which would add substantial complexity to the CE model and was not considered necessary </w:t>
      </w:r>
      <w:r w:rsidR="0071127D">
        <w:rPr>
          <w:lang w:eastAsia="nl-NL"/>
        </w:rPr>
        <w:t>because the CE model must simulation outcomes over the patient’s lifetime</w:t>
      </w:r>
      <w:r w:rsidR="00A9011A">
        <w:rPr>
          <w:lang w:eastAsia="nl-NL"/>
        </w:rPr>
        <w:t>. Simulated changes in SLEDAI were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83"/>
        <w:gridCol w:w="1125"/>
      </w:tblGrid>
      <w:tr w:rsidR="007568A9" w:rsidTr="00025CCF">
        <w:trPr>
          <w:cantSplit/>
          <w:trHeight w:val="435"/>
        </w:trPr>
        <w:tc>
          <w:tcPr>
            <w:tcW w:w="534" w:type="dxa"/>
          </w:tcPr>
          <w:p w:rsidR="007568A9" w:rsidRDefault="007568A9" w:rsidP="007568A9"/>
        </w:tc>
        <w:tc>
          <w:tcPr>
            <w:tcW w:w="7512" w:type="dxa"/>
          </w:tcPr>
          <w:p w:rsidR="007568A9" w:rsidRPr="008731E8" w:rsidRDefault="00E729BA" w:rsidP="007568A9">
            <w:pPr>
              <w:rPr>
                <w:sz w:val="20"/>
              </w:rPr>
            </w:pPr>
            <m:oMathPara>
              <m:oMath>
                <m:sSub>
                  <m:sSubPr>
                    <m:ctrlPr>
                      <w:rPr>
                        <w:rFonts w:ascii="Cambria Math" w:hAnsi="Cambria Math"/>
                        <w:i/>
                        <w:sz w:val="20"/>
                      </w:rPr>
                    </m:ctrlPr>
                  </m:sSubPr>
                  <m:e>
                    <m:r>
                      <w:rPr>
                        <w:rFonts w:ascii="Cambria Math" w:hAnsi="Cambria Math"/>
                        <w:sz w:val="20"/>
                      </w:rPr>
                      <m:t>ΔSLEDAI</m:t>
                    </m:r>
                  </m:e>
                  <m:sub>
                    <m:r>
                      <w:rPr>
                        <w:rFonts w:ascii="Cambria Math" w:hAnsi="Cambria Math"/>
                        <w:sz w:val="20"/>
                      </w:rPr>
                      <m:t>ij</m:t>
                    </m:r>
                  </m:sub>
                </m:sSub>
                <m:r>
                  <w:rPr>
                    <w:rFonts w:ascii="Cambria Math" w:hAnsi="Cambria Math"/>
                    <w:sz w:val="20"/>
                  </w:rPr>
                  <m:t>=</m:t>
                </m:r>
                <m:sSub>
                  <m:sSubPr>
                    <m:ctrlPr>
                      <w:rPr>
                        <w:rFonts w:ascii="Cambria Math" w:hAnsi="Cambria Math"/>
                        <w:i/>
                        <w:sz w:val="20"/>
                      </w:rPr>
                    </m:ctrlPr>
                  </m:sSubPr>
                  <m:e>
                    <m:r>
                      <w:rPr>
                        <w:rFonts w:ascii="Cambria Math" w:hAnsi="Cambria Math"/>
                        <w:sz w:val="20"/>
                      </w:rPr>
                      <m:t>β</m:t>
                    </m:r>
                  </m:e>
                  <m:sub>
                    <m:r>
                      <w:rPr>
                        <w:rFonts w:ascii="Cambria Math" w:hAnsi="Cambria Math"/>
                        <w:sz w:val="20"/>
                      </w:rPr>
                      <m:t>0</m:t>
                    </m:r>
                  </m:sub>
                </m:sSub>
                <m:r>
                  <w:rPr>
                    <w:rFonts w:ascii="Cambria Math" w:hAnsi="Cambria Math"/>
                    <w:sz w:val="20"/>
                  </w:rPr>
                  <m:t>+</m:t>
                </m:r>
                <m:sSub>
                  <m:sSubPr>
                    <m:ctrlPr>
                      <w:rPr>
                        <w:rFonts w:ascii="Cambria Math" w:hAnsi="Cambria Math"/>
                        <w:i/>
                        <w:sz w:val="20"/>
                      </w:rPr>
                    </m:ctrlPr>
                  </m:sSubPr>
                  <m:e>
                    <m:r>
                      <w:rPr>
                        <w:rFonts w:ascii="Cambria Math" w:hAnsi="Cambria Math"/>
                        <w:sz w:val="20"/>
                      </w:rPr>
                      <m:t>black</m:t>
                    </m:r>
                  </m:e>
                  <m:sub>
                    <m:r>
                      <w:rPr>
                        <w:rFonts w:ascii="Cambria Math" w:hAnsi="Cambria Math"/>
                        <w:sz w:val="20"/>
                      </w:rPr>
                      <m:t>ij</m:t>
                    </m:r>
                  </m:sub>
                </m:sSub>
                <m:sSub>
                  <m:sSubPr>
                    <m:ctrlPr>
                      <w:rPr>
                        <w:rFonts w:ascii="Cambria Math" w:hAnsi="Cambria Math"/>
                        <w:i/>
                        <w:sz w:val="20"/>
                      </w:rPr>
                    </m:ctrlPr>
                  </m:sSubPr>
                  <m:e>
                    <m:r>
                      <w:rPr>
                        <w:rFonts w:ascii="Cambria Math" w:hAnsi="Cambria Math"/>
                        <w:sz w:val="20"/>
                      </w:rPr>
                      <m:t>β</m:t>
                    </m:r>
                  </m:e>
                  <m:sub>
                    <m:r>
                      <w:rPr>
                        <w:rFonts w:ascii="Cambria Math" w:hAnsi="Cambria Math"/>
                        <w:sz w:val="20"/>
                      </w:rPr>
                      <m:t>1</m:t>
                    </m:r>
                  </m:sub>
                </m:sSub>
                <m:r>
                  <w:rPr>
                    <w:rFonts w:ascii="Cambria Math" w:hAnsi="Cambria Math"/>
                    <w:sz w:val="20"/>
                  </w:rPr>
                  <m:t>+</m:t>
                </m:r>
                <m:sSub>
                  <m:sSubPr>
                    <m:ctrlPr>
                      <w:rPr>
                        <w:rFonts w:ascii="Cambria Math" w:hAnsi="Cambria Math"/>
                        <w:i/>
                        <w:sz w:val="20"/>
                      </w:rPr>
                    </m:ctrlPr>
                  </m:sSubPr>
                  <m:e>
                    <m:r>
                      <m:rPr>
                        <m:sty m:val="p"/>
                      </m:rPr>
                      <w:rPr>
                        <w:rFonts w:ascii="Cambria Math" w:hAnsi="Cambria Math"/>
                        <w:sz w:val="20"/>
                      </w:rPr>
                      <m:t>log⁡</m:t>
                    </m:r>
                    <m:r>
                      <w:rPr>
                        <w:rFonts w:ascii="Cambria Math" w:hAnsi="Cambria Math"/>
                        <w:sz w:val="20"/>
                      </w:rPr>
                      <m:t>(age)</m:t>
                    </m:r>
                  </m:e>
                  <m:sub>
                    <m:r>
                      <w:rPr>
                        <w:rFonts w:ascii="Cambria Math" w:hAnsi="Cambria Math"/>
                        <w:sz w:val="20"/>
                      </w:rPr>
                      <m:t>ij</m:t>
                    </m:r>
                  </m:sub>
                </m:sSub>
                <m:sSub>
                  <m:sSubPr>
                    <m:ctrlPr>
                      <w:rPr>
                        <w:rFonts w:ascii="Cambria Math" w:hAnsi="Cambria Math"/>
                        <w:i/>
                        <w:sz w:val="20"/>
                      </w:rPr>
                    </m:ctrlPr>
                  </m:sSubPr>
                  <m:e>
                    <m:r>
                      <w:rPr>
                        <w:rFonts w:ascii="Cambria Math" w:hAnsi="Cambria Math"/>
                        <w:sz w:val="20"/>
                      </w:rPr>
                      <m:t>β</m:t>
                    </m:r>
                  </m:e>
                  <m:sub>
                    <m:r>
                      <w:rPr>
                        <w:rFonts w:ascii="Cambria Math" w:hAnsi="Cambria Math"/>
                        <w:sz w:val="20"/>
                      </w:rPr>
                      <m:t>2</m:t>
                    </m:r>
                  </m:sub>
                </m:sSub>
                <m:r>
                  <w:rPr>
                    <w:rFonts w:ascii="Cambria Math" w:hAnsi="Cambria Math"/>
                    <w:sz w:val="20"/>
                  </w:rPr>
                  <m:t>+</m:t>
                </m:r>
                <m:sSub>
                  <m:sSubPr>
                    <m:ctrlPr>
                      <w:rPr>
                        <w:rFonts w:ascii="Cambria Math" w:hAnsi="Cambria Math"/>
                        <w:i/>
                        <w:sz w:val="20"/>
                      </w:rPr>
                    </m:ctrlPr>
                  </m:sSubPr>
                  <m:e>
                    <m:r>
                      <w:rPr>
                        <w:rFonts w:ascii="Cambria Math" w:hAnsi="Cambria Math"/>
                        <w:sz w:val="20"/>
                      </w:rPr>
                      <m:t>L.SLEDAI</m:t>
                    </m:r>
                  </m:e>
                  <m:sub>
                    <m:r>
                      <w:rPr>
                        <w:rFonts w:ascii="Cambria Math" w:hAnsi="Cambria Math"/>
                        <w:sz w:val="20"/>
                      </w:rPr>
                      <m:t>ij</m:t>
                    </m:r>
                  </m:sub>
                </m:sSub>
                <m:sSub>
                  <m:sSubPr>
                    <m:ctrlPr>
                      <w:rPr>
                        <w:rFonts w:ascii="Cambria Math" w:hAnsi="Cambria Math"/>
                        <w:i/>
                        <w:sz w:val="20"/>
                      </w:rPr>
                    </m:ctrlPr>
                  </m:sSubPr>
                  <m:e>
                    <m:r>
                      <w:rPr>
                        <w:rFonts w:ascii="Cambria Math" w:hAnsi="Cambria Math"/>
                        <w:sz w:val="20"/>
                      </w:rPr>
                      <m:t>β</m:t>
                    </m:r>
                  </m:e>
                  <m:sub>
                    <m:r>
                      <w:rPr>
                        <w:rFonts w:ascii="Cambria Math" w:hAnsi="Cambria Math"/>
                        <w:sz w:val="20"/>
                      </w:rPr>
                      <m:t>3</m:t>
                    </m:r>
                  </m:sub>
                </m:sSub>
                <m:r>
                  <w:rPr>
                    <w:rFonts w:ascii="Cambria Math" w:hAnsi="Cambria Math"/>
                    <w:sz w:val="20"/>
                  </w:rPr>
                  <m:t>+</m:t>
                </m:r>
                <m:sSub>
                  <m:sSubPr>
                    <m:ctrlPr>
                      <w:rPr>
                        <w:rFonts w:ascii="Cambria Math" w:hAnsi="Cambria Math"/>
                        <w:i/>
                        <w:sz w:val="20"/>
                      </w:rPr>
                    </m:ctrlPr>
                  </m:sSubPr>
                  <m:e>
                    <m:sSub>
                      <m:sSubPr>
                        <m:ctrlPr>
                          <w:rPr>
                            <w:rFonts w:ascii="Cambria Math" w:hAnsi="Cambria Math"/>
                            <w:i/>
                            <w:sz w:val="20"/>
                          </w:rPr>
                        </m:ctrlPr>
                      </m:sSubPr>
                      <m:e>
                        <m:r>
                          <w:rPr>
                            <w:rFonts w:ascii="Cambria Math" w:hAnsi="Cambria Math"/>
                            <w:sz w:val="20"/>
                          </w:rPr>
                          <m:t>D</m:t>
                        </m:r>
                      </m:e>
                      <m:sub>
                        <m:r>
                          <w:rPr>
                            <w:rFonts w:ascii="Cambria Math" w:hAnsi="Cambria Math"/>
                            <w:sz w:val="20"/>
                          </w:rPr>
                          <m:t>ij</m:t>
                        </m:r>
                      </m:sub>
                    </m:sSub>
                    <m:sSub>
                      <m:sSubPr>
                        <m:ctrlPr>
                          <w:rPr>
                            <w:rFonts w:ascii="Cambria Math" w:hAnsi="Cambria Math"/>
                            <w:i/>
                            <w:sz w:val="20"/>
                          </w:rPr>
                        </m:ctrlPr>
                      </m:sSubPr>
                      <m:e>
                        <m:r>
                          <w:rPr>
                            <w:rFonts w:ascii="Cambria Math" w:hAnsi="Cambria Math"/>
                            <w:sz w:val="20"/>
                          </w:rPr>
                          <m:t>β</m:t>
                        </m:r>
                      </m:e>
                      <m:sub>
                        <m:r>
                          <w:rPr>
                            <w:rFonts w:ascii="Cambria Math" w:hAnsi="Cambria Math"/>
                            <w:sz w:val="20"/>
                          </w:rPr>
                          <m:t>4</m:t>
                        </m:r>
                      </m:sub>
                    </m:sSub>
                    <m:r>
                      <w:rPr>
                        <w:rFonts w:ascii="Cambria Math" w:hAnsi="Cambria Math"/>
                        <w:sz w:val="20"/>
                      </w:rPr>
                      <m:t>+ζ</m:t>
                    </m:r>
                  </m:e>
                  <m:sub>
                    <m:r>
                      <w:rPr>
                        <w:rFonts w:ascii="Cambria Math" w:hAnsi="Cambria Math"/>
                        <w:sz w:val="20"/>
                      </w:rPr>
                      <m:t>i</m:t>
                    </m:r>
                  </m:sub>
                </m:sSub>
              </m:oMath>
            </m:oMathPara>
          </w:p>
        </w:tc>
        <w:tc>
          <w:tcPr>
            <w:tcW w:w="1196" w:type="dxa"/>
          </w:tcPr>
          <w:p w:rsidR="007568A9" w:rsidRDefault="007568A9" w:rsidP="00597CF5">
            <w:pPr>
              <w:pStyle w:val="ListParagraph"/>
              <w:numPr>
                <w:ilvl w:val="1"/>
                <w:numId w:val="30"/>
              </w:numPr>
              <w:bidi/>
              <w:ind w:right="220"/>
              <w:jc w:val="right"/>
            </w:pPr>
          </w:p>
        </w:tc>
      </w:tr>
    </w:tbl>
    <w:p w:rsidR="00A9011A" w:rsidRDefault="00A9011A" w:rsidP="000F6DFC">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w:t>
      </w:r>
      <w:r w:rsidR="006D613B">
        <w:rPr>
          <w:rFonts w:asciiTheme="majorBidi" w:hAnsiTheme="majorBidi" w:cstheme="majorBidi"/>
        </w:rPr>
        <w:t xml:space="preserve"> annual</w:t>
      </w:r>
      <w:r w:rsidRPr="00F61883">
        <w:rPr>
          <w:rFonts w:asciiTheme="majorBidi" w:hAnsiTheme="majorBidi" w:cstheme="majorBidi"/>
        </w:rPr>
        <w:t xml:space="preserve"> time period of the observation</w:t>
      </w:r>
      <w:r>
        <w:rPr>
          <w:rFonts w:asciiTheme="majorBidi" w:hAnsiTheme="majorBidi" w:cstheme="majorBidi"/>
        </w:rPr>
        <w:t xml:space="preserve">. </w:t>
      </w:r>
      <w:r w:rsidRPr="00D51CDC">
        <w:t>Change in SLEDAI is calculate</w:t>
      </w:r>
      <w:r>
        <w:t xml:space="preserve">d as a linear function of covariates, where L.SLEDAI represents SLEDAI observed in the previous period, </w:t>
      </w:r>
      <m:oMath>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 xml:space="preserve"> </m:t>
        </m:r>
      </m:oMath>
      <w:r>
        <w:t xml:space="preserve">indicates whether patient </w:t>
      </w:r>
      <w:r w:rsidRPr="00836D12">
        <w:rPr>
          <w:i/>
          <w:iCs/>
        </w:rPr>
        <w:t>i</w:t>
      </w:r>
      <w:r>
        <w:t xml:space="preserve"> was receiving treatment at time period </w:t>
      </w:r>
      <w:r w:rsidRPr="00836D12">
        <w:rPr>
          <w:i/>
          <w:iCs/>
        </w:rPr>
        <w:t>j</w:t>
      </w:r>
      <w:r>
        <w:t xml:space="preserve">, and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t xml:space="preserve"> indicates the patient’s latent propensity for disease activity. The coefficients of the</w:t>
      </w:r>
      <w:r w:rsidR="001A1797">
        <w:t xml:space="preserve"> regression</w:t>
      </w:r>
      <w:r>
        <w:t xml:space="preserve"> model </w:t>
      </w:r>
      <w:r w:rsidR="006D613B">
        <w:t xml:space="preserve">were taken from </w:t>
      </w:r>
      <w:r w:rsidR="006D613B">
        <w:rPr>
          <w:lang w:eastAsia="nl-NL"/>
        </w:rPr>
        <w:t xml:space="preserve">Model 3 of </w:t>
      </w:r>
      <w:r w:rsidR="00E729BA">
        <w:rPr>
          <w:lang w:eastAsia="nl-NL"/>
        </w:rPr>
        <w:fldChar w:fldCharType="begin"/>
      </w:r>
      <w:r w:rsidR="000F6DFC">
        <w:rPr>
          <w:lang w:eastAsia="nl-NL"/>
        </w:rPr>
        <w:instrText xml:space="preserve"> REF _Ref364924033 \h </w:instrText>
      </w:r>
      <w:r w:rsidR="00E729BA">
        <w:rPr>
          <w:lang w:eastAsia="nl-NL"/>
        </w:rPr>
      </w:r>
      <w:r w:rsidR="00E729BA">
        <w:rPr>
          <w:lang w:eastAsia="nl-NL"/>
        </w:rPr>
        <w:fldChar w:fldCharType="separate"/>
      </w:r>
      <w:r w:rsidR="004911B7">
        <w:t xml:space="preserve">Table </w:t>
      </w:r>
      <w:r w:rsidR="004911B7">
        <w:rPr>
          <w:noProof/>
        </w:rPr>
        <w:t>29</w:t>
      </w:r>
      <w:r w:rsidR="00E729BA">
        <w:rPr>
          <w:lang w:eastAsia="nl-NL"/>
        </w:rPr>
        <w:fldChar w:fldCharType="end"/>
      </w:r>
      <w:r w:rsidR="006D613B">
        <w:rPr>
          <w:lang w:eastAsia="nl-NL"/>
        </w:rPr>
        <w:t xml:space="preserve"> in Chapter 5</w:t>
      </w:r>
      <w:r>
        <w:t xml:space="preserve">. The </w:t>
      </w:r>
      <m:oMath>
        <m:r>
          <w:rPr>
            <w:rFonts w:ascii="Cambria Math" w:hAnsi="Cambria Math"/>
          </w:rPr>
          <m:t>β</m:t>
        </m:r>
      </m:oMath>
      <w:r>
        <w:t xml:space="preserve"> coefficients and the covariance matrix for the regression are reported in Appendix</w:t>
      </w:r>
      <w:r w:rsidR="007F49FE">
        <w:t xml:space="preserve"> 16</w:t>
      </w:r>
      <w:r>
        <w:t xml:space="preserve">. </w:t>
      </w:r>
    </w:p>
    <w:p w:rsidR="00A9011A" w:rsidRDefault="00A9011A" w:rsidP="00737697">
      <w:r>
        <w:t>Three modifications were made in implementing the regression in the simulation. Firstly the intercept was increased because clinical trial populations are likely to have higher SLEDAI scores over time than the Hopkins</w:t>
      </w:r>
      <w:r w:rsidR="008731E8">
        <w:t xml:space="preserve"> Lupus</w:t>
      </w:r>
      <w:r>
        <w:t xml:space="preserve"> Cohort because they would be recruited into the trial to represent a moderate/severe population. In the CE model the intercept term for the change in SLEDAI regression was modified to adjust for differences between the Hopkins Lupus cohort and patient group that would be eligible for more intensive treatment. Without an adjustment the </w:t>
      </w:r>
      <w:r w:rsidR="001A1797">
        <w:t>average SLEDAI regression</w:t>
      </w:r>
      <w:r>
        <w:t xml:space="preserve"> model would underestimate long-term SLEDAI scores. This adjustment w</w:t>
      </w:r>
      <w:r w:rsidR="006D613B">
        <w:t xml:space="preserve">as implemented and validated by </w:t>
      </w:r>
      <w:r>
        <w:t>GSK</w:t>
      </w:r>
      <w:r w:rsidR="006D613B">
        <w:t>’s contractors in their</w:t>
      </w:r>
      <w:r>
        <w:t xml:space="preserve"> submission to NICE </w:t>
      </w:r>
      <w:r w:rsidR="006D613B">
        <w:t xml:space="preserve">using long-term SLEDAI scores observed from the follow-up of Phase II patients. In the GSK submission the </w:t>
      </w:r>
      <w:r w:rsidR="00737697">
        <w:t xml:space="preserve">mean </w:t>
      </w:r>
      <w:r w:rsidR="006D613B">
        <w:t>intercep</w:t>
      </w:r>
      <w:r w:rsidR="00737697">
        <w:t>t was adjusted from 1.53 to 3</w:t>
      </w:r>
      <w:r>
        <w:t xml:space="preserve"> </w:t>
      </w:r>
      <w:r w:rsidR="00E729BA">
        <w:fldChar w:fldCharType="begin"/>
      </w:r>
      <w:r w:rsidR="00FC61FD">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fldChar w:fldCharType="separate"/>
      </w:r>
      <w:r w:rsidR="0081424E">
        <w:t>(224)</w:t>
      </w:r>
      <w:r w:rsidR="00E729BA">
        <w:fldChar w:fldCharType="end"/>
      </w:r>
      <w:r w:rsidR="00737697">
        <w:t>. The same assumption was</w:t>
      </w:r>
      <w:r>
        <w:t xml:space="preserve"> applied in this CE model.</w:t>
      </w:r>
      <w:r w:rsidR="00737697">
        <w:t xml:space="preserve"> The mean intercept was increased, but the uncertainty in the parameter was maintained.</w:t>
      </w:r>
    </w:p>
    <w:p w:rsidR="00A9011A" w:rsidRDefault="009914C2" w:rsidP="009914C2">
      <w:pPr>
        <w:rPr>
          <w:rFonts w:asciiTheme="majorBidi" w:hAnsiTheme="majorBidi" w:cstheme="majorBidi"/>
        </w:rPr>
      </w:pPr>
      <w:r>
        <w:t>Secondly, a coefficie</w:t>
      </w:r>
      <w:r w:rsidR="00A9011A">
        <w:t>nt for the treatment effect was added to the equation. This covariate is appended on to the original</w:t>
      </w:r>
      <w:r w:rsidR="001A1797" w:rsidRPr="001A1797">
        <w:t xml:space="preserve"> </w:t>
      </w:r>
      <w:r w:rsidR="001A1797">
        <w:t>average SLEDAI regression</w:t>
      </w:r>
      <w:r w:rsidR="00A9011A">
        <w:t xml:space="preserve"> model specification to accommodate the effect of treatment on SLEDAI score in the CE model. The coefficient for treated patients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00A9011A">
        <w:t xml:space="preserve"> was assumed to be -0.363 (standard error 0.4296). The treatment effect parameter was generated from simulations of the BCTS, described in</w:t>
      </w:r>
      <w:r w:rsidR="00DF14BD">
        <w:t xml:space="preserve"> Section </w:t>
      </w:r>
      <w:r w:rsidR="00E729BA">
        <w:fldChar w:fldCharType="begin"/>
      </w:r>
      <w:r w:rsidR="00DF14BD">
        <w:instrText xml:space="preserve"> REF _Ref377813880 \r \h </w:instrText>
      </w:r>
      <w:r w:rsidR="00E729BA">
        <w:fldChar w:fldCharType="separate"/>
      </w:r>
      <w:r w:rsidR="004911B7">
        <w:rPr>
          <w:cs/>
        </w:rPr>
        <w:t>‎</w:t>
      </w:r>
      <w:r w:rsidR="004911B7">
        <w:t>6.4.1</w:t>
      </w:r>
      <w:r w:rsidR="00E729BA">
        <w:fldChar w:fldCharType="end"/>
      </w:r>
      <w:r w:rsidR="00DF14BD">
        <w:t xml:space="preserve"> of</w:t>
      </w:r>
      <w:r w:rsidR="00A9011A">
        <w:t xml:space="preserve"> Chapter 6. In a real-life case study </w:t>
      </w:r>
      <m:oMath>
        <m:sSub>
          <m:sSubPr>
            <m:ctrlPr>
              <w:rPr>
                <w:rFonts w:ascii="Cambria Math" w:hAnsi="Cambria Math"/>
                <w:i/>
              </w:rPr>
            </m:ctrlPr>
          </m:sSubPr>
          <m:e>
            <m:r>
              <w:rPr>
                <w:rFonts w:ascii="Cambria Math" w:hAnsi="Cambria Math"/>
              </w:rPr>
              <m:t>β</m:t>
            </m:r>
          </m:e>
          <m:sub>
            <m:r>
              <w:rPr>
                <w:rFonts w:ascii="Cambria Math" w:hAnsi="Cambria Math"/>
              </w:rPr>
              <m:t>4</m:t>
            </m:r>
          </m:sub>
        </m:sSub>
      </m:oMath>
      <w:r w:rsidR="00A9011A">
        <w:t xml:space="preserve">  would be most likely estimated from the Phase II trial for the treatment.</w:t>
      </w:r>
    </w:p>
    <w:p w:rsidR="00A9011A" w:rsidRPr="00557A69" w:rsidRDefault="00A9011A" w:rsidP="006D613B">
      <w:pPr>
        <w:rPr>
          <w:rFonts w:asciiTheme="majorBidi" w:hAnsiTheme="majorBidi" w:cstheme="majorBidi"/>
        </w:rPr>
      </w:pPr>
      <w:r>
        <w:rPr>
          <w:lang w:eastAsia="nl-NL"/>
        </w:rPr>
        <w:t xml:space="preserve">Thirdly, a latent propensity parameter for disease activity is included in the simulation to ensure patient heterogeneity is described. Disease heterogeneity is simulated in the </w:t>
      </w:r>
      <w:r w:rsidR="001A1797">
        <w:rPr>
          <w:lang w:eastAsia="nl-NL"/>
        </w:rPr>
        <w:t xml:space="preserve">CE </w:t>
      </w:r>
      <w:r>
        <w:rPr>
          <w:lang w:eastAsia="nl-NL"/>
        </w:rPr>
        <w:t xml:space="preserve">model by assigning each patient a disease activity propensity parameter at baseline. The propensity parameter is generated in the Generate SLE population process. Heterogeneity in disease outcomes is an important characteristic in SLE. Without a latent propensity parameter the </w:t>
      </w:r>
      <w:r w:rsidR="001A1797">
        <w:rPr>
          <w:lang w:eastAsia="nl-NL"/>
        </w:rPr>
        <w:t xml:space="preserve">average </w:t>
      </w:r>
      <w:r>
        <w:rPr>
          <w:lang w:eastAsia="nl-NL"/>
        </w:rPr>
        <w:t xml:space="preserve">SLEDAI regression model would induce SLEDAI scores to converge over time to mean estimates, and the </w:t>
      </w:r>
      <w:r w:rsidR="001A1797">
        <w:rPr>
          <w:lang w:eastAsia="nl-NL"/>
        </w:rPr>
        <w:t xml:space="preserve">CE </w:t>
      </w:r>
      <w:r>
        <w:rPr>
          <w:lang w:eastAsia="nl-NL"/>
        </w:rPr>
        <w:t xml:space="preserve">model would not reflect unobservable heterogeneity between patients over the long term. It has been shown that if there is a non-linear relationship between a patient characteristic, such as SLEDAI score, and the CE model output, it is necessary to account for variability </w:t>
      </w:r>
      <w:r w:rsidR="00E729BA">
        <w:rPr>
          <w:lang w:eastAsia="nl-NL"/>
        </w:rPr>
        <w:fldChar w:fldCharType="begin"/>
      </w:r>
      <w:r w:rsidR="00FC61FD">
        <w:rPr>
          <w:lang w:eastAsia="nl-NL"/>
        </w:rPr>
        <w:instrText xml:space="preserve"> ADDIN REFMGR.CITE &lt;Refman&gt;&lt;Cite&gt;&lt;Author&gt;Griffin&lt;/Author&gt;&lt;Year&gt;2006&lt;/Year&gt;&lt;RecNum&gt;1539&lt;/RecNum&gt;&lt;IDText&gt;Probabilistic analysis and computationally expensive models: Necessary and required?&lt;/IDText&gt;&lt;MDL Ref_Type="Journal"&gt;&lt;Ref_Type&gt;Journal&lt;/Ref_Type&gt;&lt;Ref_ID&gt;1539&lt;/Ref_ID&gt;&lt;Title_Primary&gt;Probabilistic analysis and computationally expensive models: Necessary and required?&lt;/Title_Primary&gt;&lt;Authors_Primary&gt;Griffin,S.&lt;/Authors_Primary&gt;&lt;Authors_Primary&gt;Claxton,K.&lt;/Authors_Primary&gt;&lt;Authors_Primary&gt;Hawkins,N.&lt;/Authors_Primary&gt;&lt;Authors_Primary&gt;Sculpher,M.&lt;/Authors_Primary&gt;&lt;Date_Primary&gt;2006/7&lt;/Date_Primary&gt;&lt;Keywords&gt;analysis&lt;/Keywords&gt;&lt;Keywords&gt;Computer Simulation&lt;/Keywords&gt;&lt;Keywords&gt;Cost-Benefit Analysis&lt;/Keywords&gt;&lt;Keywords&gt;Decision Making&lt;/Keywords&gt;&lt;Keywords&gt;economics&lt;/Keywords&gt;&lt;Keywords&gt;Health&lt;/Keywords&gt;&lt;Keywords&gt;Humans&lt;/Keywords&gt;&lt;Keywords&gt;Markov Chains&lt;/Keywords&gt;&lt;Keywords&gt;Medical History Taking&lt;/Keywords&gt;&lt;Keywords&gt;methods&lt;/Keywords&gt;&lt;Keywords&gt;Models,Econometric&lt;/Keywords&gt;&lt;Keywords&gt;patient&lt;/Keywords&gt;&lt;Keywords&gt;Probability&lt;/Keywords&gt;&lt;Keywords&gt;Software&lt;/Keywords&gt;&lt;Keywords&gt;statistics &amp;amp; numerical data&lt;/Keywords&gt;&lt;Keywords&gt;Stochastic Processes&lt;/Keywords&gt;&lt;Keywords&gt;Technology Assessment,Biomedical&lt;/Keywords&gt;&lt;Keywords&gt;Uncertainty&lt;/Keywords&gt;&lt;Reprint&gt;Not in File&lt;/Reprint&gt;&lt;Start_Page&gt;244&lt;/Start_Page&gt;&lt;End_Page&gt;252&lt;/End_Page&gt;&lt;Periodical&gt;Value.Health.&lt;/Periodical&gt;&lt;Volume&gt;9&lt;/Volume&gt;&lt;Issue&gt;4&lt;/Issue&gt;&lt;ZZ_JournalStdAbbrev&gt;&lt;f name="System"&gt;Value.Health.&lt;/f&gt;&lt;/ZZ_JournalStdAbbrev&gt;&lt;ZZ_WorkformID&gt;1&lt;/ZZ_WorkformID&gt;&lt;/MDL&gt;&lt;/Cite&gt;&lt;/Refman&gt;</w:instrText>
      </w:r>
      <w:r w:rsidR="00E729BA">
        <w:rPr>
          <w:lang w:eastAsia="nl-NL"/>
        </w:rPr>
        <w:fldChar w:fldCharType="separate"/>
      </w:r>
      <w:r w:rsidR="0081424E">
        <w:rPr>
          <w:lang w:eastAsia="nl-NL"/>
        </w:rPr>
        <w:t>(226)</w:t>
      </w:r>
      <w:r w:rsidR="00E729BA">
        <w:rPr>
          <w:lang w:eastAsia="nl-NL"/>
        </w:rPr>
        <w:fldChar w:fldCharType="end"/>
      </w:r>
      <w:r>
        <w:rPr>
          <w:lang w:eastAsia="nl-NL"/>
        </w:rPr>
        <w:t xml:space="preserve">. The relationship between SLEDAI score and Net Benefit is a complex function of the relationships between steroid, mortality, and organ damage and is unlikely to </w:t>
      </w:r>
      <w:r w:rsidR="006D613B">
        <w:rPr>
          <w:lang w:eastAsia="nl-NL"/>
        </w:rPr>
        <w:t>be linearly related to Net Benefit</w:t>
      </w:r>
      <w:r>
        <w:rPr>
          <w:lang w:eastAsia="nl-NL"/>
        </w:rPr>
        <w:t xml:space="preserve">. </w:t>
      </w:r>
    </w:p>
    <w:p w:rsidR="00A9011A" w:rsidRDefault="00A9011A" w:rsidP="00A9011A">
      <w:pPr>
        <w:pStyle w:val="Heading4"/>
      </w:pPr>
      <w:bookmarkStart w:id="480" w:name="_Toc279746625"/>
      <w:bookmarkStart w:id="481" w:name="_Toc280007187"/>
      <w:bookmarkStart w:id="482" w:name="_Toc280014835"/>
      <w:bookmarkStart w:id="483" w:name="_Toc280881230"/>
      <w:bookmarkStart w:id="484" w:name="_Toc280882298"/>
      <w:bookmarkStart w:id="485" w:name="_Ref283804909"/>
      <w:bookmarkStart w:id="486" w:name="_Ref283804927"/>
      <w:bookmarkStart w:id="487" w:name="_Toc287362516"/>
      <w:r>
        <w:t>Steroid Use</w:t>
      </w:r>
      <w:bookmarkEnd w:id="480"/>
      <w:bookmarkEnd w:id="481"/>
      <w:bookmarkEnd w:id="482"/>
      <w:bookmarkEnd w:id="483"/>
      <w:bookmarkEnd w:id="484"/>
      <w:bookmarkEnd w:id="485"/>
      <w:bookmarkEnd w:id="486"/>
      <w:bookmarkEnd w:id="487"/>
    </w:p>
    <w:p w:rsidR="00A9011A" w:rsidRDefault="00A9011A" w:rsidP="00A9011A">
      <w:pPr>
        <w:rPr>
          <w:lang w:eastAsia="nl-NL"/>
        </w:rPr>
      </w:pPr>
      <w:r>
        <w:rPr>
          <w:lang w:eastAsia="nl-NL"/>
        </w:rPr>
        <w:t>The random effects regression analysis to predict average steroid dose as a function of average SLEDAI score in the corresponding year is used to estimate the expected steroid dose in the CE model. This relatively simple statistical model describes the expected average steroid dose for given average SLEDAI. In the CE model average steroid dose is estimated as</w:t>
      </w:r>
      <w:r w:rsidR="007568A9">
        <w:rPr>
          <w:lang w:eastAsia="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82"/>
        <w:gridCol w:w="1126"/>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rPr>
                    </m:ctrlPr>
                  </m:sSubPr>
                  <m:e>
                    <m:acc>
                      <m:accPr>
                        <m:ctrlPr>
                          <w:rPr>
                            <w:rFonts w:ascii="Cambria Math" w:hAnsi="Cambria Math"/>
                            <w:i/>
                          </w:rPr>
                        </m:ctrlPr>
                      </m:accPr>
                      <m:e>
                        <m:r>
                          <w:rPr>
                            <w:rFonts w:ascii="Cambria Math" w:hAnsi="Cambria Math"/>
                          </w:rPr>
                          <m:t>Steroid</m:t>
                        </m:r>
                      </m:e>
                    </m:acc>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SLEDAI</m:t>
                        </m:r>
                      </m:e>
                    </m:acc>
                  </m:e>
                  <m:sub>
                    <m:r>
                      <w:rPr>
                        <w:rFonts w:ascii="Cambria Math" w:hAnsi="Cambria Math"/>
                      </w:rPr>
                      <m:t>ij</m:t>
                    </m:r>
                  </m:sub>
                </m:sSub>
                <m:sSub>
                  <m:sSubPr>
                    <m:ctrlPr>
                      <w:rPr>
                        <w:rFonts w:ascii="Cambria Math" w:hAnsi="Cambria Math"/>
                        <w:i/>
                      </w:rPr>
                    </m:ctrlPr>
                  </m:sSubPr>
                  <m:e>
                    <m:r>
                      <w:rPr>
                        <w:rFonts w:ascii="Cambria Math" w:hAnsi="Cambria Math"/>
                      </w:rPr>
                      <m:t>β</m:t>
                    </m:r>
                  </m:e>
                  <m:sub>
                    <m:r>
                      <w:rPr>
                        <w:rFonts w:ascii="Cambria Math" w:hAnsi="Cambria Math"/>
                      </w:rPr>
                      <m:t>1</m:t>
                    </m:r>
                  </m:sub>
                </m:sSub>
              </m:oMath>
            </m:oMathPara>
          </w:p>
        </w:tc>
        <w:tc>
          <w:tcPr>
            <w:tcW w:w="1196" w:type="dxa"/>
          </w:tcPr>
          <w:p w:rsidR="007568A9" w:rsidRDefault="007568A9" w:rsidP="00597CF5">
            <w:pPr>
              <w:pStyle w:val="ListParagraph"/>
              <w:numPr>
                <w:ilvl w:val="1"/>
                <w:numId w:val="30"/>
              </w:numPr>
              <w:bidi/>
              <w:ind w:right="220"/>
              <w:jc w:val="right"/>
            </w:pPr>
          </w:p>
        </w:tc>
      </w:tr>
    </w:tbl>
    <w:p w:rsidR="00A9011A" w:rsidRPr="00836D12" w:rsidRDefault="00A9011A" w:rsidP="007463A4">
      <w:pPr>
        <w:rPr>
          <w:rFonts w:asciiTheme="majorBidi" w:hAnsiTheme="majorBidi" w:cstheme="majorBidi"/>
        </w:rPr>
      </w:pPr>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rFonts w:asciiTheme="majorBidi" w:hAnsiTheme="majorBidi" w:cstheme="majorBidi"/>
        </w:rPr>
        <w:t xml:space="preserve">. </w:t>
      </w:r>
      <w:r>
        <w:t xml:space="preserve">The coefficients of the </w:t>
      </w:r>
      <w:r w:rsidR="001A1797">
        <w:t xml:space="preserve">regression </w:t>
      </w:r>
      <w:r>
        <w:t>model are described by</w:t>
      </w:r>
      <m:oMath>
        <m:r>
          <w:rPr>
            <w:rFonts w:ascii="Cambria Math" w:hAnsi="Cambria Math"/>
          </w:rPr>
          <m:t xml:space="preserve"> β</m:t>
        </m:r>
      </m:oMath>
      <w:r w:rsidR="007463A4">
        <w:t xml:space="preserve">, which were estimated in Model 2 of </w:t>
      </w:r>
      <w:r w:rsidR="00E729BA">
        <w:fldChar w:fldCharType="begin"/>
      </w:r>
      <w:r w:rsidR="007463A4">
        <w:instrText xml:space="preserve"> REF _Ref271616867 \h </w:instrText>
      </w:r>
      <w:r w:rsidR="00E729BA">
        <w:fldChar w:fldCharType="separate"/>
      </w:r>
      <w:r w:rsidR="004911B7">
        <w:t xml:space="preserve">Table </w:t>
      </w:r>
      <w:r w:rsidR="004911B7">
        <w:rPr>
          <w:noProof/>
        </w:rPr>
        <w:t>30</w:t>
      </w:r>
      <w:r w:rsidR="00E729BA">
        <w:fldChar w:fldCharType="end"/>
      </w:r>
      <w:r w:rsidR="007463A4">
        <w:t xml:space="preserve"> of Section 5. T</w:t>
      </w:r>
      <w:r>
        <w:t xml:space="preserve">he estimates of the mean and covariance matrix are reported in </w:t>
      </w:r>
      <w:r w:rsidR="007463A4">
        <w:t>Appendix 16</w:t>
      </w:r>
      <w:r>
        <w:t xml:space="preserve">. </w:t>
      </w:r>
    </w:p>
    <w:p w:rsidR="00A9011A" w:rsidRDefault="00A9011A" w:rsidP="00A9011A">
      <w:pPr>
        <w:pStyle w:val="Heading4"/>
        <w:rPr>
          <w:lang w:eastAsia="nl-NL"/>
        </w:rPr>
      </w:pPr>
      <w:bookmarkStart w:id="488" w:name="_Toc279746627"/>
      <w:bookmarkStart w:id="489" w:name="_Toc280007189"/>
      <w:bookmarkStart w:id="490" w:name="_Toc280014837"/>
      <w:bookmarkStart w:id="491" w:name="_Ref280083878"/>
      <w:bookmarkStart w:id="492" w:name="_Toc280881232"/>
      <w:bookmarkStart w:id="493" w:name="_Toc280882300"/>
      <w:bookmarkStart w:id="494" w:name="_Toc287362518"/>
      <w:r>
        <w:t>Organ Damage development</w:t>
      </w:r>
      <w:bookmarkEnd w:id="488"/>
      <w:bookmarkEnd w:id="489"/>
      <w:bookmarkEnd w:id="490"/>
      <w:bookmarkEnd w:id="491"/>
      <w:bookmarkEnd w:id="492"/>
      <w:bookmarkEnd w:id="493"/>
      <w:bookmarkEnd w:id="494"/>
    </w:p>
    <w:p w:rsidR="00A9011A" w:rsidRDefault="00A9011A" w:rsidP="00737697">
      <w:pPr>
        <w:rPr>
          <w:lang w:eastAsia="nl-NL"/>
        </w:rPr>
      </w:pPr>
      <w:r w:rsidRPr="007A0EE7">
        <w:rPr>
          <w:lang w:eastAsia="nl-NL"/>
        </w:rPr>
        <w:t xml:space="preserve">The </w:t>
      </w:r>
      <w:r w:rsidR="001A1797">
        <w:rPr>
          <w:lang w:eastAsia="nl-NL"/>
        </w:rPr>
        <w:t>natural history</w:t>
      </w:r>
      <w:r>
        <w:rPr>
          <w:lang w:eastAsia="nl-NL"/>
        </w:rPr>
        <w:t xml:space="preserve"> model </w:t>
      </w:r>
      <w:r w:rsidRPr="007A0EE7">
        <w:rPr>
          <w:lang w:eastAsia="nl-NL"/>
        </w:rPr>
        <w:t xml:space="preserve">was used to estimate the </w:t>
      </w:r>
      <w:r>
        <w:rPr>
          <w:lang w:eastAsia="nl-NL"/>
        </w:rPr>
        <w:t>probability of organ damage for each simulated year</w:t>
      </w:r>
      <w:r w:rsidRPr="007A0EE7">
        <w:rPr>
          <w:lang w:eastAsia="nl-NL"/>
        </w:rPr>
        <w:t xml:space="preserve">. </w:t>
      </w:r>
      <w:r>
        <w:rPr>
          <w:lang w:eastAsia="nl-NL"/>
        </w:rPr>
        <w:t xml:space="preserve">This approach to modelling separate organ systems allows the CE model to record differential costs and utility implications of organ damage in different organ systems. The hazards for each organ system were estimated independently in the CE model. </w:t>
      </w:r>
      <w:r w:rsidR="00737697">
        <w:rPr>
          <w:lang w:eastAsia="nl-NL"/>
        </w:rPr>
        <w:t>However, some c</w:t>
      </w:r>
      <w:r>
        <w:rPr>
          <w:lang w:eastAsia="nl-NL"/>
        </w:rPr>
        <w:t>orrelation in the risk of events across organ systems w</w:t>
      </w:r>
      <w:r w:rsidR="00737697">
        <w:rPr>
          <w:lang w:eastAsia="nl-NL"/>
        </w:rPr>
        <w:t xml:space="preserve">ould be </w:t>
      </w:r>
      <w:r>
        <w:rPr>
          <w:lang w:eastAsia="nl-NL"/>
        </w:rPr>
        <w:t xml:space="preserve">captured </w:t>
      </w:r>
      <w:r w:rsidR="00737697">
        <w:rPr>
          <w:lang w:eastAsia="nl-NL"/>
        </w:rPr>
        <w:t>by the covariate adjustment</w:t>
      </w:r>
      <w:r>
        <w:rPr>
          <w:lang w:eastAsia="nl-NL"/>
        </w:rPr>
        <w:t xml:space="preserve"> in the statistical models. </w:t>
      </w:r>
      <w:r w:rsidR="00737697">
        <w:rPr>
          <w:lang w:eastAsia="nl-NL"/>
        </w:rPr>
        <w:t>For example, a high disease activity score increase the probability of organ damage in multiple organ systems.</w:t>
      </w:r>
    </w:p>
    <w:p w:rsidR="00A9011A" w:rsidRDefault="00A9011A" w:rsidP="00A9011A">
      <w:pPr>
        <w:rPr>
          <w:lang w:eastAsia="nl-NL"/>
        </w:rPr>
      </w:pPr>
      <w:r>
        <w:rPr>
          <w:lang w:eastAsia="nl-NL"/>
        </w:rPr>
        <w:t xml:space="preserve">At every year of the simulation a probability of damage for each organ system is calculated for the individual patients, which was used in a Bernoulli trial to determine whether damage occurred </w:t>
      </w:r>
      <w:r w:rsidR="007463A4">
        <w:rPr>
          <w:lang w:eastAsia="nl-NL"/>
        </w:rPr>
        <w:t xml:space="preserve">for that patient </w:t>
      </w:r>
      <w:r>
        <w:rPr>
          <w:lang w:eastAsia="nl-NL"/>
        </w:rPr>
        <w:t>in that period. The probabilities</w:t>
      </w:r>
      <w:r w:rsidRPr="007D04D7">
        <w:rPr>
          <w:lang w:eastAsia="nl-NL"/>
        </w:rPr>
        <w:t xml:space="preserve"> of </w:t>
      </w:r>
      <w:r>
        <w:rPr>
          <w:lang w:eastAsia="nl-NL"/>
        </w:rPr>
        <w:t xml:space="preserve">a patient developing organ damage </w:t>
      </w:r>
      <w:r w:rsidRPr="007D04D7">
        <w:rPr>
          <w:lang w:eastAsia="nl-NL"/>
        </w:rPr>
        <w:t xml:space="preserve">in each </w:t>
      </w:r>
      <w:r>
        <w:rPr>
          <w:lang w:eastAsia="nl-NL"/>
        </w:rPr>
        <w:t>period</w:t>
      </w:r>
      <w:r w:rsidRPr="007D04D7">
        <w:rPr>
          <w:lang w:eastAsia="nl-NL"/>
        </w:rPr>
        <w:t xml:space="preserve"> of the </w:t>
      </w:r>
      <w:r>
        <w:rPr>
          <w:lang w:eastAsia="nl-NL"/>
        </w:rPr>
        <w:t xml:space="preserve">CE </w:t>
      </w:r>
      <w:r w:rsidRPr="007D04D7">
        <w:rPr>
          <w:lang w:eastAsia="nl-NL"/>
        </w:rPr>
        <w:t>model w</w:t>
      </w:r>
      <w:r>
        <w:rPr>
          <w:lang w:eastAsia="nl-NL"/>
        </w:rPr>
        <w:t>ere</w:t>
      </w:r>
      <w:r w:rsidRPr="007D04D7">
        <w:rPr>
          <w:lang w:eastAsia="nl-NL"/>
        </w:rPr>
        <w:t xml:space="preserve"> </w:t>
      </w:r>
      <w:r>
        <w:rPr>
          <w:lang w:eastAsia="nl-NL"/>
        </w:rPr>
        <w:t>estimated as the difference between the cumulative hazards in the current period minus the cumulative hazards in the previous period</w:t>
      </w:r>
      <m:oMath>
        <m:r>
          <w:rPr>
            <w:rFonts w:ascii="Cambria Math" w:hAnsi="Cambria Math"/>
            <w:lang w:eastAsia="nl-NL"/>
          </w:rPr>
          <m:t xml:space="preserve"> H</m:t>
        </m:r>
        <m:d>
          <m:dPr>
            <m:ctrlPr>
              <w:rPr>
                <w:rFonts w:ascii="Cambria Math" w:hAnsi="Cambria Math"/>
                <w:i/>
                <w:lang w:eastAsia="nl-NL"/>
              </w:rPr>
            </m:ctrlPr>
          </m:dPr>
          <m:e>
            <m:r>
              <w:rPr>
                <w:rFonts w:ascii="Cambria Math" w:hAnsi="Cambria Math"/>
                <w:lang w:eastAsia="nl-NL"/>
              </w:rPr>
              <m:t>t-1</m:t>
            </m:r>
          </m:e>
        </m:d>
      </m:oMath>
      <w:r>
        <w:rPr>
          <w:lang w:eastAsia="nl-NL"/>
        </w:rPr>
        <w:t xml:space="preserve">. This is converted into a probability with the following formula.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82"/>
        <w:gridCol w:w="1126"/>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lang w:eastAsia="nl-NL"/>
                      </w:rPr>
                    </m:ctrlPr>
                  </m:sSubPr>
                  <m:e>
                    <m:r>
                      <w:rPr>
                        <w:rFonts w:ascii="Cambria Math" w:hAnsi="Cambria Math"/>
                        <w:lang w:eastAsia="nl-NL"/>
                      </w:rPr>
                      <m:t>p</m:t>
                    </m:r>
                    <m:d>
                      <m:dPr>
                        <m:ctrlPr>
                          <w:rPr>
                            <w:rFonts w:ascii="Cambria Math" w:hAnsi="Cambria Math"/>
                            <w:i/>
                            <w:lang w:eastAsia="nl-NL"/>
                          </w:rPr>
                        </m:ctrlPr>
                      </m:dPr>
                      <m:e>
                        <m:r>
                          <w:rPr>
                            <w:rFonts w:ascii="Cambria Math" w:hAnsi="Cambria Math"/>
                            <w:lang w:eastAsia="nl-NL"/>
                          </w:rPr>
                          <m:t>event</m:t>
                        </m:r>
                      </m:e>
                    </m:d>
                  </m:e>
                  <m:sub>
                    <m:r>
                      <w:rPr>
                        <w:rFonts w:ascii="Cambria Math" w:hAnsi="Cambria Math"/>
                        <w:lang w:eastAsia="nl-NL"/>
                      </w:rPr>
                      <m:t>ij</m:t>
                    </m:r>
                  </m:sub>
                </m:sSub>
                <m:r>
                  <w:rPr>
                    <w:rFonts w:ascii="Cambria Math" w:hAnsi="Cambria Math"/>
                    <w:lang w:eastAsia="nl-NL"/>
                  </w:rPr>
                  <m:t>=1-</m:t>
                </m:r>
                <m:r>
                  <m:rPr>
                    <m:sty m:val="p"/>
                  </m:rPr>
                  <w:rPr>
                    <w:rFonts w:ascii="Cambria Math" w:hAnsi="Cambria Math"/>
                    <w:lang w:eastAsia="nl-NL"/>
                  </w:rPr>
                  <m:t>exp⁡</m:t>
                </m:r>
                <m:r>
                  <w:rPr>
                    <w:rFonts w:ascii="Cambria Math" w:hAnsi="Cambria Math"/>
                    <w:lang w:eastAsia="nl-NL"/>
                  </w:rPr>
                  <m:t>(</m:t>
                </m:r>
                <m:sSub>
                  <m:sSubPr>
                    <m:ctrlPr>
                      <w:rPr>
                        <w:rFonts w:ascii="Cambria Math" w:hAnsi="Cambria Math"/>
                        <w:i/>
                        <w:lang w:eastAsia="nl-NL"/>
                      </w:rPr>
                    </m:ctrlPr>
                  </m:sSubPr>
                  <m:e>
                    <m:r>
                      <w:rPr>
                        <w:rFonts w:ascii="Cambria Math" w:hAnsi="Cambria Math"/>
                        <w:lang w:eastAsia="nl-NL"/>
                      </w:rPr>
                      <m:t>H</m:t>
                    </m:r>
                    <m:d>
                      <m:dPr>
                        <m:ctrlPr>
                          <w:rPr>
                            <w:rFonts w:ascii="Cambria Math" w:hAnsi="Cambria Math"/>
                            <w:i/>
                            <w:lang w:eastAsia="nl-NL"/>
                          </w:rPr>
                        </m:ctrlPr>
                      </m:dPr>
                      <m:e>
                        <m:r>
                          <w:rPr>
                            <w:rFonts w:ascii="Cambria Math" w:hAnsi="Cambria Math"/>
                            <w:lang w:eastAsia="nl-NL"/>
                          </w:rPr>
                          <m:t>t</m:t>
                        </m:r>
                      </m:e>
                    </m:d>
                  </m:e>
                  <m:sub>
                    <m:r>
                      <w:rPr>
                        <w:rFonts w:ascii="Cambria Math" w:hAnsi="Cambria Math"/>
                        <w:lang w:eastAsia="nl-NL"/>
                      </w:rPr>
                      <m:t>ij</m:t>
                    </m:r>
                  </m:sub>
                </m:sSub>
                <m:r>
                  <w:rPr>
                    <w:rFonts w:ascii="Cambria Math" w:hAnsi="Cambria Math"/>
                    <w:lang w:eastAsia="nl-NL"/>
                  </w:rPr>
                  <m:t>-</m:t>
                </m:r>
                <m:sSub>
                  <m:sSubPr>
                    <m:ctrlPr>
                      <w:rPr>
                        <w:rFonts w:ascii="Cambria Math" w:hAnsi="Cambria Math"/>
                        <w:i/>
                        <w:lang w:eastAsia="nl-NL"/>
                      </w:rPr>
                    </m:ctrlPr>
                  </m:sSubPr>
                  <m:e>
                    <m:r>
                      <w:rPr>
                        <w:rFonts w:ascii="Cambria Math" w:hAnsi="Cambria Math"/>
                        <w:lang w:eastAsia="nl-NL"/>
                      </w:rPr>
                      <m:t>H</m:t>
                    </m:r>
                    <m:d>
                      <m:dPr>
                        <m:ctrlPr>
                          <w:rPr>
                            <w:rFonts w:ascii="Cambria Math" w:hAnsi="Cambria Math"/>
                            <w:i/>
                            <w:lang w:eastAsia="nl-NL"/>
                          </w:rPr>
                        </m:ctrlPr>
                      </m:dPr>
                      <m:e>
                        <m:r>
                          <w:rPr>
                            <w:rFonts w:ascii="Cambria Math" w:hAnsi="Cambria Math"/>
                            <w:lang w:eastAsia="nl-NL"/>
                          </w:rPr>
                          <m:t>t-1</m:t>
                        </m:r>
                      </m:e>
                    </m:d>
                  </m:e>
                  <m:sub>
                    <m:r>
                      <w:rPr>
                        <w:rFonts w:ascii="Cambria Math" w:hAnsi="Cambria Math"/>
                        <w:lang w:eastAsia="nl-NL"/>
                      </w:rPr>
                      <m:t>ij</m:t>
                    </m:r>
                  </m:sub>
                </m:sSub>
                <m:r>
                  <w:rPr>
                    <w:rFonts w:ascii="Cambria Math" w:hAnsi="Cambria Math"/>
                    <w:lang w:eastAsia="nl-NL"/>
                  </w:rPr>
                  <m:t>)</m:t>
                </m:r>
              </m:oMath>
            </m:oMathPara>
          </w:p>
        </w:tc>
        <w:tc>
          <w:tcPr>
            <w:tcW w:w="1196" w:type="dxa"/>
          </w:tcPr>
          <w:p w:rsidR="007568A9" w:rsidRDefault="007568A9" w:rsidP="007F5C69">
            <w:pPr>
              <w:pStyle w:val="ListParagraph"/>
              <w:numPr>
                <w:ilvl w:val="1"/>
                <w:numId w:val="30"/>
              </w:numPr>
              <w:ind w:right="220"/>
              <w:jc w:val="right"/>
            </w:pPr>
            <w:bookmarkStart w:id="495" w:name="probability_7"/>
            <w:bookmarkEnd w:id="495"/>
          </w:p>
        </w:tc>
      </w:tr>
    </w:tbl>
    <w:p w:rsidR="00A9011A" w:rsidRPr="00836D12" w:rsidRDefault="00A9011A" w:rsidP="007463A4">
      <w:r w:rsidRPr="00F61883">
        <w:t xml:space="preserve">where </w:t>
      </w:r>
      <w:r w:rsidRPr="00F61883">
        <w:rPr>
          <w:i/>
          <w:iCs/>
        </w:rPr>
        <w:t>i</w:t>
      </w:r>
      <w:r w:rsidRPr="00F61883">
        <w:t xml:space="preserve"> indexes the patients observed, </w:t>
      </w:r>
      <w:r w:rsidRPr="00F61883">
        <w:rPr>
          <w:i/>
          <w:iCs/>
        </w:rPr>
        <w:t>j</w:t>
      </w:r>
      <w:r w:rsidRPr="00F61883">
        <w:t xml:space="preserve"> indicates the time period of the observation</w:t>
      </w:r>
      <w:r>
        <w:t>.</w:t>
      </w:r>
      <w:r w:rsidRPr="0059274C">
        <w:rPr>
          <w:lang w:eastAsia="nl-NL"/>
        </w:rPr>
        <w:t xml:space="preserve"> </w:t>
      </w:r>
    </w:p>
    <w:p w:rsidR="00523422" w:rsidRDefault="00A9011A" w:rsidP="007463A4">
      <w:pPr>
        <w:rPr>
          <w:b/>
          <w:bCs/>
          <w:sz w:val="18"/>
          <w:szCs w:val="16"/>
        </w:rPr>
      </w:pPr>
      <w:r w:rsidRPr="007A0EE7">
        <w:rPr>
          <w:lang w:eastAsia="nl-NL"/>
        </w:rPr>
        <w:t>The functional form</w:t>
      </w:r>
      <w:r>
        <w:rPr>
          <w:lang w:eastAsia="nl-NL"/>
        </w:rPr>
        <w:t xml:space="preserve"> for the parametric survival models</w:t>
      </w:r>
      <w:r w:rsidR="007463A4">
        <w:rPr>
          <w:lang w:eastAsia="nl-NL"/>
        </w:rPr>
        <w:t xml:space="preserve"> on time to damage event</w:t>
      </w:r>
      <w:r>
        <w:rPr>
          <w:lang w:eastAsia="nl-NL"/>
        </w:rPr>
        <w:t xml:space="preserve"> included</w:t>
      </w:r>
      <w:r w:rsidRPr="007A0EE7">
        <w:rPr>
          <w:lang w:eastAsia="nl-NL"/>
        </w:rPr>
        <w:t xml:space="preserve"> </w:t>
      </w:r>
      <w:r>
        <w:rPr>
          <w:lang w:eastAsia="nl-NL"/>
        </w:rPr>
        <w:t>E</w:t>
      </w:r>
      <w:r w:rsidRPr="007A0EE7">
        <w:rPr>
          <w:lang w:eastAsia="nl-NL"/>
        </w:rPr>
        <w:t>xponential, Weibull, Gompertz, and LogLogistic</w:t>
      </w:r>
      <w:r>
        <w:rPr>
          <w:lang w:eastAsia="nl-NL"/>
        </w:rPr>
        <w:t>. The cumulative hazard functions for each distribution are described in used to estimate annual probabilities are</w:t>
      </w:r>
      <w:r w:rsidRPr="007A0EE7">
        <w:rPr>
          <w:lang w:eastAsia="nl-NL"/>
        </w:rPr>
        <w:t xml:space="preserve"> outlined </w:t>
      </w:r>
      <w:r>
        <w:rPr>
          <w:lang w:eastAsia="nl-NL"/>
        </w:rPr>
        <w:t>in</w:t>
      </w:r>
      <w:r w:rsidR="007463A4">
        <w:rPr>
          <w:lang w:eastAsia="nl-NL"/>
        </w:rPr>
        <w:t xml:space="preserve"> </w:t>
      </w:r>
      <w:fldSimple w:instr=" REF _Ref363380557 \h  \* MERGEFORMAT ">
        <w:r w:rsidR="004911B7">
          <w:t xml:space="preserve">Table </w:t>
        </w:r>
        <w:r w:rsidR="004911B7">
          <w:rPr>
            <w:noProof/>
          </w:rPr>
          <w:t>42</w:t>
        </w:r>
      </w:fldSimple>
      <w:r w:rsidR="007463A4">
        <w:rPr>
          <w:lang w:eastAsia="nl-NL"/>
        </w:rPr>
        <w:t>.</w:t>
      </w:r>
      <w:bookmarkStart w:id="496" w:name="_Ref331064810"/>
    </w:p>
    <w:p w:rsidR="00A9011A" w:rsidRDefault="00A9011A" w:rsidP="00234693">
      <w:pPr>
        <w:pStyle w:val="Caption"/>
      </w:pPr>
      <w:bookmarkStart w:id="497" w:name="_Ref363380557"/>
      <w:r>
        <w:t xml:space="preserve">Table </w:t>
      </w:r>
      <w:fldSimple w:instr=" SEQ Table \* ARABIC ">
        <w:r w:rsidR="004911B7">
          <w:rPr>
            <w:noProof/>
          </w:rPr>
          <w:t>42</w:t>
        </w:r>
      </w:fldSimple>
      <w:bookmarkEnd w:id="496"/>
      <w:bookmarkEnd w:id="497"/>
      <w:r>
        <w:t>: Cumulative Hazard function for exponential, Weibull, Gompertz and Loglogistic functions</w:t>
      </w:r>
    </w:p>
    <w:tbl>
      <w:tblPr>
        <w:tblW w:w="8931" w:type="dxa"/>
        <w:tblInd w:w="108" w:type="dxa"/>
        <w:tblBorders>
          <w:top w:val="single" w:sz="8" w:space="0" w:color="auto"/>
          <w:bottom w:val="single" w:sz="8" w:space="0" w:color="auto"/>
        </w:tblBorders>
        <w:tblLook w:val="04A0"/>
      </w:tblPr>
      <w:tblGrid>
        <w:gridCol w:w="2232"/>
        <w:gridCol w:w="2233"/>
        <w:gridCol w:w="2233"/>
        <w:gridCol w:w="2233"/>
      </w:tblGrid>
      <w:tr w:rsidR="00A9011A" w:rsidTr="0087718E">
        <w:tc>
          <w:tcPr>
            <w:tcW w:w="2232" w:type="dxa"/>
            <w:tcBorders>
              <w:top w:val="single" w:sz="12" w:space="0" w:color="auto"/>
              <w:bottom w:val="single" w:sz="4" w:space="0" w:color="auto"/>
            </w:tcBorders>
          </w:tcPr>
          <w:p w:rsidR="00A9011A" w:rsidRPr="006C410E" w:rsidRDefault="00A9011A" w:rsidP="00AD3583">
            <w:pPr>
              <w:rPr>
                <w:sz w:val="20"/>
                <w:lang w:eastAsia="nl-NL"/>
              </w:rPr>
            </w:pPr>
            <w:r w:rsidRPr="006C410E">
              <w:rPr>
                <w:sz w:val="20"/>
                <w:lang w:eastAsia="nl-NL"/>
              </w:rPr>
              <w:t>Survival curve</w:t>
            </w:r>
          </w:p>
        </w:tc>
        <w:tc>
          <w:tcPr>
            <w:tcW w:w="2233" w:type="dxa"/>
            <w:tcBorders>
              <w:top w:val="single" w:sz="12" w:space="0" w:color="auto"/>
              <w:bottom w:val="single" w:sz="4" w:space="0" w:color="auto"/>
            </w:tcBorders>
          </w:tcPr>
          <w:p w:rsidR="00A9011A" w:rsidRPr="006C410E" w:rsidRDefault="00A9011A" w:rsidP="00AD3583">
            <w:pPr>
              <w:rPr>
                <w:sz w:val="20"/>
                <w:lang w:eastAsia="nl-NL"/>
              </w:rPr>
            </w:pPr>
            <w:r>
              <w:rPr>
                <w:sz w:val="20"/>
                <w:lang w:eastAsia="nl-NL"/>
              </w:rPr>
              <w:t>Cumulative Hazard</w:t>
            </w:r>
          </w:p>
        </w:tc>
        <w:tc>
          <w:tcPr>
            <w:tcW w:w="2233" w:type="dxa"/>
            <w:tcBorders>
              <w:top w:val="single" w:sz="12" w:space="0" w:color="auto"/>
              <w:bottom w:val="single" w:sz="4" w:space="0" w:color="auto"/>
            </w:tcBorders>
          </w:tcPr>
          <w:p w:rsidR="00A9011A" w:rsidRPr="006C410E" w:rsidRDefault="00A9011A" w:rsidP="00AD3583">
            <w:pPr>
              <w:rPr>
                <w:sz w:val="20"/>
                <w:lang w:eastAsia="nl-NL"/>
              </w:rPr>
            </w:pPr>
            <w:r w:rsidRPr="006C410E">
              <w:rPr>
                <w:sz w:val="20"/>
                <w:lang w:eastAsia="nl-NL"/>
              </w:rPr>
              <w:t>Par</w:t>
            </w:r>
            <w:r>
              <w:rPr>
                <w:sz w:val="20"/>
                <w:lang w:eastAsia="nl-NL"/>
              </w:rPr>
              <w:t>ameter</w:t>
            </w:r>
            <w:r w:rsidRPr="006C410E">
              <w:rPr>
                <w:sz w:val="20"/>
                <w:lang w:eastAsia="nl-NL"/>
              </w:rPr>
              <w:t xml:space="preserve"> 1</w:t>
            </w:r>
          </w:p>
        </w:tc>
        <w:tc>
          <w:tcPr>
            <w:tcW w:w="2233" w:type="dxa"/>
            <w:tcBorders>
              <w:top w:val="single" w:sz="12" w:space="0" w:color="auto"/>
              <w:bottom w:val="single" w:sz="4" w:space="0" w:color="auto"/>
            </w:tcBorders>
          </w:tcPr>
          <w:p w:rsidR="00A9011A" w:rsidRPr="006C410E" w:rsidRDefault="00A9011A" w:rsidP="00AD3583">
            <w:pPr>
              <w:rPr>
                <w:sz w:val="20"/>
                <w:lang w:eastAsia="nl-NL"/>
              </w:rPr>
            </w:pPr>
            <w:r w:rsidRPr="006C410E">
              <w:rPr>
                <w:sz w:val="20"/>
                <w:lang w:eastAsia="nl-NL"/>
              </w:rPr>
              <w:t>Par</w:t>
            </w:r>
            <w:r>
              <w:rPr>
                <w:sz w:val="20"/>
                <w:lang w:eastAsia="nl-NL"/>
              </w:rPr>
              <w:t>ameter</w:t>
            </w:r>
            <w:r w:rsidRPr="006C410E">
              <w:rPr>
                <w:sz w:val="20"/>
                <w:lang w:eastAsia="nl-NL"/>
              </w:rPr>
              <w:t xml:space="preserve"> 2</w:t>
            </w:r>
          </w:p>
        </w:tc>
      </w:tr>
      <w:tr w:rsidR="00A9011A" w:rsidTr="00AD3583">
        <w:tc>
          <w:tcPr>
            <w:tcW w:w="2232" w:type="dxa"/>
            <w:tcBorders>
              <w:top w:val="single" w:sz="4" w:space="0" w:color="auto"/>
            </w:tcBorders>
          </w:tcPr>
          <w:p w:rsidR="00A9011A" w:rsidRPr="006C410E" w:rsidRDefault="00A9011A" w:rsidP="00AD3583">
            <w:pPr>
              <w:rPr>
                <w:sz w:val="20"/>
                <w:lang w:eastAsia="nl-NL"/>
              </w:rPr>
            </w:pPr>
            <w:r w:rsidRPr="006C410E">
              <w:rPr>
                <w:sz w:val="20"/>
                <w:lang w:eastAsia="nl-NL"/>
              </w:rPr>
              <w:t>Exponential</w:t>
            </w:r>
          </w:p>
        </w:tc>
        <w:tc>
          <w:tcPr>
            <w:tcW w:w="2233" w:type="dxa"/>
            <w:tcBorders>
              <w:top w:val="single" w:sz="4" w:space="0" w:color="auto"/>
            </w:tcBorders>
          </w:tcPr>
          <w:p w:rsidR="00A9011A" w:rsidRPr="006C410E" w:rsidRDefault="00A9011A" w:rsidP="00AD3583">
            <w:pPr>
              <w:rPr>
                <w:sz w:val="20"/>
                <w:lang w:eastAsia="nl-NL"/>
              </w:rPr>
            </w:pPr>
            <m:oMathPara>
              <m:oMath>
                <m:r>
                  <w:rPr>
                    <w:rFonts w:ascii="Cambria Math" w:hAnsi="Cambria Math"/>
                  </w:rPr>
                  <m:t>λt</m:t>
                </m:r>
              </m:oMath>
            </m:oMathPara>
          </w:p>
        </w:tc>
        <w:tc>
          <w:tcPr>
            <w:tcW w:w="2233" w:type="dxa"/>
            <w:tcBorders>
              <w:top w:val="single" w:sz="4" w:space="0" w:color="auto"/>
            </w:tcBorders>
          </w:tcPr>
          <w:p w:rsidR="00A9011A" w:rsidRPr="006C410E" w:rsidRDefault="00A9011A" w:rsidP="00AD3583">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m:rPr>
                        <m:sty m:val="bi"/>
                      </m:rPr>
                      <w:rPr>
                        <w:rFonts w:ascii="Cambria Math" w:hAnsi="Cambria Math"/>
                        <w:sz w:val="20"/>
                        <w:lang w:eastAsia="nl-NL"/>
                      </w:rPr>
                      <m:t>Xβ</m:t>
                    </m:r>
                  </m:e>
                </m:d>
              </m:oMath>
            </m:oMathPara>
          </w:p>
        </w:tc>
        <w:tc>
          <w:tcPr>
            <w:tcW w:w="2233" w:type="dxa"/>
            <w:tcBorders>
              <w:top w:val="single" w:sz="4" w:space="0" w:color="auto"/>
            </w:tcBorders>
          </w:tcPr>
          <w:p w:rsidR="00A9011A" w:rsidRPr="006C410E" w:rsidRDefault="00A9011A" w:rsidP="00AD3583">
            <w:pPr>
              <w:jc w:val="center"/>
              <w:rPr>
                <w:sz w:val="20"/>
                <w:lang w:eastAsia="nl-NL"/>
              </w:rPr>
            </w:pPr>
            <w:r w:rsidRPr="006C410E">
              <w:rPr>
                <w:sz w:val="20"/>
                <w:lang w:eastAsia="nl-NL"/>
              </w:rPr>
              <w:t>n/a</w:t>
            </w:r>
          </w:p>
        </w:tc>
      </w:tr>
      <w:tr w:rsidR="00A9011A" w:rsidTr="00AD3583">
        <w:tc>
          <w:tcPr>
            <w:tcW w:w="2232" w:type="dxa"/>
          </w:tcPr>
          <w:p w:rsidR="00A9011A" w:rsidRPr="006C410E" w:rsidRDefault="00A9011A" w:rsidP="00AD3583">
            <w:pPr>
              <w:rPr>
                <w:sz w:val="20"/>
                <w:lang w:eastAsia="nl-NL"/>
              </w:rPr>
            </w:pPr>
            <w:r w:rsidRPr="006C410E">
              <w:rPr>
                <w:sz w:val="20"/>
                <w:lang w:eastAsia="nl-NL"/>
              </w:rPr>
              <w:t>Weibull</w:t>
            </w:r>
          </w:p>
        </w:tc>
        <w:tc>
          <w:tcPr>
            <w:tcW w:w="2233" w:type="dxa"/>
          </w:tcPr>
          <w:p w:rsidR="00A9011A" w:rsidRPr="006C410E" w:rsidRDefault="00A9011A" w:rsidP="00AD3583">
            <w:pPr>
              <w:rPr>
                <w:sz w:val="20"/>
                <w:lang w:eastAsia="nl-NL"/>
              </w:rPr>
            </w:pPr>
            <m:oMathPara>
              <m:oMath>
                <m:r>
                  <w:rPr>
                    <w:rFonts w:ascii="Cambria Math" w:hAnsi="Cambria Math"/>
                  </w:rPr>
                  <m:t>λ</m:t>
                </m:r>
                <m:sSup>
                  <m:sSupPr>
                    <m:ctrlPr>
                      <w:rPr>
                        <w:rFonts w:ascii="Cambria Math" w:hAnsi="Cambria Math"/>
                        <w:i/>
                      </w:rPr>
                    </m:ctrlPr>
                  </m:sSupPr>
                  <m:e>
                    <m:r>
                      <w:rPr>
                        <w:rFonts w:ascii="Cambria Math" w:hAnsi="Cambria Math"/>
                      </w:rPr>
                      <m:t>t</m:t>
                    </m:r>
                  </m:e>
                  <m:sup>
                    <m:r>
                      <w:rPr>
                        <w:rFonts w:ascii="Cambria Math" w:hAnsi="Cambria Math"/>
                      </w:rPr>
                      <m:t>γ</m:t>
                    </m:r>
                  </m:sup>
                </m:sSup>
              </m:oMath>
            </m:oMathPara>
          </w:p>
        </w:tc>
        <w:tc>
          <w:tcPr>
            <w:tcW w:w="2233" w:type="dxa"/>
          </w:tcPr>
          <w:p w:rsidR="00A9011A" w:rsidRPr="006C410E" w:rsidRDefault="00A9011A" w:rsidP="00AD3583">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m:rPr>
                        <m:sty m:val="bi"/>
                      </m:rPr>
                      <w:rPr>
                        <w:rFonts w:ascii="Cambria Math" w:hAnsi="Cambria Math"/>
                        <w:sz w:val="20"/>
                        <w:lang w:eastAsia="nl-NL"/>
                      </w:rPr>
                      <m:t>Xβ</m:t>
                    </m:r>
                  </m:e>
                </m:d>
              </m:oMath>
            </m:oMathPara>
          </w:p>
        </w:tc>
        <w:tc>
          <w:tcPr>
            <w:tcW w:w="2233" w:type="dxa"/>
          </w:tcPr>
          <w:p w:rsidR="00A9011A" w:rsidRPr="006C410E" w:rsidRDefault="00A9011A" w:rsidP="00AD3583">
            <w:pPr>
              <w:rPr>
                <w:sz w:val="20"/>
                <w:lang w:eastAsia="nl-NL"/>
              </w:rPr>
            </w:pPr>
            <m:oMathPara>
              <m:oMath>
                <m:r>
                  <w:rPr>
                    <w:rFonts w:ascii="Cambria Math" w:hAnsi="Cambria Math"/>
                    <w:sz w:val="20"/>
                    <w:lang w:eastAsia="nl-NL"/>
                  </w:rPr>
                  <m:t>p</m:t>
                </m:r>
              </m:oMath>
            </m:oMathPara>
          </w:p>
        </w:tc>
      </w:tr>
      <w:tr w:rsidR="00A9011A" w:rsidTr="00AD3583">
        <w:tc>
          <w:tcPr>
            <w:tcW w:w="2232" w:type="dxa"/>
          </w:tcPr>
          <w:p w:rsidR="00A9011A" w:rsidRPr="006C410E" w:rsidRDefault="00A9011A" w:rsidP="00AD3583">
            <w:pPr>
              <w:rPr>
                <w:sz w:val="20"/>
                <w:lang w:eastAsia="nl-NL"/>
              </w:rPr>
            </w:pPr>
            <w:r w:rsidRPr="006C410E">
              <w:rPr>
                <w:sz w:val="20"/>
                <w:lang w:eastAsia="nl-NL"/>
              </w:rPr>
              <w:t>Gompertz</w:t>
            </w:r>
          </w:p>
        </w:tc>
        <w:tc>
          <w:tcPr>
            <w:tcW w:w="2233" w:type="dxa"/>
          </w:tcPr>
          <w:p w:rsidR="00A9011A" w:rsidRPr="006C410E" w:rsidRDefault="00E729BA" w:rsidP="00AD3583">
            <w:pPr>
              <w:rPr>
                <w:sz w:val="20"/>
                <w:lang w:eastAsia="nl-NL"/>
              </w:rPr>
            </w:pPr>
            <m:oMathPara>
              <m:oMath>
                <m:f>
                  <m:fPr>
                    <m:ctrlPr>
                      <w:rPr>
                        <w:rFonts w:ascii="Cambria Math" w:hAnsi="Cambria Math"/>
                        <w:i/>
                      </w:rPr>
                    </m:ctrlPr>
                  </m:fPr>
                  <m:num>
                    <m:r>
                      <w:rPr>
                        <w:rFonts w:ascii="Cambria Math" w:hAnsi="Cambria Math"/>
                      </w:rPr>
                      <m:t>λ</m:t>
                    </m:r>
                  </m:num>
                  <m:den>
                    <m:r>
                      <w:rPr>
                        <w:rFonts w:ascii="Cambria Math" w:hAnsi="Cambria Math"/>
                      </w:rPr>
                      <m:t>γ</m:t>
                    </m:r>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γt</m:t>
                    </m:r>
                  </m:sup>
                </m:sSup>
                <m:r>
                  <w:rPr>
                    <w:rFonts w:ascii="Cambria Math" w:hAnsi="Cambria Math"/>
                  </w:rPr>
                  <m:t>-1)</m:t>
                </m:r>
              </m:oMath>
            </m:oMathPara>
          </w:p>
        </w:tc>
        <w:tc>
          <w:tcPr>
            <w:tcW w:w="2233" w:type="dxa"/>
          </w:tcPr>
          <w:p w:rsidR="00A9011A" w:rsidRPr="006C410E" w:rsidRDefault="00A9011A" w:rsidP="00AD3583">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m:rPr>
                        <m:sty m:val="bi"/>
                      </m:rPr>
                      <w:rPr>
                        <w:rFonts w:ascii="Cambria Math" w:hAnsi="Cambria Math"/>
                        <w:sz w:val="20"/>
                        <w:lang w:eastAsia="nl-NL"/>
                      </w:rPr>
                      <m:t>Xβ</m:t>
                    </m:r>
                  </m:e>
                </m:d>
              </m:oMath>
            </m:oMathPara>
          </w:p>
        </w:tc>
        <w:tc>
          <w:tcPr>
            <w:tcW w:w="2233" w:type="dxa"/>
          </w:tcPr>
          <w:p w:rsidR="00A9011A" w:rsidRPr="006C410E" w:rsidRDefault="00A9011A" w:rsidP="00AD3583">
            <w:pPr>
              <w:rPr>
                <w:sz w:val="20"/>
                <w:lang w:eastAsia="nl-NL"/>
              </w:rPr>
            </w:pPr>
            <m:oMathPara>
              <m:oMath>
                <m:r>
                  <w:rPr>
                    <w:rFonts w:ascii="Cambria Math" w:hAnsi="Cambria Math"/>
                    <w:sz w:val="20"/>
                    <w:lang w:eastAsia="nl-NL"/>
                  </w:rPr>
                  <m:t>γ</m:t>
                </m:r>
              </m:oMath>
            </m:oMathPara>
          </w:p>
        </w:tc>
      </w:tr>
      <w:tr w:rsidR="00A9011A" w:rsidTr="0087718E">
        <w:tc>
          <w:tcPr>
            <w:tcW w:w="2232" w:type="dxa"/>
            <w:tcBorders>
              <w:bottom w:val="single" w:sz="12" w:space="0" w:color="auto"/>
            </w:tcBorders>
          </w:tcPr>
          <w:p w:rsidR="00A9011A" w:rsidRPr="006C410E" w:rsidRDefault="00A9011A" w:rsidP="00AD3583">
            <w:pPr>
              <w:rPr>
                <w:sz w:val="20"/>
                <w:lang w:eastAsia="nl-NL"/>
              </w:rPr>
            </w:pPr>
            <w:r w:rsidRPr="006C410E">
              <w:rPr>
                <w:sz w:val="20"/>
                <w:lang w:eastAsia="nl-NL"/>
              </w:rPr>
              <w:t>LogLogistic</w:t>
            </w:r>
          </w:p>
        </w:tc>
        <w:tc>
          <w:tcPr>
            <w:tcW w:w="2233" w:type="dxa"/>
            <w:tcBorders>
              <w:bottom w:val="single" w:sz="12" w:space="0" w:color="auto"/>
            </w:tcBorders>
          </w:tcPr>
          <w:p w:rsidR="00A9011A" w:rsidRPr="006C410E" w:rsidRDefault="00A9011A" w:rsidP="00AD3583">
            <w:pPr>
              <w:rPr>
                <w:sz w:val="20"/>
                <w:lang w:eastAsia="nl-NL"/>
              </w:rPr>
            </w:pPr>
            <m:oMathPara>
              <m:oMath>
                <m:r>
                  <w:rPr>
                    <w:rFonts w:ascii="Cambria Math" w:hAnsi="Cambria Math"/>
                  </w:rPr>
                  <m:t>1+λ</m:t>
                </m:r>
                <m:sSup>
                  <m:sSupPr>
                    <m:ctrlPr>
                      <w:rPr>
                        <w:rFonts w:ascii="Cambria Math" w:hAnsi="Cambria Math"/>
                        <w:i/>
                      </w:rPr>
                    </m:ctrlPr>
                  </m:sSupPr>
                  <m:e>
                    <m:r>
                      <w:rPr>
                        <w:rFonts w:ascii="Cambria Math" w:hAnsi="Cambria Math"/>
                      </w:rPr>
                      <m:t>t</m:t>
                    </m:r>
                  </m:e>
                  <m:sup>
                    <m:f>
                      <m:fPr>
                        <m:ctrlPr>
                          <w:rPr>
                            <w:rFonts w:ascii="Cambria Math" w:hAnsi="Cambria Math"/>
                            <w:i/>
                          </w:rPr>
                        </m:ctrlPr>
                      </m:fPr>
                      <m:num>
                        <m:r>
                          <w:rPr>
                            <w:rFonts w:ascii="Cambria Math" w:hAnsi="Cambria Math"/>
                          </w:rPr>
                          <m:t>1</m:t>
                        </m:r>
                      </m:num>
                      <m:den>
                        <m:r>
                          <w:rPr>
                            <w:rFonts w:ascii="Cambria Math" w:hAnsi="Cambria Math"/>
                          </w:rPr>
                          <m:t>γ</m:t>
                        </m:r>
                      </m:den>
                    </m:f>
                  </m:sup>
                </m:sSup>
              </m:oMath>
            </m:oMathPara>
          </w:p>
        </w:tc>
        <w:tc>
          <w:tcPr>
            <w:tcW w:w="2233" w:type="dxa"/>
            <w:tcBorders>
              <w:bottom w:val="single" w:sz="12" w:space="0" w:color="auto"/>
            </w:tcBorders>
          </w:tcPr>
          <w:p w:rsidR="00A9011A" w:rsidRPr="006C410E" w:rsidRDefault="00A9011A" w:rsidP="00AD3583">
            <w:pPr>
              <w:rPr>
                <w:sz w:val="20"/>
                <w:lang w:eastAsia="nl-NL"/>
              </w:rPr>
            </w:pPr>
            <m:oMathPara>
              <m:oMath>
                <m:r>
                  <w:rPr>
                    <w:rFonts w:ascii="Cambria Math" w:hAnsi="Cambria Math"/>
                    <w:sz w:val="20"/>
                    <w:lang w:eastAsia="nl-NL"/>
                  </w:rPr>
                  <m:t>λ</m:t>
                </m:r>
                <m:r>
                  <w:rPr>
                    <w:rFonts w:ascii="Cambria Math"/>
                    <w:sz w:val="20"/>
                    <w:lang w:eastAsia="nl-NL"/>
                  </w:rPr>
                  <m:t>=</m:t>
                </m:r>
                <m:r>
                  <w:rPr>
                    <w:rFonts w:ascii="Cambria Math" w:hAnsi="Cambria Math"/>
                    <w:sz w:val="20"/>
                    <w:lang w:eastAsia="nl-NL"/>
                  </w:rPr>
                  <m:t>exp</m:t>
                </m:r>
                <m:d>
                  <m:dPr>
                    <m:ctrlPr>
                      <w:rPr>
                        <w:rFonts w:ascii="Cambria Math" w:hAnsi="Cambria Math"/>
                        <w:i/>
                        <w:sz w:val="20"/>
                        <w:lang w:eastAsia="nl-NL"/>
                      </w:rPr>
                    </m:ctrlPr>
                  </m:dPr>
                  <m:e>
                    <m:r>
                      <w:rPr>
                        <w:rFonts w:ascii="Cambria Math" w:hAnsi="Cambria Math"/>
                        <w:sz w:val="20"/>
                        <w:lang w:eastAsia="nl-NL"/>
                      </w:rPr>
                      <m:t>-</m:t>
                    </m:r>
                    <m:r>
                      <m:rPr>
                        <m:sty m:val="bi"/>
                      </m:rPr>
                      <w:rPr>
                        <w:rFonts w:ascii="Cambria Math" w:hAnsi="Cambria Math"/>
                        <w:sz w:val="20"/>
                        <w:lang w:eastAsia="nl-NL"/>
                      </w:rPr>
                      <m:t>Xβ</m:t>
                    </m:r>
                  </m:e>
                </m:d>
              </m:oMath>
            </m:oMathPara>
          </w:p>
        </w:tc>
        <w:tc>
          <w:tcPr>
            <w:tcW w:w="2233" w:type="dxa"/>
            <w:tcBorders>
              <w:bottom w:val="single" w:sz="12" w:space="0" w:color="auto"/>
            </w:tcBorders>
          </w:tcPr>
          <w:p w:rsidR="00A9011A" w:rsidRPr="006C410E" w:rsidRDefault="00A9011A" w:rsidP="00AD3583">
            <w:pPr>
              <w:rPr>
                <w:sz w:val="20"/>
                <w:lang w:eastAsia="nl-NL"/>
              </w:rPr>
            </w:pPr>
            <m:oMathPara>
              <m:oMath>
                <m:r>
                  <w:rPr>
                    <w:rFonts w:ascii="Cambria Math" w:hAnsi="Cambria Math"/>
                    <w:sz w:val="20"/>
                    <w:lang w:eastAsia="nl-NL"/>
                  </w:rPr>
                  <m:t>θ</m:t>
                </m:r>
              </m:oMath>
            </m:oMathPara>
          </w:p>
        </w:tc>
      </w:tr>
    </w:tbl>
    <w:p w:rsidR="00A9011A" w:rsidRDefault="00A9011A" w:rsidP="00A9011A">
      <w:pPr>
        <w:pStyle w:val="Level3Text"/>
        <w:rPr>
          <w:lang w:eastAsia="nl-NL"/>
        </w:rPr>
      </w:pPr>
    </w:p>
    <w:p w:rsidR="00A9011A" w:rsidRDefault="00A9011A" w:rsidP="00A9011A">
      <w:pPr>
        <w:pStyle w:val="Level3Text"/>
        <w:rPr>
          <w:lang w:eastAsia="nl-NL"/>
        </w:rPr>
      </w:pPr>
    </w:p>
    <w:p w:rsidR="00A9011A" w:rsidRDefault="00A9011A" w:rsidP="007463A4">
      <w:r>
        <w:t xml:space="preserve">The parameters labelled Parameter 1 in </w:t>
      </w:r>
      <w:fldSimple w:instr=" REF _Ref363380557 \h  \* MERGEFORMAT ">
        <w:r w:rsidR="004911B7">
          <w:t xml:space="preserve">Table </w:t>
        </w:r>
        <w:r w:rsidR="004911B7">
          <w:rPr>
            <w:noProof/>
          </w:rPr>
          <w:t>42</w:t>
        </w:r>
      </w:fldSimple>
      <w:r w:rsidR="007463A4">
        <w:t xml:space="preserve"> </w:t>
      </w:r>
      <w:r>
        <w:t xml:space="preserve"> were estimated from the baseline hazard </w:t>
      </w:r>
      <m:oMath>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oMath>
      <w:r>
        <w:rPr>
          <w:lang w:bidi="ar-SA"/>
        </w:rPr>
        <w:t xml:space="preserve"> </w:t>
      </w:r>
      <w:r>
        <w:t xml:space="preserve">and the covariate effects for the organ damage </w:t>
      </w:r>
      <w:r w:rsidR="001A1797">
        <w:t>survival</w:t>
      </w:r>
      <w:r>
        <w:t xml:space="preserve"> model described in the </w:t>
      </w:r>
      <w:r w:rsidR="001A1797">
        <w:t>n</w:t>
      </w:r>
      <w:r>
        <w:t xml:space="preserve">atural </w:t>
      </w:r>
      <w:r w:rsidR="001A1797">
        <w:t>h</w:t>
      </w:r>
      <w:r>
        <w:t>istory model</w:t>
      </w:r>
      <m:oMath>
        <m:r>
          <w:rPr>
            <w:rFonts w:ascii="Cambria Math" w:hAnsi="Cambria Math"/>
          </w:rPr>
          <m:t xml:space="preserve"> </m:t>
        </m:r>
        <m:sSub>
          <m:sSubPr>
            <m:ctrlPr>
              <w:rPr>
                <w:rFonts w:ascii="Cambria Math" w:eastAsia="Calibri" w:hAnsi="Cambria Math" w:cs="Times New Roman"/>
                <w:i/>
                <w:lang w:bidi="ar-SA"/>
              </w:rPr>
            </m:ctrlPr>
          </m:sSubPr>
          <m:e>
            <m:r>
              <w:rPr>
                <w:rFonts w:ascii="Cambria Math" w:hAnsi="Cambria Math"/>
              </w:rPr>
              <m:t>β</m:t>
            </m:r>
          </m:e>
          <m:sub>
            <m:r>
              <w:rPr>
                <w:rFonts w:ascii="Cambria Math" w:eastAsia="Calibri" w:hAnsi="Cambria Math" w:cs="Times New Roman"/>
                <w:lang w:bidi="ar-SA"/>
              </w:rPr>
              <m:t>K</m:t>
            </m:r>
          </m:sub>
        </m:sSub>
      </m:oMath>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78"/>
        <w:gridCol w:w="1130"/>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b/>
                        <w:i/>
                        <w:sz w:val="20"/>
                        <w:lang w:eastAsia="nl-NL"/>
                      </w:rPr>
                    </m:ctrlPr>
                  </m:sSubPr>
                  <m:e>
                    <m:r>
                      <m:rPr>
                        <m:sty m:val="bi"/>
                      </m:rPr>
                      <w:rPr>
                        <w:rFonts w:ascii="Cambria Math" w:hAnsi="Cambria Math"/>
                        <w:sz w:val="20"/>
                        <w:lang w:eastAsia="nl-NL"/>
                      </w:rPr>
                      <m:t>Xβ</m:t>
                    </m:r>
                  </m:e>
                  <m:sub>
                    <m:r>
                      <m:rPr>
                        <m:sty m:val="bi"/>
                      </m:rPr>
                      <w:rPr>
                        <w:rFonts w:ascii="Cambria Math" w:hAnsi="Cambria Math"/>
                        <w:sz w:val="20"/>
                        <w:lang w:eastAsia="nl-NL"/>
                      </w:rPr>
                      <m:t>ij</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
                        <w:bCs/>
                        <w:i/>
                      </w:rPr>
                    </m:ctrlPr>
                  </m:sSubPr>
                  <m:e>
                    <m:r>
                      <m:rPr>
                        <m:sty m:val="bi"/>
                      </m:rPr>
                      <w:rPr>
                        <w:rFonts w:ascii="Cambria Math" w:hAnsi="Cambria Math"/>
                      </w:rPr>
                      <m:t>β</m:t>
                    </m:r>
                  </m:e>
                  <m:sub>
                    <m:r>
                      <w:rPr>
                        <w:rFonts w:ascii="Cambria Math" w:hAnsi="Cambria Math"/>
                      </w:rPr>
                      <m:t>k</m:t>
                    </m:r>
                  </m:sub>
                </m:sSub>
                <m:sSub>
                  <m:sSubPr>
                    <m:ctrlPr>
                      <w:rPr>
                        <w:rFonts w:ascii="Cambria Math" w:hAnsi="Cambria Math"/>
                        <w:b/>
                        <w:i/>
                      </w:rPr>
                    </m:ctrlPr>
                  </m:sSubPr>
                  <m:e>
                    <m:r>
                      <m:rPr>
                        <m:sty m:val="bi"/>
                      </m:rPr>
                      <w:rPr>
                        <w:rFonts w:ascii="Cambria Math" w:hAnsi="Cambria Math"/>
                      </w:rPr>
                      <m:t>X</m:t>
                    </m:r>
                  </m:e>
                  <m:sub>
                    <m:r>
                      <m:rPr>
                        <m:sty m:val="bi"/>
                      </m:rPr>
                      <w:rPr>
                        <w:rFonts w:ascii="Cambria Math" w:hAnsi="Cambria Math"/>
                      </w:rPr>
                      <m:t>ij</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sSub>
                  <m:sSubPr>
                    <m:ctrlPr>
                      <w:rPr>
                        <w:rFonts w:ascii="Cambria Math" w:hAnsi="Cambria Math"/>
                        <w:i/>
                      </w:rPr>
                    </m:ctrlPr>
                  </m:sSubPr>
                  <m:e>
                    <m:r>
                      <w:rPr>
                        <w:rFonts w:ascii="Cambria Math" w:hAnsi="Cambria Math"/>
                      </w:rPr>
                      <m:t>D</m:t>
                    </m:r>
                  </m:e>
                  <m:sub>
                    <m:r>
                      <w:rPr>
                        <w:rFonts w:ascii="Cambria Math" w:hAnsi="Cambria Math"/>
                      </w:rPr>
                      <m:t>ij</m:t>
                    </m:r>
                  </m:sub>
                </m:sSub>
              </m:oMath>
            </m:oMathPara>
          </w:p>
        </w:tc>
        <w:tc>
          <w:tcPr>
            <w:tcW w:w="1196" w:type="dxa"/>
          </w:tcPr>
          <w:p w:rsidR="007568A9" w:rsidRDefault="007568A9" w:rsidP="00597CF5">
            <w:pPr>
              <w:pStyle w:val="ListParagraph"/>
              <w:numPr>
                <w:ilvl w:val="1"/>
                <w:numId w:val="30"/>
              </w:numPr>
              <w:bidi/>
              <w:ind w:right="220"/>
              <w:jc w:val="right"/>
            </w:pPr>
          </w:p>
        </w:tc>
      </w:tr>
    </w:tbl>
    <w:p w:rsidR="00A9011A" w:rsidRDefault="00A9011A" w:rsidP="007463A4">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rFonts w:asciiTheme="majorBidi" w:hAnsiTheme="majorBidi" w:cstheme="majorBidi"/>
        </w:rPr>
        <w:t xml:space="preserve">, </w:t>
      </w:r>
      <w:r w:rsidRPr="000F7BDA">
        <w:rPr>
          <w:rFonts w:asciiTheme="majorBidi" w:hAnsiTheme="majorBidi" w:cstheme="majorBidi"/>
          <w:i/>
          <w:iCs/>
        </w:rPr>
        <w:t>k</w:t>
      </w:r>
      <w:r>
        <w:rPr>
          <w:rFonts w:asciiTheme="majorBidi" w:hAnsiTheme="majorBidi" w:cstheme="majorBidi"/>
        </w:rPr>
        <w:t xml:space="preserve"> indicates the number of covariates in the </w:t>
      </w:r>
      <w:r w:rsidR="001A1797">
        <w:rPr>
          <w:rFonts w:asciiTheme="majorBidi" w:hAnsiTheme="majorBidi" w:cstheme="majorBidi"/>
        </w:rPr>
        <w:t>survival</w:t>
      </w:r>
      <w:r>
        <w:rPr>
          <w:rFonts w:asciiTheme="majorBidi" w:hAnsiTheme="majorBidi" w:cstheme="majorBidi"/>
        </w:rPr>
        <w:t xml:space="preserve"> model. </w:t>
      </w:r>
      <w:r>
        <w:t xml:space="preserve">The parameter estimates for the organ damage </w:t>
      </w:r>
      <w:r w:rsidR="001A1797">
        <w:t xml:space="preserve">survival </w:t>
      </w:r>
      <w:r>
        <w:t xml:space="preserve">models are based on the analyses described in </w:t>
      </w:r>
      <w:r w:rsidR="00E729BA">
        <w:fldChar w:fldCharType="begin"/>
      </w:r>
      <w:r w:rsidR="007463A4">
        <w:instrText xml:space="preserve"> REF _Ref332119844 \h </w:instrText>
      </w:r>
      <w:r w:rsidR="00E729BA">
        <w:fldChar w:fldCharType="separate"/>
      </w:r>
      <w:r w:rsidR="004911B7">
        <w:t xml:space="preserve">Table </w:t>
      </w:r>
      <w:r w:rsidR="004911B7">
        <w:rPr>
          <w:noProof/>
        </w:rPr>
        <w:t>33</w:t>
      </w:r>
      <w:r w:rsidR="00E729BA">
        <w:fldChar w:fldCharType="end"/>
      </w:r>
      <w:r w:rsidR="007463A4">
        <w:t xml:space="preserve"> of </w:t>
      </w:r>
      <w:r>
        <w:t>Chapter 5 and the mean and their covariance matrices are reported in Appendix</w:t>
      </w:r>
      <w:r w:rsidR="007F49FE">
        <w:t xml:space="preserve"> 16</w:t>
      </w:r>
      <w:r>
        <w:t xml:space="preserve">. An additional coefficient for treatment </w:t>
      </w:r>
      <m:oMath>
        <m:sSub>
          <m:sSubPr>
            <m:ctrlPr>
              <w:rPr>
                <w:rFonts w:ascii="Cambria Math" w:hAnsi="Cambria Math"/>
                <w:b/>
                <w:bCs/>
                <w:i/>
              </w:rPr>
            </m:ctrlPr>
          </m:sSubPr>
          <m:e>
            <m:r>
              <w:rPr>
                <w:rFonts w:ascii="Cambria Math" w:hAnsi="Cambria Math"/>
              </w:rPr>
              <m:t>β</m:t>
            </m:r>
          </m:e>
          <m:sub>
            <m:r>
              <w:rPr>
                <w:rFonts w:ascii="Cambria Math" w:hAnsi="Cambria Math"/>
              </w:rPr>
              <m:t>k+1</m:t>
            </m:r>
          </m:sub>
        </m:sSub>
      </m:oMath>
      <w:r>
        <w:rPr>
          <w:b/>
          <w:bCs/>
        </w:rPr>
        <w:t xml:space="preserve"> </w:t>
      </w:r>
      <w:r>
        <w:t xml:space="preserve">was appended onto each of the organ damage </w:t>
      </w:r>
      <w:r w:rsidR="001A1797">
        <w:t xml:space="preserve">survival </w:t>
      </w:r>
      <w:r>
        <w:t>models to modify the risk of organ damage in treated patients (</w:t>
      </w:r>
      <w:r w:rsidRPr="000F7BDA">
        <w:rPr>
          <w:i/>
          <w:iCs/>
        </w:rPr>
        <w:t>D</w:t>
      </w:r>
      <w:r>
        <w:t xml:space="preserve">=1). They are included in this </w:t>
      </w:r>
      <w:r w:rsidR="001A1797">
        <w:t xml:space="preserve">survival </w:t>
      </w:r>
      <w:r>
        <w:t xml:space="preserve">model to reflect clinicians’ beliefs that new biologic treatments will modify organ damage accumulation rates. The coefficients were estimated from the elicitation exercise described in Chapter 6.  </w:t>
      </w:r>
    </w:p>
    <w:p w:rsidR="00A9011A" w:rsidRDefault="00A9011A" w:rsidP="00A9011A">
      <w:pPr>
        <w:rPr>
          <w:lang w:eastAsia="nl-NL"/>
        </w:rPr>
      </w:pPr>
      <w:r>
        <w:rPr>
          <w:lang w:eastAsia="nl-NL"/>
        </w:rPr>
        <w:t>The simulation allowed patients to accrue multiple damage events in those organ systems where more than one damage type is listed in the SLICC/ACR Damage Index. However, if a patient reached the maximum number of events in that organ system the patients did not record any further damage in the simulation. For example, there are two types of ocular damage; if a patient has a SLICC/ACR Damage Index score of 2 for ocular damage they not experience additional ocular damage events.</w:t>
      </w:r>
      <w:r w:rsidRPr="001C184B">
        <w:rPr>
          <w:lang w:eastAsia="nl-NL"/>
        </w:rPr>
        <w:t xml:space="preserve"> </w:t>
      </w:r>
    </w:p>
    <w:p w:rsidR="00A9011A" w:rsidRDefault="00A9011A" w:rsidP="00A9011A">
      <w:pPr>
        <w:pStyle w:val="Heading4"/>
      </w:pPr>
      <w:bookmarkStart w:id="498" w:name="_Toc280881233"/>
      <w:bookmarkStart w:id="499" w:name="_Toc280882301"/>
      <w:bookmarkStart w:id="500" w:name="_Toc287362519"/>
      <w:r>
        <w:t>Treatment discontinuation</w:t>
      </w:r>
      <w:bookmarkEnd w:id="498"/>
      <w:bookmarkEnd w:id="499"/>
      <w:bookmarkEnd w:id="500"/>
      <w:r>
        <w:t xml:space="preserve"> </w:t>
      </w:r>
    </w:p>
    <w:p w:rsidR="00A9011A" w:rsidRDefault="00A9011A" w:rsidP="00A9011A">
      <w:pPr>
        <w:rPr>
          <w:lang w:eastAsia="nl-NL"/>
        </w:rPr>
      </w:pPr>
      <w:r>
        <w:rPr>
          <w:lang w:eastAsia="nl-NL"/>
        </w:rPr>
        <w:t>In the CE model it is assumed that patients withdraw from treatment at a constant rate. The exponential distribution is used to estimate the rate of withdrawal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8"/>
        <w:gridCol w:w="7075"/>
        <w:gridCol w:w="867"/>
      </w:tblGrid>
      <w:tr w:rsidR="007568A9" w:rsidTr="00025CCF">
        <w:trPr>
          <w:trHeight w:val="435"/>
        </w:trPr>
        <w:tc>
          <w:tcPr>
            <w:tcW w:w="817" w:type="dxa"/>
          </w:tcPr>
          <w:p w:rsidR="007568A9" w:rsidRDefault="007568A9" w:rsidP="007568A9"/>
        </w:tc>
        <w:tc>
          <w:tcPr>
            <w:tcW w:w="7513" w:type="dxa"/>
          </w:tcPr>
          <w:p w:rsidR="007568A9" w:rsidRPr="002367E4" w:rsidRDefault="00E729BA" w:rsidP="007568A9">
            <m:oMathPara>
              <m:oMath>
                <m:sSub>
                  <m:sSubPr>
                    <m:ctrlPr>
                      <w:rPr>
                        <w:rFonts w:ascii="Cambria Math" w:hAnsi="Cambria Math"/>
                        <w:i/>
                      </w:rPr>
                    </m:ctrlPr>
                  </m:sSubPr>
                  <m:e>
                    <m:r>
                      <w:rPr>
                        <w:rFonts w:ascii="Cambria Math" w:hAnsi="Cambria Math"/>
                      </w:rPr>
                      <m:t>H</m:t>
                    </m:r>
                    <m:d>
                      <m:dPr>
                        <m:ctrlPr>
                          <w:rPr>
                            <w:rFonts w:ascii="Cambria Math" w:hAnsi="Cambria Math"/>
                            <w:i/>
                          </w:rPr>
                        </m:ctrlPr>
                      </m:dPr>
                      <m:e>
                        <m:r>
                          <w:rPr>
                            <w:rFonts w:ascii="Cambria Math" w:hAnsi="Cambria Math"/>
                          </w:rPr>
                          <m:t>t</m:t>
                        </m:r>
                      </m:e>
                    </m:d>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ij</m:t>
                    </m:r>
                  </m:sub>
                </m:sSub>
                <m:r>
                  <w:rPr>
                    <w:rFonts w:ascii="Cambria Math" w:hAnsi="Cambria Math"/>
                  </w:rPr>
                  <m:t>t</m:t>
                </m:r>
              </m:oMath>
            </m:oMathPara>
          </w:p>
        </w:tc>
        <w:tc>
          <w:tcPr>
            <w:tcW w:w="912" w:type="dxa"/>
          </w:tcPr>
          <w:p w:rsidR="007568A9" w:rsidRDefault="007568A9" w:rsidP="00597CF5">
            <w:pPr>
              <w:pStyle w:val="ListParagraph"/>
              <w:numPr>
                <w:ilvl w:val="1"/>
                <w:numId w:val="30"/>
              </w:numPr>
              <w:bidi/>
              <w:ind w:right="220"/>
              <w:jc w:val="right"/>
            </w:pPr>
          </w:p>
        </w:tc>
      </w:tr>
    </w:tbl>
    <w:p w:rsidR="00A9011A" w:rsidRDefault="00A9011A" w:rsidP="00A9011A">
      <w:pPr>
        <w:rPr>
          <w:lang w:eastAsia="nl-NL"/>
        </w:rPr>
      </w:pPr>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rFonts w:asciiTheme="majorBidi" w:hAnsiTheme="majorBidi" w:cstheme="majorBidi"/>
        </w:rPr>
        <w:t>. The parameter</w:t>
      </w:r>
      <w:r>
        <w:rPr>
          <w:lang w:eastAsia="nl-NL"/>
        </w:rPr>
        <w:t xml:space="preserve"> </w:t>
      </w:r>
      <m:oMath>
        <m:sSub>
          <m:sSubPr>
            <m:ctrlPr>
              <w:rPr>
                <w:rFonts w:ascii="Cambria Math" w:hAnsi="Cambria Math"/>
                <w:i/>
              </w:rPr>
            </m:ctrlPr>
          </m:sSubPr>
          <m:e>
            <m:r>
              <w:rPr>
                <w:rFonts w:ascii="Cambria Math" w:hAnsi="Cambria Math"/>
              </w:rPr>
              <m:t>λ</m:t>
            </m:r>
          </m:e>
          <m:sub>
            <m:r>
              <w:rPr>
                <w:rFonts w:ascii="Cambria Math" w:hAnsi="Cambria Math"/>
              </w:rPr>
              <m:t>ij</m:t>
            </m:r>
          </m:sub>
        </m:sSub>
      </m:oMath>
      <w:r>
        <w:t xml:space="preserve"> describes the scale parameter for individual </w:t>
      </w:r>
      <w:r w:rsidRPr="00836D12">
        <w:rPr>
          <w:i/>
          <w:iCs/>
        </w:rPr>
        <w:t>i</w:t>
      </w:r>
      <w:r>
        <w:t xml:space="preserve"> at time </w:t>
      </w:r>
      <w:r w:rsidRPr="00836D12">
        <w:rPr>
          <w:i/>
          <w:iCs/>
        </w:rPr>
        <w:t>j</w:t>
      </w:r>
      <w:r>
        <w:rPr>
          <w:lang w:eastAsia="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9"/>
        <w:gridCol w:w="6946"/>
        <w:gridCol w:w="865"/>
      </w:tblGrid>
      <w:tr w:rsidR="007568A9" w:rsidTr="00025CCF">
        <w:trPr>
          <w:trHeight w:val="435"/>
        </w:trPr>
        <w:tc>
          <w:tcPr>
            <w:tcW w:w="959" w:type="dxa"/>
          </w:tcPr>
          <w:p w:rsidR="007568A9" w:rsidRDefault="007568A9" w:rsidP="007568A9"/>
        </w:tc>
        <w:tc>
          <w:tcPr>
            <w:tcW w:w="7371" w:type="dxa"/>
          </w:tcPr>
          <w:p w:rsidR="007568A9" w:rsidRPr="002367E4" w:rsidRDefault="00E729BA" w:rsidP="007568A9">
            <m:oMathPara>
              <m:oMath>
                <m:sSub>
                  <m:sSubPr>
                    <m:ctrlPr>
                      <w:rPr>
                        <w:rFonts w:ascii="Cambria Math" w:hAnsi="Cambria Math"/>
                        <w:i/>
                      </w:rPr>
                    </m:ctrlPr>
                  </m:sSubPr>
                  <m:e>
                    <m:r>
                      <w:rPr>
                        <w:rFonts w:ascii="Cambria Math" w:hAnsi="Cambria Math"/>
                      </w:rPr>
                      <m:t>λ</m:t>
                    </m:r>
                  </m:e>
                  <m:sub>
                    <m:r>
                      <w:rPr>
                        <w:rFonts w:ascii="Cambria Math" w:hAnsi="Cambria Math"/>
                      </w:rPr>
                      <m:t>ij</m:t>
                    </m:r>
                  </m:sub>
                </m:sSub>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
                        <w:bCs/>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oMath>
            </m:oMathPara>
          </w:p>
        </w:tc>
        <w:tc>
          <w:tcPr>
            <w:tcW w:w="912" w:type="dxa"/>
          </w:tcPr>
          <w:p w:rsidR="007568A9" w:rsidRDefault="007568A9" w:rsidP="00597CF5">
            <w:pPr>
              <w:pStyle w:val="ListParagraph"/>
              <w:numPr>
                <w:ilvl w:val="1"/>
                <w:numId w:val="30"/>
              </w:numPr>
              <w:bidi/>
              <w:ind w:right="220"/>
              <w:jc w:val="right"/>
            </w:pPr>
          </w:p>
        </w:tc>
      </w:tr>
    </w:tbl>
    <w:p w:rsidR="0071127D" w:rsidRDefault="00A9011A" w:rsidP="0071127D">
      <w:pPr>
        <w:rPr>
          <w:lang w:eastAsia="nl-NL"/>
        </w:rPr>
      </w:pPr>
      <w:r>
        <w:rPr>
          <w:lang w:eastAsia="nl-NL"/>
        </w:rPr>
        <w:t xml:space="preserve">Therefore, the baseline risk of withdrawal is estimated from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t xml:space="preserve"> with an additional coefficient for treatment </w:t>
      </w:r>
      <m:oMath>
        <m:sSub>
          <m:sSubPr>
            <m:ctrlPr>
              <w:rPr>
                <w:rFonts w:ascii="Cambria Math" w:hAnsi="Cambria Math"/>
                <w:b/>
                <w:bCs/>
                <w:i/>
              </w:rPr>
            </m:ctrlPr>
          </m:sSubPr>
          <m:e>
            <m:r>
              <w:rPr>
                <w:rFonts w:ascii="Cambria Math" w:hAnsi="Cambria Math"/>
              </w:rPr>
              <m:t>β</m:t>
            </m:r>
          </m:e>
          <m:sub>
            <m:r>
              <w:rPr>
                <w:rFonts w:ascii="Cambria Math" w:hAnsi="Cambria Math"/>
              </w:rPr>
              <m:t>1</m:t>
            </m:r>
          </m:sub>
        </m:sSub>
      </m:oMath>
      <w:r>
        <w:rPr>
          <w:b/>
          <w:bCs/>
        </w:rPr>
        <w:t xml:space="preserve">, </w:t>
      </w:r>
      <w:r>
        <w:t xml:space="preserve">according to patient’s treatment status at time </w:t>
      </w:r>
      <w:r w:rsidRPr="00C80DAE">
        <w:rPr>
          <w:i/>
          <w:iCs/>
        </w:rPr>
        <w:t>j</w:t>
      </w:r>
      <w:r>
        <w:t xml:space="preserve">. </w:t>
      </w:r>
      <w:r>
        <w:rPr>
          <w:lang w:eastAsia="nl-NL"/>
        </w:rPr>
        <w:t xml:space="preserve">The estimates of the intercept and treatment coefficient are estimated from previous clinical trials </w:t>
      </w:r>
      <w:r w:rsidR="007463A4">
        <w:rPr>
          <w:lang w:eastAsia="nl-NL"/>
        </w:rPr>
        <w:t>reported in S</w:t>
      </w:r>
      <w:r>
        <w:rPr>
          <w:lang w:eastAsia="nl-NL"/>
        </w:rPr>
        <w:t xml:space="preserve">ection 6.2 of Chapter 6. </w:t>
      </w:r>
      <w:r w:rsidR="007463A4">
        <w:rPr>
          <w:lang w:eastAsia="nl-NL"/>
        </w:rPr>
        <w:t xml:space="preserve">Clinical trial withdrawal was assumed to be an appropriate estimate of real-world discontinuation given an absence of real-world data on biologic treatment withdrawal in SLE patients. </w:t>
      </w:r>
      <w:r>
        <w:rPr>
          <w:lang w:eastAsia="nl-NL"/>
        </w:rPr>
        <w:t>The probability</w:t>
      </w:r>
      <w:r w:rsidR="007F5C69">
        <w:rPr>
          <w:lang w:eastAsia="nl-NL"/>
        </w:rPr>
        <w:t xml:space="preserve"> of withdrawal is derived from cumulative hazard for current and previous cycle as specified in </w:t>
      </w:r>
      <w:r>
        <w:rPr>
          <w:lang w:eastAsia="nl-NL"/>
        </w:rPr>
        <w:t>equation</w:t>
      </w:r>
      <w:r w:rsidR="007F5C69">
        <w:rPr>
          <w:lang w:eastAsia="nl-NL"/>
        </w:rPr>
        <w:t xml:space="preserve"> </w:t>
      </w:r>
      <w:r w:rsidR="00E729BA">
        <w:rPr>
          <w:lang w:eastAsia="nl-NL"/>
        </w:rPr>
        <w:fldChar w:fldCharType="begin"/>
      </w:r>
      <w:r w:rsidR="007F5C69">
        <w:rPr>
          <w:lang w:eastAsia="nl-NL"/>
        </w:rPr>
        <w:instrText xml:space="preserve"> REF probability_7 \w \h </w:instrText>
      </w:r>
      <w:r w:rsidR="00E729BA">
        <w:rPr>
          <w:lang w:eastAsia="nl-NL"/>
        </w:rPr>
      </w:r>
      <w:r w:rsidR="00E729BA">
        <w:rPr>
          <w:lang w:eastAsia="nl-NL"/>
        </w:rPr>
        <w:fldChar w:fldCharType="separate"/>
      </w:r>
      <w:r w:rsidR="004911B7">
        <w:rPr>
          <w:cs/>
          <w:lang w:eastAsia="nl-NL"/>
        </w:rPr>
        <w:t>‎</w:t>
      </w:r>
      <w:r w:rsidR="004911B7">
        <w:rPr>
          <w:lang w:eastAsia="nl-NL"/>
        </w:rPr>
        <w:t>(7.3)</w:t>
      </w:r>
      <w:r w:rsidR="00E729BA">
        <w:rPr>
          <w:lang w:eastAsia="nl-NL"/>
        </w:rPr>
        <w:fldChar w:fldCharType="end"/>
      </w:r>
      <w:r>
        <w:rPr>
          <w:lang w:eastAsia="nl-NL"/>
        </w:rPr>
        <w:t>.</w:t>
      </w:r>
      <w:r w:rsidR="0071127D" w:rsidRPr="0071127D">
        <w:rPr>
          <w:lang w:eastAsia="nl-NL"/>
        </w:rPr>
        <w:t xml:space="preserve"> </w:t>
      </w:r>
      <w:r w:rsidR="0071127D">
        <w:rPr>
          <w:lang w:eastAsia="nl-NL"/>
        </w:rPr>
        <w:t>Alternative time-dependent distributions for withdrawal could be fitted to Phase II trial data to account for greater rates of withdrawal in the early stages of the trial.</w:t>
      </w:r>
    </w:p>
    <w:p w:rsidR="00A9011A" w:rsidRDefault="00A9011A" w:rsidP="007463A4">
      <w:pPr>
        <w:rPr>
          <w:lang w:eastAsia="nl-NL"/>
        </w:rPr>
      </w:pPr>
    </w:p>
    <w:p w:rsidR="00A9011A" w:rsidRDefault="00A9011A" w:rsidP="007463A4">
      <w:pPr>
        <w:rPr>
          <w:lang w:eastAsia="nl-NL"/>
        </w:rPr>
      </w:pPr>
      <w:r>
        <w:rPr>
          <w:lang w:eastAsia="nl-NL"/>
        </w:rPr>
        <w:t>When patients discontinue from treatment their natural history continues to be monitored in the simulation and their costs and health outcomes recorded. The effect of treatment in the change in mean SLEDA</w:t>
      </w:r>
      <w:r w:rsidR="007463A4">
        <w:rPr>
          <w:lang w:eastAsia="nl-NL"/>
        </w:rPr>
        <w:t xml:space="preserve">I score is removed immediately, i.e. </w:t>
      </w:r>
      <w:r>
        <w:rPr>
          <w:lang w:eastAsia="nl-NL"/>
        </w:rPr>
        <w:t>no tapering in the treatment effect</w:t>
      </w:r>
      <w:r w:rsidR="007463A4">
        <w:rPr>
          <w:lang w:eastAsia="nl-NL"/>
        </w:rPr>
        <w:t xml:space="preserve"> assumed</w:t>
      </w:r>
      <w:r>
        <w:rPr>
          <w:lang w:eastAsia="nl-NL"/>
        </w:rPr>
        <w:t xml:space="preserve">. </w:t>
      </w:r>
    </w:p>
    <w:p w:rsidR="00A9011A" w:rsidRDefault="00A9011A" w:rsidP="00A9011A">
      <w:pPr>
        <w:pStyle w:val="Heading4"/>
        <w:rPr>
          <w:lang w:eastAsia="nl-NL"/>
        </w:rPr>
      </w:pPr>
      <w:bookmarkStart w:id="501" w:name="_Toc279746626"/>
      <w:bookmarkStart w:id="502" w:name="_Toc280007188"/>
      <w:bookmarkStart w:id="503" w:name="_Toc280014836"/>
      <w:bookmarkStart w:id="504" w:name="_Ref280083876"/>
      <w:bookmarkStart w:id="505" w:name="_Toc280881231"/>
      <w:bookmarkStart w:id="506" w:name="_Toc280882299"/>
      <w:bookmarkStart w:id="507" w:name="_Toc287362517"/>
      <w:r>
        <w:rPr>
          <w:lang w:eastAsia="nl-NL"/>
        </w:rPr>
        <w:t>Mortality</w:t>
      </w:r>
      <w:bookmarkEnd w:id="501"/>
      <w:bookmarkEnd w:id="502"/>
      <w:bookmarkEnd w:id="503"/>
      <w:bookmarkEnd w:id="504"/>
      <w:bookmarkEnd w:id="505"/>
      <w:bookmarkEnd w:id="506"/>
      <w:bookmarkEnd w:id="507"/>
      <w:r>
        <w:rPr>
          <w:lang w:eastAsia="nl-NL"/>
        </w:rPr>
        <w:t xml:space="preserve"> </w:t>
      </w:r>
    </w:p>
    <w:p w:rsidR="00A9011A" w:rsidRDefault="00A9011A" w:rsidP="002D4392">
      <w:pPr>
        <w:rPr>
          <w:lang w:eastAsia="nl-NL"/>
        </w:rPr>
      </w:pPr>
      <w:r>
        <w:rPr>
          <w:lang w:eastAsia="nl-NL"/>
        </w:rPr>
        <w:t xml:space="preserve">The Weibull survival distribution was used to </w:t>
      </w:r>
      <w:r w:rsidR="002D4392">
        <w:rPr>
          <w:lang w:eastAsia="nl-NL"/>
        </w:rPr>
        <w:t xml:space="preserve">model </w:t>
      </w:r>
      <w:r>
        <w:rPr>
          <w:lang w:eastAsia="nl-NL"/>
        </w:rPr>
        <w:t xml:space="preserve">the probability of death. </w:t>
      </w:r>
      <w:r w:rsidRPr="007D04D7">
        <w:rPr>
          <w:lang w:eastAsia="nl-NL"/>
        </w:rPr>
        <w:t xml:space="preserve">The probability of </w:t>
      </w:r>
      <w:r>
        <w:rPr>
          <w:lang w:eastAsia="nl-NL"/>
        </w:rPr>
        <w:t>a patient dying</w:t>
      </w:r>
      <w:r w:rsidRPr="007D04D7">
        <w:rPr>
          <w:lang w:eastAsia="nl-NL"/>
        </w:rPr>
        <w:t xml:space="preserve"> in each </w:t>
      </w:r>
      <w:r>
        <w:rPr>
          <w:lang w:eastAsia="nl-NL"/>
        </w:rPr>
        <w:t>period</w:t>
      </w:r>
      <w:r w:rsidRPr="007D04D7">
        <w:rPr>
          <w:lang w:eastAsia="nl-NL"/>
        </w:rPr>
        <w:t xml:space="preserve"> of the </w:t>
      </w:r>
      <w:r>
        <w:rPr>
          <w:lang w:eastAsia="nl-NL"/>
        </w:rPr>
        <w:t xml:space="preserve">CE </w:t>
      </w:r>
      <w:r w:rsidRPr="007D04D7">
        <w:rPr>
          <w:lang w:eastAsia="nl-NL"/>
        </w:rPr>
        <w:t xml:space="preserve">model </w:t>
      </w:r>
      <w:r w:rsidR="007F5C69">
        <w:rPr>
          <w:lang w:eastAsia="nl-NL"/>
        </w:rPr>
        <w:t xml:space="preserve">from the cumulative hazard as described in </w:t>
      </w:r>
      <w:r>
        <w:rPr>
          <w:lang w:eastAsia="nl-NL"/>
        </w:rPr>
        <w:t xml:space="preserve">equation </w:t>
      </w:r>
      <w:r w:rsidR="00E729BA">
        <w:rPr>
          <w:lang w:eastAsia="nl-NL"/>
        </w:rPr>
        <w:fldChar w:fldCharType="begin"/>
      </w:r>
      <w:r w:rsidR="007F5C69">
        <w:rPr>
          <w:lang w:eastAsia="nl-NL"/>
        </w:rPr>
        <w:instrText xml:space="preserve"> REF probability_7 \w \h </w:instrText>
      </w:r>
      <w:r w:rsidR="00E729BA">
        <w:rPr>
          <w:lang w:eastAsia="nl-NL"/>
        </w:rPr>
      </w:r>
      <w:r w:rsidR="00E729BA">
        <w:rPr>
          <w:lang w:eastAsia="nl-NL"/>
        </w:rPr>
        <w:fldChar w:fldCharType="separate"/>
      </w:r>
      <w:r w:rsidR="004911B7">
        <w:rPr>
          <w:cs/>
          <w:lang w:eastAsia="nl-NL"/>
        </w:rPr>
        <w:t>‎</w:t>
      </w:r>
      <w:r w:rsidR="004911B7">
        <w:rPr>
          <w:lang w:eastAsia="nl-NL"/>
        </w:rPr>
        <w:t>(7.3)</w:t>
      </w:r>
      <w:r w:rsidR="00E729BA">
        <w:rPr>
          <w:lang w:eastAsia="nl-NL"/>
        </w:rPr>
        <w:fldChar w:fldCharType="end"/>
      </w:r>
      <w:r>
        <w:rPr>
          <w:lang w:eastAsia="nl-NL"/>
        </w:rPr>
        <w:t xml:space="preserve">. The Cumulative Hazard for the Weibull distribution can be expressed as a two parameter </w:t>
      </w:r>
      <w:r w:rsidR="001A1797">
        <w:rPr>
          <w:lang w:eastAsia="nl-NL"/>
        </w:rPr>
        <w:t xml:space="preserve">survival </w:t>
      </w:r>
      <w:r>
        <w:rPr>
          <w:lang w:eastAsia="nl-NL"/>
        </w:rPr>
        <w:t>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
        <w:gridCol w:w="7075"/>
        <w:gridCol w:w="1132"/>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rPr>
                    </m:ctrlPr>
                  </m:sSubPr>
                  <m:e>
                    <m:r>
                      <w:rPr>
                        <w:rFonts w:ascii="Cambria Math" w:hAnsi="Cambria Math"/>
                      </w:rPr>
                      <m:t>H</m:t>
                    </m:r>
                    <m:d>
                      <m:dPr>
                        <m:ctrlPr>
                          <w:rPr>
                            <w:rFonts w:ascii="Cambria Math" w:hAnsi="Cambria Math"/>
                            <w:i/>
                          </w:rPr>
                        </m:ctrlPr>
                      </m:dPr>
                      <m:e>
                        <m:r>
                          <w:rPr>
                            <w:rFonts w:ascii="Cambria Math" w:hAnsi="Cambria Math"/>
                          </w:rPr>
                          <m:t>t</m:t>
                        </m:r>
                      </m:e>
                    </m:d>
                  </m:e>
                  <m:sub>
                    <m:r>
                      <w:rPr>
                        <w:rFonts w:ascii="Cambria Math" w:hAnsi="Cambria Math"/>
                      </w:rPr>
                      <m:t>ij</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ij</m:t>
                    </m:r>
                  </m:sub>
                </m:sSub>
                <m:sSup>
                  <m:sSupPr>
                    <m:ctrlPr>
                      <w:rPr>
                        <w:rFonts w:ascii="Cambria Math" w:hAnsi="Cambria Math"/>
                        <w:i/>
                      </w:rPr>
                    </m:ctrlPr>
                  </m:sSupPr>
                  <m:e>
                    <m:r>
                      <w:rPr>
                        <w:rFonts w:ascii="Cambria Math" w:hAnsi="Cambria Math"/>
                      </w:rPr>
                      <m:t>t</m:t>
                    </m:r>
                  </m:e>
                  <m:sup>
                    <m:r>
                      <w:rPr>
                        <w:rFonts w:ascii="Cambria Math" w:hAnsi="Cambria Math"/>
                      </w:rPr>
                      <m:t>γ</m:t>
                    </m:r>
                  </m:sup>
                </m:sSup>
              </m:oMath>
            </m:oMathPara>
          </w:p>
        </w:tc>
        <w:tc>
          <w:tcPr>
            <w:tcW w:w="1196" w:type="dxa"/>
          </w:tcPr>
          <w:p w:rsidR="007568A9" w:rsidRDefault="007568A9" w:rsidP="00597CF5">
            <w:pPr>
              <w:pStyle w:val="ListParagraph"/>
              <w:numPr>
                <w:ilvl w:val="1"/>
                <w:numId w:val="30"/>
              </w:numPr>
              <w:bidi/>
              <w:ind w:right="220"/>
              <w:jc w:val="right"/>
            </w:pPr>
          </w:p>
        </w:tc>
      </w:tr>
    </w:tbl>
    <w:p w:rsidR="00A9011A" w:rsidRDefault="00A9011A" w:rsidP="001A1797">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rFonts w:asciiTheme="majorBidi" w:hAnsiTheme="majorBidi" w:cstheme="majorBidi"/>
        </w:rPr>
        <w:t>. The parameter</w:t>
      </w:r>
      <w:r>
        <w:rPr>
          <w:lang w:eastAsia="nl-NL"/>
        </w:rPr>
        <w:t xml:space="preserve"> </w:t>
      </w:r>
      <m:oMath>
        <m:sSub>
          <m:sSubPr>
            <m:ctrlPr>
              <w:rPr>
                <w:rFonts w:ascii="Cambria Math" w:hAnsi="Cambria Math"/>
                <w:i/>
              </w:rPr>
            </m:ctrlPr>
          </m:sSubPr>
          <m:e>
            <m:r>
              <w:rPr>
                <w:rFonts w:ascii="Cambria Math" w:hAnsi="Cambria Math"/>
              </w:rPr>
              <m:t>λ</m:t>
            </m:r>
          </m:e>
          <m:sub>
            <m:r>
              <w:rPr>
                <w:rFonts w:ascii="Cambria Math" w:hAnsi="Cambria Math"/>
              </w:rPr>
              <m:t>ij</m:t>
            </m:r>
          </m:sub>
        </m:sSub>
      </m:oMath>
      <w:r>
        <w:t xml:space="preserve"> describes the scale parameter for individual </w:t>
      </w:r>
      <w:r w:rsidRPr="00836D12">
        <w:rPr>
          <w:i/>
          <w:iCs/>
        </w:rPr>
        <w:t>i</w:t>
      </w:r>
      <w:r>
        <w:t xml:space="preserve"> at time </w:t>
      </w:r>
      <w:r w:rsidRPr="00836D12">
        <w:rPr>
          <w:i/>
          <w:iCs/>
        </w:rPr>
        <w:t>j</w:t>
      </w:r>
      <w:r>
        <w:t xml:space="preserve">, and </w:t>
      </w:r>
      <m:oMath>
        <m:r>
          <w:rPr>
            <w:rFonts w:ascii="Cambria Math" w:hAnsi="Cambria Math"/>
          </w:rPr>
          <m:t>γ</m:t>
        </m:r>
      </m:oMath>
      <w:r>
        <w:t xml:space="preserve"> is the shape parameter of the Weibull </w:t>
      </w:r>
      <w:r w:rsidR="001A1797">
        <w:t xml:space="preserve">survival </w:t>
      </w:r>
      <w:r>
        <w:t xml:space="preserve">model. The scale of the distribution is estimated from the baseline hazard </w:t>
      </w:r>
      <m:oMath>
        <m:sSub>
          <m:sSubPr>
            <m:ctrlPr>
              <w:rPr>
                <w:rFonts w:ascii="Cambria Math" w:eastAsia="Calibri" w:hAnsi="Cambria Math" w:cs="Times New Roman"/>
                <w:i/>
                <w:lang w:bidi="ar-SA"/>
              </w:rPr>
            </m:ctrlPr>
          </m:sSubPr>
          <m:e>
            <m:r>
              <w:rPr>
                <w:rFonts w:ascii="Cambria Math" w:hAnsi="Cambria Math"/>
              </w:rPr>
              <m:t>β</m:t>
            </m:r>
          </m:e>
          <m:sub>
            <m:r>
              <w:rPr>
                <w:rFonts w:ascii="Cambria Math" w:hAnsi="Cambria Math"/>
              </w:rPr>
              <m:t>0</m:t>
            </m:r>
          </m:sub>
        </m:sSub>
      </m:oMath>
      <w:r>
        <w:rPr>
          <w:lang w:bidi="ar-SA"/>
        </w:rPr>
        <w:t xml:space="preserve"> </w:t>
      </w:r>
      <w:r>
        <w:t xml:space="preserve">and eleven covariate effects described in the </w:t>
      </w:r>
      <w:r w:rsidR="001A1797">
        <w:t>n</w:t>
      </w:r>
      <w:r>
        <w:t xml:space="preserve">atural </w:t>
      </w:r>
      <w:r w:rsidR="001A1797">
        <w:t>h</w:t>
      </w:r>
      <w:r>
        <w:t xml:space="preserve">istory model </w:t>
      </w:r>
      <m:oMath>
        <m:sSub>
          <m:sSubPr>
            <m:ctrlPr>
              <w:rPr>
                <w:rFonts w:ascii="Cambria Math" w:eastAsia="Calibri" w:hAnsi="Cambria Math" w:cs="Times New Roman"/>
                <w:b/>
                <w:bCs/>
                <w:i/>
                <w:lang w:bidi="ar-SA"/>
              </w:rPr>
            </m:ctrlPr>
          </m:sSubPr>
          <m:e>
            <m:r>
              <m:rPr>
                <m:sty m:val="bi"/>
              </m:rPr>
              <w:rPr>
                <w:rFonts w:ascii="Cambria Math" w:hAnsi="Cambria Math"/>
              </w:rPr>
              <m:t>β</m:t>
            </m:r>
          </m:e>
          <m:sub>
            <m:r>
              <w:rPr>
                <w:rFonts w:ascii="Cambria Math" w:hAnsi="Cambria Math"/>
              </w:rPr>
              <m:t>1:11</m:t>
            </m:r>
          </m:sub>
        </m:sSub>
      </m:oMath>
      <w:r>
        <w:t xml:space="preserve">. An additional coefficient for treatment can be appended onto the mortality </w:t>
      </w:r>
      <w:r w:rsidR="001A1797">
        <w:t xml:space="preserve">survival </w:t>
      </w:r>
      <w:r>
        <w:t xml:space="preserve">model to modify the risk of mortality in treated patients (D=1).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79"/>
        <w:gridCol w:w="1129"/>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rPr>
                    </m:ctrlPr>
                  </m:sSubPr>
                  <m:e>
                    <m:r>
                      <w:rPr>
                        <w:rFonts w:ascii="Cambria Math" w:hAnsi="Cambria Math"/>
                      </w:rPr>
                      <m:t>λ</m:t>
                    </m:r>
                  </m:e>
                  <m:sub>
                    <m:r>
                      <w:rPr>
                        <w:rFonts w:ascii="Cambria Math" w:hAnsi="Cambria Math"/>
                      </w:rPr>
                      <m:t>ij</m:t>
                    </m:r>
                  </m:sub>
                </m:sSub>
                <m:r>
                  <w:rPr>
                    <w:rFonts w:ascii="Cambria Math" w:hAnsi="Cambria Math"/>
                  </w:rPr>
                  <m:t>=</m:t>
                </m:r>
                <m:r>
                  <m:rPr>
                    <m:sty m:val="p"/>
                  </m:rPr>
                  <w:rPr>
                    <w:rFonts w:ascii="Cambria Math" w:hAnsi="Cambria Math"/>
                  </w:rPr>
                  <m:t>exp⁡</m:t>
                </m:r>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b/>
                        <w:bCs/>
                        <w:i/>
                      </w:rPr>
                    </m:ctrlPr>
                  </m:sSubPr>
                  <m:e>
                    <m:r>
                      <m:rPr>
                        <m:sty m:val="bi"/>
                      </m:rPr>
                      <w:rPr>
                        <w:rFonts w:ascii="Cambria Math" w:hAnsi="Cambria Math"/>
                      </w:rPr>
                      <m:t>β</m:t>
                    </m:r>
                  </m:e>
                  <m:sub>
                    <m:r>
                      <w:rPr>
                        <w:rFonts w:ascii="Cambria Math" w:hAnsi="Cambria Math"/>
                      </w:rPr>
                      <m:t>k</m:t>
                    </m:r>
                  </m:sub>
                </m:sSub>
                <m:sSub>
                  <m:sSubPr>
                    <m:ctrlPr>
                      <w:rPr>
                        <w:rFonts w:ascii="Cambria Math" w:hAnsi="Cambria Math"/>
                        <w:b/>
                        <w:bCs/>
                        <w:i/>
                      </w:rPr>
                    </m:ctrlPr>
                  </m:sSubPr>
                  <m:e>
                    <m:r>
                      <m:rPr>
                        <m:sty m:val="bi"/>
                      </m:rPr>
                      <w:rPr>
                        <w:rFonts w:ascii="Cambria Math" w:hAnsi="Cambria Math"/>
                      </w:rPr>
                      <m:t>X</m:t>
                    </m:r>
                  </m:e>
                  <m:sub>
                    <m:r>
                      <w:rPr>
                        <w:rFonts w:ascii="Cambria Math" w:hAnsi="Cambria Math"/>
                      </w:rPr>
                      <m:t>ij</m:t>
                    </m:r>
                  </m:sub>
                </m:sSub>
                <m:r>
                  <m:rPr>
                    <m:sty m:val="bi"/>
                  </m:rPr>
                  <w:rPr>
                    <w:rFonts w:ascii="Cambria Math" w:hAnsi="Cambria Math"/>
                  </w:rPr>
                  <m:t>+</m:t>
                </m:r>
                <m:sSub>
                  <m:sSubPr>
                    <m:ctrlPr>
                      <w:rPr>
                        <w:rFonts w:ascii="Cambria Math" w:hAnsi="Cambria Math"/>
                        <w:b/>
                        <w:bCs/>
                        <w:i/>
                      </w:rPr>
                    </m:ctrlPr>
                  </m:sSubPr>
                  <m:e>
                    <m:r>
                      <w:rPr>
                        <w:rFonts w:ascii="Cambria Math" w:hAnsi="Cambria Math"/>
                      </w:rPr>
                      <m:t>β</m:t>
                    </m:r>
                  </m:e>
                  <m:sub>
                    <m:r>
                      <m:rPr>
                        <m:sty m:val="bi"/>
                      </m:rPr>
                      <w:rPr>
                        <w:rFonts w:ascii="Cambria Math" w:hAnsi="Cambria Math"/>
                      </w:rPr>
                      <m:t>k+1</m:t>
                    </m:r>
                  </m:sub>
                </m:sSub>
                <m:sSub>
                  <m:sSubPr>
                    <m:ctrlPr>
                      <w:rPr>
                        <w:rFonts w:ascii="Cambria Math" w:hAnsi="Cambria Math"/>
                        <w:i/>
                      </w:rPr>
                    </m:ctrlPr>
                  </m:sSubPr>
                  <m:e>
                    <m:r>
                      <w:rPr>
                        <w:rFonts w:ascii="Cambria Math" w:hAnsi="Cambria Math"/>
                      </w:rPr>
                      <m:t>D</m:t>
                    </m:r>
                  </m:e>
                  <m:sub>
                    <m:r>
                      <w:rPr>
                        <w:rFonts w:ascii="Cambria Math" w:hAnsi="Cambria Math"/>
                      </w:rPr>
                      <m:t>ij</m:t>
                    </m:r>
                  </m:sub>
                </m:sSub>
                <m:r>
                  <w:rPr>
                    <w:rFonts w:ascii="Cambria Math" w:hAnsi="Cambria Math"/>
                  </w:rPr>
                  <m:t>)</m:t>
                </m:r>
              </m:oMath>
            </m:oMathPara>
          </w:p>
        </w:tc>
        <w:tc>
          <w:tcPr>
            <w:tcW w:w="1196" w:type="dxa"/>
          </w:tcPr>
          <w:p w:rsidR="007568A9" w:rsidRDefault="007568A9" w:rsidP="00597CF5">
            <w:pPr>
              <w:pStyle w:val="ListParagraph"/>
              <w:numPr>
                <w:ilvl w:val="1"/>
                <w:numId w:val="30"/>
              </w:numPr>
              <w:bidi/>
              <w:ind w:right="220"/>
              <w:jc w:val="right"/>
            </w:pPr>
          </w:p>
        </w:tc>
      </w:tr>
    </w:tbl>
    <w:p w:rsidR="00A9011A" w:rsidRPr="00C06657" w:rsidRDefault="00A9011A" w:rsidP="004A1BEA">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rFonts w:asciiTheme="majorBidi" w:hAnsiTheme="majorBidi" w:cstheme="majorBidi"/>
        </w:rPr>
        <w:t xml:space="preserve">, k indicates the number of covariates in the survival model. </w:t>
      </w:r>
      <w:r>
        <w:t xml:space="preserve">The mean parameter estimates for the mortality </w:t>
      </w:r>
      <w:r w:rsidR="001A1797">
        <w:t xml:space="preserve">survival </w:t>
      </w:r>
      <w:r>
        <w:t xml:space="preserve">model are </w:t>
      </w:r>
      <w:r w:rsidR="004A1BEA">
        <w:t xml:space="preserve">reported in </w:t>
      </w:r>
      <w:r w:rsidR="00E729BA">
        <w:fldChar w:fldCharType="begin"/>
      </w:r>
      <w:r w:rsidR="004A1BEA">
        <w:instrText xml:space="preserve"> REF _Ref274837223 \h </w:instrText>
      </w:r>
      <w:r w:rsidR="00E729BA">
        <w:fldChar w:fldCharType="separate"/>
      </w:r>
      <w:r w:rsidR="004911B7">
        <w:t xml:space="preserve">Table </w:t>
      </w:r>
      <w:r w:rsidR="004911B7">
        <w:rPr>
          <w:noProof/>
        </w:rPr>
        <w:t>31</w:t>
      </w:r>
      <w:r w:rsidR="00E729BA">
        <w:fldChar w:fldCharType="end"/>
      </w:r>
      <w:r w:rsidR="004A1BEA">
        <w:t xml:space="preserve"> </w:t>
      </w:r>
      <w:r>
        <w:t xml:space="preserve">of Chapter 5. </w:t>
      </w:r>
      <w:r>
        <w:rPr>
          <w:lang w:eastAsia="nl-NL"/>
        </w:rPr>
        <w:t>At every year of the simulation a probability for mortality is calculated and an event is sampled from the Bernoulli distribution.</w:t>
      </w:r>
      <w:r w:rsidRPr="00C06657">
        <w:rPr>
          <w:lang w:eastAsia="nl-NL"/>
        </w:rPr>
        <w:t xml:space="preserve"> </w:t>
      </w:r>
    </w:p>
    <w:p w:rsidR="007463A4" w:rsidRDefault="007F5C69" w:rsidP="002D4392">
      <w:pPr>
        <w:rPr>
          <w:lang w:eastAsia="nl-NL"/>
        </w:rPr>
      </w:pPr>
      <w:r>
        <w:rPr>
          <w:lang w:eastAsia="nl-NL"/>
        </w:rPr>
        <w:t xml:space="preserve">Applying the mortality survival model to estimate the probability of death </w:t>
      </w:r>
      <w:r w:rsidR="007463A4">
        <w:rPr>
          <w:lang w:eastAsia="nl-NL"/>
        </w:rPr>
        <w:t>was found to underestimate</w:t>
      </w:r>
      <w:r w:rsidR="00A9011A">
        <w:rPr>
          <w:lang w:eastAsia="nl-NL"/>
        </w:rPr>
        <w:t xml:space="preserve"> the risk of mortality in the elderly. The mean age at entry into the Hopkins cohort is 38 years and a maximum follow-up of 22 years. Only 27 patients in the cohort were followed to an age 75 or older. As a consequence, the increased rate of mortality in elderly patients would not have been captured in the mortality</w:t>
      </w:r>
      <w:r w:rsidR="001A1797">
        <w:rPr>
          <w:lang w:eastAsia="nl-NL"/>
        </w:rPr>
        <w:t xml:space="preserve"> survival</w:t>
      </w:r>
      <w:r w:rsidR="00A9011A">
        <w:rPr>
          <w:lang w:eastAsia="nl-NL"/>
        </w:rPr>
        <w:t xml:space="preserve"> model. In order to avoid an underestimation of mortality in the CE model a correction was required to increase mortality risk at older ages using mortality estimates for the general population. </w:t>
      </w:r>
    </w:p>
    <w:p w:rsidR="00584E81" w:rsidRDefault="00A9011A" w:rsidP="002B5C9D">
      <w:pPr>
        <w:rPr>
          <w:b/>
          <w:bCs/>
          <w:sz w:val="18"/>
          <w:szCs w:val="16"/>
        </w:rPr>
      </w:pPr>
      <w:r w:rsidRPr="00C37A4B">
        <w:rPr>
          <w:lang w:eastAsia="nl-NL"/>
        </w:rPr>
        <w:t>Life tables for the U</w:t>
      </w:r>
      <w:r>
        <w:rPr>
          <w:lang w:eastAsia="nl-NL"/>
        </w:rPr>
        <w:t xml:space="preserve">K were obtained to express age related mortality for the general population </w:t>
      </w:r>
      <w:r w:rsidR="00E729BA">
        <w:rPr>
          <w:lang w:eastAsia="nl-NL"/>
        </w:rPr>
        <w:fldChar w:fldCharType="begin"/>
      </w:r>
      <w:r w:rsidR="00FC61FD">
        <w:rPr>
          <w:lang w:eastAsia="nl-NL"/>
        </w:rPr>
        <w:instrText xml:space="preserve"> ADDIN REFMGR.CITE &lt;Refman&gt;&lt;Cite&gt;&lt;Author&gt;Office of National Statistics&lt;/Author&gt;&lt;Year&gt;2009&lt;/Year&gt;&lt;RecNum&gt;1621&lt;/RecNum&gt;&lt;IDText&gt;Decennial Life Tables - England (2000-02)&lt;/IDText&gt;&lt;MDL Ref_Type="Electronic Citation"&gt;&lt;Ref_Type&gt;Electronic Citation&lt;/Ref_Type&gt;&lt;Ref_ID&gt;1621&lt;/Ref_ID&gt;&lt;Title_Primary&gt;Decennial Life Tables - England (2000-02)&lt;/Title_Primary&gt;&lt;Date_Primary&gt;2009&lt;/Date_Primary&gt;&lt;Keywords&gt;Life&lt;/Keywords&gt;&lt;Keywords&gt;Life Tables&lt;/Keywords&gt;&lt;Keywords&gt;England&lt;/Keywords&gt;&lt;Reprint&gt;In File&lt;/Reprint&gt;&lt;Periodical&gt;Office of National statistics&lt;/Periodical&gt;&lt;Web_URL&gt;&lt;u&gt;http://www.ons.gov.uk/ons/publications/re-reference-tables.html?edition=tcm%3A77-224936&lt;/u&gt;&lt;/Web_URL&gt;&lt;ZZ_JournalFull&gt;&lt;f name="System"&gt;Office of National statistics&lt;/f&gt;&lt;/ZZ_JournalFull&gt;&lt;ZZ_WorkformID&gt;34&lt;/ZZ_WorkformID&gt;&lt;/MDL&gt;&lt;/Cite&gt;&lt;/Refman&gt;</w:instrText>
      </w:r>
      <w:r w:rsidR="00E729BA">
        <w:rPr>
          <w:lang w:eastAsia="nl-NL"/>
        </w:rPr>
        <w:fldChar w:fldCharType="separate"/>
      </w:r>
      <w:r w:rsidR="0081424E">
        <w:rPr>
          <w:lang w:eastAsia="nl-NL"/>
        </w:rPr>
        <w:t>(227)</w:t>
      </w:r>
      <w:r w:rsidR="00E729BA">
        <w:rPr>
          <w:lang w:eastAsia="nl-NL"/>
        </w:rPr>
        <w:fldChar w:fldCharType="end"/>
      </w:r>
      <w:r>
        <w:rPr>
          <w:lang w:eastAsia="nl-NL"/>
        </w:rPr>
        <w:t>. The general population mortality rate is reported in column 2 of</w:t>
      </w:r>
      <w:r w:rsidR="00523422">
        <w:rPr>
          <w:lang w:eastAsia="nl-NL"/>
        </w:rPr>
        <w:t xml:space="preserve"> </w:t>
      </w:r>
      <w:r w:rsidR="00E729BA">
        <w:rPr>
          <w:lang w:eastAsia="nl-NL"/>
        </w:rPr>
        <w:fldChar w:fldCharType="begin"/>
      </w:r>
      <w:r w:rsidR="00523422">
        <w:rPr>
          <w:lang w:eastAsia="nl-NL"/>
        </w:rPr>
        <w:instrText xml:space="preserve"> REF _Ref355363094 \h </w:instrText>
      </w:r>
      <w:r w:rsidR="00E729BA">
        <w:rPr>
          <w:lang w:eastAsia="nl-NL"/>
        </w:rPr>
      </w:r>
      <w:r w:rsidR="00E729BA">
        <w:rPr>
          <w:lang w:eastAsia="nl-NL"/>
        </w:rPr>
        <w:fldChar w:fldCharType="separate"/>
      </w:r>
      <w:r w:rsidR="004911B7">
        <w:t xml:space="preserve">Table </w:t>
      </w:r>
      <w:r w:rsidR="004911B7">
        <w:rPr>
          <w:noProof/>
        </w:rPr>
        <w:t>43</w:t>
      </w:r>
      <w:r w:rsidR="00E729BA">
        <w:rPr>
          <w:lang w:eastAsia="nl-NL"/>
        </w:rPr>
        <w:fldChar w:fldCharType="end"/>
      </w:r>
      <w:r>
        <w:rPr>
          <w:lang w:eastAsia="nl-NL"/>
        </w:rPr>
        <w:t>. The general population mortality rate would underestimate the mortality risk for SLE patients with active disease. It is necessary to inflate the general population risk with an SLE risk ratio. For that reason, risk estimates were generated for SLE patients with zero AMS score and no organ damage for all ages using the mortality</w:t>
      </w:r>
      <w:r w:rsidR="001A1797">
        <w:rPr>
          <w:lang w:eastAsia="nl-NL"/>
        </w:rPr>
        <w:t xml:space="preserve"> survival</w:t>
      </w:r>
      <w:r>
        <w:rPr>
          <w:lang w:eastAsia="nl-NL"/>
        </w:rPr>
        <w:t xml:space="preserve"> model (Column 3 of</w:t>
      </w:r>
      <w:r w:rsidR="00523422">
        <w:rPr>
          <w:lang w:eastAsia="nl-NL"/>
        </w:rPr>
        <w:t xml:space="preserve"> </w:t>
      </w:r>
      <w:r w:rsidR="00E729BA">
        <w:rPr>
          <w:lang w:eastAsia="nl-NL"/>
        </w:rPr>
        <w:fldChar w:fldCharType="begin"/>
      </w:r>
      <w:r w:rsidR="00523422">
        <w:rPr>
          <w:lang w:eastAsia="nl-NL"/>
        </w:rPr>
        <w:instrText xml:space="preserve"> REF _Ref355363094 \h </w:instrText>
      </w:r>
      <w:r w:rsidR="00E729BA">
        <w:rPr>
          <w:lang w:eastAsia="nl-NL"/>
        </w:rPr>
      </w:r>
      <w:r w:rsidR="00E729BA">
        <w:rPr>
          <w:lang w:eastAsia="nl-NL"/>
        </w:rPr>
        <w:fldChar w:fldCharType="separate"/>
      </w:r>
      <w:r w:rsidR="004911B7">
        <w:t xml:space="preserve">Table </w:t>
      </w:r>
      <w:r w:rsidR="004911B7">
        <w:rPr>
          <w:noProof/>
        </w:rPr>
        <w:t>43</w:t>
      </w:r>
      <w:r w:rsidR="00E729BA">
        <w:rPr>
          <w:lang w:eastAsia="nl-NL"/>
        </w:rPr>
        <w:fldChar w:fldCharType="end"/>
      </w:r>
      <w:r>
        <w:rPr>
          <w:lang w:eastAsia="nl-NL"/>
        </w:rPr>
        <w:t>). The risk ratio for SLE patients compared with the general population was calculated for all ages (Column 4 of</w:t>
      </w:r>
      <w:r w:rsidR="00523422">
        <w:rPr>
          <w:lang w:eastAsia="nl-NL"/>
        </w:rPr>
        <w:t xml:space="preserve"> </w:t>
      </w:r>
      <w:r w:rsidR="00E729BA">
        <w:rPr>
          <w:lang w:eastAsia="nl-NL"/>
        </w:rPr>
        <w:fldChar w:fldCharType="begin"/>
      </w:r>
      <w:r w:rsidR="00523422">
        <w:rPr>
          <w:lang w:eastAsia="nl-NL"/>
        </w:rPr>
        <w:instrText xml:space="preserve"> REF _Ref355363094 \h </w:instrText>
      </w:r>
      <w:r w:rsidR="00E729BA">
        <w:rPr>
          <w:lang w:eastAsia="nl-NL"/>
        </w:rPr>
      </w:r>
      <w:r w:rsidR="00E729BA">
        <w:rPr>
          <w:lang w:eastAsia="nl-NL"/>
        </w:rPr>
        <w:fldChar w:fldCharType="separate"/>
      </w:r>
      <w:r w:rsidR="004911B7">
        <w:t xml:space="preserve">Table </w:t>
      </w:r>
      <w:r w:rsidR="004911B7">
        <w:rPr>
          <w:noProof/>
        </w:rPr>
        <w:t>43</w:t>
      </w:r>
      <w:r w:rsidR="00E729BA">
        <w:rPr>
          <w:lang w:eastAsia="nl-NL"/>
        </w:rPr>
        <w:fldChar w:fldCharType="end"/>
      </w:r>
      <w:r>
        <w:rPr>
          <w:lang w:eastAsia="nl-NL"/>
        </w:rPr>
        <w:t>). The analysis showed that the predicted mortality risk for an SLE patient with no disease symptoms is higher than the general population up to the age of 62. For ages greater than 62 the general population has a higher risk, so an adjustment is made to ensure that the simulated mortality risk increases in line with the general population in old age (Column 5 of</w:t>
      </w:r>
      <w:r w:rsidR="00523422">
        <w:rPr>
          <w:lang w:eastAsia="nl-NL"/>
        </w:rPr>
        <w:t xml:space="preserve"> </w:t>
      </w:r>
      <w:r w:rsidR="00E729BA">
        <w:rPr>
          <w:lang w:eastAsia="nl-NL"/>
        </w:rPr>
        <w:fldChar w:fldCharType="begin"/>
      </w:r>
      <w:r w:rsidR="00523422">
        <w:rPr>
          <w:lang w:eastAsia="nl-NL"/>
        </w:rPr>
        <w:instrText xml:space="preserve"> REF _Ref355363094 \h </w:instrText>
      </w:r>
      <w:r w:rsidR="00E729BA">
        <w:rPr>
          <w:lang w:eastAsia="nl-NL"/>
        </w:rPr>
      </w:r>
      <w:r w:rsidR="00E729BA">
        <w:rPr>
          <w:lang w:eastAsia="nl-NL"/>
        </w:rPr>
        <w:fldChar w:fldCharType="separate"/>
      </w:r>
      <w:r w:rsidR="004911B7">
        <w:t xml:space="preserve">Table </w:t>
      </w:r>
      <w:r w:rsidR="004911B7">
        <w:rPr>
          <w:noProof/>
        </w:rPr>
        <w:t>43</w:t>
      </w:r>
      <w:r w:rsidR="00E729BA">
        <w:rPr>
          <w:lang w:eastAsia="nl-NL"/>
        </w:rPr>
        <w:fldChar w:fldCharType="end"/>
      </w:r>
      <w:r>
        <w:rPr>
          <w:lang w:eastAsia="nl-NL"/>
        </w:rPr>
        <w:t>). The risk adjusted mortality rate for SLE patients and the subsequent probability are reported in Columns 6 and 7.</w:t>
      </w:r>
      <w:r w:rsidRPr="00BE1B16">
        <w:t xml:space="preserve"> </w:t>
      </w:r>
      <w:r>
        <w:t xml:space="preserve">The risk ratio </w:t>
      </w:r>
      <w:r w:rsidR="00584E81">
        <w:t xml:space="preserve">was </w:t>
      </w:r>
      <w:r>
        <w:t>not subject to PSA.</w:t>
      </w:r>
      <w:bookmarkStart w:id="508" w:name="_Ref334448552"/>
    </w:p>
    <w:p w:rsidR="00A9011A" w:rsidRDefault="00A9011A" w:rsidP="00234693">
      <w:pPr>
        <w:pStyle w:val="Caption"/>
      </w:pPr>
      <w:bookmarkStart w:id="509" w:name="_Ref355363094"/>
      <w:r>
        <w:t xml:space="preserve">Table </w:t>
      </w:r>
      <w:fldSimple w:instr=" SEQ Table \* ARABIC ">
        <w:r w:rsidR="004911B7">
          <w:rPr>
            <w:noProof/>
          </w:rPr>
          <w:t>43</w:t>
        </w:r>
      </w:fldSimple>
      <w:bookmarkEnd w:id="508"/>
      <w:bookmarkEnd w:id="509"/>
      <w:r>
        <w:t>: Mortality adjustment for older SLE patients</w:t>
      </w:r>
    </w:p>
    <w:tbl>
      <w:tblPr>
        <w:tblStyle w:val="TableGrid"/>
        <w:tblW w:w="8613"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tblPr>
      <w:tblGrid>
        <w:gridCol w:w="675"/>
        <w:gridCol w:w="1323"/>
        <w:gridCol w:w="1323"/>
        <w:gridCol w:w="1323"/>
        <w:gridCol w:w="1323"/>
        <w:gridCol w:w="1323"/>
        <w:gridCol w:w="1323"/>
      </w:tblGrid>
      <w:tr w:rsidR="00A9011A" w:rsidRPr="007A0EE7" w:rsidTr="00073A10">
        <w:tc>
          <w:tcPr>
            <w:tcW w:w="675" w:type="dxa"/>
            <w:tcBorders>
              <w:top w:val="single" w:sz="12"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1</w:t>
            </w:r>
          </w:p>
        </w:tc>
        <w:tc>
          <w:tcPr>
            <w:tcW w:w="1323" w:type="dxa"/>
            <w:tcBorders>
              <w:top w:val="single" w:sz="12"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2</w:t>
            </w:r>
          </w:p>
        </w:tc>
        <w:tc>
          <w:tcPr>
            <w:tcW w:w="1323" w:type="dxa"/>
            <w:tcBorders>
              <w:top w:val="single" w:sz="12" w:space="0" w:color="auto"/>
              <w:bottom w:val="single" w:sz="4" w:space="0" w:color="auto"/>
            </w:tcBorders>
          </w:tcPr>
          <w:p w:rsidR="00A9011A" w:rsidRDefault="00A9011A" w:rsidP="00AD3583">
            <w:pPr>
              <w:spacing w:after="0" w:afterAutospacing="0" w:line="276" w:lineRule="auto"/>
              <w:jc w:val="center"/>
              <w:rPr>
                <w:sz w:val="20"/>
                <w:lang w:eastAsia="nl-NL"/>
              </w:rPr>
            </w:pPr>
            <w:r>
              <w:rPr>
                <w:sz w:val="20"/>
                <w:lang w:eastAsia="nl-NL"/>
              </w:rPr>
              <w:t>3</w:t>
            </w:r>
          </w:p>
        </w:tc>
        <w:tc>
          <w:tcPr>
            <w:tcW w:w="1323" w:type="dxa"/>
            <w:tcBorders>
              <w:top w:val="single" w:sz="12"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4</w:t>
            </w:r>
          </w:p>
        </w:tc>
        <w:tc>
          <w:tcPr>
            <w:tcW w:w="1323" w:type="dxa"/>
            <w:tcBorders>
              <w:top w:val="single" w:sz="12" w:space="0" w:color="auto"/>
              <w:bottom w:val="single" w:sz="4" w:space="0" w:color="auto"/>
            </w:tcBorders>
          </w:tcPr>
          <w:p w:rsidR="00A9011A" w:rsidRDefault="00A9011A" w:rsidP="00AD3583">
            <w:pPr>
              <w:spacing w:after="0" w:afterAutospacing="0" w:line="276" w:lineRule="auto"/>
              <w:jc w:val="center"/>
              <w:rPr>
                <w:sz w:val="20"/>
                <w:lang w:eastAsia="nl-NL"/>
              </w:rPr>
            </w:pPr>
            <w:r>
              <w:rPr>
                <w:sz w:val="20"/>
                <w:lang w:eastAsia="nl-NL"/>
              </w:rPr>
              <w:t>5</w:t>
            </w:r>
          </w:p>
        </w:tc>
        <w:tc>
          <w:tcPr>
            <w:tcW w:w="1323" w:type="dxa"/>
            <w:tcBorders>
              <w:top w:val="single" w:sz="12"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6</w:t>
            </w:r>
          </w:p>
        </w:tc>
        <w:tc>
          <w:tcPr>
            <w:tcW w:w="1323" w:type="dxa"/>
            <w:tcBorders>
              <w:top w:val="single" w:sz="12"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7</w:t>
            </w:r>
          </w:p>
        </w:tc>
      </w:tr>
      <w:tr w:rsidR="00A9011A" w:rsidRPr="007A0EE7" w:rsidTr="00073A10">
        <w:tc>
          <w:tcPr>
            <w:tcW w:w="675"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sidRPr="007A0EE7">
              <w:rPr>
                <w:sz w:val="20"/>
                <w:lang w:eastAsia="nl-NL"/>
              </w:rPr>
              <w:t>Age</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sidRPr="007A0EE7">
              <w:rPr>
                <w:sz w:val="20"/>
                <w:lang w:eastAsia="nl-NL"/>
              </w:rPr>
              <w:t>General population mortality risk</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Estimated remission mortality rate</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sidRPr="007A0EE7">
              <w:rPr>
                <w:sz w:val="20"/>
                <w:lang w:eastAsia="nl-NL"/>
              </w:rPr>
              <w:t>Risk ratio</w:t>
            </w:r>
            <w:r>
              <w:rPr>
                <w:sz w:val="20"/>
                <w:lang w:eastAsia="nl-NL"/>
              </w:rPr>
              <w:t xml:space="preserve"> estimate</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Pr>
                <w:sz w:val="20"/>
                <w:lang w:eastAsia="nl-NL"/>
              </w:rPr>
              <w:t>Risk ratio applied</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sidRPr="007A0EE7">
              <w:rPr>
                <w:sz w:val="20"/>
                <w:lang w:eastAsia="nl-NL"/>
              </w:rPr>
              <w:t>Risk adjusted mortality</w:t>
            </w:r>
          </w:p>
        </w:tc>
        <w:tc>
          <w:tcPr>
            <w:tcW w:w="1323" w:type="dxa"/>
            <w:tcBorders>
              <w:top w:val="single" w:sz="8" w:space="0" w:color="auto"/>
              <w:bottom w:val="single" w:sz="4" w:space="0" w:color="auto"/>
            </w:tcBorders>
          </w:tcPr>
          <w:p w:rsidR="00A9011A" w:rsidRPr="007A0EE7" w:rsidRDefault="00A9011A" w:rsidP="00AD3583">
            <w:pPr>
              <w:spacing w:after="0" w:afterAutospacing="0" w:line="276" w:lineRule="auto"/>
              <w:jc w:val="center"/>
              <w:rPr>
                <w:sz w:val="20"/>
                <w:lang w:eastAsia="nl-NL"/>
              </w:rPr>
            </w:pPr>
            <w:r w:rsidRPr="007A0EE7">
              <w:rPr>
                <w:sz w:val="20"/>
                <w:lang w:eastAsia="nl-NL"/>
              </w:rPr>
              <w:t>Annual probability</w:t>
            </w:r>
          </w:p>
        </w:tc>
      </w:tr>
      <w:tr w:rsidR="00A9011A" w:rsidRPr="007A0EE7" w:rsidTr="00073A10">
        <w:tc>
          <w:tcPr>
            <w:tcW w:w="675"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50</w:t>
            </w:r>
          </w:p>
        </w:tc>
        <w:tc>
          <w:tcPr>
            <w:tcW w:w="1323"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0.0026</w:t>
            </w:r>
            <w:r>
              <w:rPr>
                <w:color w:val="000000"/>
                <w:sz w:val="20"/>
              </w:rPr>
              <w:t>0</w:t>
            </w:r>
          </w:p>
        </w:tc>
        <w:tc>
          <w:tcPr>
            <w:tcW w:w="1323"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0.00527</w:t>
            </w:r>
          </w:p>
        </w:tc>
        <w:tc>
          <w:tcPr>
            <w:tcW w:w="1323"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0.49476</w:t>
            </w:r>
          </w:p>
        </w:tc>
        <w:tc>
          <w:tcPr>
            <w:tcW w:w="1323"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Pr>
                <w:color w:val="000000"/>
                <w:sz w:val="20"/>
              </w:rPr>
              <w:t>1.00000</w:t>
            </w:r>
          </w:p>
        </w:tc>
        <w:tc>
          <w:tcPr>
            <w:tcW w:w="1323" w:type="dxa"/>
            <w:tcBorders>
              <w:top w:val="single" w:sz="4"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0.00527</w:t>
            </w:r>
          </w:p>
        </w:tc>
        <w:tc>
          <w:tcPr>
            <w:tcW w:w="1323" w:type="dxa"/>
            <w:tcBorders>
              <w:top w:val="single" w:sz="4" w:space="0" w:color="auto"/>
            </w:tcBorders>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.00527</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0.00285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0.00546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0.52312</w:t>
            </w:r>
          </w:p>
        </w:tc>
        <w:tc>
          <w:tcPr>
            <w:tcW w:w="1323" w:type="dxa"/>
            <w:vAlign w:val="bottom"/>
          </w:tcPr>
          <w:p w:rsidR="00A9011A" w:rsidRPr="007A0EE7" w:rsidRDefault="00A9011A" w:rsidP="00AD3583">
            <w:pPr>
              <w:spacing w:after="0" w:afterAutospacing="0" w:line="276" w:lineRule="auto"/>
              <w:jc w:val="right"/>
              <w:rPr>
                <w:color w:val="000000"/>
                <w:sz w:val="20"/>
              </w:rPr>
            </w:pPr>
            <w:r>
              <w:rPr>
                <w:color w:val="000000"/>
                <w:sz w:val="20"/>
              </w:rPr>
              <w:t>1.00000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0.00546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.00546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0.00311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0.00565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0.55254</w:t>
            </w:r>
          </w:p>
        </w:tc>
        <w:tc>
          <w:tcPr>
            <w:tcW w:w="1323" w:type="dxa"/>
            <w:vAlign w:val="bottom"/>
          </w:tcPr>
          <w:p w:rsidR="00A9011A" w:rsidRPr="007A0EE7" w:rsidRDefault="00A9011A" w:rsidP="00AD3583">
            <w:pPr>
              <w:spacing w:after="0" w:afterAutospacing="0" w:line="276" w:lineRule="auto"/>
              <w:jc w:val="right"/>
              <w:rPr>
                <w:color w:val="000000"/>
                <w:sz w:val="20"/>
              </w:rPr>
            </w:pPr>
            <w:r>
              <w:rPr>
                <w:color w:val="000000"/>
                <w:sz w:val="20"/>
              </w:rPr>
              <w:t>1.00000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0.00565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.00565</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0.0034</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0.00585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0.58357</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0.00585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.00585</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0.00372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0.00605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0.61681</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0.00605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.00605</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0.00407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0.00625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0.65237</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0.00625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.00625</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0.00445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0.00646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0.69071</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0.00646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.00646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0.00487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0.00667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0.73304</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0.00667</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.00667</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0.00535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0.00688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0.77973</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0.00688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.00688</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59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0.00587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0.00710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0.83039</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0.00710</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.00710</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0.00645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0.00731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0.88522</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0.00731</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.00731</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0.00709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0.00754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0.94458</w:t>
            </w:r>
          </w:p>
        </w:tc>
        <w:tc>
          <w:tcPr>
            <w:tcW w:w="1323" w:type="dxa"/>
          </w:tcPr>
          <w:p w:rsidR="00A9011A" w:rsidRPr="00405FE1" w:rsidRDefault="00A9011A" w:rsidP="00AD3583">
            <w:pPr>
              <w:spacing w:after="0" w:afterAutospacing="0" w:line="276" w:lineRule="auto"/>
              <w:jc w:val="right"/>
              <w:rPr>
                <w:color w:val="000000"/>
                <w:sz w:val="20"/>
              </w:rPr>
            </w:pPr>
            <w:r w:rsidRPr="00850F41">
              <w:rPr>
                <w:color w:val="000000"/>
                <w:sz w:val="20"/>
              </w:rPr>
              <w:t>1.0000</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0.00754</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.00754</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0.0078</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0.00776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1.00885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1.00885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.00783</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.00780</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0.00858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0.00799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1.07846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1.07846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.00861</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.00858</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0.00945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0.00822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1.15451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1.15451</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.00949</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.00944</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0.01042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0.00845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1.23827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1.23827</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.01046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.01041</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0.01151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0.00868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1.33125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1.33125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.01156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.01149</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0.01275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0.00892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1.43582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1.43582</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.01281</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.01273</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0.01418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0.00916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1.55407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1.55407</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.01424</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.01414</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69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0.01581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0.00941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1.68789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1.68789</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.01588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.01576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0.01768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0.00966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1.83963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1.83963</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.01776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.01761</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0.01983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0.00991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2.01188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2.01188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.01993</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.01973</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0.0223</w:t>
            </w:r>
            <w:r>
              <w:rPr>
                <w:color w:val="000000"/>
                <w:sz w:val="20"/>
              </w:rPr>
              <w:t>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0.01016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2.20660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2.20660</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.02242</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.02217</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0.02507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0.01041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2.41977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2.41977</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.02520</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.02489</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0.02809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0.01067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2.64627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2.64627</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.02824</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.02785</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75</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0.03138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0.01093</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2.88568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2.88568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.03155</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.03106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0.03494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0.01120</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3.13788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3.13788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.03514</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.03453</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0.03879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0.01147</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3.40206</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3.40206</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.03901</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.03826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78</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0.04292</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0.01174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3.67899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3.67899</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.04318</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.04226</w:t>
            </w:r>
          </w:p>
        </w:tc>
      </w:tr>
      <w:tr w:rsidR="00A9011A" w:rsidRPr="007A0EE7" w:rsidTr="00073A10">
        <w:tc>
          <w:tcPr>
            <w:tcW w:w="675"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79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0.04754</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0.01201</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3.98299</w:t>
            </w:r>
          </w:p>
        </w:tc>
        <w:tc>
          <w:tcPr>
            <w:tcW w:w="1323" w:type="dxa"/>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3.98299</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.04783</w:t>
            </w:r>
          </w:p>
        </w:tc>
        <w:tc>
          <w:tcPr>
            <w:tcW w:w="1323" w:type="dxa"/>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.04670</w:t>
            </w:r>
          </w:p>
        </w:tc>
      </w:tr>
      <w:tr w:rsidR="00A9011A" w:rsidRPr="007A0EE7" w:rsidTr="00073A10">
        <w:tc>
          <w:tcPr>
            <w:tcW w:w="675" w:type="dxa"/>
            <w:tcBorders>
              <w:bottom w:val="single" w:sz="12"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80</w:t>
            </w:r>
          </w:p>
        </w:tc>
        <w:tc>
          <w:tcPr>
            <w:tcW w:w="1323" w:type="dxa"/>
            <w:tcBorders>
              <w:bottom w:val="single" w:sz="12"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0.05287</w:t>
            </w:r>
          </w:p>
        </w:tc>
        <w:tc>
          <w:tcPr>
            <w:tcW w:w="1323" w:type="dxa"/>
            <w:tcBorders>
              <w:bottom w:val="single" w:sz="12"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0.01228</w:t>
            </w:r>
          </w:p>
        </w:tc>
        <w:tc>
          <w:tcPr>
            <w:tcW w:w="1323" w:type="dxa"/>
            <w:tcBorders>
              <w:bottom w:val="single" w:sz="12"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4.33026</w:t>
            </w:r>
          </w:p>
        </w:tc>
        <w:tc>
          <w:tcPr>
            <w:tcW w:w="1323" w:type="dxa"/>
            <w:tcBorders>
              <w:bottom w:val="single" w:sz="12" w:space="0" w:color="auto"/>
            </w:tcBorders>
            <w:vAlign w:val="bottom"/>
          </w:tcPr>
          <w:p w:rsidR="00A9011A" w:rsidRPr="007A0EE7" w:rsidRDefault="00A9011A" w:rsidP="00AD3583">
            <w:pPr>
              <w:spacing w:after="0" w:afterAutospacing="0" w:line="276" w:lineRule="auto"/>
              <w:jc w:val="right"/>
              <w:rPr>
                <w:color w:val="000000"/>
                <w:sz w:val="20"/>
              </w:rPr>
            </w:pPr>
            <w:r w:rsidRPr="007A0EE7">
              <w:rPr>
                <w:color w:val="000000"/>
                <w:sz w:val="20"/>
              </w:rPr>
              <w:t>4.33026</w:t>
            </w:r>
          </w:p>
        </w:tc>
        <w:tc>
          <w:tcPr>
            <w:tcW w:w="1323" w:type="dxa"/>
            <w:tcBorders>
              <w:bottom w:val="single" w:sz="12" w:space="0" w:color="auto"/>
            </w:tcBorders>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.05319</w:t>
            </w:r>
          </w:p>
        </w:tc>
        <w:tc>
          <w:tcPr>
            <w:tcW w:w="1323" w:type="dxa"/>
            <w:tcBorders>
              <w:bottom w:val="single" w:sz="12" w:space="0" w:color="auto"/>
            </w:tcBorders>
            <w:vAlign w:val="bottom"/>
          </w:tcPr>
          <w:p w:rsidR="00A9011A" w:rsidRPr="00405FE1" w:rsidRDefault="00A9011A" w:rsidP="00AD3583">
            <w:pPr>
              <w:spacing w:after="0" w:afterAutospacing="0" w:line="276" w:lineRule="auto"/>
              <w:jc w:val="right"/>
              <w:rPr>
                <w:color w:val="000000"/>
                <w:sz w:val="20"/>
              </w:rPr>
            </w:pPr>
            <w:r>
              <w:rPr>
                <w:color w:val="000000"/>
                <w:sz w:val="20"/>
              </w:rPr>
              <w:t>0</w:t>
            </w:r>
            <w:r w:rsidRPr="00405FE1">
              <w:rPr>
                <w:color w:val="000000"/>
                <w:sz w:val="20"/>
              </w:rPr>
              <w:t>.05180</w:t>
            </w:r>
          </w:p>
        </w:tc>
      </w:tr>
    </w:tbl>
    <w:p w:rsidR="00A9011A" w:rsidRDefault="00A9011A" w:rsidP="00A9011A">
      <w:pPr>
        <w:rPr>
          <w:lang w:eastAsia="nl-NL"/>
        </w:rPr>
      </w:pPr>
    </w:p>
    <w:bookmarkEnd w:id="460"/>
    <w:bookmarkEnd w:id="461"/>
    <w:bookmarkEnd w:id="462"/>
    <w:bookmarkEnd w:id="463"/>
    <w:bookmarkEnd w:id="464"/>
    <w:bookmarkEnd w:id="465"/>
    <w:p w:rsidR="00A9011A" w:rsidRPr="00AE66B3" w:rsidRDefault="002D4392" w:rsidP="00A9011A">
      <w:pPr>
        <w:pStyle w:val="Heading4"/>
      </w:pPr>
      <w:r>
        <w:t xml:space="preserve">Health Related QUality of LIfe </w:t>
      </w:r>
    </w:p>
    <w:p w:rsidR="00A9011A" w:rsidRDefault="00A9011A" w:rsidP="00A9011A">
      <w:r>
        <w:rPr>
          <w:lang w:eastAsia="nl-NL"/>
        </w:rPr>
        <w:t>A literature review of quality of life studies in SLE was conducted to identify appropriate utility values for the health states of the CE model. The full detail of the utility literature search is described in the Appendix</w:t>
      </w:r>
      <w:r w:rsidR="007F49FE">
        <w:rPr>
          <w:lang w:eastAsia="nl-NL"/>
        </w:rPr>
        <w:t xml:space="preserve"> 17</w:t>
      </w:r>
      <w:r>
        <w:rPr>
          <w:lang w:eastAsia="nl-NL"/>
        </w:rPr>
        <w:t>. A</w:t>
      </w:r>
      <w:r>
        <w:t xml:space="preserve">n initial review using the exclusion criteria found only six articles that were related to health utilities </w:t>
      </w:r>
      <w:r w:rsidR="00E729BA">
        <w:fldChar w:fldCharType="begin"/>
      </w:r>
      <w:r w:rsidR="00FC61FD">
        <w:instrText xml:space="preserve"> ADDIN REFMGR.CITE &lt;Refman&gt;&lt;Cite&gt;&lt;Author&gt;Aggarwal&lt;/Author&gt;&lt;Year&gt;2009&lt;/Year&gt;&lt;RecNum&gt;26&lt;/RecNum&gt;&lt;IDText&gt;Psychometric properties of the EuroQol-5D and Short Form-6D in patients with systemic lupus erythematosus&lt;/IDText&gt;&lt;MDL Ref_Type="Journal"&gt;&lt;Ref_Type&gt;Journal&lt;/Ref_Type&gt;&lt;Ref_ID&gt;26&lt;/Ref_ID&gt;&lt;Title_Primary&gt;Psychometric properties of the EuroQol-5D and Short Form-6D in patients with systemic lupus erythematosus&lt;/Title_Primary&gt;&lt;Authors_Primary&gt;Aggarwal,R.&lt;/Authors_Primary&gt;&lt;Authors_Primary&gt;Wilke,C.T.&lt;/Authors_Primary&gt;&lt;Authors_Primary&gt;Pickard,A.S.&lt;/Authors_Primary&gt;&lt;Authors_Primary&gt;Vats,V.&lt;/Authors_Primary&gt;&lt;Authors_Primary&gt;Mikolaitis,R.&lt;/Authors_Primary&gt;&lt;Authors_Primary&gt;Fogg,L.&lt;/Authors_Primary&gt;&lt;Authors_Primary&gt;Block,J.A.&lt;/Authors_Primary&gt;&lt;Authors_Primary&gt;Jolly,M.&lt;/Authors_Primary&gt;&lt;Date_Primary&gt;2009/6&lt;/Date_Primary&gt;&lt;Keywords&gt;Adult&lt;/Keywords&gt;&lt;Keywords&gt;diagnosis&lt;/Keywords&gt;&lt;Keywords&gt;Female&lt;/Keywords&gt;&lt;Keywords&gt;Humans&lt;/Keywords&gt;&lt;Keywords&gt;Lupus Erythematosus,Systemic&lt;/Keywords&gt;&lt;Keywords&gt;Male&lt;/Keywords&gt;&lt;Keywords&gt;methods&lt;/Keywords&gt;&lt;Keywords&gt;physiopathology&lt;/Keywords&gt;&lt;Keywords&gt;psychology&lt;/Keywords&gt;&lt;Keywords&gt;Psychometrics&lt;/Keywords&gt;&lt;Keywords&gt;Quality of Life&lt;/Keywords&gt;&lt;Keywords&gt;Questionnaires&lt;/Keywords&gt;&lt;Keywords&gt;Reproducibility of Results&lt;/Keywords&gt;&lt;Keywords&gt;Rheumatology&lt;/Keywords&gt;&lt;Keywords&gt;Self-Examination&lt;/Keywords&gt;&lt;Keywords&gt;Severity of Illness Index&lt;/Keywords&gt;&lt;Keywords&gt;United States&lt;/Keywords&gt;&lt;Reprint&gt;Not in File&lt;/Reprint&gt;&lt;Start_Page&gt;1209&lt;/Start_Page&gt;&lt;End_Page&gt;1216&lt;/End_Page&gt;&lt;Periodical&gt;J.Rheumatol.&lt;/Periodical&gt;&lt;Volume&gt;36&lt;/Volume&gt;&lt;Issue&gt;6&lt;/Issue&gt;&lt;ZZ_JournalStdAbbrev&gt;&lt;f name="System"&gt;J.Rheumatol.&lt;/f&gt;&lt;/ZZ_JournalStdAbbrev&gt;&lt;ZZ_WorkformID&gt;1&lt;/ZZ_WorkformID&gt;&lt;/MDL&gt;&lt;/Cite&gt;&lt;Cite&gt;&lt;Author&gt;Ariza-Ariza&lt;/Author&gt;&lt;Year&gt;2005&lt;/Year&gt;&lt;RecNum&gt;23&lt;/RecNum&gt;&lt;IDText&gt;EuroQol is a useful instrument for assessing the health-related quality of life of the patients with systemic lupus erythematosus&lt;/IDText&gt;&lt;MDL Ref_Type="Journal"&gt;&lt;Ref_Type&gt;Journal&lt;/Ref_Type&gt;&lt;Ref_ID&gt;23&lt;/Ref_ID&gt;&lt;Title_Primary&gt;EuroQol is a useful instrument for assessing the health-related quality of life of the patients with systemic lupus erythematosus&lt;/Title_Primary&gt;&lt;Authors_Primary&gt;Ariza-Ariza,R.&lt;/Authors_Primary&gt;&lt;Authors_Primary&gt;Hernandez-Cruz,B.&lt;/Authors_Primary&gt;&lt;Authors_Primary&gt;Navarro-Sarabia,F.&lt;/Authors_Primary&gt;&lt;Date_Primary&gt;2005&lt;/Date_Primary&gt;&lt;Keywords&gt;Adult&lt;/Keywords&gt;&lt;Keywords&gt;Female&lt;/Keywords&gt;&lt;Keywords&gt;Health Status&lt;/Keywords&gt;&lt;Keywords&gt;Humans&lt;/Keywords&gt;&lt;Keywords&gt;Lupus Erythematosus,Systemic&lt;/Keywords&gt;&lt;Keywords&gt;Male&lt;/Keywords&gt;&lt;Keywords&gt;Middle Aged&lt;/Keywords&gt;&lt;Keywords&gt;physiopathology&lt;/Keywords&gt;&lt;Keywords&gt;psychology&lt;/Keywords&gt;&lt;Keywords&gt;Quality of Life&lt;/Keywords&gt;&lt;Keywords&gt;Questionnaires&lt;/Keywords&gt;&lt;Keywords&gt;Spain&lt;/Keywords&gt;&lt;Reprint&gt;Not in File&lt;/Reprint&gt;&lt;Start_Page&gt;334&lt;/Start_Page&gt;&lt;End_Page&gt;335&lt;/End_Page&gt;&lt;Periodical&gt;Lupus.&lt;/Periodical&gt;&lt;Volume&gt;14&lt;/Volume&gt;&lt;Issue&gt;4&lt;/Issue&gt;&lt;ZZ_JournalStdAbbrev&gt;&lt;f name="System"&gt;Lupus.&lt;/f&gt;&lt;/ZZ_JournalStdAbbrev&gt;&lt;ZZ_WorkformID&gt;1&lt;/ZZ_WorkformID&gt;&lt;/MDL&gt;&lt;/Cite&gt;&lt;Cite&gt;&lt;Author&gt;Fernandez&lt;/Author&gt;&lt;Year&gt;2007&lt;/Year&gt;&lt;RecNum&gt;24&lt;/RecNum&gt;&lt;IDText&gt;Using the Short Form 6D, as an overall measure of health, to predict damage accrual and mortality in patients with systemic lupus erythematosus: XLVII, results from a multiethnic US cohort&lt;/IDText&gt;&lt;MDL Ref_Type="Journal"&gt;&lt;Ref_Type&gt;Journal&lt;/Ref_Type&gt;&lt;Ref_ID&gt;24&lt;/Ref_ID&gt;&lt;Title_Primary&gt;Using the Short Form 6D, as an overall measure of health, to predict damage accrual and mortality in patients with systemic lupus erythematosus: XLVII, results from a multiethnic US cohort&lt;/Title_Primary&gt;&lt;Authors_Primary&gt;Fernandez,M.&lt;/Authors_Primary&gt;&lt;Authors_Primary&gt;Alarcon,G.S.&lt;/Authors_Primary&gt;&lt;Authors_Primary&gt;McGwin,G.,Jr.&lt;/Authors_Primary&gt;&lt;Authors_Primary&gt;Sanchez,M.L.&lt;/Authors_Primary&gt;&lt;Authors_Primary&gt;Apte,M.&lt;/Authors_Primary&gt;&lt;Authors_Primary&gt;Vila,L.M.&lt;/Authors_Primary&gt;&lt;Authors_Primary&gt;Reveille,J.D.&lt;/Authors_Primary&gt;&lt;Date_Primary&gt;2007/8/15&lt;/Date_Primary&gt;&lt;Keywords&gt;Adult&lt;/Keywords&gt;&lt;Keywords&gt;African Americans&lt;/Keywords&gt;&lt;Keywords&gt;Cohort Studies&lt;/Keywords&gt;&lt;Keywords&gt;Disease Progression&lt;/Keywords&gt;&lt;Keywords&gt;epidemiology&lt;/Keywords&gt;&lt;Keywords&gt;ethnology&lt;/Keywords&gt;&lt;Keywords&gt;European Continental Ancestry Group&lt;/Keywords&gt;&lt;Keywords&gt;Female&lt;/Keywords&gt;&lt;Keywords&gt;Health Status&lt;/Keywords&gt;&lt;Keywords&gt;Health Status Indicators&lt;/Keywords&gt;&lt;Keywords&gt;Hispanic Americans&lt;/Keywords&gt;&lt;Keywords&gt;Humans&lt;/Keywords&gt;&lt;Keywords&gt;Longitudinal Studies&lt;/Keywords&gt;&lt;Keywords&gt;Lupus Erythematosus,Systemic&lt;/Keywords&gt;&lt;Keywords&gt;Male&lt;/Keywords&gt;&lt;Keywords&gt;methods&lt;/Keywords&gt;&lt;Keywords&gt;Middle Aged&lt;/Keywords&gt;&lt;Keywords&gt;mortality&lt;/Keywords&gt;&lt;Keywords&gt;Multivariate Analysis&lt;/Keywords&gt;&lt;Keywords&gt;physiopathology&lt;/Keywords&gt;&lt;Keywords&gt;Predictive Value of Tests&lt;/Keywords&gt;&lt;Keywords&gt;Quality of Life&lt;/Keywords&gt;&lt;Keywords&gt;Rheumatology&lt;/Keywords&gt;&lt;Keywords&gt;United States&lt;/Keywords&gt;&lt;Reprint&gt;Not in File&lt;/Reprint&gt;&lt;Start_Page&gt;986&lt;/Start_Page&gt;&lt;End_Page&gt;992&lt;/End_Page&gt;&lt;Periodical&gt;Arthritis Rheum.&lt;/Periodical&gt;&lt;Volume&gt;57&lt;/Volume&gt;&lt;Issue&gt;6&lt;/Issue&gt;&lt;ZZ_JournalStdAbbrev&gt;&lt;f name="System"&gt;Arthritis Rheum.&lt;/f&gt;&lt;/ZZ_JournalStdAbbrev&gt;&lt;ZZ_WorkformID&gt;1&lt;/ZZ_WorkformID&gt;&lt;/MDL&gt;&lt;/Cite&gt;&lt;Cite&gt;&lt;Author&gt;Sanchez&lt;/Author&gt;&lt;Year&gt;2009&lt;/Year&gt;&lt;RecNum&gt;25&lt;/RecNum&gt;&lt;IDText&gt;Factors predictive of overall health over the course of the disease in patients with systemic lupus erythematosus from the LUMINA cohort (LXII): use of the SF-6D&lt;/IDText&gt;&lt;MDL Ref_Type="Journal"&gt;&lt;Ref_Type&gt;Journal&lt;/Ref_Type&gt;&lt;Ref_ID&gt;25&lt;/Ref_ID&gt;&lt;Title_Primary&gt;Factors predictive of overall health over the course of the disease in patients with systemic lupus erythematosus from the LUMINA cohort (LXII): use of the SF-6D&lt;/Title_Primary&gt;&lt;Authors_Primary&gt;Sanchez,M.L.&lt;/Authors_Primary&gt;&lt;Authors_Primary&gt;McGwin,G.,Jr.&lt;/Authors_Primary&gt;&lt;Authors_Primary&gt;Duran,S.&lt;/Authors_Primary&gt;&lt;Authors_Primary&gt;Fernandez,M.&lt;/Authors_Primary&gt;&lt;Authors_Primary&gt;Reveille,J.D.&lt;/Authors_Primary&gt;&lt;Authors_Primary&gt;Vila,L.M.&lt;/Authors_Primary&gt;&lt;Authors_Primary&gt;Alarcon,G.S.&lt;/Authors_Primary&gt;&lt;Date_Primary&gt;2009/1&lt;/Date_Primary&gt;&lt;Keywords&gt;Adult&lt;/Keywords&gt;&lt;Keywords&gt;African Americans&lt;/Keywords&gt;&lt;Keywords&gt;Age Factors&lt;/Keywords&gt;&lt;Keywords&gt;Disease Progression&lt;/Keywords&gt;&lt;Keywords&gt;ethnology&lt;/Keywords&gt;&lt;Keywords&gt;European Continental Ancestry Group&lt;/Keywords&gt;&lt;Keywords&gt;Female&lt;/Keywords&gt;&lt;Keywords&gt;Humans&lt;/Keywords&gt;&lt;Keywords&gt;Illness Behavior&lt;/Keywords&gt;&lt;Keywords&gt;Lupus Erythematosus,Systemic&lt;/Keywords&gt;&lt;Keywords&gt;Male&lt;/Keywords&gt;&lt;Keywords&gt;methods&lt;/Keywords&gt;&lt;Keywords&gt;Mexican Americans&lt;/Keywords&gt;&lt;Keywords&gt;Middle Aged&lt;/Keywords&gt;&lt;Keywords&gt;Prospective Studies&lt;/Keywords&gt;&lt;Keywords&gt;psychology&lt;/Keywords&gt;&lt;Keywords&gt;Quality of Life&lt;/Keywords&gt;&lt;Keywords&gt;Severity of Illness Index&lt;/Keywords&gt;&lt;Keywords&gt;Socioeconomic Factors&lt;/Keywords&gt;&lt;Keywords&gt;Young Adult&lt;/Keywords&gt;&lt;Reprint&gt;Not in File&lt;/Reprint&gt;&lt;Start_Page&gt;67&lt;/Start_Page&gt;&lt;End_Page&gt;71&lt;/End_Page&gt;&lt;Periodical&gt;Clin.Exp.Rheumatol.&lt;/Periodical&gt;&lt;Volume&gt;27&lt;/Volume&gt;&lt;Issue&gt;1&lt;/Issue&gt;&lt;ZZ_JournalStdAbbrev&gt;&lt;f name="System"&gt;Clin.Exp.Rheumatol.&lt;/f&gt;&lt;/ZZ_JournalStdAbbrev&gt;&lt;ZZ_WorkformID&gt;1&lt;/ZZ_WorkformID&gt;&lt;/MDL&gt;&lt;/Cite&gt;&lt;Cite&gt;&lt;Author&gt;Wang&lt;/Author&gt;&lt;Year&gt;2001&lt;/Year&gt;&lt;RecNum&gt;22&lt;/RecNum&gt;&lt;IDText&gt;The relationship between health related quality of life and disease activity and damage in systemic lupus erythematosus&lt;/IDText&gt;&lt;MDL Ref_Type="Journal"&gt;&lt;Ref_Type&gt;Journal&lt;/Ref_Type&gt;&lt;Ref_ID&gt;22&lt;/Ref_ID&gt;&lt;Title_Primary&gt;The relationship between health related quality of life and disease activity and damage in systemic lupus erythematosus&lt;/Title_Primary&gt;&lt;Authors_Primary&gt;Wang,C.&lt;/Authors_Primary&gt;&lt;Authors_Primary&gt;Mayo,N.E.&lt;/Authors_Primary&gt;&lt;Authors_Primary&gt;Fortin,P.R.&lt;/Authors_Primary&gt;&lt;Date_Primary&gt;2001/3&lt;/Date_Primary&gt;&lt;Keywords&gt;Adult&lt;/Keywords&gt;&lt;Keywords&gt;Aged&lt;/Keywords&gt;&lt;Keywords&gt;Aged,80 and over&lt;/Keywords&gt;&lt;Keywords&gt;Cross-Sectional Studies&lt;/Keywords&gt;&lt;Keywords&gt;Disability Evaluation&lt;/Keywords&gt;&lt;Keywords&gt;Female&lt;/Keywords&gt;&lt;Keywords&gt;Humans&lt;/Keywords&gt;&lt;Keywords&gt;Linear Models&lt;/Keywords&gt;&lt;Keywords&gt;Lupus Erythematosus,Systemic&lt;/Keywords&gt;&lt;Keywords&gt;Male&lt;/Keywords&gt;&lt;Keywords&gt;methods&lt;/Keywords&gt;&lt;Keywords&gt;Middle Aged&lt;/Keywords&gt;&lt;Keywords&gt;psychology&lt;/Keywords&gt;&lt;Keywords&gt;Quality of Life&lt;/Keywords&gt;&lt;Keywords&gt;rehabilitation&lt;/Keywords&gt;&lt;Keywords&gt;Rheumatology&lt;/Keywords&gt;&lt;Keywords&gt;Severity of Illness Index&lt;/Keywords&gt;&lt;Keywords&gt;World Health Organization&lt;/Keywords&gt;&lt;Reprint&gt;Not in File&lt;/Reprint&gt;&lt;Start_Page&gt;525&lt;/Start_Page&gt;&lt;End_Page&gt;532&lt;/End_Page&gt;&lt;Periodical&gt;J.Rheumatol.&lt;/Periodical&gt;&lt;Volume&gt;28&lt;/Volume&gt;&lt;Issue&gt;3&lt;/Issue&gt;&lt;ZZ_JournalStdAbbrev&gt;&lt;f name="System"&gt;J.Rheumatol.&lt;/f&gt;&lt;/ZZ_JournalStdAbbrev&gt;&lt;ZZ_WorkformID&gt;1&lt;/ZZ_WorkformID&gt;&lt;/MDL&gt;&lt;/Cite&gt;&lt;Cite&gt;&lt;Author&gt;Moore&lt;/Author&gt;&lt;Year&gt;1999&lt;/Year&gt;&lt;RecNum&gt;1618&lt;/RecNum&gt;&lt;IDText&gt;Can health utility measures be used in lupus research? A comparative validation and reliability study of 4 utility indices&lt;/IDText&gt;&lt;MDL Ref_Type="Journal"&gt;&lt;Ref_Type&gt;Journal&lt;/Ref_Type&gt;&lt;Ref_ID&gt;1618&lt;/Ref_ID&gt;&lt;Title_Primary&gt;Can health utility measures be used in lupus research? A comparative validation and reliability study of 4 utility indices&lt;/Title_Primary&gt;&lt;Authors_Primary&gt;Moore,A.D.&lt;/Authors_Primary&gt;&lt;Authors_Primary&gt;Clarke,A.E.&lt;/Authors_Primary&gt;&lt;Authors_Primary&gt;Danoff,D.S.&lt;/Authors_Primary&gt;&lt;Authors_Primary&gt;Joseph,L.&lt;/Authors_Primary&gt;&lt;Authors_Primary&gt;Belisle,P.&lt;/Authors_Primary&gt;&lt;Authors_Primary&gt;Neville,C.&lt;/Authors_Primary&gt;&lt;Authors_Primary&gt;Fortin,P.R.&lt;/Authors_Primary&gt;&lt;Date_Primary&gt;1999/6&lt;/Date_Primary&gt;&lt;Keywords&gt;Adult&lt;/Keywords&gt;&lt;Keywords&gt;Aged&lt;/Keywords&gt;&lt;Keywords&gt;analysis&lt;/Keywords&gt;&lt;Keywords&gt;confidence interval&lt;/Keywords&gt;&lt;Keywords&gt;diagnosis&lt;/Keywords&gt;&lt;Keywords&gt;Disease&lt;/Keywords&gt;&lt;Keywords&gt;disease activity&lt;/Keywords&gt;&lt;Keywords&gt;disease activity index&lt;/Keywords&gt;&lt;Keywords&gt;erythematosus&lt;/Keywords&gt;&lt;Keywords&gt;Evaluation Studies as Topic&lt;/Keywords&gt;&lt;Keywords&gt;Female&lt;/Keywords&gt;&lt;Keywords&gt;general hospital&lt;/Keywords&gt;&lt;Keywords&gt;Health&lt;/Keywords&gt;&lt;Keywords&gt;Health Status&lt;/Keywords&gt;&lt;Keywords&gt;hospital&lt;/Keywords&gt;&lt;Keywords&gt;Humans&lt;/Keywords&gt;&lt;Keywords&gt;Life&lt;/Keywords&gt;&lt;Keywords&gt;lupus erythematosus&lt;/Keywords&gt;&lt;Keywords&gt;Lupus Erythematosus,Systemic&lt;/Keywords&gt;&lt;Keywords&gt;Male&lt;/Keywords&gt;&lt;Keywords&gt;Mental Health&lt;/Keywords&gt;&lt;Keywords&gt;methods&lt;/Keywords&gt;&lt;Keywords&gt;Middle Aged&lt;/Keywords&gt;&lt;Keywords&gt;Morbidity&lt;/Keywords&gt;&lt;Keywords&gt;Pain&lt;/Keywords&gt;&lt;Keywords&gt;Pain Measurement&lt;/Keywords&gt;&lt;Keywords&gt;patient&lt;/Keywords&gt;&lt;Keywords&gt;Patients&lt;/Keywords&gt;&lt;Keywords&gt;population&lt;/Keywords&gt;&lt;Keywords&gt;Predictive Value of Tests&lt;/Keywords&gt;&lt;Keywords&gt;Prognosis&lt;/Keywords&gt;&lt;Keywords&gt;Quality of Life&lt;/Keywords&gt;&lt;Keywords&gt;Quebec&lt;/Keywords&gt;&lt;Keywords&gt;Regression Analysis&lt;/Keywords&gt;&lt;Keywords&gt;Reproducibility of Results&lt;/Keywords&gt;&lt;Keywords&gt;Research&lt;/Keywords&gt;&lt;Keywords&gt;Rheumatology&lt;/Keywords&gt;&lt;Keywords&gt;Severity of Illness Index&lt;/Keywords&gt;&lt;Keywords&gt;Short Form 36&lt;/Keywords&gt;&lt;Keywords&gt;systemic lupus erythematosus&lt;/Keywords&gt;&lt;Keywords&gt;Time&lt;/Keywords&gt;&lt;Reprint&gt;Not in File&lt;/Reprint&gt;&lt;Start_Page&gt;1285&lt;/Start_Page&gt;&lt;End_Page&gt;1290&lt;/End_Page&gt;&lt;Periodical&gt;J.Rheumatol.&lt;/Periodical&gt;&lt;Volume&gt;26&lt;/Volume&gt;&lt;Issue&gt;6&lt;/Issue&gt;&lt;ZZ_JournalStdAbbrev&gt;&lt;f name="System"&gt;J.Rheumatol.&lt;/f&gt;&lt;/ZZ_JournalStdAbbrev&gt;&lt;ZZ_WorkformID&gt;1&lt;/ZZ_WorkformID&gt;&lt;/MDL&gt;&lt;/Cite&gt;&lt;/Refman&gt;</w:instrText>
      </w:r>
      <w:r w:rsidR="00E729BA">
        <w:fldChar w:fldCharType="separate"/>
      </w:r>
      <w:r w:rsidR="0081424E">
        <w:t>(163;228-232)</w:t>
      </w:r>
      <w:r w:rsidR="00E729BA">
        <w:fldChar w:fldCharType="end"/>
      </w:r>
      <w:r w:rsidRPr="00651F34">
        <w:t xml:space="preserve">. </w:t>
      </w:r>
      <w:r>
        <w:t>Unfortunately, none of these provided sufficient data for utilities in SLE to populate the CE model.</w:t>
      </w:r>
    </w:p>
    <w:p w:rsidR="00A9011A" w:rsidRDefault="00A9011A" w:rsidP="007463A4">
      <w:pPr>
        <w:rPr>
          <w:lang w:eastAsia="nl-NL"/>
        </w:rPr>
      </w:pPr>
      <w:r>
        <w:rPr>
          <w:lang w:eastAsia="nl-NL"/>
        </w:rPr>
        <w:t xml:space="preserve">More recently the results of the belimumab Phase III trials have been published and as part of the belimumab NICE submission analysis of the EQ-5D scores collected in the trials </w:t>
      </w:r>
      <w:r w:rsidR="00E729BA">
        <w:rPr>
          <w:lang w:eastAsia="nl-NL"/>
        </w:rPr>
        <w:fldChar w:fldCharType="begin"/>
      </w:r>
      <w:r w:rsidR="00FC61FD">
        <w:rPr>
          <w:lang w:eastAsia="nl-NL"/>
        </w:rPr>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rPr>
          <w:lang w:eastAsia="nl-NL"/>
        </w:rPr>
        <w:fldChar w:fldCharType="separate"/>
      </w:r>
      <w:r w:rsidR="004D7951">
        <w:rPr>
          <w:lang w:eastAsia="nl-NL"/>
        </w:rPr>
        <w:t>(224)</w:t>
      </w:r>
      <w:r w:rsidR="00E729BA">
        <w:rPr>
          <w:lang w:eastAsia="nl-NL"/>
        </w:rPr>
        <w:fldChar w:fldCharType="end"/>
      </w:r>
      <w:r>
        <w:rPr>
          <w:lang w:eastAsia="nl-NL"/>
        </w:rPr>
        <w:t xml:space="preserve">. A linear regression was fitted </w:t>
      </w:r>
      <w:r w:rsidR="007463A4">
        <w:rPr>
          <w:lang w:eastAsia="nl-NL"/>
        </w:rPr>
        <w:t xml:space="preserve">by GSK contractors </w:t>
      </w:r>
      <w:r>
        <w:rPr>
          <w:lang w:eastAsia="nl-NL"/>
        </w:rPr>
        <w:t xml:space="preserve">to explore the relation between utility values and </w:t>
      </w:r>
      <w:r w:rsidR="007463A4">
        <w:rPr>
          <w:lang w:eastAsia="nl-NL"/>
        </w:rPr>
        <w:t>SLEDAI</w:t>
      </w:r>
      <w:r>
        <w:rPr>
          <w:lang w:eastAsia="nl-NL"/>
        </w:rPr>
        <w:t xml:space="preserve"> score, organ damage items and patient characteristics</w:t>
      </w:r>
      <w:r w:rsidR="0071127D">
        <w:rPr>
          <w:lang w:eastAsia="nl-NL"/>
        </w:rPr>
        <w:t xml:space="preserve"> (224)</w:t>
      </w:r>
      <w:r>
        <w:rPr>
          <w:lang w:eastAsia="nl-NL"/>
        </w:rPr>
        <w:t xml:space="preserve">. The results are presented in </w:t>
      </w:r>
      <w:r w:rsidR="00E729BA">
        <w:rPr>
          <w:lang w:eastAsia="nl-NL"/>
        </w:rPr>
        <w:fldChar w:fldCharType="begin"/>
      </w:r>
      <w:r>
        <w:rPr>
          <w:lang w:eastAsia="nl-NL"/>
        </w:rPr>
        <w:instrText xml:space="preserve"> REF _Ref280875701 \h </w:instrText>
      </w:r>
      <w:r w:rsidR="00E729BA">
        <w:rPr>
          <w:lang w:eastAsia="nl-NL"/>
        </w:rPr>
      </w:r>
      <w:r w:rsidR="00E729BA">
        <w:rPr>
          <w:lang w:eastAsia="nl-NL"/>
        </w:rPr>
        <w:fldChar w:fldCharType="separate"/>
      </w:r>
      <w:r w:rsidR="004911B7">
        <w:t xml:space="preserve">Table </w:t>
      </w:r>
      <w:r w:rsidR="004911B7">
        <w:rPr>
          <w:noProof/>
        </w:rPr>
        <w:t>44</w:t>
      </w:r>
      <w:r w:rsidR="00E729BA">
        <w:rPr>
          <w:lang w:eastAsia="nl-NL"/>
        </w:rPr>
        <w:fldChar w:fldCharType="end"/>
      </w:r>
      <w:r>
        <w:rPr>
          <w:lang w:eastAsia="nl-NL"/>
        </w:rPr>
        <w:t>.</w:t>
      </w:r>
    </w:p>
    <w:p w:rsidR="00A9011A" w:rsidRDefault="00A9011A" w:rsidP="002D4392">
      <w:pPr>
        <w:pStyle w:val="Caption"/>
      </w:pPr>
      <w:bookmarkStart w:id="510" w:name="_Ref280875701"/>
      <w:bookmarkStart w:id="511" w:name="_Toc287297348"/>
      <w:r>
        <w:t xml:space="preserve">Table </w:t>
      </w:r>
      <w:fldSimple w:instr=" SEQ Table \* ARABIC ">
        <w:r w:rsidR="004911B7">
          <w:rPr>
            <w:noProof/>
          </w:rPr>
          <w:t>44</w:t>
        </w:r>
      </w:fldSimple>
      <w:bookmarkEnd w:id="510"/>
      <w:r>
        <w:t xml:space="preserve"> Linear </w:t>
      </w:r>
      <w:r w:rsidR="002D4392">
        <w:t xml:space="preserve">regression </w:t>
      </w:r>
      <w:r>
        <w:t>explaining utility value</w:t>
      </w:r>
      <w:r>
        <w:rPr>
          <w:noProof/>
        </w:rPr>
        <w:t xml:space="preserve"> based on BLISS trial data</w:t>
      </w:r>
      <w:bookmarkEnd w:id="511"/>
    </w:p>
    <w:tbl>
      <w:tblPr>
        <w:tblW w:w="5387" w:type="dxa"/>
        <w:tblInd w:w="70" w:type="dxa"/>
        <w:tblBorders>
          <w:top w:val="single" w:sz="8" w:space="0" w:color="auto"/>
          <w:bottom w:val="single" w:sz="8" w:space="0" w:color="auto"/>
        </w:tblBorders>
        <w:tblCellMar>
          <w:left w:w="70" w:type="dxa"/>
          <w:right w:w="70" w:type="dxa"/>
        </w:tblCellMar>
        <w:tblLook w:val="04A0"/>
      </w:tblPr>
      <w:tblGrid>
        <w:gridCol w:w="2977"/>
        <w:gridCol w:w="1418"/>
        <w:gridCol w:w="992"/>
      </w:tblGrid>
      <w:tr w:rsidR="00A9011A" w:rsidRPr="00B35654" w:rsidTr="00073A10">
        <w:trPr>
          <w:trHeight w:val="259"/>
        </w:trPr>
        <w:tc>
          <w:tcPr>
            <w:tcW w:w="2977" w:type="dxa"/>
            <w:tcBorders>
              <w:top w:val="single" w:sz="12" w:space="0" w:color="auto"/>
              <w:bottom w:val="single" w:sz="4" w:space="0" w:color="auto"/>
            </w:tcBorders>
            <w:shd w:val="clear" w:color="auto" w:fill="auto"/>
            <w:noWrap/>
            <w:vAlign w:val="bottom"/>
            <w:hideMark/>
          </w:tcPr>
          <w:p w:rsidR="00A9011A" w:rsidRPr="00B35654" w:rsidRDefault="00A9011A" w:rsidP="00B35654">
            <w:pPr>
              <w:keepNext/>
              <w:spacing w:line="240" w:lineRule="auto"/>
              <w:rPr>
                <w:bCs/>
                <w:sz w:val="20"/>
                <w:lang w:val="nl-NL" w:eastAsia="nl-NL"/>
              </w:rPr>
            </w:pPr>
            <w:r w:rsidRPr="00B35654">
              <w:rPr>
                <w:bCs/>
                <w:sz w:val="20"/>
                <w:lang w:val="nl-NL" w:eastAsia="nl-NL"/>
              </w:rPr>
              <w:t>Parameter</w:t>
            </w:r>
          </w:p>
        </w:tc>
        <w:tc>
          <w:tcPr>
            <w:tcW w:w="1418" w:type="dxa"/>
            <w:tcBorders>
              <w:top w:val="single" w:sz="12" w:space="0" w:color="auto"/>
              <w:bottom w:val="single" w:sz="4" w:space="0" w:color="auto"/>
            </w:tcBorders>
            <w:shd w:val="clear" w:color="auto" w:fill="auto"/>
            <w:noWrap/>
            <w:vAlign w:val="bottom"/>
            <w:hideMark/>
          </w:tcPr>
          <w:p w:rsidR="00A9011A" w:rsidRPr="00B35654" w:rsidRDefault="00A9011A" w:rsidP="00B35654">
            <w:pPr>
              <w:keepNext/>
              <w:spacing w:line="240" w:lineRule="auto"/>
              <w:rPr>
                <w:bCs/>
                <w:sz w:val="20"/>
                <w:lang w:val="nl-NL" w:eastAsia="nl-NL"/>
              </w:rPr>
            </w:pPr>
            <w:r w:rsidRPr="00B35654">
              <w:rPr>
                <w:bCs/>
                <w:sz w:val="20"/>
                <w:lang w:val="nl-NL" w:eastAsia="nl-NL"/>
              </w:rPr>
              <w:t>Coefficient</w:t>
            </w:r>
          </w:p>
        </w:tc>
        <w:tc>
          <w:tcPr>
            <w:tcW w:w="992" w:type="dxa"/>
            <w:tcBorders>
              <w:top w:val="single" w:sz="12" w:space="0" w:color="auto"/>
              <w:bottom w:val="single" w:sz="4" w:space="0" w:color="auto"/>
            </w:tcBorders>
            <w:shd w:val="clear" w:color="auto" w:fill="auto"/>
            <w:noWrap/>
            <w:vAlign w:val="bottom"/>
            <w:hideMark/>
          </w:tcPr>
          <w:p w:rsidR="00A9011A" w:rsidRPr="00B35654" w:rsidRDefault="00A9011A" w:rsidP="00B35654">
            <w:pPr>
              <w:keepNext/>
              <w:spacing w:line="240" w:lineRule="auto"/>
              <w:rPr>
                <w:bCs/>
                <w:sz w:val="20"/>
                <w:lang w:val="nl-NL" w:eastAsia="nl-NL"/>
              </w:rPr>
            </w:pPr>
            <w:r w:rsidRPr="00B35654">
              <w:rPr>
                <w:bCs/>
                <w:sz w:val="20"/>
                <w:lang w:val="nl-NL" w:eastAsia="nl-NL"/>
              </w:rPr>
              <w:t>p-value</w:t>
            </w:r>
          </w:p>
        </w:tc>
      </w:tr>
      <w:tr w:rsidR="00A9011A" w:rsidRPr="00B35654" w:rsidTr="00AD3583">
        <w:trPr>
          <w:trHeight w:val="300"/>
        </w:trPr>
        <w:tc>
          <w:tcPr>
            <w:tcW w:w="2977" w:type="dxa"/>
            <w:tcBorders>
              <w:top w:val="single" w:sz="4" w:space="0" w:color="auto"/>
            </w:tcBorders>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Constant</w:t>
            </w:r>
          </w:p>
        </w:tc>
        <w:tc>
          <w:tcPr>
            <w:tcW w:w="1418" w:type="dxa"/>
            <w:tcBorders>
              <w:top w:val="single" w:sz="4" w:space="0" w:color="auto"/>
            </w:tcBorders>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1.275</w:t>
            </w:r>
          </w:p>
        </w:tc>
        <w:tc>
          <w:tcPr>
            <w:tcW w:w="992" w:type="dxa"/>
            <w:tcBorders>
              <w:top w:val="single" w:sz="4" w:space="0" w:color="auto"/>
            </w:tcBorders>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0.0000</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Log-transformed age</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-0.140</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0.0000</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Black Ethnicity</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-0.036</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0.0418</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SELENA-SLEDAI score</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-0.009</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0.0000</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Ocular Damage</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0.062</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0.0011</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NP Damage</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-0.071</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0.0000</w:t>
            </w:r>
          </w:p>
        </w:tc>
      </w:tr>
      <w:tr w:rsidR="00A9011A" w:rsidRPr="00B35654" w:rsidTr="00AD3583">
        <w:trPr>
          <w:trHeight w:val="300"/>
        </w:trPr>
        <w:tc>
          <w:tcPr>
            <w:tcW w:w="2977" w:type="dxa"/>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MSK Damage</w:t>
            </w:r>
          </w:p>
        </w:tc>
        <w:tc>
          <w:tcPr>
            <w:tcW w:w="1418"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-0.047</w:t>
            </w:r>
          </w:p>
        </w:tc>
        <w:tc>
          <w:tcPr>
            <w:tcW w:w="992" w:type="dxa"/>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0.0005</w:t>
            </w:r>
          </w:p>
        </w:tc>
      </w:tr>
      <w:tr w:rsidR="00A9011A" w:rsidRPr="00B35654" w:rsidTr="00073A10">
        <w:trPr>
          <w:trHeight w:val="300"/>
        </w:trPr>
        <w:tc>
          <w:tcPr>
            <w:tcW w:w="2977" w:type="dxa"/>
            <w:tcBorders>
              <w:bottom w:val="single" w:sz="12" w:space="0" w:color="auto"/>
            </w:tcBorders>
            <w:shd w:val="clear" w:color="auto" w:fill="auto"/>
            <w:noWrap/>
            <w:vAlign w:val="bottom"/>
            <w:hideMark/>
          </w:tcPr>
          <w:p w:rsidR="00A9011A" w:rsidRPr="00B35654" w:rsidRDefault="00A9011A" w:rsidP="00B35654">
            <w:pPr>
              <w:keepNext/>
              <w:spacing w:line="240" w:lineRule="auto"/>
              <w:rPr>
                <w:sz w:val="20"/>
                <w:lang w:val="nl-NL" w:eastAsia="nl-NL"/>
              </w:rPr>
            </w:pPr>
            <w:r w:rsidRPr="00B35654">
              <w:rPr>
                <w:sz w:val="20"/>
                <w:lang w:val="nl-NL" w:eastAsia="nl-NL"/>
              </w:rPr>
              <w:t>Diabetes</w:t>
            </w:r>
          </w:p>
        </w:tc>
        <w:tc>
          <w:tcPr>
            <w:tcW w:w="1418" w:type="dxa"/>
            <w:tcBorders>
              <w:bottom w:val="single" w:sz="12" w:space="0" w:color="auto"/>
            </w:tcBorders>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-0.065</w:t>
            </w:r>
          </w:p>
        </w:tc>
        <w:tc>
          <w:tcPr>
            <w:tcW w:w="992" w:type="dxa"/>
            <w:tcBorders>
              <w:bottom w:val="single" w:sz="12" w:space="0" w:color="auto"/>
            </w:tcBorders>
            <w:shd w:val="clear" w:color="auto" w:fill="auto"/>
            <w:noWrap/>
            <w:vAlign w:val="bottom"/>
            <w:hideMark/>
          </w:tcPr>
          <w:p w:rsidR="00A9011A" w:rsidRPr="00B35654" w:rsidRDefault="00A9011A" w:rsidP="00B35654">
            <w:pPr>
              <w:keepNext/>
              <w:spacing w:line="240" w:lineRule="auto"/>
              <w:jc w:val="right"/>
              <w:rPr>
                <w:sz w:val="20"/>
                <w:lang w:val="nl-NL" w:eastAsia="nl-NL"/>
              </w:rPr>
            </w:pPr>
            <w:r w:rsidRPr="00B35654">
              <w:rPr>
                <w:sz w:val="20"/>
                <w:lang w:val="nl-NL" w:eastAsia="nl-NL"/>
              </w:rPr>
              <w:t>0.0187</w:t>
            </w:r>
          </w:p>
        </w:tc>
      </w:tr>
    </w:tbl>
    <w:p w:rsidR="00A9011A" w:rsidRDefault="00A9011A" w:rsidP="00A9011A">
      <w:pPr>
        <w:rPr>
          <w:lang w:eastAsia="nl-NL"/>
        </w:rPr>
      </w:pPr>
    </w:p>
    <w:p w:rsidR="00A9011A" w:rsidRDefault="00A9011A" w:rsidP="00737697">
      <w:pPr>
        <w:rPr>
          <w:lang w:eastAsia="nl-NL"/>
        </w:rPr>
      </w:pPr>
      <w:r>
        <w:rPr>
          <w:lang w:eastAsia="nl-NL"/>
        </w:rPr>
        <w:t>On average, a person’s utility value decreases</w:t>
      </w:r>
      <w:r w:rsidR="00C30A51">
        <w:rPr>
          <w:lang w:eastAsia="nl-NL"/>
        </w:rPr>
        <w:t xml:space="preserve"> by 0.009</w:t>
      </w:r>
      <w:r>
        <w:rPr>
          <w:lang w:eastAsia="nl-NL"/>
        </w:rPr>
        <w:t xml:space="preserve"> per unit SLEDAI score. In addition, age, ethnicity, ocular damage, NP damage, MSK damage and Diabetes had a significant relation with quality of life. Ocular damage has a positive association with quality of life which is an unusual finding and unlikely to be externally valid. </w:t>
      </w:r>
      <w:r w:rsidR="00737697">
        <w:rPr>
          <w:lang w:eastAsia="nl-NL"/>
        </w:rPr>
        <w:t xml:space="preserve">The prevalence of organ damage was low in the BLISS trials, which makes it more difficult to infer the effects of organ damage on EQ-5D from this data. </w:t>
      </w:r>
      <w:r>
        <w:rPr>
          <w:lang w:eastAsia="nl-NL"/>
        </w:rPr>
        <w:t>Not all organ damage items were found to be associated with poorer quality of life. However, the patients in the BLISS trials tended to have low organ damage scores</w:t>
      </w:r>
      <w:r w:rsidR="00C30A51">
        <w:rPr>
          <w:lang w:eastAsia="nl-NL"/>
        </w:rPr>
        <w:t xml:space="preserve"> at baseline</w:t>
      </w:r>
      <w:r>
        <w:rPr>
          <w:lang w:eastAsia="nl-NL"/>
        </w:rPr>
        <w:t xml:space="preserve"> and are not representative of patients at all stages of the disease. </w:t>
      </w:r>
    </w:p>
    <w:p w:rsidR="00A9011A" w:rsidRDefault="00A9011A" w:rsidP="00A9011A">
      <w:pPr>
        <w:rPr>
          <w:lang w:eastAsia="nl-NL"/>
        </w:rPr>
      </w:pPr>
      <w:r>
        <w:rPr>
          <w:lang w:eastAsia="nl-NL"/>
        </w:rPr>
        <w:t xml:space="preserve">In the CE model the regression analysis </w:t>
      </w:r>
      <w:r w:rsidR="00C30A51">
        <w:rPr>
          <w:lang w:eastAsia="nl-NL"/>
        </w:rPr>
        <w:t xml:space="preserve">from </w:t>
      </w:r>
      <w:r w:rsidR="00E729BA">
        <w:rPr>
          <w:lang w:eastAsia="nl-NL"/>
        </w:rPr>
        <w:fldChar w:fldCharType="begin"/>
      </w:r>
      <w:r w:rsidR="00C30A51">
        <w:rPr>
          <w:lang w:eastAsia="nl-NL"/>
        </w:rPr>
        <w:instrText xml:space="preserve"> REF _Ref281826489 \h </w:instrText>
      </w:r>
      <w:r w:rsidR="00E729BA">
        <w:rPr>
          <w:lang w:eastAsia="nl-NL"/>
        </w:rPr>
      </w:r>
      <w:r w:rsidR="00E729BA">
        <w:rPr>
          <w:lang w:eastAsia="nl-NL"/>
        </w:rPr>
        <w:fldChar w:fldCharType="separate"/>
      </w:r>
      <w:r w:rsidR="004911B7">
        <w:t xml:space="preserve">Table </w:t>
      </w:r>
      <w:r w:rsidR="004911B7">
        <w:rPr>
          <w:noProof/>
        </w:rPr>
        <w:t>45</w:t>
      </w:r>
      <w:r w:rsidR="00E729BA">
        <w:rPr>
          <w:lang w:eastAsia="nl-NL"/>
        </w:rPr>
        <w:fldChar w:fldCharType="end"/>
      </w:r>
      <w:r w:rsidR="00C30A51">
        <w:rPr>
          <w:lang w:eastAsia="nl-NL"/>
        </w:rPr>
        <w:t xml:space="preserve"> </w:t>
      </w:r>
      <w:r>
        <w:rPr>
          <w:lang w:eastAsia="nl-NL"/>
        </w:rPr>
        <w:t>was used to determine a patient’s baseline utility without considering their organ damage: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81"/>
        <w:gridCol w:w="1127"/>
      </w:tblGrid>
      <w:tr w:rsidR="007568A9" w:rsidTr="00025CCF">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lang w:eastAsia="nl-NL"/>
                      </w:rPr>
                    </m:ctrlPr>
                  </m:sSubPr>
                  <m:e>
                    <m:r>
                      <w:rPr>
                        <w:rFonts w:ascii="Cambria Math" w:hAnsi="Cambria Math"/>
                        <w:lang w:eastAsia="nl-NL"/>
                      </w:rPr>
                      <m:t>U</m:t>
                    </m:r>
                  </m:e>
                  <m:sub>
                    <m:r>
                      <w:rPr>
                        <w:rFonts w:ascii="Cambria Math" w:hAnsi="Cambria Math"/>
                        <w:lang w:eastAsia="nl-NL"/>
                      </w:rPr>
                      <m:t>ij</m:t>
                    </m:r>
                  </m:sub>
                </m:sSub>
                <m:r>
                  <w:rPr>
                    <w:rFonts w:ascii="Cambria Math" w:hAnsi="Cambria Math"/>
                    <w:lang w:eastAsia="nl-NL"/>
                  </w:rPr>
                  <m:t>=1.275-0.140*</m:t>
                </m:r>
                <m:func>
                  <m:funcPr>
                    <m:ctrlPr>
                      <w:rPr>
                        <w:rFonts w:ascii="Cambria Math" w:hAnsi="Cambria Math"/>
                        <w:lang w:eastAsia="nl-NL"/>
                      </w:rPr>
                    </m:ctrlPr>
                  </m:funcPr>
                  <m:fName>
                    <m:r>
                      <m:rPr>
                        <m:sty m:val="p"/>
                      </m:rPr>
                      <w:rPr>
                        <w:rFonts w:ascii="Cambria Math" w:hAnsi="Cambria Math"/>
                        <w:lang w:eastAsia="nl-NL"/>
                      </w:rPr>
                      <m:t>log</m:t>
                    </m:r>
                  </m:fName>
                  <m:e>
                    <m:d>
                      <m:dPr>
                        <m:ctrlPr>
                          <w:rPr>
                            <w:rFonts w:ascii="Cambria Math" w:hAnsi="Cambria Math"/>
                            <w:i/>
                            <w:lang w:eastAsia="nl-NL"/>
                          </w:rPr>
                        </m:ctrlPr>
                      </m:dPr>
                      <m:e>
                        <m:sSub>
                          <m:sSubPr>
                            <m:ctrlPr>
                              <w:rPr>
                                <w:rFonts w:ascii="Cambria Math" w:hAnsi="Cambria Math"/>
                                <w:i/>
                                <w:lang w:eastAsia="nl-NL"/>
                              </w:rPr>
                            </m:ctrlPr>
                          </m:sSubPr>
                          <m:e>
                            <m:r>
                              <w:rPr>
                                <w:rFonts w:ascii="Cambria Math" w:hAnsi="Cambria Math"/>
                                <w:lang w:eastAsia="nl-NL"/>
                              </w:rPr>
                              <m:t>AGE</m:t>
                            </m:r>
                          </m:e>
                          <m:sub>
                            <m:r>
                              <w:rPr>
                                <w:rFonts w:ascii="Cambria Math" w:hAnsi="Cambria Math"/>
                                <w:lang w:eastAsia="nl-NL"/>
                              </w:rPr>
                              <m:t>ij</m:t>
                            </m:r>
                          </m:sub>
                        </m:sSub>
                      </m:e>
                    </m:d>
                    <m:ctrlPr>
                      <w:rPr>
                        <w:rFonts w:ascii="Cambria Math" w:hAnsi="Cambria Math"/>
                        <w:i/>
                        <w:lang w:eastAsia="nl-NL"/>
                      </w:rPr>
                    </m:ctrlPr>
                  </m:e>
                </m:func>
                <m:r>
                  <w:rPr>
                    <w:rFonts w:ascii="Cambria Math" w:hAnsi="Cambria Math"/>
                    <w:lang w:eastAsia="nl-NL"/>
                  </w:rPr>
                  <m:t>-0.036*</m:t>
                </m:r>
                <m:sSub>
                  <m:sSubPr>
                    <m:ctrlPr>
                      <w:rPr>
                        <w:rFonts w:ascii="Cambria Math" w:hAnsi="Cambria Math"/>
                        <w:i/>
                        <w:lang w:eastAsia="nl-NL"/>
                      </w:rPr>
                    </m:ctrlPr>
                  </m:sSubPr>
                  <m:e>
                    <m:r>
                      <w:rPr>
                        <w:rFonts w:ascii="Cambria Math" w:hAnsi="Cambria Math"/>
                        <w:lang w:eastAsia="nl-NL"/>
                      </w:rPr>
                      <m:t>BLACK</m:t>
                    </m:r>
                  </m:e>
                  <m:sub>
                    <m:r>
                      <w:rPr>
                        <w:rFonts w:ascii="Cambria Math" w:hAnsi="Cambria Math"/>
                        <w:lang w:eastAsia="nl-NL"/>
                      </w:rPr>
                      <m:t>i</m:t>
                    </m:r>
                  </m:sub>
                </m:sSub>
                <m:r>
                  <w:rPr>
                    <w:rFonts w:ascii="Cambria Math" w:hAnsi="Cambria Math"/>
                    <w:lang w:eastAsia="nl-NL"/>
                  </w:rPr>
                  <m:t>-0.009*</m:t>
                </m:r>
                <m:sSub>
                  <m:sSubPr>
                    <m:ctrlPr>
                      <w:rPr>
                        <w:rFonts w:ascii="Cambria Math" w:hAnsi="Cambria Math"/>
                        <w:i/>
                        <w:lang w:eastAsia="nl-NL"/>
                      </w:rPr>
                    </m:ctrlPr>
                  </m:sSubPr>
                  <m:e>
                    <m:r>
                      <w:rPr>
                        <w:rFonts w:ascii="Cambria Math" w:hAnsi="Cambria Math"/>
                        <w:lang w:eastAsia="nl-NL"/>
                      </w:rPr>
                      <m:t>S</m:t>
                    </m:r>
                  </m:e>
                  <m:sub>
                    <m:r>
                      <w:rPr>
                        <w:rFonts w:ascii="Cambria Math" w:hAnsi="Cambria Math"/>
                        <w:lang w:eastAsia="nl-NL"/>
                      </w:rPr>
                      <m:t>ij</m:t>
                    </m:r>
                  </m:sub>
                </m:sSub>
              </m:oMath>
            </m:oMathPara>
          </w:p>
        </w:tc>
        <w:tc>
          <w:tcPr>
            <w:tcW w:w="1196" w:type="dxa"/>
          </w:tcPr>
          <w:p w:rsidR="007568A9" w:rsidRDefault="007568A9" w:rsidP="00597CF5">
            <w:pPr>
              <w:pStyle w:val="ListParagraph"/>
              <w:numPr>
                <w:ilvl w:val="1"/>
                <w:numId w:val="30"/>
              </w:numPr>
              <w:bidi/>
              <w:ind w:right="220"/>
              <w:jc w:val="right"/>
            </w:pPr>
          </w:p>
        </w:tc>
      </w:tr>
    </w:tbl>
    <w:p w:rsidR="00A9011A" w:rsidRDefault="00A9011A" w:rsidP="00C30A51">
      <w:pPr>
        <w:rPr>
          <w:lang w:eastAsia="nl-NL"/>
        </w:rPr>
      </w:pPr>
      <w:r w:rsidRPr="00F61883">
        <w:rPr>
          <w:rFonts w:asciiTheme="majorBidi" w:hAnsiTheme="majorBidi" w:cstheme="majorBidi"/>
        </w:rPr>
        <w:t xml:space="preserve">where </w:t>
      </w:r>
      <w:r w:rsidRPr="00F61883">
        <w:rPr>
          <w:rFonts w:asciiTheme="majorBidi" w:hAnsiTheme="majorBidi" w:cstheme="majorBidi"/>
          <w:i/>
          <w:iCs/>
        </w:rPr>
        <w:t>i</w:t>
      </w:r>
      <w:r w:rsidRPr="00F61883">
        <w:rPr>
          <w:rFonts w:asciiTheme="majorBidi" w:hAnsiTheme="majorBidi" w:cstheme="majorBidi"/>
        </w:rPr>
        <w:t xml:space="preserve"> indexes the patients observed, </w:t>
      </w:r>
      <w:r w:rsidRPr="00F61883">
        <w:rPr>
          <w:rFonts w:asciiTheme="majorBidi" w:hAnsiTheme="majorBidi" w:cstheme="majorBidi"/>
          <w:i/>
          <w:iCs/>
        </w:rPr>
        <w:t>j</w:t>
      </w:r>
      <w:r w:rsidRPr="00F61883">
        <w:rPr>
          <w:rFonts w:asciiTheme="majorBidi" w:hAnsiTheme="majorBidi" w:cstheme="majorBidi"/>
        </w:rPr>
        <w:t xml:space="preserve"> indicates the time period of the observation</w:t>
      </w:r>
      <w:r>
        <w:rPr>
          <w:lang w:eastAsia="nl-NL"/>
        </w:rPr>
        <w:t xml:space="preserve">. The utility score of patient </w:t>
      </w:r>
      <w:r w:rsidRPr="00836D12">
        <w:rPr>
          <w:i/>
          <w:iCs/>
          <w:lang w:eastAsia="nl-NL"/>
        </w:rPr>
        <w:t>i</w:t>
      </w:r>
      <w:r>
        <w:rPr>
          <w:lang w:eastAsia="nl-NL"/>
        </w:rPr>
        <w:t xml:space="preserve"> at time period </w:t>
      </w:r>
      <w:r w:rsidRPr="00836D12">
        <w:rPr>
          <w:i/>
          <w:iCs/>
          <w:lang w:eastAsia="nl-NL"/>
        </w:rPr>
        <w:t>j</w:t>
      </w:r>
      <w:r>
        <w:rPr>
          <w:lang w:eastAsia="nl-NL"/>
        </w:rPr>
        <w:t xml:space="preserve"> is predicted by age, ethnicity and SLEDAI score,</w:t>
      </w:r>
      <w:r w:rsidRPr="00AE534F">
        <w:rPr>
          <w:i/>
          <w:iCs/>
          <w:lang w:eastAsia="nl-NL"/>
        </w:rPr>
        <w:t xml:space="preserve"> S</w:t>
      </w:r>
      <w:r>
        <w:rPr>
          <w:lang w:eastAsia="nl-NL"/>
        </w:rPr>
        <w:t xml:space="preserve">. </w:t>
      </w:r>
      <w:r w:rsidR="00DF14BD">
        <w:rPr>
          <w:lang w:eastAsia="nl-NL"/>
        </w:rPr>
        <w:t xml:space="preserve">The linear regression does not predict utility values greater than 0.9 so does not exceed the upper bound for utilities of 1. </w:t>
      </w:r>
    </w:p>
    <w:p w:rsidR="00A9011A" w:rsidRDefault="00C30A51" w:rsidP="0071127D">
      <w:pPr>
        <w:rPr>
          <w:lang w:eastAsia="nl-NL"/>
        </w:rPr>
      </w:pPr>
      <w:r>
        <w:rPr>
          <w:lang w:eastAsia="nl-NL"/>
        </w:rPr>
        <w:t>Organ damage coefficients reported in</w:t>
      </w:r>
      <w:r w:rsidR="0071127D">
        <w:rPr>
          <w:lang w:eastAsia="nl-NL"/>
        </w:rPr>
        <w:t xml:space="preserve"> </w:t>
      </w:r>
      <w:r w:rsidR="00E729BA">
        <w:rPr>
          <w:lang w:eastAsia="nl-NL"/>
        </w:rPr>
        <w:fldChar w:fldCharType="begin"/>
      </w:r>
      <w:r w:rsidR="0071127D">
        <w:rPr>
          <w:lang w:eastAsia="nl-NL"/>
        </w:rPr>
        <w:instrText xml:space="preserve"> REF _Ref280875701 \h </w:instrText>
      </w:r>
      <w:r w:rsidR="00E729BA">
        <w:rPr>
          <w:lang w:eastAsia="nl-NL"/>
        </w:rPr>
      </w:r>
      <w:r w:rsidR="00E729BA">
        <w:rPr>
          <w:lang w:eastAsia="nl-NL"/>
        </w:rPr>
        <w:fldChar w:fldCharType="separate"/>
      </w:r>
      <w:r w:rsidR="004911B7">
        <w:t xml:space="preserve">Table </w:t>
      </w:r>
      <w:r w:rsidR="004911B7">
        <w:rPr>
          <w:noProof/>
        </w:rPr>
        <w:t>44</w:t>
      </w:r>
      <w:r w:rsidR="00E729BA">
        <w:rPr>
          <w:lang w:eastAsia="nl-NL"/>
        </w:rPr>
        <w:fldChar w:fldCharType="end"/>
      </w:r>
      <w:r>
        <w:rPr>
          <w:lang w:eastAsia="nl-NL"/>
        </w:rPr>
        <w:t xml:space="preserve"> were not used to describe the utility impact of organ damage in the CE model. </w:t>
      </w:r>
      <w:r w:rsidR="00A9011A">
        <w:rPr>
          <w:lang w:eastAsia="nl-NL"/>
        </w:rPr>
        <w:t xml:space="preserve">Organ damage disutilities were applied to the baseline </w:t>
      </w:r>
      <w:r>
        <w:rPr>
          <w:lang w:eastAsia="nl-NL"/>
        </w:rPr>
        <w:t>utility a</w:t>
      </w:r>
      <w:r w:rsidR="00A9011A">
        <w:rPr>
          <w:lang w:eastAsia="nl-NL"/>
        </w:rPr>
        <w:t>s a multiplicative factor, rather than an absolute reduction</w:t>
      </w:r>
      <w:r w:rsidR="00DF14BD">
        <w:rPr>
          <w:lang w:eastAsia="nl-NL"/>
        </w:rPr>
        <w:t xml:space="preserve"> as recommended in recent guidelines from the NICE Decision Support Unit </w:t>
      </w:r>
      <w:r w:rsidR="00E729BA">
        <w:rPr>
          <w:lang w:eastAsia="nl-NL"/>
        </w:rPr>
        <w:fldChar w:fldCharType="begin"/>
      </w:r>
      <w:r w:rsidR="00FC61FD">
        <w:rPr>
          <w:lang w:eastAsia="nl-NL"/>
        </w:rPr>
        <w:instrText xml:space="preserve"> ADDIN REFMGR.CITE &lt;Refman&gt;&lt;Cite&gt;&lt;Author&gt;Ara&lt;/Author&gt;&lt;Year&gt;2011&lt;/Year&gt;&lt;RecNum&gt;1689&lt;/RecNum&gt;&lt;IDText&gt;Nice DSU Technical Support Document 12:The Use Of Health State Utility Values In Decision Models&lt;/IDText&gt;&lt;MDL Ref_Type="Electronic Citation"&gt;&lt;Ref_Type&gt;Electronic Citation&lt;/Ref_Type&gt;&lt;Ref_ID&gt;1689&lt;/Ref_ID&gt;&lt;Title_Primary&gt;Nice DSU Technical Support Document 12:The Use Of Health State Utility Values In Decision Models&lt;/Title_Primary&gt;&lt;Authors_Primary&gt;Ara,R.&lt;/Authors_Primary&gt;&lt;Authors_Primary&gt;Wailoo,A.&lt;/Authors_Primary&gt;&lt;Date_Primary&gt;2011&lt;/Date_Primary&gt;&lt;Keywords&gt;Health&lt;/Keywords&gt;&lt;Reprint&gt;In File&lt;/Reprint&gt;&lt;Periodical&gt;NICE Decision Support Unit&lt;/Periodical&gt;&lt;Web_URL&gt;&lt;u&gt;http://www.nicedsu.org.uk/Utilities-TSD-series(2391676).htm&lt;/u&gt;&lt;/Web_URL&gt;&lt;ZZ_JournalFull&gt;&lt;f name="System"&gt;NICE Decision Support Unit&lt;/f&gt;&lt;/ZZ_JournalFull&gt;&lt;ZZ_WorkformID&gt;34&lt;/ZZ_WorkformID&gt;&lt;/MDL&gt;&lt;/Cite&gt;&lt;/Refman&gt;</w:instrText>
      </w:r>
      <w:r w:rsidR="00E729BA">
        <w:rPr>
          <w:lang w:eastAsia="nl-NL"/>
        </w:rPr>
        <w:fldChar w:fldCharType="separate"/>
      </w:r>
      <w:r w:rsidR="00DF14BD">
        <w:rPr>
          <w:lang w:eastAsia="nl-NL"/>
        </w:rPr>
        <w:t>(233)</w:t>
      </w:r>
      <w:r w:rsidR="00E729BA">
        <w:rPr>
          <w:lang w:eastAsia="nl-NL"/>
        </w:rPr>
        <w:fldChar w:fldCharType="end"/>
      </w:r>
      <w:r w:rsidR="00A9011A">
        <w:rPr>
          <w:lang w:eastAsia="nl-NL"/>
        </w:rPr>
        <w:t>. The values for the disutility factor</w:t>
      </w:r>
      <w:r>
        <w:rPr>
          <w:lang w:eastAsia="nl-NL"/>
        </w:rPr>
        <w:t>s were taken from a review of damage event disutilities reported in the</w:t>
      </w:r>
      <w:r w:rsidR="00A9011A">
        <w:rPr>
          <w:lang w:eastAsia="nl-NL"/>
        </w:rPr>
        <w:t xml:space="preserve"> GSK NICE submission </w:t>
      </w:r>
      <w:r w:rsidR="00E729BA">
        <w:rPr>
          <w:lang w:eastAsia="nl-NL"/>
        </w:rPr>
        <w:fldChar w:fldCharType="begin"/>
      </w:r>
      <w:r w:rsidR="00FC61FD">
        <w:rPr>
          <w:lang w:eastAsia="nl-NL"/>
        </w:rPr>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rPr>
          <w:lang w:eastAsia="nl-NL"/>
        </w:rPr>
        <w:fldChar w:fldCharType="separate"/>
      </w:r>
      <w:r w:rsidR="0081424E">
        <w:rPr>
          <w:lang w:eastAsia="nl-NL"/>
        </w:rPr>
        <w:t>(224)</w:t>
      </w:r>
      <w:r w:rsidR="00E729BA">
        <w:rPr>
          <w:lang w:eastAsia="nl-NL"/>
        </w:rPr>
        <w:fldChar w:fldCharType="end"/>
      </w:r>
      <w:r w:rsidR="00A9011A">
        <w:rPr>
          <w:lang w:eastAsia="nl-NL"/>
        </w:rPr>
        <w:t xml:space="preserve">. The disutilities for organ systems were estimated as weighted averages from the multiple types of events within each organ system. The disutility multipliers used for the first and subsequent year with damage to an organ system are detailed in </w:t>
      </w:r>
      <w:r w:rsidR="00E729BA">
        <w:rPr>
          <w:lang w:eastAsia="nl-NL"/>
        </w:rPr>
        <w:fldChar w:fldCharType="begin"/>
      </w:r>
      <w:r w:rsidR="00A9011A">
        <w:rPr>
          <w:lang w:eastAsia="nl-NL"/>
        </w:rPr>
        <w:instrText xml:space="preserve"> REF _Ref281826489 \h </w:instrText>
      </w:r>
      <w:r w:rsidR="00E729BA">
        <w:rPr>
          <w:lang w:eastAsia="nl-NL"/>
        </w:rPr>
      </w:r>
      <w:r w:rsidR="00E729BA">
        <w:rPr>
          <w:lang w:eastAsia="nl-NL"/>
        </w:rPr>
        <w:fldChar w:fldCharType="separate"/>
      </w:r>
      <w:r w:rsidR="004911B7">
        <w:t xml:space="preserve">Table </w:t>
      </w:r>
      <w:r w:rsidR="004911B7">
        <w:rPr>
          <w:noProof/>
        </w:rPr>
        <w:t>45</w:t>
      </w:r>
      <w:r w:rsidR="00E729BA">
        <w:rPr>
          <w:lang w:eastAsia="nl-NL"/>
        </w:rPr>
        <w:fldChar w:fldCharType="end"/>
      </w:r>
      <w:r w:rsidR="00A9011A">
        <w:rPr>
          <w:lang w:eastAsia="nl-NL"/>
        </w:rPr>
        <w:t xml:space="preserve">. </w:t>
      </w:r>
    </w:p>
    <w:p w:rsidR="00A9011A" w:rsidRDefault="00A9011A" w:rsidP="00234693">
      <w:pPr>
        <w:pStyle w:val="Caption"/>
      </w:pPr>
      <w:bookmarkStart w:id="512" w:name="_Ref281826489"/>
      <w:bookmarkStart w:id="513" w:name="_Toc287297349"/>
      <w:r>
        <w:t xml:space="preserve">Table </w:t>
      </w:r>
      <w:fldSimple w:instr=" SEQ Table \* ARABIC ">
        <w:r w:rsidR="004911B7">
          <w:rPr>
            <w:noProof/>
          </w:rPr>
          <w:t>45</w:t>
        </w:r>
      </w:fldSimple>
      <w:bookmarkEnd w:id="512"/>
      <w:r>
        <w:t xml:space="preserve"> Disutility multipliers for damage to a specific organ system.</w:t>
      </w:r>
      <w:bookmarkEnd w:id="513"/>
    </w:p>
    <w:tbl>
      <w:tblPr>
        <w:tblW w:w="6062" w:type="dxa"/>
        <w:tblBorders>
          <w:top w:val="single" w:sz="8" w:space="0" w:color="auto"/>
          <w:bottom w:val="single" w:sz="8" w:space="0" w:color="auto"/>
        </w:tblBorders>
        <w:tblLayout w:type="fixed"/>
        <w:tblLook w:val="04A0"/>
      </w:tblPr>
      <w:tblGrid>
        <w:gridCol w:w="2580"/>
        <w:gridCol w:w="1741"/>
        <w:gridCol w:w="1741"/>
      </w:tblGrid>
      <w:tr w:rsidR="00A9011A" w:rsidRPr="00B35654" w:rsidTr="00073A10">
        <w:trPr>
          <w:trHeight w:val="227"/>
        </w:trPr>
        <w:tc>
          <w:tcPr>
            <w:tcW w:w="2580" w:type="dxa"/>
            <w:tcBorders>
              <w:top w:val="single" w:sz="12" w:space="0" w:color="auto"/>
              <w:bottom w:val="single" w:sz="4" w:space="0" w:color="auto"/>
            </w:tcBorders>
            <w:noWrap/>
            <w:hideMark/>
          </w:tcPr>
          <w:p w:rsidR="00A9011A" w:rsidRPr="00B35654" w:rsidRDefault="00A9011A" w:rsidP="00B35654">
            <w:pPr>
              <w:spacing w:line="240" w:lineRule="auto"/>
              <w:rPr>
                <w:rFonts w:cs="Calibri"/>
                <w:bCs/>
                <w:sz w:val="20"/>
                <w:lang w:eastAsia="nl-NL"/>
              </w:rPr>
            </w:pPr>
          </w:p>
        </w:tc>
        <w:tc>
          <w:tcPr>
            <w:tcW w:w="1741" w:type="dxa"/>
            <w:tcBorders>
              <w:top w:val="single" w:sz="12" w:space="0" w:color="auto"/>
              <w:bottom w:val="single" w:sz="4" w:space="0" w:color="auto"/>
            </w:tcBorders>
            <w:noWrap/>
            <w:hideMark/>
          </w:tcPr>
          <w:p w:rsidR="00A9011A" w:rsidRPr="00B35654" w:rsidRDefault="00A9011A" w:rsidP="00C30A51">
            <w:pPr>
              <w:spacing w:line="240" w:lineRule="auto"/>
              <w:jc w:val="center"/>
              <w:rPr>
                <w:rFonts w:cs="Calibri"/>
                <w:bCs/>
                <w:sz w:val="20"/>
                <w:lang w:val="nl-NL" w:eastAsia="nl-NL"/>
              </w:rPr>
            </w:pPr>
            <w:r w:rsidRPr="00B35654">
              <w:rPr>
                <w:rFonts w:cs="Calibri"/>
                <w:bCs/>
                <w:sz w:val="20"/>
                <w:lang w:val="nl-NL" w:eastAsia="nl-NL"/>
              </w:rPr>
              <w:t>Year 1</w:t>
            </w:r>
          </w:p>
        </w:tc>
        <w:tc>
          <w:tcPr>
            <w:tcW w:w="1741" w:type="dxa"/>
            <w:tcBorders>
              <w:top w:val="single" w:sz="12" w:space="0" w:color="auto"/>
              <w:bottom w:val="single" w:sz="4" w:space="0" w:color="auto"/>
            </w:tcBorders>
            <w:noWrap/>
            <w:hideMark/>
          </w:tcPr>
          <w:p w:rsidR="00A9011A" w:rsidRPr="00B35654" w:rsidRDefault="00A9011A" w:rsidP="00C30A51">
            <w:pPr>
              <w:spacing w:line="240" w:lineRule="auto"/>
              <w:jc w:val="center"/>
              <w:rPr>
                <w:rFonts w:cs="Calibri"/>
                <w:bCs/>
                <w:sz w:val="20"/>
                <w:lang w:val="nl-NL" w:eastAsia="nl-NL"/>
              </w:rPr>
            </w:pPr>
            <w:r w:rsidRPr="00B35654">
              <w:rPr>
                <w:rFonts w:cs="Calibri"/>
                <w:bCs/>
                <w:sz w:val="20"/>
                <w:lang w:val="nl-NL" w:eastAsia="nl-NL"/>
              </w:rPr>
              <w:t>Year 2 onwards</w:t>
            </w:r>
          </w:p>
        </w:tc>
      </w:tr>
      <w:tr w:rsidR="00A9011A" w:rsidRPr="00B35654" w:rsidTr="00B35654">
        <w:trPr>
          <w:trHeight w:val="227"/>
        </w:trPr>
        <w:tc>
          <w:tcPr>
            <w:tcW w:w="2580" w:type="dxa"/>
            <w:tcBorders>
              <w:top w:val="single" w:sz="4" w:space="0" w:color="auto"/>
            </w:tcBorders>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Cardiovascular</w:t>
            </w:r>
          </w:p>
        </w:tc>
        <w:tc>
          <w:tcPr>
            <w:tcW w:w="1741" w:type="dxa"/>
            <w:tcBorders>
              <w:top w:val="single" w:sz="4" w:space="0" w:color="auto"/>
            </w:tcBorders>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0.72</w:t>
            </w:r>
          </w:p>
        </w:tc>
        <w:tc>
          <w:tcPr>
            <w:tcW w:w="1741" w:type="dxa"/>
            <w:tcBorders>
              <w:top w:val="single" w:sz="4" w:space="0" w:color="auto"/>
            </w:tcBorders>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0.76</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Diabetes</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0.91</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0.91</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Gastrointestinal</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0.79</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0.91</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Malignancy</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0.92</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0.92</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Musculoskeletal</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0.67</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0.74</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Neuropsychiatric</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0.68</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0.71</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Ocular</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0.97</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0.99</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Peripheral vascular</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0.86</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0.92</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Premature gonadal failure</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1.00</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1.00</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Pulmonary</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0.69</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0.69</w:t>
            </w:r>
          </w:p>
        </w:tc>
      </w:tr>
      <w:tr w:rsidR="00A9011A" w:rsidRPr="00B35654" w:rsidTr="00B35654">
        <w:trPr>
          <w:trHeight w:val="227"/>
        </w:trPr>
        <w:tc>
          <w:tcPr>
            <w:tcW w:w="2580" w:type="dxa"/>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Renal</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0.89</w:t>
            </w:r>
          </w:p>
        </w:tc>
        <w:tc>
          <w:tcPr>
            <w:tcW w:w="1741" w:type="dxa"/>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0.89</w:t>
            </w:r>
          </w:p>
        </w:tc>
      </w:tr>
      <w:tr w:rsidR="00A9011A" w:rsidRPr="00B35654" w:rsidTr="00073A10">
        <w:trPr>
          <w:trHeight w:val="227"/>
        </w:trPr>
        <w:tc>
          <w:tcPr>
            <w:tcW w:w="2580" w:type="dxa"/>
            <w:tcBorders>
              <w:bottom w:val="single" w:sz="12" w:space="0" w:color="auto"/>
            </w:tcBorders>
            <w:noWrap/>
            <w:hideMark/>
          </w:tcPr>
          <w:p w:rsidR="00A9011A" w:rsidRPr="00B35654" w:rsidRDefault="00A9011A" w:rsidP="00B35654">
            <w:pPr>
              <w:spacing w:line="240" w:lineRule="auto"/>
              <w:rPr>
                <w:rFonts w:cs="Calibri"/>
                <w:sz w:val="20"/>
                <w:lang w:val="nl-NL" w:eastAsia="nl-NL"/>
              </w:rPr>
            </w:pPr>
            <w:r w:rsidRPr="00B35654">
              <w:rPr>
                <w:rFonts w:cs="Calibri"/>
                <w:sz w:val="20"/>
                <w:lang w:val="nl-NL" w:eastAsia="nl-NL"/>
              </w:rPr>
              <w:t>Skin</w:t>
            </w:r>
          </w:p>
        </w:tc>
        <w:tc>
          <w:tcPr>
            <w:tcW w:w="1741" w:type="dxa"/>
            <w:tcBorders>
              <w:bottom w:val="single" w:sz="12" w:space="0" w:color="auto"/>
            </w:tcBorders>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0.94</w:t>
            </w:r>
          </w:p>
        </w:tc>
        <w:tc>
          <w:tcPr>
            <w:tcW w:w="1741" w:type="dxa"/>
            <w:tcBorders>
              <w:bottom w:val="single" w:sz="12" w:space="0" w:color="auto"/>
            </w:tcBorders>
            <w:noWrap/>
            <w:hideMark/>
          </w:tcPr>
          <w:p w:rsidR="00A9011A" w:rsidRPr="00B35654" w:rsidRDefault="00A9011A" w:rsidP="00C30A51">
            <w:pPr>
              <w:spacing w:line="240" w:lineRule="auto"/>
              <w:jc w:val="center"/>
              <w:rPr>
                <w:rFonts w:cs="Calibri"/>
                <w:sz w:val="20"/>
                <w:lang w:val="nl-NL" w:eastAsia="nl-NL"/>
              </w:rPr>
            </w:pPr>
            <w:r w:rsidRPr="00B35654">
              <w:rPr>
                <w:rFonts w:cs="Calibri"/>
                <w:sz w:val="20"/>
                <w:lang w:val="nl-NL" w:eastAsia="nl-NL"/>
              </w:rPr>
              <w:t>0.94</w:t>
            </w:r>
          </w:p>
        </w:tc>
      </w:tr>
    </w:tbl>
    <w:p w:rsidR="00A9011A" w:rsidRDefault="00A9011A" w:rsidP="00A9011A">
      <w:pPr>
        <w:rPr>
          <w:lang w:eastAsia="nl-NL"/>
        </w:rPr>
      </w:pPr>
    </w:p>
    <w:p w:rsidR="00A9011A" w:rsidRDefault="00A9011A" w:rsidP="00C30A51">
      <w:pPr>
        <w:rPr>
          <w:lang w:eastAsia="nl-NL"/>
        </w:rPr>
      </w:pPr>
      <w:r>
        <w:rPr>
          <w:lang w:eastAsia="nl-NL"/>
        </w:rPr>
        <w:t xml:space="preserve">The baseline utility was multiplied with the </w:t>
      </w:r>
      <w:r w:rsidR="00C30A51">
        <w:rPr>
          <w:lang w:eastAsia="nl-NL"/>
        </w:rPr>
        <w:t>greatest disutility</w:t>
      </w:r>
      <w:r>
        <w:rPr>
          <w:lang w:eastAsia="nl-NL"/>
        </w:rPr>
        <w:t xml:space="preserve"> from the organ damage systems a patient had developed. When patients developed more than one damage event within an organ system the two year onwards disutility was raised to the power of the number of events. </w:t>
      </w:r>
    </w:p>
    <w:p w:rsidR="00A9011A" w:rsidRDefault="00A9011A" w:rsidP="00503D38">
      <w:r>
        <w:t xml:space="preserve">The utility decrements are assumed to be independent parameters in the </w:t>
      </w:r>
      <w:r w:rsidR="001A1797">
        <w:t xml:space="preserve">CE </w:t>
      </w:r>
      <w:r>
        <w:t>model following the Beta distribution. The parameters of the Beta distribution</w:t>
      </w:r>
      <w:r w:rsidR="00503D38">
        <w:t xml:space="preserve"> </w:t>
      </w:r>
      <m:oMath>
        <m:r>
          <w:rPr>
            <w:rFonts w:ascii="Cambria Math" w:hAnsi="Cambria Math"/>
          </w:rPr>
          <m:t>(α,β)</m:t>
        </m:r>
      </m:oMath>
      <w:r>
        <w:t xml:space="preserve"> were approximated from the estimates </w:t>
      </w:r>
      <w:r w:rsidR="00503D38">
        <w:t xml:space="preserve">for mean, </w:t>
      </w:r>
      <m:oMath>
        <m:acc>
          <m:accPr>
            <m:chr m:val="̅"/>
            <m:ctrlPr>
              <w:rPr>
                <w:rFonts w:ascii="Cambria Math" w:hAnsi="Cambria Math"/>
                <w:i/>
              </w:rPr>
            </m:ctrlPr>
          </m:accPr>
          <m:e>
            <m:r>
              <w:rPr>
                <w:rFonts w:ascii="Cambria Math" w:hAnsi="Cambria Math"/>
              </w:rPr>
              <m:t>μ</m:t>
            </m:r>
          </m:e>
        </m:acc>
      </m:oMath>
      <w:r w:rsidR="00503D38">
        <w:t xml:space="preserve">, and variance,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503D38">
        <w:t xml:space="preserve">, </w:t>
      </w:r>
      <w:r>
        <w:t xml:space="preserve">identified in the literature review using the method of moments approach </w:t>
      </w:r>
      <w:r w:rsidR="00E729BA">
        <w:fldChar w:fldCharType="begin"/>
      </w:r>
      <w:r w:rsidR="00FC61FD">
        <w:instrText xml:space="preserve"> ADDIN REFMGR.CITE &lt;Refman&gt;&lt;Cite&gt;&lt;Author&gt;Briggs&lt;/Author&gt;&lt;Year&gt;2006&lt;/Year&gt;&lt;RecNum&gt;1500&lt;/RecNum&gt;&lt;IDText&gt;Decision Modelling for Health Economic Evaluation&lt;/IDText&gt;&lt;MDL Ref_Type="Book, Whole"&gt;&lt;Ref_Type&gt;Book, Whole&lt;/Ref_Type&gt;&lt;Ref_ID&gt;1500&lt;/Ref_ID&gt;&lt;Title_Primary&gt;Decision Modelling for Health Economic Evaluation&lt;/Title_Primary&gt;&lt;Authors_Primary&gt;Briggs,A.&lt;/Authors_Primary&gt;&lt;Authors_Primary&gt;Sculpher,M.&lt;/Authors_Primary&gt;&lt;Authors_Primary&gt;Claxton,K.&lt;/Authors_Primary&gt;&lt;Date_Primary&gt;2006&lt;/Date_Primary&gt;&lt;Keywords&gt;Health&lt;/Keywords&gt;&lt;Keywords&gt;evaluation&lt;/Keywords&gt;&lt;Reprint&gt;Not in File&lt;/Reprint&gt;&lt;Volume&gt;first edition&lt;/Volume&gt;&lt;Pub_Place&gt;Oxford&lt;/Pub_Place&gt;&lt;Publisher&gt;Oxford University Press&lt;/Publisher&gt;&lt;ZZ_WorkformID&gt;2&lt;/ZZ_WorkformID&gt;&lt;/MDL&gt;&lt;/Cite&gt;&lt;/Refman&gt;</w:instrText>
      </w:r>
      <w:r w:rsidR="00E729BA">
        <w:fldChar w:fldCharType="separate"/>
      </w:r>
      <w:r w:rsidR="004D7951">
        <w:t>(22)</w:t>
      </w:r>
      <w:r w:rsidR="00E729BA">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5"/>
        <w:gridCol w:w="7081"/>
        <w:gridCol w:w="864"/>
      </w:tblGrid>
      <w:tr w:rsidR="007568A9" w:rsidTr="00025CCF">
        <w:trPr>
          <w:trHeight w:val="435"/>
        </w:trPr>
        <w:tc>
          <w:tcPr>
            <w:tcW w:w="817" w:type="dxa"/>
          </w:tcPr>
          <w:p w:rsidR="007568A9" w:rsidRDefault="007568A9" w:rsidP="007568A9"/>
        </w:tc>
        <w:tc>
          <w:tcPr>
            <w:tcW w:w="7513" w:type="dxa"/>
          </w:tcPr>
          <w:p w:rsidR="007568A9" w:rsidRPr="002367E4" w:rsidRDefault="00E729BA" w:rsidP="007568A9">
            <m:oMathPara>
              <m:oMath>
                <m:d>
                  <m:dPr>
                    <m:ctrlPr>
                      <w:rPr>
                        <w:rFonts w:ascii="Cambria Math" w:hAnsi="Cambria Math"/>
                        <w:i/>
                      </w:rPr>
                    </m:ctrlPr>
                  </m:dPr>
                  <m:e>
                    <m:r>
                      <w:rPr>
                        <w:rFonts w:ascii="Cambria Math" w:hAnsi="Cambria Math"/>
                      </w:rPr>
                      <m:t>α+β</m:t>
                    </m:r>
                  </m:e>
                </m:d>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μ</m:t>
                        </m:r>
                      </m:e>
                    </m:acc>
                    <m:d>
                      <m:dPr>
                        <m:ctrlPr>
                          <w:rPr>
                            <w:rFonts w:ascii="Cambria Math" w:hAnsi="Cambria Math"/>
                            <w:i/>
                          </w:rPr>
                        </m:ctrlPr>
                      </m:dPr>
                      <m:e>
                        <m:r>
                          <w:rPr>
                            <w:rFonts w:ascii="Cambria Math" w:hAnsi="Cambria Math"/>
                          </w:rPr>
                          <m:t>1-</m:t>
                        </m:r>
                        <m:acc>
                          <m:accPr>
                            <m:chr m:val="̅"/>
                            <m:ctrlPr>
                              <w:rPr>
                                <w:rFonts w:ascii="Cambria Math" w:hAnsi="Cambria Math"/>
                                <w:i/>
                              </w:rPr>
                            </m:ctrlPr>
                          </m:accPr>
                          <m:e>
                            <m:r>
                              <w:rPr>
                                <w:rFonts w:ascii="Cambria Math" w:hAnsi="Cambria Math"/>
                              </w:rPr>
                              <m:t>μ</m:t>
                            </m:r>
                          </m:e>
                        </m:acc>
                      </m:e>
                    </m:d>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-1</m:t>
                </m:r>
              </m:oMath>
            </m:oMathPara>
          </w:p>
        </w:tc>
        <w:tc>
          <w:tcPr>
            <w:tcW w:w="912" w:type="dxa"/>
          </w:tcPr>
          <w:p w:rsidR="007568A9" w:rsidRDefault="007568A9" w:rsidP="00597CF5">
            <w:pPr>
              <w:pStyle w:val="ListParagraph"/>
              <w:numPr>
                <w:ilvl w:val="1"/>
                <w:numId w:val="30"/>
              </w:numPr>
              <w:bidi/>
              <w:ind w:right="220"/>
              <w:jc w:val="right"/>
            </w:pPr>
          </w:p>
        </w:tc>
      </w:tr>
      <w:tr w:rsidR="007568A9" w:rsidTr="00025CCF">
        <w:trPr>
          <w:trHeight w:val="435"/>
        </w:trPr>
        <w:tc>
          <w:tcPr>
            <w:tcW w:w="817" w:type="dxa"/>
          </w:tcPr>
          <w:p w:rsidR="007568A9" w:rsidRDefault="007568A9" w:rsidP="007568A9"/>
        </w:tc>
        <w:tc>
          <w:tcPr>
            <w:tcW w:w="7513" w:type="dxa"/>
          </w:tcPr>
          <w:p w:rsidR="007568A9" w:rsidRPr="002367E4" w:rsidRDefault="007568A9" w:rsidP="007568A9">
            <m:oMathPara>
              <m:oMath>
                <m:r>
                  <w:rPr>
                    <w:rFonts w:ascii="Cambria Math" w:hAnsi="Cambria Math"/>
                  </w:rPr>
                  <m:t>α=</m:t>
                </m:r>
                <m:acc>
                  <m:accPr>
                    <m:chr m:val="̅"/>
                    <m:ctrlPr>
                      <w:rPr>
                        <w:rFonts w:ascii="Cambria Math" w:hAnsi="Cambria Math"/>
                        <w:i/>
                      </w:rPr>
                    </m:ctrlPr>
                  </m:accPr>
                  <m:e>
                    <m:r>
                      <w:rPr>
                        <w:rFonts w:ascii="Cambria Math" w:hAnsi="Cambria Math"/>
                      </w:rPr>
                      <m:t>μ</m:t>
                    </m:r>
                  </m:e>
                </m:acc>
                <m:r>
                  <w:rPr>
                    <w:rFonts w:ascii="Cambria Math" w:hAnsi="Cambria Math"/>
                  </w:rPr>
                  <m:t>(α+β)</m:t>
                </m:r>
              </m:oMath>
            </m:oMathPara>
          </w:p>
        </w:tc>
        <w:tc>
          <w:tcPr>
            <w:tcW w:w="912" w:type="dxa"/>
          </w:tcPr>
          <w:p w:rsidR="007568A9" w:rsidRDefault="007568A9" w:rsidP="00597CF5">
            <w:pPr>
              <w:pStyle w:val="ListParagraph"/>
              <w:numPr>
                <w:ilvl w:val="1"/>
                <w:numId w:val="30"/>
              </w:numPr>
              <w:bidi/>
              <w:ind w:right="220"/>
              <w:jc w:val="right"/>
            </w:pPr>
          </w:p>
        </w:tc>
      </w:tr>
      <w:tr w:rsidR="007568A9" w:rsidTr="00025CCF">
        <w:trPr>
          <w:trHeight w:val="435"/>
        </w:trPr>
        <w:tc>
          <w:tcPr>
            <w:tcW w:w="817" w:type="dxa"/>
          </w:tcPr>
          <w:p w:rsidR="007568A9" w:rsidRDefault="007568A9" w:rsidP="007568A9"/>
        </w:tc>
        <w:tc>
          <w:tcPr>
            <w:tcW w:w="7513" w:type="dxa"/>
          </w:tcPr>
          <w:p w:rsidR="007568A9" w:rsidRPr="002367E4" w:rsidRDefault="007568A9" w:rsidP="007568A9">
            <m:oMathPara>
              <m:oMath>
                <m:r>
                  <w:rPr>
                    <w:rFonts w:ascii="Cambria Math" w:hAnsi="Cambria Math"/>
                  </w:rPr>
                  <m:t>β=α</m:t>
                </m:r>
                <m:f>
                  <m:fPr>
                    <m:ctrlPr>
                      <w:rPr>
                        <w:rFonts w:ascii="Cambria Math" w:hAnsi="Cambria Math"/>
                        <w:i/>
                      </w:rPr>
                    </m:ctrlPr>
                  </m:fPr>
                  <m:num>
                    <m:r>
                      <w:rPr>
                        <w:rFonts w:ascii="Cambria Math" w:hAnsi="Cambria Math"/>
                      </w:rPr>
                      <m:t>(1-</m:t>
                    </m:r>
                    <m:acc>
                      <m:accPr>
                        <m:chr m:val="̅"/>
                        <m:ctrlPr>
                          <w:rPr>
                            <w:rFonts w:ascii="Cambria Math" w:hAnsi="Cambria Math"/>
                            <w:i/>
                          </w:rPr>
                        </m:ctrlPr>
                      </m:accPr>
                      <m:e>
                        <m:r>
                          <w:rPr>
                            <w:rFonts w:ascii="Cambria Math" w:hAnsi="Cambria Math"/>
                          </w:rPr>
                          <m:t>μ</m:t>
                        </m:r>
                      </m:e>
                    </m:acc>
                    <m:r>
                      <w:rPr>
                        <w:rFonts w:ascii="Cambria Math" w:hAnsi="Cambria Math"/>
                      </w:rPr>
                      <m:t>)</m:t>
                    </m:r>
                  </m:num>
                  <m:den>
                    <m:acc>
                      <m:accPr>
                        <m:chr m:val="̅"/>
                        <m:ctrlPr>
                          <w:rPr>
                            <w:rFonts w:ascii="Cambria Math" w:hAnsi="Cambria Math"/>
                            <w:i/>
                          </w:rPr>
                        </m:ctrlPr>
                      </m:accPr>
                      <m:e>
                        <m:r>
                          <w:rPr>
                            <w:rFonts w:ascii="Cambria Math" w:hAnsi="Cambria Math"/>
                          </w:rPr>
                          <m:t>μ</m:t>
                        </m:r>
                      </m:e>
                    </m:acc>
                  </m:den>
                </m:f>
              </m:oMath>
            </m:oMathPara>
          </w:p>
        </w:tc>
        <w:tc>
          <w:tcPr>
            <w:tcW w:w="912" w:type="dxa"/>
          </w:tcPr>
          <w:p w:rsidR="007568A9" w:rsidRDefault="007568A9" w:rsidP="00597CF5">
            <w:pPr>
              <w:pStyle w:val="ListParagraph"/>
              <w:numPr>
                <w:ilvl w:val="1"/>
                <w:numId w:val="30"/>
              </w:numPr>
              <w:bidi/>
              <w:ind w:right="220"/>
              <w:jc w:val="right"/>
            </w:pPr>
          </w:p>
        </w:tc>
      </w:tr>
    </w:tbl>
    <w:p w:rsidR="00A9011A" w:rsidRDefault="00A9011A" w:rsidP="00DF14BD">
      <w:pPr>
        <w:rPr>
          <w:lang w:eastAsia="nl-NL"/>
        </w:rPr>
      </w:pPr>
      <w:r>
        <w:t xml:space="preserve">In most cases the standard </w:t>
      </w:r>
      <w:r w:rsidR="00DF14BD">
        <w:t xml:space="preserve">errors </w:t>
      </w:r>
      <w:r>
        <w:t xml:space="preserve">were not reported in which case it was assumed to be 10% of the mean. </w:t>
      </w:r>
    </w:p>
    <w:p w:rsidR="00A9011A" w:rsidRDefault="00A9011A" w:rsidP="00A9011A">
      <w:pPr>
        <w:pStyle w:val="Heading4"/>
      </w:pPr>
      <w:bookmarkStart w:id="514" w:name="_Toc279746629"/>
      <w:bookmarkStart w:id="515" w:name="_Toc280007191"/>
      <w:bookmarkStart w:id="516" w:name="_Toc280014839"/>
      <w:bookmarkStart w:id="517" w:name="_Toc280881235"/>
      <w:bookmarkStart w:id="518" w:name="_Toc280882303"/>
      <w:bookmarkStart w:id="519" w:name="_Toc287362524"/>
      <w:r>
        <w:t>Cost inputs</w:t>
      </w:r>
      <w:bookmarkEnd w:id="514"/>
      <w:bookmarkEnd w:id="515"/>
      <w:bookmarkEnd w:id="516"/>
      <w:bookmarkEnd w:id="517"/>
      <w:bookmarkEnd w:id="518"/>
      <w:bookmarkEnd w:id="519"/>
    </w:p>
    <w:p w:rsidR="00DF14BD" w:rsidRDefault="00DF14BD" w:rsidP="00DF14BD">
      <w:r>
        <w:t xml:space="preserve">The model was designed to evaluate the cost-effectiveness of a new hypothetical drug for SLE in order for the Pharmaceutical Company to demonstrate the benefits of the new treatment to institutions like NICE. As such the analysis is evaluated from the NHS/PSS Cost perspective in line with the NICE reference case </w:t>
      </w:r>
      <w:r w:rsidR="00E729BA">
        <w:fldChar w:fldCharType="begin"/>
      </w:r>
      <w:r w:rsidR="00FC61FD">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fldChar w:fldCharType="separate"/>
      </w:r>
      <w:r>
        <w:t>(29)</w:t>
      </w:r>
      <w:r w:rsidR="00E729BA">
        <w:fldChar w:fldCharType="end"/>
      </w:r>
      <w:r>
        <w:t xml:space="preserve">. </w:t>
      </w:r>
    </w:p>
    <w:p w:rsidR="00A9011A" w:rsidRDefault="00A9011A" w:rsidP="00DF14BD">
      <w:r>
        <w:t>The CE model included parameters to describe the annual costs associated with disease activity, organ damage</w:t>
      </w:r>
      <w:r w:rsidR="00503D38">
        <w:t xml:space="preserve"> mainly identified from Health Technology Appraisals related to each event</w:t>
      </w:r>
      <w:r>
        <w:t xml:space="preserve">. </w:t>
      </w:r>
      <w:r>
        <w:rPr>
          <w:lang w:eastAsia="nl-NL"/>
        </w:rPr>
        <w:t>Indirect were not included in the CE model</w:t>
      </w:r>
      <w:r w:rsidR="00503D38">
        <w:rPr>
          <w:lang w:eastAsia="nl-NL"/>
        </w:rPr>
        <w:t xml:space="preserve"> and the cost of the new technology was not pre-fixed</w:t>
      </w:r>
      <w:r>
        <w:rPr>
          <w:lang w:eastAsia="nl-NL"/>
        </w:rPr>
        <w:t xml:space="preserve">. </w:t>
      </w:r>
      <w:r>
        <w:t xml:space="preserve">The costs of disease activity included a fixed and variable cost, where incremental increases in the average SLEDAI score increase the cost of the patient. </w:t>
      </w:r>
      <w:r w:rsidR="00DF14BD">
        <w:t xml:space="preserve">This method of relating disease activity to costs may not produce reliable estimates of total costs because organ damage and other co morbid conditions were not incorporated into the analysis. Furthermore, SLEDAI score may not be a reliable estimate of costs because the types of clinical events included in the SLEDAI will be extremely variable in terms of their costs. Nevertheless, no alternative sources of evidence for SLE patients according to disease activity were found. </w:t>
      </w:r>
      <w:r>
        <w:t xml:space="preserve">Organ damage costs included a cost associated with the event in the first year of its incidence, and subsequent annual costs of treating patients with a history of the event. </w:t>
      </w:r>
    </w:p>
    <w:p w:rsidR="00A9011A" w:rsidRDefault="00A9011A" w:rsidP="00503D38">
      <w:r>
        <w:t xml:space="preserve">Costs were assumed to follow the Gamma distribution and the parameters of the Gamma </w:t>
      </w:r>
      <w:r w:rsidR="00503D38">
        <w:t xml:space="preserve">distribution </w:t>
      </w:r>
      <m:oMath>
        <m:r>
          <w:rPr>
            <w:rFonts w:ascii="Cambria Math" w:hAnsi="Cambria Math"/>
          </w:rPr>
          <m:t>(α,β)</m:t>
        </m:r>
      </m:oMath>
      <w:r w:rsidR="00503D38">
        <w:t xml:space="preserve"> were approximated from the estimates for mean, </w:t>
      </w:r>
      <m:oMath>
        <m:acc>
          <m:accPr>
            <m:chr m:val="̅"/>
            <m:ctrlPr>
              <w:rPr>
                <w:rFonts w:ascii="Cambria Math" w:hAnsi="Cambria Math"/>
                <w:i/>
              </w:rPr>
            </m:ctrlPr>
          </m:accPr>
          <m:e>
            <m:r>
              <w:rPr>
                <w:rFonts w:ascii="Cambria Math" w:hAnsi="Cambria Math"/>
              </w:rPr>
              <m:t>μ</m:t>
            </m:r>
          </m:e>
        </m:acc>
      </m:oMath>
      <w:r w:rsidR="00503D38">
        <w:t xml:space="preserve">, and variance, </w:t>
      </w:r>
      <m:oMath>
        <m:sSup>
          <m:sSupPr>
            <m:ctrlPr>
              <w:rPr>
                <w:rFonts w:ascii="Cambria Math" w:hAnsi="Cambria Math"/>
                <w:i/>
              </w:rPr>
            </m:ctrlPr>
          </m:sSupPr>
          <m:e>
            <m:r>
              <w:rPr>
                <w:rFonts w:ascii="Cambria Math" w:hAnsi="Cambria Math"/>
              </w:rPr>
              <m:t>s</m:t>
            </m:r>
          </m:e>
          <m:sup>
            <m:r>
              <w:rPr>
                <w:rFonts w:ascii="Cambria Math" w:hAnsi="Cambria Math"/>
              </w:rPr>
              <m:t>2</m:t>
            </m:r>
          </m:sup>
        </m:sSup>
      </m:oMath>
      <w:r w:rsidR="00503D38">
        <w:t xml:space="preserve">, identified in the literature review using </w:t>
      </w:r>
      <w:r>
        <w:t xml:space="preserve">the method of moments approach </w:t>
      </w:r>
      <w:r w:rsidR="00E729BA">
        <w:fldChar w:fldCharType="begin"/>
      </w:r>
      <w:r w:rsidR="00FC61FD">
        <w:instrText xml:space="preserve"> ADDIN REFMGR.CITE &lt;Refman&gt;&lt;Cite&gt;&lt;Author&gt;Briggs&lt;/Author&gt;&lt;Year&gt;2006&lt;/Year&gt;&lt;RecNum&gt;1500&lt;/RecNum&gt;&lt;IDText&gt;Decision Modelling for Health Economic Evaluation&lt;/IDText&gt;&lt;MDL Ref_Type="Book, Whole"&gt;&lt;Ref_Type&gt;Book, Whole&lt;/Ref_Type&gt;&lt;Ref_ID&gt;1500&lt;/Ref_ID&gt;&lt;Title_Primary&gt;Decision Modelling for Health Economic Evaluation&lt;/Title_Primary&gt;&lt;Authors_Primary&gt;Briggs,A.&lt;/Authors_Primary&gt;&lt;Authors_Primary&gt;Sculpher,M.&lt;/Authors_Primary&gt;&lt;Authors_Primary&gt;Claxton,K.&lt;/Authors_Primary&gt;&lt;Date_Primary&gt;2006&lt;/Date_Primary&gt;&lt;Keywords&gt;Health&lt;/Keywords&gt;&lt;Keywords&gt;evaluation&lt;/Keywords&gt;&lt;Reprint&gt;Not in File&lt;/Reprint&gt;&lt;Volume&gt;first edition&lt;/Volume&gt;&lt;Pub_Place&gt;Oxford&lt;/Pub_Place&gt;&lt;Publisher&gt;Oxford University Press&lt;/Publisher&gt;&lt;ZZ_WorkformID&gt;2&lt;/ZZ_WorkformID&gt;&lt;/MDL&gt;&lt;/Cite&gt;&lt;/Refman&gt;</w:instrText>
      </w:r>
      <w:r w:rsidR="00E729BA">
        <w:fldChar w:fldCharType="separate"/>
      </w:r>
      <w:r w:rsidR="0081424E">
        <w:t>(22)</w:t>
      </w:r>
      <w:r w:rsidR="00E729BA">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44"/>
        <w:gridCol w:w="6675"/>
        <w:gridCol w:w="1001"/>
      </w:tblGrid>
      <w:tr w:rsidR="007568A9" w:rsidTr="00025CCF">
        <w:trPr>
          <w:trHeight w:val="435"/>
        </w:trPr>
        <w:tc>
          <w:tcPr>
            <w:tcW w:w="1101" w:type="dxa"/>
          </w:tcPr>
          <w:p w:rsidR="007568A9" w:rsidRDefault="007568A9" w:rsidP="007568A9"/>
        </w:tc>
        <w:tc>
          <w:tcPr>
            <w:tcW w:w="7087" w:type="dxa"/>
          </w:tcPr>
          <w:p w:rsidR="007568A9" w:rsidRPr="002367E4" w:rsidRDefault="007568A9" w:rsidP="007568A9">
            <m:oMathPara>
              <m:oMath>
                <m:r>
                  <w:rPr>
                    <w:rFonts w:ascii="Cambria Math" w:hAnsi="Cambria Math"/>
                  </w:rPr>
                  <m:t>α=</m:t>
                </m:r>
                <m:f>
                  <m:fPr>
                    <m:ctrlPr>
                      <w:rPr>
                        <w:rFonts w:ascii="Cambria Math" w:hAnsi="Cambria Math"/>
                        <w:i/>
                      </w:rPr>
                    </m:ctrlPr>
                  </m:fPr>
                  <m:num>
                    <m:sSup>
                      <m:sSupPr>
                        <m:ctrlPr>
                          <w:rPr>
                            <w:rFonts w:ascii="Cambria Math" w:hAnsi="Cambria Math"/>
                            <w:i/>
                          </w:rPr>
                        </m:ctrlPr>
                      </m:sSupPr>
                      <m:e>
                        <m:acc>
                          <m:accPr>
                            <m:chr m:val="̅"/>
                            <m:ctrlPr>
                              <w:rPr>
                                <w:rFonts w:ascii="Cambria Math" w:hAnsi="Cambria Math"/>
                                <w:i/>
                              </w:rPr>
                            </m:ctrlPr>
                          </m:accPr>
                          <m:e>
                            <m:r>
                              <w:rPr>
                                <w:rFonts w:ascii="Cambria Math" w:hAnsi="Cambria Math"/>
                              </w:rPr>
                              <m:t>μ</m:t>
                            </m:r>
                          </m:e>
                        </m:acc>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2</m:t>
                        </m:r>
                      </m:sup>
                    </m:sSup>
                  </m:den>
                </m:f>
              </m:oMath>
            </m:oMathPara>
          </w:p>
        </w:tc>
        <w:tc>
          <w:tcPr>
            <w:tcW w:w="1054" w:type="dxa"/>
          </w:tcPr>
          <w:p w:rsidR="007568A9" w:rsidRDefault="007568A9" w:rsidP="00597CF5">
            <w:pPr>
              <w:pStyle w:val="ListParagraph"/>
              <w:numPr>
                <w:ilvl w:val="1"/>
                <w:numId w:val="30"/>
              </w:numPr>
              <w:bidi/>
              <w:ind w:right="220"/>
              <w:jc w:val="right"/>
            </w:pPr>
          </w:p>
        </w:tc>
      </w:tr>
      <w:tr w:rsidR="007568A9" w:rsidTr="00025CCF">
        <w:trPr>
          <w:trHeight w:val="435"/>
        </w:trPr>
        <w:tc>
          <w:tcPr>
            <w:tcW w:w="1101" w:type="dxa"/>
          </w:tcPr>
          <w:p w:rsidR="007568A9" w:rsidRDefault="007568A9" w:rsidP="007568A9"/>
        </w:tc>
        <w:tc>
          <w:tcPr>
            <w:tcW w:w="7087" w:type="dxa"/>
          </w:tcPr>
          <w:p w:rsidR="007568A9" w:rsidRPr="002367E4" w:rsidRDefault="007568A9" w:rsidP="007568A9">
            <m:oMathPara>
              <m:oMath>
                <m:r>
                  <w:rPr>
                    <w:rFonts w:ascii="Cambria Math" w:hAnsi="Cambria Math"/>
                  </w:rPr>
                  <m:t>β=</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num>
                  <m:den>
                    <m:acc>
                      <m:accPr>
                        <m:chr m:val="̅"/>
                        <m:ctrlPr>
                          <w:rPr>
                            <w:rFonts w:ascii="Cambria Math" w:hAnsi="Cambria Math"/>
                            <w:i/>
                          </w:rPr>
                        </m:ctrlPr>
                      </m:accPr>
                      <m:e>
                        <m:r>
                          <w:rPr>
                            <w:rFonts w:ascii="Cambria Math" w:hAnsi="Cambria Math"/>
                          </w:rPr>
                          <m:t>μ</m:t>
                        </m:r>
                      </m:e>
                    </m:acc>
                  </m:den>
                </m:f>
              </m:oMath>
            </m:oMathPara>
          </w:p>
        </w:tc>
        <w:tc>
          <w:tcPr>
            <w:tcW w:w="1054" w:type="dxa"/>
          </w:tcPr>
          <w:p w:rsidR="007568A9" w:rsidRDefault="007568A9" w:rsidP="00597CF5">
            <w:pPr>
              <w:pStyle w:val="ListParagraph"/>
              <w:numPr>
                <w:ilvl w:val="1"/>
                <w:numId w:val="30"/>
              </w:numPr>
              <w:bidi/>
              <w:ind w:right="220"/>
              <w:jc w:val="right"/>
            </w:pPr>
          </w:p>
        </w:tc>
      </w:tr>
    </w:tbl>
    <w:p w:rsidR="00A9011A" w:rsidRDefault="00A9011A" w:rsidP="00A9011A">
      <w:pPr>
        <w:rPr>
          <w:lang w:eastAsia="nl-NL"/>
        </w:rPr>
      </w:pPr>
      <w:r>
        <w:t xml:space="preserve">In most cases the standard deviations were not reported in which case it was assumed to be 10% of the mean. </w:t>
      </w:r>
    </w:p>
    <w:p w:rsidR="00A9011A" w:rsidRDefault="00A9011A" w:rsidP="00A9011A">
      <w:pPr>
        <w:rPr>
          <w:lang w:eastAsia="nl-NL"/>
        </w:rPr>
      </w:pPr>
      <w:r>
        <w:rPr>
          <w:lang w:eastAsia="nl-NL"/>
        </w:rPr>
        <w:t xml:space="preserve">The costs associated with disease activity were based on the GSK manufacturer’s submission in which the baseline yearly cost of SLE is £1,152 </w:t>
      </w:r>
      <w:r w:rsidR="00E729BA">
        <w:rPr>
          <w:lang w:eastAsia="nl-NL"/>
        </w:rPr>
        <w:fldChar w:fldCharType="begin"/>
      </w:r>
      <w:r w:rsidR="00FC61FD">
        <w:rPr>
          <w:lang w:eastAsia="nl-NL"/>
        </w:rPr>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rPr>
          <w:lang w:eastAsia="nl-NL"/>
        </w:rPr>
        <w:fldChar w:fldCharType="separate"/>
      </w:r>
      <w:r w:rsidR="004D7951">
        <w:rPr>
          <w:lang w:eastAsia="nl-NL"/>
        </w:rPr>
        <w:t>(224)</w:t>
      </w:r>
      <w:r w:rsidR="00E729BA">
        <w:rPr>
          <w:lang w:eastAsia="nl-NL"/>
        </w:rPr>
        <w:fldChar w:fldCharType="end"/>
      </w:r>
      <w:r>
        <w:rPr>
          <w:lang w:eastAsia="nl-NL"/>
        </w:rPr>
        <w:t>. This increases with higher SLEDAI scores assuming a linear relationship of £55.6 per SLEDAI score.</w:t>
      </w:r>
    </w:p>
    <w:p w:rsidR="00A9011A" w:rsidRDefault="00A9011A" w:rsidP="00A9011A">
      <w:pPr>
        <w:rPr>
          <w:lang w:eastAsia="nl-NL"/>
        </w:rPr>
      </w:pPr>
      <w:r>
        <w:rPr>
          <w:lang w:eastAsia="nl-NL"/>
        </w:rPr>
        <w:t xml:space="preserve">Organ damage has a substantial effect on the cost of managing SLE patients. The impact is variable across organ systems. In the GSK submission a literature review identified the costs associated with organ damage events, and averaged within organ systems </w:t>
      </w:r>
      <w:r w:rsidR="00E729BA">
        <w:rPr>
          <w:lang w:eastAsia="nl-NL"/>
        </w:rPr>
        <w:fldChar w:fldCharType="begin"/>
      </w:r>
      <w:r w:rsidR="00FC61FD">
        <w:rPr>
          <w:lang w:eastAsia="nl-NL"/>
        </w:rPr>
        <w:instrText xml:space="preserve"> ADDIN REFMGR.CITE &lt;Refman&gt;&lt;Cite&gt;&lt;Author&gt;GlaxoSmithKline&lt;/Author&gt;&lt;Year&gt;2011&lt;/Year&gt;&lt;RecNum&gt;1619&lt;/RecNum&gt;&lt;IDText&gt;Single Technology Appraisal. Belimumab for the treatment of active autoantibody-positive systemic lupus eythematosus. Specification for manufacturer/sponsor submission of evidence &lt;/IDText&gt;&lt;MDL Ref_Type="Electronic Citation"&gt;&lt;Ref_Type&gt;Electronic Citation&lt;/Ref_Type&gt;&lt;Ref_ID&gt;1619&lt;/Ref_ID&gt;&lt;Title_Primary&gt;Single Technology Appraisal. Belimumab for the treatment of active autoantibody-positive systemic lupus eythematosus. Specification for manufacturer/sponsor submission of evidence&lt;b&gt; &lt;/b&gt;&lt;/Title_Primary&gt;&lt;Authors_Primary&gt;GlaxoSmithKline&lt;/Authors_Primary&gt;&lt;Date_Primary&gt;2011&lt;/Date_Primary&gt;&lt;Reprint&gt;In File&lt;/Reprint&gt;&lt;Periodical&gt;National Institue for Health and Clinical Excellence (NICE)&lt;/Periodical&gt;&lt;Web_URL&gt;&lt;u&gt;http://www.nice.org.uk/nicemedia/live/13307/56490/56490.pdf&lt;/u&gt;&lt;/Web_URL&gt;&lt;ZZ_JournalFull&gt;&lt;f name="System"&gt;National Institue for Health and Clinical Excellence (NICE)&lt;/f&gt;&lt;/ZZ_JournalFull&gt;&lt;ZZ_WorkformID&gt;34&lt;/ZZ_WorkformID&gt;&lt;/MDL&gt;&lt;/Cite&gt;&lt;/Refman&gt;</w:instrText>
      </w:r>
      <w:r w:rsidR="00E729BA">
        <w:rPr>
          <w:lang w:eastAsia="nl-NL"/>
        </w:rPr>
        <w:fldChar w:fldCharType="separate"/>
      </w:r>
      <w:r w:rsidR="0081424E">
        <w:rPr>
          <w:lang w:eastAsia="nl-NL"/>
        </w:rPr>
        <w:t>(224)</w:t>
      </w:r>
      <w:r w:rsidR="00E729BA">
        <w:rPr>
          <w:lang w:eastAsia="nl-NL"/>
        </w:rPr>
        <w:fldChar w:fldCharType="end"/>
      </w:r>
      <w:r>
        <w:rPr>
          <w:lang w:eastAsia="nl-NL"/>
        </w:rPr>
        <w:t xml:space="preserve">. Each organ system estimates the cost for the first year of the event and subsequent years. The costs associated with each organ system are reported in </w:t>
      </w:r>
      <w:r w:rsidR="00E729BA">
        <w:rPr>
          <w:lang w:eastAsia="nl-NL"/>
        </w:rPr>
        <w:fldChar w:fldCharType="begin"/>
      </w:r>
      <w:r>
        <w:rPr>
          <w:lang w:eastAsia="nl-NL"/>
        </w:rPr>
        <w:instrText xml:space="preserve"> REF _Ref281826555 \h </w:instrText>
      </w:r>
      <w:r w:rsidR="00E729BA">
        <w:rPr>
          <w:lang w:eastAsia="nl-NL"/>
        </w:rPr>
      </w:r>
      <w:r w:rsidR="00E729BA">
        <w:rPr>
          <w:lang w:eastAsia="nl-NL"/>
        </w:rPr>
        <w:fldChar w:fldCharType="separate"/>
      </w:r>
      <w:r w:rsidR="004911B7">
        <w:t xml:space="preserve">Table </w:t>
      </w:r>
      <w:r w:rsidR="004911B7">
        <w:rPr>
          <w:noProof/>
        </w:rPr>
        <w:t>46</w:t>
      </w:r>
      <w:r w:rsidR="00E729BA">
        <w:rPr>
          <w:lang w:eastAsia="nl-NL"/>
        </w:rPr>
        <w:fldChar w:fldCharType="end"/>
      </w:r>
      <w:r>
        <w:rPr>
          <w:lang w:eastAsia="nl-NL"/>
        </w:rPr>
        <w:t>.</w:t>
      </w:r>
    </w:p>
    <w:p w:rsidR="00A9011A" w:rsidRDefault="00A9011A" w:rsidP="00234693">
      <w:pPr>
        <w:pStyle w:val="Caption"/>
      </w:pPr>
      <w:bookmarkStart w:id="520" w:name="_Ref281826555"/>
      <w:bookmarkStart w:id="521" w:name="_Toc287297351"/>
      <w:bookmarkStart w:id="522" w:name="_Ref313281743"/>
      <w:r>
        <w:t xml:space="preserve">Table </w:t>
      </w:r>
      <w:fldSimple w:instr=" SEQ Table \* ARABIC ">
        <w:r w:rsidR="004911B7">
          <w:rPr>
            <w:noProof/>
          </w:rPr>
          <w:t>46</w:t>
        </w:r>
      </w:fldSimple>
      <w:bookmarkEnd w:id="520"/>
      <w:r>
        <w:t xml:space="preserve"> Costs for organ damage in the first and subsequent year</w:t>
      </w:r>
      <w:bookmarkEnd w:id="521"/>
      <w:bookmarkEnd w:id="522"/>
    </w:p>
    <w:tbl>
      <w:tblPr>
        <w:tblW w:w="5100" w:type="dxa"/>
        <w:tblBorders>
          <w:top w:val="single" w:sz="8" w:space="0" w:color="auto"/>
          <w:bottom w:val="single" w:sz="8" w:space="0" w:color="auto"/>
        </w:tblBorders>
        <w:tblLook w:val="04A0"/>
      </w:tblPr>
      <w:tblGrid>
        <w:gridCol w:w="2580"/>
        <w:gridCol w:w="1260"/>
        <w:gridCol w:w="1260"/>
      </w:tblGrid>
      <w:tr w:rsidR="00A9011A" w:rsidRPr="00535489" w:rsidTr="00073A10">
        <w:trPr>
          <w:trHeight w:val="227"/>
        </w:trPr>
        <w:tc>
          <w:tcPr>
            <w:tcW w:w="2580" w:type="dxa"/>
            <w:tcBorders>
              <w:top w:val="single" w:sz="12" w:space="0" w:color="auto"/>
              <w:bottom w:val="single" w:sz="4" w:space="0" w:color="auto"/>
            </w:tcBorders>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Year</w:t>
            </w:r>
          </w:p>
        </w:tc>
        <w:tc>
          <w:tcPr>
            <w:tcW w:w="1260" w:type="dxa"/>
            <w:tcBorders>
              <w:top w:val="single" w:sz="12" w:space="0" w:color="auto"/>
              <w:bottom w:val="single" w:sz="4"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w:t>
            </w:r>
          </w:p>
        </w:tc>
        <w:tc>
          <w:tcPr>
            <w:tcW w:w="1260" w:type="dxa"/>
            <w:tcBorders>
              <w:top w:val="single" w:sz="12" w:space="0" w:color="auto"/>
              <w:bottom w:val="single" w:sz="4"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w:t>
            </w:r>
          </w:p>
        </w:tc>
      </w:tr>
      <w:tr w:rsidR="00A9011A" w:rsidRPr="00535489" w:rsidTr="00B35654">
        <w:trPr>
          <w:trHeight w:val="227"/>
        </w:trPr>
        <w:tc>
          <w:tcPr>
            <w:tcW w:w="2580" w:type="dxa"/>
            <w:tcBorders>
              <w:top w:val="single" w:sz="4" w:space="0" w:color="auto"/>
            </w:tcBorders>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Cardiovascular</w:t>
            </w:r>
          </w:p>
        </w:tc>
        <w:tc>
          <w:tcPr>
            <w:tcW w:w="1260" w:type="dxa"/>
            <w:tcBorders>
              <w:top w:val="single" w:sz="4"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£3,402</w:t>
            </w:r>
          </w:p>
        </w:tc>
        <w:tc>
          <w:tcPr>
            <w:tcW w:w="1260" w:type="dxa"/>
            <w:tcBorders>
              <w:top w:val="single" w:sz="4"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£500</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Diabetes</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£2,313</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£2,313</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Gastrointestinal</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£2,678</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Malignancy</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£6,056</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Musculoskeletal</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£5,372</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£1,882</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Neuropsychiatric</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£3,659</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£1,144</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Ocular</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£1,518</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£17</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Peripheral vascular</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£2,955</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£591</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Premature gonadal failure</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Pulmonary</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£9,678</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£9,603</w:t>
            </w:r>
          </w:p>
        </w:tc>
      </w:tr>
      <w:tr w:rsidR="00A9011A" w:rsidRPr="00535489" w:rsidTr="00B35654">
        <w:trPr>
          <w:trHeight w:val="227"/>
        </w:trPr>
        <w:tc>
          <w:tcPr>
            <w:tcW w:w="2580" w:type="dxa"/>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Renal</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£1,746</w:t>
            </w:r>
          </w:p>
        </w:tc>
        <w:tc>
          <w:tcPr>
            <w:tcW w:w="1260" w:type="dxa"/>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£2,426</w:t>
            </w:r>
          </w:p>
        </w:tc>
      </w:tr>
      <w:tr w:rsidR="00A9011A" w:rsidRPr="00535489" w:rsidTr="00073A10">
        <w:trPr>
          <w:trHeight w:val="227"/>
        </w:trPr>
        <w:tc>
          <w:tcPr>
            <w:tcW w:w="2580" w:type="dxa"/>
            <w:tcBorders>
              <w:bottom w:val="single" w:sz="12" w:space="0" w:color="auto"/>
            </w:tcBorders>
            <w:noWrap/>
            <w:hideMark/>
          </w:tcPr>
          <w:p w:rsidR="00A9011A" w:rsidRPr="00535489" w:rsidRDefault="00A9011A" w:rsidP="00B35654">
            <w:pPr>
              <w:keepNext/>
              <w:spacing w:line="240" w:lineRule="auto"/>
              <w:rPr>
                <w:rFonts w:cs="Calibri"/>
                <w:bCs/>
                <w:sz w:val="18"/>
                <w:szCs w:val="18"/>
                <w:lang w:val="nl-NL" w:eastAsia="nl-NL"/>
              </w:rPr>
            </w:pPr>
            <w:r w:rsidRPr="00535489">
              <w:rPr>
                <w:rFonts w:cs="Calibri"/>
                <w:bCs/>
                <w:sz w:val="18"/>
                <w:szCs w:val="18"/>
                <w:lang w:val="nl-NL" w:eastAsia="nl-NL"/>
              </w:rPr>
              <w:t>Skin</w:t>
            </w:r>
          </w:p>
        </w:tc>
        <w:tc>
          <w:tcPr>
            <w:tcW w:w="1260" w:type="dxa"/>
            <w:tcBorders>
              <w:bottom w:val="single" w:sz="12"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c>
          <w:tcPr>
            <w:tcW w:w="1260" w:type="dxa"/>
            <w:tcBorders>
              <w:bottom w:val="single" w:sz="12" w:space="0" w:color="auto"/>
            </w:tcBorders>
            <w:noWrap/>
            <w:hideMark/>
          </w:tcPr>
          <w:p w:rsidR="00A9011A" w:rsidRPr="00535489" w:rsidRDefault="00A9011A" w:rsidP="00B35654">
            <w:pPr>
              <w:keepNext/>
              <w:spacing w:line="240" w:lineRule="auto"/>
              <w:jc w:val="right"/>
              <w:rPr>
                <w:rFonts w:cs="Calibri"/>
                <w:bCs/>
                <w:sz w:val="18"/>
                <w:szCs w:val="18"/>
                <w:lang w:val="nl-NL" w:eastAsia="nl-NL"/>
              </w:rPr>
            </w:pPr>
            <w:r w:rsidRPr="00535489">
              <w:rPr>
                <w:rFonts w:cs="Calibri"/>
                <w:bCs/>
                <w:sz w:val="18"/>
                <w:szCs w:val="18"/>
                <w:lang w:val="nl-NL" w:eastAsia="nl-NL"/>
              </w:rPr>
              <w:t>£0</w:t>
            </w:r>
          </w:p>
        </w:tc>
      </w:tr>
    </w:tbl>
    <w:p w:rsidR="00A9011A" w:rsidRDefault="00A9011A" w:rsidP="00A9011A">
      <w:pPr>
        <w:rPr>
          <w:lang w:eastAsia="nl-NL"/>
        </w:rPr>
      </w:pPr>
    </w:p>
    <w:p w:rsidR="00A9011A" w:rsidRDefault="00A9011A" w:rsidP="00A9011A">
      <w:pPr>
        <w:rPr>
          <w:lang w:eastAsia="nl-NL"/>
        </w:rPr>
      </w:pPr>
      <w:r>
        <w:rPr>
          <w:lang w:eastAsia="nl-NL"/>
        </w:rPr>
        <w:t>TREATMENT COSTS</w:t>
      </w:r>
    </w:p>
    <w:p w:rsidR="00A9011A" w:rsidRDefault="00A9011A" w:rsidP="00A9011A">
      <w:r>
        <w:rPr>
          <w:lang w:eastAsia="nl-NL"/>
        </w:rPr>
        <w:t xml:space="preserve">The costs of the new treatment were not explicitly modelled in the simulation. </w:t>
      </w:r>
      <w:r>
        <w:t xml:space="preserve">The price of treatment is assumed to be an exogenous variable in the CE model so it does not impact on the other parameters of the </w:t>
      </w:r>
      <w:r w:rsidR="001A1797">
        <w:t xml:space="preserve">CE </w:t>
      </w:r>
      <w:r>
        <w:t xml:space="preserve">model. It is possible to vary the price of treatment after the PSA has run with little computational expense. The total cost of treatment is a function of price and the number of courses of treatment administered. The discounted duration of treatment is recorded in the CE model so to enable a post hoc analysis of price after the simulation has run. </w:t>
      </w:r>
    </w:p>
    <w:p w:rsidR="00A9011A" w:rsidRDefault="00A9011A" w:rsidP="00A9011A">
      <w:pPr>
        <w:pStyle w:val="Heading3"/>
        <w:rPr>
          <w:lang w:eastAsia="nl-NL"/>
        </w:rPr>
      </w:pPr>
      <w:bookmarkStart w:id="523" w:name="_Toc379467655"/>
      <w:r>
        <w:rPr>
          <w:lang w:eastAsia="nl-NL"/>
        </w:rPr>
        <w:t>Discounting</w:t>
      </w:r>
      <w:bookmarkEnd w:id="523"/>
    </w:p>
    <w:p w:rsidR="00A9011A" w:rsidRDefault="00A9011A" w:rsidP="00A9011A">
      <w:pPr>
        <w:rPr>
          <w:lang w:eastAsia="nl-NL"/>
        </w:rPr>
      </w:pPr>
      <w:r>
        <w:rPr>
          <w:lang w:eastAsia="nl-NL"/>
        </w:rPr>
        <w:t xml:space="preserve">The costs and QALY were discounted in the </w:t>
      </w:r>
      <w:r w:rsidR="001A1797">
        <w:rPr>
          <w:lang w:eastAsia="nl-NL"/>
        </w:rPr>
        <w:t xml:space="preserve">CE </w:t>
      </w:r>
      <w:r>
        <w:rPr>
          <w:lang w:eastAsia="nl-NL"/>
        </w:rPr>
        <w:t>model at a rate of 3.5%</w:t>
      </w:r>
      <w:r w:rsidR="00503D38">
        <w:rPr>
          <w:lang w:eastAsia="nl-NL"/>
        </w:rPr>
        <w:t xml:space="preserve"> </w:t>
      </w:r>
      <w:r w:rsidR="00E729BA">
        <w:rPr>
          <w:lang w:eastAsia="nl-NL"/>
        </w:rPr>
        <w:fldChar w:fldCharType="begin"/>
      </w:r>
      <w:r w:rsidR="00FC61FD">
        <w:rPr>
          <w:lang w:eastAsia="nl-NL"/>
        </w:rPr>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rPr>
          <w:lang w:eastAsia="nl-NL"/>
        </w:rPr>
        <w:fldChar w:fldCharType="separate"/>
      </w:r>
      <w:r w:rsidR="0081424E">
        <w:rPr>
          <w:lang w:eastAsia="nl-NL"/>
        </w:rPr>
        <w:t>(29)</w:t>
      </w:r>
      <w:r w:rsidR="00E729BA">
        <w:rPr>
          <w:lang w:eastAsia="nl-NL"/>
        </w:rPr>
        <w:fldChar w:fldCharType="end"/>
      </w:r>
      <w:r>
        <w:rPr>
          <w:lang w:eastAsia="nl-NL"/>
        </w:rPr>
        <w:t>.</w:t>
      </w:r>
    </w:p>
    <w:p w:rsidR="009732B5" w:rsidRPr="009F463A" w:rsidRDefault="009732B5" w:rsidP="00A9011A">
      <w:pPr>
        <w:rPr>
          <w:lang w:eastAsia="nl-NL"/>
        </w:rPr>
      </w:pPr>
    </w:p>
    <w:p w:rsidR="00A9011A" w:rsidRDefault="00A9011A" w:rsidP="00033D17">
      <w:pPr>
        <w:pStyle w:val="Heading3"/>
        <w:rPr>
          <w:lang w:eastAsia="nl-NL"/>
        </w:rPr>
      </w:pPr>
      <w:bookmarkStart w:id="524" w:name="_Toc379467656"/>
      <w:r>
        <w:rPr>
          <w:lang w:eastAsia="nl-NL"/>
        </w:rPr>
        <w:t xml:space="preserve">Reducing Simulation </w:t>
      </w:r>
      <w:r w:rsidR="00033D17">
        <w:rPr>
          <w:lang w:eastAsia="nl-NL"/>
        </w:rPr>
        <w:t>E</w:t>
      </w:r>
      <w:r>
        <w:rPr>
          <w:lang w:eastAsia="nl-NL"/>
        </w:rPr>
        <w:t>rror</w:t>
      </w:r>
      <w:bookmarkEnd w:id="524"/>
    </w:p>
    <w:p w:rsidR="00A9011A" w:rsidRDefault="00A9011A" w:rsidP="00503D38">
      <w:pPr>
        <w:rPr>
          <w:lang w:eastAsia="nl-NL"/>
        </w:rPr>
      </w:pPr>
      <w:r>
        <w:rPr>
          <w:lang w:eastAsia="nl-NL"/>
        </w:rPr>
        <w:t xml:space="preserve">Simulation error can cause estimates from </w:t>
      </w:r>
      <w:r w:rsidR="001A1797">
        <w:rPr>
          <w:lang w:eastAsia="nl-NL"/>
        </w:rPr>
        <w:t>individual patient simulation</w:t>
      </w:r>
      <w:r>
        <w:rPr>
          <w:lang w:eastAsia="nl-NL"/>
        </w:rPr>
        <w:t xml:space="preserve"> models to </w:t>
      </w:r>
      <w:r w:rsidR="00503D38">
        <w:rPr>
          <w:lang w:eastAsia="nl-NL"/>
        </w:rPr>
        <w:t>produce different outcomes depending on the random numbers used in the simulation</w:t>
      </w:r>
      <w:r>
        <w:rPr>
          <w:lang w:eastAsia="nl-NL"/>
        </w:rPr>
        <w:t xml:space="preserve">. </w:t>
      </w:r>
      <w:r w:rsidRPr="00AD3D29">
        <w:rPr>
          <w:lang w:eastAsia="nl-NL"/>
        </w:rPr>
        <w:t xml:space="preserve">Simulation error describes the variation in </w:t>
      </w:r>
      <w:r>
        <w:rPr>
          <w:lang w:eastAsia="nl-NL"/>
        </w:rPr>
        <w:t xml:space="preserve">estimated </w:t>
      </w:r>
      <w:r w:rsidRPr="00AD3D29">
        <w:rPr>
          <w:lang w:eastAsia="nl-NL"/>
        </w:rPr>
        <w:t>CE model</w:t>
      </w:r>
      <w:r>
        <w:rPr>
          <w:lang w:eastAsia="nl-NL"/>
        </w:rPr>
        <w:t xml:space="preserve"> outcomes conditional on the same parameter inputs because the </w:t>
      </w:r>
      <w:r w:rsidR="001A1797">
        <w:rPr>
          <w:lang w:eastAsia="nl-NL"/>
        </w:rPr>
        <w:t xml:space="preserve">CE </w:t>
      </w:r>
      <w:r>
        <w:rPr>
          <w:lang w:eastAsia="nl-NL"/>
        </w:rPr>
        <w:t xml:space="preserve">model </w:t>
      </w:r>
      <w:r w:rsidR="001A1797">
        <w:rPr>
          <w:lang w:eastAsia="nl-NL"/>
        </w:rPr>
        <w:t>outcomes were</w:t>
      </w:r>
      <w:r>
        <w:rPr>
          <w:lang w:eastAsia="nl-NL"/>
        </w:rPr>
        <w:t xml:space="preserve"> subject to random variation. Increasing the number of patients simulated in the CE model is an effective way to reduce simulation error. However, this can substantially increase the time it takes to compute the analysis if the sample size required is large. The simulation error was </w:t>
      </w:r>
      <w:r w:rsidR="00503D38">
        <w:rPr>
          <w:lang w:eastAsia="nl-NL"/>
        </w:rPr>
        <w:t>more than 5% of incremental Net Benefit</w:t>
      </w:r>
      <w:r>
        <w:rPr>
          <w:lang w:eastAsia="nl-NL"/>
        </w:rPr>
        <w:t xml:space="preserve"> in the CE model so the following modifications to the simulation were made to reduce simulation error.</w:t>
      </w:r>
    </w:p>
    <w:p w:rsidR="00A9011A" w:rsidRDefault="00A9011A" w:rsidP="00597CF5">
      <w:pPr>
        <w:pStyle w:val="ListParagraph"/>
        <w:numPr>
          <w:ilvl w:val="0"/>
          <w:numId w:val="26"/>
        </w:numPr>
        <w:rPr>
          <w:lang w:eastAsia="nl-NL"/>
        </w:rPr>
      </w:pPr>
      <w:r>
        <w:rPr>
          <w:lang w:eastAsia="nl-NL"/>
        </w:rPr>
        <w:t>The patients included in the CE model were cloned across the two treatment arms so that the patients had identical baseline characteristics.</w:t>
      </w:r>
    </w:p>
    <w:p w:rsidR="00A9011A" w:rsidRDefault="00A9011A" w:rsidP="00597CF5">
      <w:pPr>
        <w:pStyle w:val="ListParagraph"/>
        <w:numPr>
          <w:ilvl w:val="0"/>
          <w:numId w:val="26"/>
        </w:numPr>
        <w:rPr>
          <w:lang w:eastAsia="nl-NL"/>
        </w:rPr>
      </w:pPr>
      <w:r>
        <w:rPr>
          <w:lang w:eastAsia="nl-NL"/>
        </w:rPr>
        <w:t>The same patients were selected from the Generate Population process so that the baseline characteristics were identical between iterations of the CE model.</w:t>
      </w:r>
    </w:p>
    <w:p w:rsidR="00A9011A" w:rsidRPr="00AD3D29" w:rsidRDefault="00A9011A" w:rsidP="00503D38">
      <w:pPr>
        <w:pStyle w:val="ListParagraph"/>
        <w:numPr>
          <w:ilvl w:val="0"/>
          <w:numId w:val="26"/>
        </w:numPr>
        <w:rPr>
          <w:lang w:eastAsia="nl-NL"/>
        </w:rPr>
      </w:pPr>
      <w:r>
        <w:rPr>
          <w:lang w:eastAsia="nl-NL"/>
        </w:rPr>
        <w:t xml:space="preserve">All patients were assigned a vector of random numbers for each organ damage, mortality, and withdrawal outcome so that the same random numbers would be used at each time point of the </w:t>
      </w:r>
      <w:r w:rsidR="001A1797">
        <w:rPr>
          <w:lang w:eastAsia="nl-NL"/>
        </w:rPr>
        <w:t xml:space="preserve">CE </w:t>
      </w:r>
      <w:r>
        <w:rPr>
          <w:lang w:eastAsia="nl-NL"/>
        </w:rPr>
        <w:t xml:space="preserve">model. </w:t>
      </w:r>
    </w:p>
    <w:p w:rsidR="00A9011A" w:rsidRDefault="001A1797" w:rsidP="00A9011A">
      <w:pPr>
        <w:pStyle w:val="Heading2"/>
        <w:keepNext/>
        <w:pBdr>
          <w:top w:val="none" w:sz="0" w:space="0" w:color="auto"/>
          <w:left w:val="none" w:sz="0" w:space="0" w:color="auto"/>
          <w:bottom w:val="none" w:sz="0" w:space="0" w:color="auto"/>
          <w:right w:val="none" w:sz="0" w:space="0" w:color="auto"/>
        </w:pBdr>
        <w:tabs>
          <w:tab w:val="num" w:pos="851"/>
        </w:tabs>
        <w:spacing w:before="240" w:after="240" w:afterAutospacing="0" w:line="260" w:lineRule="atLeast"/>
        <w:ind w:left="851" w:hanging="851"/>
      </w:pPr>
      <w:bookmarkStart w:id="525" w:name="_Ref332371653"/>
      <w:bookmarkStart w:id="526" w:name="_Toc335051098"/>
      <w:bookmarkStart w:id="527" w:name="_Toc337139007"/>
      <w:bookmarkStart w:id="528" w:name="_Toc379467657"/>
      <w:r>
        <w:t xml:space="preserve">CE </w:t>
      </w:r>
      <w:r w:rsidR="00A9011A">
        <w:t>Model Outcomes</w:t>
      </w:r>
      <w:bookmarkEnd w:id="525"/>
      <w:bookmarkEnd w:id="526"/>
      <w:bookmarkEnd w:id="527"/>
      <w:bookmarkEnd w:id="528"/>
    </w:p>
    <w:p w:rsidR="00A9011A" w:rsidRDefault="00A9011A" w:rsidP="00A9011A">
      <w:pPr>
        <w:pStyle w:val="Heading3"/>
      </w:pPr>
      <w:bookmarkStart w:id="529" w:name="_Toc335051099"/>
      <w:bookmarkStart w:id="530" w:name="_Toc337139008"/>
      <w:bookmarkStart w:id="531" w:name="_Toc379467658"/>
      <w:r>
        <w:t>Health Outcomes and Costs</w:t>
      </w:r>
      <w:bookmarkEnd w:id="529"/>
      <w:bookmarkEnd w:id="530"/>
      <w:bookmarkEnd w:id="531"/>
    </w:p>
    <w:p w:rsidR="00A9011A" w:rsidRDefault="00A9011A" w:rsidP="00B539E9">
      <w:r>
        <w:t>The outcomes of CE models are usually presented as either incremental cost-effectiveness ratios (ICER) or incremental net benefit (INB). Both measures are derived from the total costs, and QALYs associated with the SoC and new treatments. Net benefit also requires that a willingness to pay for a QALY is specified. The ICER summarises the cost of an additional QALY with the new treatment. INB expresses the additional gains, in monetary terms, of switching to the new treatment. The</w:t>
      </w:r>
      <w:r w:rsidR="00B539E9">
        <w:t xml:space="preserve"> overall</w:t>
      </w:r>
      <w:r>
        <w:t xml:space="preserve"> cost-effectiveness of a new treatment will be influenced by the acquisition costs of the new treatment and other administration costs associated with it. At an early stage of drug development these costs may be unknown or uncertain. For this reason</w:t>
      </w:r>
      <w:r w:rsidR="00C26CB4">
        <w:t>,</w:t>
      </w:r>
      <w:r>
        <w:t xml:space="preserve"> I assumed that </w:t>
      </w:r>
      <w:r w:rsidR="00CC17B0">
        <w:t>p</w:t>
      </w:r>
      <w:r>
        <w:t xml:space="preserve">harmaceutical companies would be less interested in a single ICER or INB statistic </w:t>
      </w:r>
      <w:r w:rsidR="00C26CB4">
        <w:t>based on a single</w:t>
      </w:r>
      <w:r>
        <w:t xml:space="preserve"> price. </w:t>
      </w:r>
    </w:p>
    <w:p w:rsidR="00A9011A" w:rsidRDefault="00A9011A" w:rsidP="00C26CB4">
      <w:r>
        <w:t xml:space="preserve">The </w:t>
      </w:r>
      <w:r w:rsidR="0017698C">
        <w:t>value-based price</w:t>
      </w:r>
      <w:r>
        <w:t xml:space="preserve"> represents the maximum price for the treatment given a pre-specified willingness to pay per QALY threshold</w:t>
      </w:r>
      <w:r w:rsidR="00B539E9">
        <w:t xml:space="preserve"> </w:t>
      </w:r>
      <w:r w:rsidR="00E729BA">
        <w:fldChar w:fldCharType="begin"/>
      </w:r>
      <w:r w:rsidR="00FC61FD">
        <w:instrText xml:space="preserve"> ADDIN REFMGR.CITE &lt;Refman&gt;&lt;Cite&gt;&lt;Author&gt;Sussex&lt;/Author&gt;&lt;Year&gt;2013&lt;/Year&gt;&lt;RecNum&gt;1645&lt;/RecNum&gt;&lt;IDText&gt;Operationalizing value-based pricing of medicines : a taxonomy of approaches&lt;/IDText&gt;&lt;MDL Ref_Type="Journal"&gt;&lt;Ref_Type&gt;Journal&lt;/Ref_Type&gt;&lt;Ref_ID&gt;1645&lt;/Ref_ID&gt;&lt;Title_Primary&gt;Operationalizing value-based pricing of medicines : a taxonomy of approaches&lt;/Title_Primary&gt;&lt;Authors_Primary&gt;Sussex,J.&lt;/Authors_Primary&gt;&lt;Authors_Primary&gt;Towse,A.&lt;/Authors_Primary&gt;&lt;Authors_Primary&gt;Devlin,N.&lt;/Authors_Primary&gt;&lt;Date_Primary&gt;2013/1&lt;/Date_Primary&gt;&lt;Keywords&gt;analysis&lt;/Keywords&gt;&lt;Keywords&gt;economics&lt;/Keywords&gt;&lt;Keywords&gt;Health&lt;/Keywords&gt;&lt;Keywords&gt;London&lt;/Keywords&gt;&lt;Keywords&gt;Uncertainty&lt;/Keywords&gt;&lt;Reprint&gt;Not in File&lt;/Reprint&gt;&lt;Start_Page&gt;1&lt;/Start_Page&gt;&lt;End_Page&gt;10&lt;/End_Page&gt;&lt;Periodical&gt;Pharmacoeconomics.&lt;/Periodical&gt;&lt;Volume&gt;31&lt;/Volume&gt;&lt;Issue&gt;1&lt;/Issue&gt;&lt;ZZ_JournalStdAbbrev&gt;&lt;f name="System"&gt;Pharmacoeconomics.&lt;/f&gt;&lt;/ZZ_JournalStdAbbrev&gt;&lt;ZZ_WorkformID&gt;1&lt;/ZZ_WorkformID&gt;&lt;/MDL&gt;&lt;/Cite&gt;&lt;/Refman&gt;</w:instrText>
      </w:r>
      <w:r w:rsidR="00E729BA">
        <w:fldChar w:fldCharType="separate"/>
      </w:r>
      <w:r w:rsidR="00DF14BD">
        <w:t>(234)</w:t>
      </w:r>
      <w:r w:rsidR="00E729BA">
        <w:fldChar w:fldCharType="end"/>
      </w:r>
      <w:r>
        <w:t xml:space="preserve">. </w:t>
      </w:r>
      <w:r w:rsidR="00B539E9">
        <w:t xml:space="preserve">In all of the analyses the willingness to pay threshold is assumed to be £30,000 </w:t>
      </w:r>
      <w:r w:rsidR="00E729BA">
        <w:fldChar w:fldCharType="begin"/>
      </w:r>
      <w:r w:rsidR="00FC61FD">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fldChar w:fldCharType="separate"/>
      </w:r>
      <w:r w:rsidR="0081424E">
        <w:t>(29)</w:t>
      </w:r>
      <w:r w:rsidR="00E729BA">
        <w:fldChar w:fldCharType="end"/>
      </w:r>
      <w:r w:rsidR="00B539E9">
        <w:t xml:space="preserve">. </w:t>
      </w:r>
      <w:r>
        <w:t xml:space="preserve">I believe that </w:t>
      </w:r>
      <w:r w:rsidR="00CC17B0">
        <w:t>p</w:t>
      </w:r>
      <w:r>
        <w:t xml:space="preserve">harmaceutical companies will be interested in observing this statistic </w:t>
      </w:r>
      <w:r w:rsidR="00B539E9">
        <w:t xml:space="preserve">and its uncertainty </w:t>
      </w:r>
      <w:r>
        <w:t xml:space="preserve">at an early development stage to observe the potential profitability of the treatment and the </w:t>
      </w:r>
      <w:r w:rsidR="00C26CB4">
        <w:t>probability distribution of</w:t>
      </w:r>
      <w:r w:rsidR="0017698C">
        <w:t xml:space="preserve"> value-based price</w:t>
      </w:r>
      <w:r>
        <w:t>. This measure will illustrate the level of risk involved in pursing the treatment into a Phase III trial.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
        <w:gridCol w:w="7103"/>
        <w:gridCol w:w="1110"/>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hAnsi="Cambria Math"/>
                  </w:rPr>
                  <m:t>VBP=</m:t>
                </m:r>
                <m:f>
                  <m:fPr>
                    <m:ctrlPr>
                      <w:rPr>
                        <w:rFonts w:ascii="Cambria Math" w:hAnsi="Cambria Math"/>
                        <w:i/>
                      </w:rPr>
                    </m:ctrlPr>
                  </m:fPr>
                  <m:num>
                    <m:r>
                      <w:rPr>
                        <w:rFonts w:ascii="Cambria Math" w:hAnsi="Cambria Math"/>
                      </w:rPr>
                      <m:t>λ</m:t>
                    </m:r>
                    <m:d>
                      <m:dPr>
                        <m:ctrlPr>
                          <w:rPr>
                            <w:rFonts w:ascii="Cambria Math" w:hAnsi="Cambria Math"/>
                            <w:i/>
                          </w:rPr>
                        </m:ctrlPr>
                      </m:dPr>
                      <m:e>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r>
                          <w:rPr>
                            <w:rFonts w:ascii="Cambria Math" w:hAnsi="Cambria Math"/>
                          </w:rPr>
                          <m:t>-</m:t>
                        </m:r>
                        <m:sSub>
                          <m:sSubPr>
                            <m:ctrlPr>
                              <w:rPr>
                                <w:rFonts w:ascii="Cambria Math" w:hAnsi="Cambria Math"/>
                                <w:i/>
                              </w:rPr>
                            </m:ctrlPr>
                          </m:sSubPr>
                          <m:e>
                            <m:r>
                              <w:rPr>
                                <w:rFonts w:ascii="Cambria Math" w:hAnsi="Cambria Math"/>
                              </w:rPr>
                              <m:t>Q</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e>
                    </m:d>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D</m:t>
                            </m:r>
                          </m:e>
                          <m:sub>
                            <m:r>
                              <w:rPr>
                                <w:rFonts w:ascii="Cambria Math" w:hAnsi="Cambria Math"/>
                              </w:rPr>
                              <m:t>1</m:t>
                            </m:r>
                          </m:sub>
                        </m:sSub>
                      </m:sub>
                    </m:sSub>
                    <m:r>
                      <w:rPr>
                        <w:rFonts w:ascii="Cambria Math" w:hAnsi="Cambria Math"/>
                      </w:rPr>
                      <m:t>-</m:t>
                    </m:r>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D</m:t>
                            </m:r>
                          </m:e>
                          <m:sub>
                            <m:r>
                              <w:rPr>
                                <w:rFonts w:ascii="Cambria Math" w:hAnsi="Cambria Math"/>
                              </w:rPr>
                              <m:t>2</m:t>
                            </m:r>
                          </m:sub>
                        </m:sSub>
                      </m:sub>
                    </m:sSub>
                  </m:num>
                  <m:den>
                    <m:r>
                      <w:rPr>
                        <w:rFonts w:ascii="Cambria Math" w:hAnsi="Cambria Math"/>
                      </w:rPr>
                      <m:t>T</m:t>
                    </m:r>
                  </m:den>
                </m:f>
              </m:oMath>
            </m:oMathPara>
          </w:p>
        </w:tc>
        <w:tc>
          <w:tcPr>
            <w:tcW w:w="1196" w:type="dxa"/>
          </w:tcPr>
          <w:p w:rsidR="007568A9" w:rsidRDefault="007568A9" w:rsidP="00597CF5">
            <w:pPr>
              <w:pStyle w:val="ListParagraph"/>
              <w:numPr>
                <w:ilvl w:val="1"/>
                <w:numId w:val="30"/>
              </w:numPr>
              <w:bidi/>
              <w:ind w:right="220"/>
              <w:jc w:val="right"/>
            </w:pPr>
          </w:p>
        </w:tc>
      </w:tr>
    </w:tbl>
    <w:p w:rsidR="00A9011A" w:rsidRDefault="00A9011A" w:rsidP="00A9011A"/>
    <w:p w:rsidR="00A9011A" w:rsidRDefault="00A9011A" w:rsidP="00B539E9">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oMath>
      <w:r>
        <w:t xml:space="preserve"> indicates the treatment option, </w:t>
      </w:r>
      <w:r w:rsidR="00B539E9">
        <w:t xml:space="preserve">discounted </w:t>
      </w:r>
      <w:r>
        <w:t xml:space="preserve">Costs and QALYs are indicated by C and Q respectively, </w:t>
      </w:r>
      <m:oMath>
        <m:r>
          <w:rPr>
            <w:rFonts w:ascii="Cambria Math" w:hAnsi="Cambria Math"/>
          </w:rPr>
          <m:t>λ</m:t>
        </m:r>
      </m:oMath>
      <w:r>
        <w:t xml:space="preserve"> indicates the willingness to pay for a QALY threshold and T indicates the average </w:t>
      </w:r>
      <w:r w:rsidR="00B539E9">
        <w:t xml:space="preserve">discounted </w:t>
      </w:r>
      <w:r>
        <w:t xml:space="preserve">treatment years of the new biologic treatment. The </w:t>
      </w:r>
      <w:r w:rsidR="0017698C">
        <w:t>value-based price</w:t>
      </w:r>
      <w:r>
        <w:t xml:space="preserve"> will be estimated for all iterations of the PSA so that it is possible to estimate the expected </w:t>
      </w:r>
      <w:r w:rsidR="0017698C">
        <w:t>value-based price</w:t>
      </w:r>
      <w:r>
        <w:t xml:space="preserve"> and </w:t>
      </w:r>
      <w:r w:rsidR="00C26CB4">
        <w:t xml:space="preserve">the distribution of simulated </w:t>
      </w:r>
      <w:r w:rsidR="00B539E9">
        <w:t>value-based Price arising</w:t>
      </w:r>
      <w:r w:rsidR="00C26CB4">
        <w:t xml:space="preserve"> </w:t>
      </w:r>
      <w:r w:rsidR="00B539E9">
        <w:t xml:space="preserve">out </w:t>
      </w:r>
      <w:r w:rsidR="00C26CB4">
        <w:t>of the PSA</w:t>
      </w:r>
      <w:r>
        <w:t xml:space="preserve">. </w:t>
      </w:r>
    </w:p>
    <w:p w:rsidR="00A9011A" w:rsidRDefault="00A9011A" w:rsidP="00A9011A">
      <w:pPr>
        <w:pStyle w:val="Heading3"/>
      </w:pPr>
      <w:bookmarkStart w:id="532" w:name="_Toc335051101"/>
      <w:bookmarkStart w:id="533" w:name="_Toc337139010"/>
      <w:bookmarkStart w:id="534" w:name="_Toc379467659"/>
      <w:r>
        <w:t>Parameter Sensitivity Analysis</w:t>
      </w:r>
      <w:bookmarkEnd w:id="532"/>
      <w:bookmarkEnd w:id="533"/>
      <w:bookmarkEnd w:id="534"/>
    </w:p>
    <w:p w:rsidR="00B539E9" w:rsidRDefault="00B539E9" w:rsidP="00B539E9">
      <w:r>
        <w:t xml:space="preserve">Traditional Expected Value of Perfect Parameter Information was not conducted because it requires that a fixed treatment cost is assumed. This is incompatible with the objectives of our analysis to investigate the impact of parameters on the uncertainty in value-based price. </w:t>
      </w:r>
    </w:p>
    <w:p w:rsidR="00523422" w:rsidRDefault="00A9011A" w:rsidP="00737697">
      <w:r>
        <w:t xml:space="preserve">Parameter sensitivity analyses are conducted to identify which parameters contribute </w:t>
      </w:r>
      <w:r w:rsidR="00C26CB4">
        <w:t>most</w:t>
      </w:r>
      <w:r>
        <w:t xml:space="preserve"> to the overall </w:t>
      </w:r>
      <w:r w:rsidR="00C26CB4">
        <w:t xml:space="preserve">uncertainty in </w:t>
      </w:r>
      <w:r w:rsidR="001A1797">
        <w:t xml:space="preserve">CE </w:t>
      </w:r>
      <w:r>
        <w:t xml:space="preserve">model outcomes. This analysis can be used to identify </w:t>
      </w:r>
      <w:r w:rsidR="001A1797">
        <w:t xml:space="preserve">CE </w:t>
      </w:r>
      <w:r>
        <w:t xml:space="preserve">model parameters that should be prioritised in future data collection exercises. The parameter sensitivity analysis was conducted using analysis of covariance methods (ANCOVA) to summarise the proportion of the variance in the </w:t>
      </w:r>
      <w:r w:rsidR="00B539E9">
        <w:t xml:space="preserve">value-based price </w:t>
      </w:r>
      <w:r>
        <w:t xml:space="preserve">that is explained by the variation in the input parameters. The first ANCOVA used </w:t>
      </w:r>
      <w:r w:rsidR="0017698C">
        <w:t>value-based price</w:t>
      </w:r>
      <w:r>
        <w:t xml:space="preserve"> as the output parameter, so that price did not have to be specified. </w:t>
      </w:r>
    </w:p>
    <w:p w:rsidR="00A9011A" w:rsidRDefault="00A9011A" w:rsidP="00A9011A">
      <w:pPr>
        <w:pStyle w:val="Heading2"/>
        <w:keepNext/>
        <w:pBdr>
          <w:top w:val="none" w:sz="0" w:space="0" w:color="auto"/>
          <w:left w:val="none" w:sz="0" w:space="0" w:color="auto"/>
          <w:bottom w:val="none" w:sz="0" w:space="0" w:color="auto"/>
          <w:right w:val="none" w:sz="0" w:space="0" w:color="auto"/>
        </w:pBdr>
        <w:tabs>
          <w:tab w:val="num" w:pos="851"/>
        </w:tabs>
        <w:spacing w:before="240" w:after="240" w:afterAutospacing="0" w:line="260" w:lineRule="atLeast"/>
        <w:ind w:left="851" w:hanging="851"/>
        <w:rPr>
          <w:lang w:eastAsia="nl-NL"/>
        </w:rPr>
      </w:pPr>
      <w:bookmarkStart w:id="535" w:name="_Ref332371677"/>
      <w:bookmarkStart w:id="536" w:name="_Toc335051102"/>
      <w:bookmarkStart w:id="537" w:name="_Toc337139011"/>
      <w:bookmarkStart w:id="538" w:name="_Toc379467660"/>
      <w:r>
        <w:rPr>
          <w:lang w:eastAsia="nl-NL"/>
        </w:rPr>
        <w:t>RESULTS</w:t>
      </w:r>
      <w:bookmarkEnd w:id="535"/>
      <w:bookmarkEnd w:id="536"/>
      <w:bookmarkEnd w:id="537"/>
      <w:bookmarkEnd w:id="538"/>
    </w:p>
    <w:p w:rsidR="00D94DA3" w:rsidRPr="00D94DA3" w:rsidRDefault="00D94DA3" w:rsidP="00D94DA3">
      <w:pPr>
        <w:rPr>
          <w:lang w:eastAsia="nl-NL"/>
        </w:rPr>
      </w:pPr>
      <w:r>
        <w:rPr>
          <w:lang w:eastAsia="nl-NL"/>
        </w:rPr>
        <w:t xml:space="preserve">In this section I report the results of a CE analysis comparison of the hypothetical new treatment versus standard of care (SoC) under the assumptions about the effectiveness of the new treatment based on the prior distributions obtained from the phase II belimumab trial </w:t>
      </w:r>
      <w:r w:rsidR="00E729BA">
        <w:rPr>
          <w:lang w:eastAsia="nl-NL"/>
        </w:rPr>
        <w:fldChar w:fldCharType="begin"/>
      </w:r>
      <w:r w:rsidR="00FC61FD">
        <w:rPr>
          <w:lang w:eastAsia="nl-NL"/>
        </w:rPr>
        <w:instrText xml:space="preserve"> ADDIN REFMGR.CITE &lt;Refman&gt;&lt;Cite&gt;&lt;Author&gt;Wallace&lt;/Author&gt;&lt;Year&gt;2009&lt;/Year&gt;&lt;RecNum&gt;8&lt;/RecNum&gt;&lt;IDText&gt;A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sidR="00E729BA">
        <w:rPr>
          <w:lang w:eastAsia="nl-NL"/>
        </w:rPr>
        <w:fldChar w:fldCharType="separate"/>
      </w:r>
      <w:r w:rsidR="0081424E">
        <w:rPr>
          <w:lang w:eastAsia="nl-NL"/>
        </w:rPr>
        <w:t>(72)</w:t>
      </w:r>
      <w:r w:rsidR="00E729BA">
        <w:rPr>
          <w:lang w:eastAsia="nl-NL"/>
        </w:rPr>
        <w:fldChar w:fldCharType="end"/>
      </w:r>
      <w:r>
        <w:rPr>
          <w:lang w:eastAsia="nl-NL"/>
        </w:rPr>
        <w:t xml:space="preserve"> elicitation exercise described in Chapter 6. </w:t>
      </w:r>
    </w:p>
    <w:p w:rsidR="00A9011A" w:rsidRPr="00AD7824" w:rsidRDefault="001A1797" w:rsidP="00A9011A">
      <w:pPr>
        <w:pStyle w:val="Heading3"/>
        <w:rPr>
          <w:lang w:eastAsia="nl-NL"/>
        </w:rPr>
      </w:pPr>
      <w:bookmarkStart w:id="539" w:name="_Toc335051103"/>
      <w:bookmarkStart w:id="540" w:name="_Toc337139012"/>
      <w:bookmarkStart w:id="541" w:name="_Toc379467661"/>
      <w:r>
        <w:rPr>
          <w:lang w:eastAsia="nl-NL"/>
        </w:rPr>
        <w:t xml:space="preserve">CE </w:t>
      </w:r>
      <w:r w:rsidR="00A9011A">
        <w:rPr>
          <w:lang w:eastAsia="nl-NL"/>
        </w:rPr>
        <w:t>Model Outcomes</w:t>
      </w:r>
      <w:bookmarkEnd w:id="539"/>
      <w:bookmarkEnd w:id="540"/>
      <w:bookmarkEnd w:id="541"/>
    </w:p>
    <w:p w:rsidR="00A9011A" w:rsidRPr="00FF45EC" w:rsidRDefault="00A9011A" w:rsidP="00B35654">
      <w:pPr>
        <w:rPr>
          <w:lang w:eastAsia="nl-NL"/>
        </w:rPr>
      </w:pPr>
      <w:r>
        <w:rPr>
          <w:lang w:eastAsia="nl-NL"/>
        </w:rPr>
        <w:t>The</w:t>
      </w:r>
      <w:r w:rsidR="00D94DA3">
        <w:rPr>
          <w:lang w:eastAsia="nl-NL"/>
        </w:rPr>
        <w:t xml:space="preserve"> expected</w:t>
      </w:r>
      <w:r>
        <w:rPr>
          <w:lang w:eastAsia="nl-NL"/>
        </w:rPr>
        <w:t xml:space="preserve"> age at death was higher in the new treatment arm than the SoC arm and there was more life years gained. The undiscounted and discounted QALYs accumulated in the new treatment arms are higher than the SoC arm. In the simulation patients receiving the new treatment live longer</w:t>
      </w:r>
      <w:r w:rsidR="00A825F2">
        <w:rPr>
          <w:lang w:eastAsia="nl-NL"/>
        </w:rPr>
        <w:t xml:space="preserve"> by 0.57 life years</w:t>
      </w:r>
      <w:r>
        <w:rPr>
          <w:lang w:eastAsia="nl-NL"/>
        </w:rPr>
        <w:t xml:space="preserve"> and are therefore at risk of incurring organ damage for a longer time. </w:t>
      </w:r>
    </w:p>
    <w:p w:rsidR="00A9011A" w:rsidRDefault="00A9011A" w:rsidP="00234693">
      <w:pPr>
        <w:pStyle w:val="Caption"/>
      </w:pPr>
      <w:r>
        <w:t xml:space="preserve">Table </w:t>
      </w:r>
      <w:fldSimple w:instr=" SEQ Table \* ARABIC ">
        <w:r w:rsidR="004911B7">
          <w:rPr>
            <w:noProof/>
          </w:rPr>
          <w:t>47</w:t>
        </w:r>
      </w:fldSimple>
      <w:r>
        <w:t>: Summary of mean CE model outcomes (standard deviation)</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653"/>
        <w:gridCol w:w="2015"/>
        <w:gridCol w:w="2021"/>
        <w:gridCol w:w="2031"/>
      </w:tblGrid>
      <w:tr w:rsidR="00A9011A" w:rsidRPr="000A4976" w:rsidTr="00073A10">
        <w:tc>
          <w:tcPr>
            <w:tcW w:w="2802" w:type="dxa"/>
            <w:tcBorders>
              <w:top w:val="single" w:sz="12" w:space="0" w:color="auto"/>
              <w:bottom w:val="single" w:sz="4" w:space="0" w:color="auto"/>
            </w:tcBorders>
          </w:tcPr>
          <w:p w:rsidR="00A9011A" w:rsidRPr="000A4976" w:rsidRDefault="00A9011A" w:rsidP="00AD3583">
            <w:pPr>
              <w:spacing w:line="276" w:lineRule="auto"/>
              <w:rPr>
                <w:sz w:val="20"/>
                <w:lang w:eastAsia="nl-NL"/>
              </w:rPr>
            </w:pPr>
          </w:p>
        </w:tc>
        <w:tc>
          <w:tcPr>
            <w:tcW w:w="2146" w:type="dxa"/>
            <w:tcBorders>
              <w:top w:val="single" w:sz="12" w:space="0" w:color="auto"/>
              <w:bottom w:val="single" w:sz="4" w:space="0" w:color="auto"/>
            </w:tcBorders>
          </w:tcPr>
          <w:p w:rsidR="00A9011A" w:rsidRPr="000A4976" w:rsidRDefault="00A9011A" w:rsidP="00AD3583">
            <w:pPr>
              <w:spacing w:line="276" w:lineRule="auto"/>
              <w:rPr>
                <w:sz w:val="20"/>
                <w:lang w:eastAsia="nl-NL"/>
              </w:rPr>
            </w:pPr>
            <w:r w:rsidRPr="000A4976">
              <w:rPr>
                <w:sz w:val="20"/>
                <w:lang w:eastAsia="nl-NL"/>
              </w:rPr>
              <w:t>Standard of care</w:t>
            </w:r>
          </w:p>
        </w:tc>
        <w:tc>
          <w:tcPr>
            <w:tcW w:w="2147" w:type="dxa"/>
            <w:tcBorders>
              <w:top w:val="single" w:sz="12" w:space="0" w:color="auto"/>
              <w:bottom w:val="single" w:sz="4" w:space="0" w:color="auto"/>
            </w:tcBorders>
          </w:tcPr>
          <w:p w:rsidR="00A9011A" w:rsidRPr="000A4976" w:rsidRDefault="00A9011A" w:rsidP="00AD3583">
            <w:pPr>
              <w:spacing w:line="276" w:lineRule="auto"/>
              <w:rPr>
                <w:sz w:val="20"/>
                <w:lang w:eastAsia="nl-NL"/>
              </w:rPr>
            </w:pPr>
            <w:r w:rsidRPr="000A4976">
              <w:rPr>
                <w:sz w:val="20"/>
                <w:lang w:eastAsia="nl-NL"/>
              </w:rPr>
              <w:t>New treatment</w:t>
            </w:r>
          </w:p>
        </w:tc>
        <w:tc>
          <w:tcPr>
            <w:tcW w:w="2147" w:type="dxa"/>
            <w:tcBorders>
              <w:top w:val="single" w:sz="12" w:space="0" w:color="auto"/>
              <w:bottom w:val="single" w:sz="4" w:space="0" w:color="auto"/>
            </w:tcBorders>
          </w:tcPr>
          <w:p w:rsidR="00A9011A" w:rsidRPr="000A4976" w:rsidRDefault="00A9011A" w:rsidP="00AD3583">
            <w:pPr>
              <w:spacing w:line="276" w:lineRule="auto"/>
              <w:rPr>
                <w:sz w:val="20"/>
                <w:lang w:eastAsia="nl-NL"/>
              </w:rPr>
            </w:pPr>
            <w:r w:rsidRPr="000A4976">
              <w:rPr>
                <w:sz w:val="20"/>
                <w:lang w:eastAsia="nl-NL"/>
              </w:rPr>
              <w:t>Difference</w:t>
            </w:r>
          </w:p>
        </w:tc>
      </w:tr>
      <w:tr w:rsidR="00A9011A" w:rsidRPr="000A4976" w:rsidTr="00AD3583">
        <w:tc>
          <w:tcPr>
            <w:tcW w:w="2802" w:type="dxa"/>
            <w:tcBorders>
              <w:top w:val="single" w:sz="4" w:space="0" w:color="auto"/>
            </w:tcBorders>
          </w:tcPr>
          <w:p w:rsidR="00A9011A" w:rsidRPr="000A4976" w:rsidRDefault="00A9011A" w:rsidP="00AD3583">
            <w:pPr>
              <w:spacing w:line="276" w:lineRule="auto"/>
              <w:rPr>
                <w:sz w:val="20"/>
                <w:lang w:eastAsia="nl-NL"/>
              </w:rPr>
            </w:pPr>
            <w:r w:rsidRPr="000A4976">
              <w:rPr>
                <w:sz w:val="20"/>
                <w:lang w:eastAsia="nl-NL"/>
              </w:rPr>
              <w:t>Age at Death</w:t>
            </w:r>
          </w:p>
        </w:tc>
        <w:tc>
          <w:tcPr>
            <w:tcW w:w="2146" w:type="dxa"/>
            <w:tcBorders>
              <w:top w:val="single" w:sz="4" w:space="0" w:color="auto"/>
            </w:tcBorders>
          </w:tcPr>
          <w:p w:rsidR="00A9011A" w:rsidRPr="000A4976" w:rsidRDefault="00A9011A" w:rsidP="00D94DA3">
            <w:pPr>
              <w:spacing w:line="276" w:lineRule="auto"/>
              <w:rPr>
                <w:sz w:val="20"/>
                <w:lang w:eastAsia="nl-NL"/>
              </w:rPr>
            </w:pPr>
            <w:r>
              <w:rPr>
                <w:sz w:val="20"/>
                <w:lang w:eastAsia="nl-NL"/>
              </w:rPr>
              <w:t>70.</w:t>
            </w:r>
            <w:r w:rsidR="00D94DA3">
              <w:rPr>
                <w:sz w:val="20"/>
                <w:lang w:eastAsia="nl-NL"/>
              </w:rPr>
              <w:t xml:space="preserve">56 </w:t>
            </w:r>
            <w:r>
              <w:rPr>
                <w:sz w:val="20"/>
                <w:lang w:eastAsia="nl-NL"/>
              </w:rPr>
              <w:t>(2.568)</w:t>
            </w:r>
          </w:p>
        </w:tc>
        <w:tc>
          <w:tcPr>
            <w:tcW w:w="2147" w:type="dxa"/>
            <w:tcBorders>
              <w:top w:val="single" w:sz="4" w:space="0" w:color="auto"/>
            </w:tcBorders>
          </w:tcPr>
          <w:p w:rsidR="00A9011A" w:rsidRPr="000A4976" w:rsidRDefault="00A9011A" w:rsidP="00A825F2">
            <w:pPr>
              <w:spacing w:line="276" w:lineRule="auto"/>
              <w:rPr>
                <w:sz w:val="20"/>
                <w:lang w:eastAsia="nl-NL"/>
              </w:rPr>
            </w:pPr>
            <w:r>
              <w:rPr>
                <w:sz w:val="20"/>
                <w:lang w:eastAsia="nl-NL"/>
              </w:rPr>
              <w:t>71.</w:t>
            </w:r>
            <w:r w:rsidR="00A825F2">
              <w:rPr>
                <w:sz w:val="20"/>
                <w:lang w:eastAsia="nl-NL"/>
              </w:rPr>
              <w:t>13</w:t>
            </w:r>
            <w:r>
              <w:rPr>
                <w:sz w:val="20"/>
                <w:lang w:eastAsia="nl-NL"/>
              </w:rPr>
              <w:t xml:space="preserve"> (3.050)</w:t>
            </w:r>
          </w:p>
        </w:tc>
        <w:tc>
          <w:tcPr>
            <w:tcW w:w="2147" w:type="dxa"/>
            <w:tcBorders>
              <w:top w:val="single" w:sz="4" w:space="0" w:color="auto"/>
            </w:tcBorders>
          </w:tcPr>
          <w:p w:rsidR="00A9011A" w:rsidRPr="000A4976" w:rsidRDefault="00A9011A" w:rsidP="00A825F2">
            <w:pPr>
              <w:spacing w:line="276" w:lineRule="auto"/>
              <w:rPr>
                <w:sz w:val="20"/>
                <w:lang w:eastAsia="nl-NL"/>
              </w:rPr>
            </w:pPr>
            <w:r>
              <w:rPr>
                <w:sz w:val="20"/>
                <w:lang w:eastAsia="nl-NL"/>
              </w:rPr>
              <w:t>0.</w:t>
            </w:r>
            <w:r w:rsidR="00A825F2">
              <w:rPr>
                <w:sz w:val="20"/>
                <w:lang w:eastAsia="nl-NL"/>
              </w:rPr>
              <w:t>57 (1.711)</w:t>
            </w:r>
          </w:p>
        </w:tc>
      </w:tr>
      <w:tr w:rsidR="00A9011A" w:rsidRPr="000A4976" w:rsidTr="00AD3583">
        <w:tc>
          <w:tcPr>
            <w:tcW w:w="2802" w:type="dxa"/>
          </w:tcPr>
          <w:p w:rsidR="00A9011A" w:rsidRPr="000A4976" w:rsidRDefault="00A9011A" w:rsidP="00AD3583">
            <w:pPr>
              <w:spacing w:line="276" w:lineRule="auto"/>
              <w:rPr>
                <w:sz w:val="20"/>
                <w:lang w:eastAsia="nl-NL"/>
              </w:rPr>
            </w:pPr>
            <w:r w:rsidRPr="000A4976">
              <w:rPr>
                <w:sz w:val="20"/>
                <w:lang w:eastAsia="nl-NL"/>
              </w:rPr>
              <w:t>Life Years</w:t>
            </w:r>
          </w:p>
        </w:tc>
        <w:tc>
          <w:tcPr>
            <w:tcW w:w="2146" w:type="dxa"/>
          </w:tcPr>
          <w:p w:rsidR="00A9011A" w:rsidRPr="000A4976" w:rsidRDefault="00A9011A" w:rsidP="00AD3583">
            <w:pPr>
              <w:spacing w:line="276" w:lineRule="auto"/>
              <w:rPr>
                <w:sz w:val="20"/>
                <w:lang w:eastAsia="nl-NL"/>
              </w:rPr>
            </w:pPr>
            <w:r>
              <w:rPr>
                <w:sz w:val="20"/>
                <w:lang w:eastAsia="nl-NL"/>
              </w:rPr>
              <w:t>29.26 (2.566)</w:t>
            </w:r>
          </w:p>
        </w:tc>
        <w:tc>
          <w:tcPr>
            <w:tcW w:w="2147" w:type="dxa"/>
          </w:tcPr>
          <w:p w:rsidR="00A9011A" w:rsidRPr="000A4976" w:rsidRDefault="00A825F2" w:rsidP="00AD3583">
            <w:pPr>
              <w:spacing w:line="276" w:lineRule="auto"/>
              <w:rPr>
                <w:sz w:val="20"/>
                <w:lang w:eastAsia="nl-NL"/>
              </w:rPr>
            </w:pPr>
            <w:r>
              <w:rPr>
                <w:sz w:val="20"/>
                <w:lang w:eastAsia="nl-NL"/>
              </w:rPr>
              <w:t>29.86</w:t>
            </w:r>
            <w:r w:rsidR="00A9011A">
              <w:rPr>
                <w:sz w:val="20"/>
                <w:lang w:eastAsia="nl-NL"/>
              </w:rPr>
              <w:t xml:space="preserve"> (3.048)</w:t>
            </w:r>
          </w:p>
        </w:tc>
        <w:tc>
          <w:tcPr>
            <w:tcW w:w="2147" w:type="dxa"/>
          </w:tcPr>
          <w:p w:rsidR="00A9011A" w:rsidRPr="000A4976" w:rsidRDefault="00A9011A" w:rsidP="00A825F2">
            <w:pPr>
              <w:spacing w:line="276" w:lineRule="auto"/>
              <w:rPr>
                <w:sz w:val="20"/>
                <w:lang w:eastAsia="nl-NL"/>
              </w:rPr>
            </w:pPr>
            <w:r>
              <w:rPr>
                <w:sz w:val="20"/>
                <w:lang w:eastAsia="nl-NL"/>
              </w:rPr>
              <w:t>0.</w:t>
            </w:r>
            <w:r w:rsidR="00A825F2">
              <w:rPr>
                <w:sz w:val="20"/>
                <w:lang w:eastAsia="nl-NL"/>
              </w:rPr>
              <w:t>57 (1.711)</w:t>
            </w:r>
          </w:p>
        </w:tc>
      </w:tr>
      <w:tr w:rsidR="00A9011A" w:rsidRPr="000A4976" w:rsidTr="00AD3583">
        <w:tc>
          <w:tcPr>
            <w:tcW w:w="2802" w:type="dxa"/>
          </w:tcPr>
          <w:p w:rsidR="00A9011A" w:rsidRPr="000A4976" w:rsidRDefault="00A9011A" w:rsidP="00AD3583">
            <w:pPr>
              <w:spacing w:line="276" w:lineRule="auto"/>
              <w:rPr>
                <w:sz w:val="20"/>
                <w:lang w:eastAsia="nl-NL"/>
              </w:rPr>
            </w:pPr>
            <w:r w:rsidRPr="000A4976">
              <w:rPr>
                <w:sz w:val="20"/>
                <w:lang w:eastAsia="nl-NL"/>
              </w:rPr>
              <w:t>QALYS (undiscounted)</w:t>
            </w:r>
          </w:p>
        </w:tc>
        <w:tc>
          <w:tcPr>
            <w:tcW w:w="2146" w:type="dxa"/>
          </w:tcPr>
          <w:p w:rsidR="00A9011A" w:rsidRPr="000A4976" w:rsidRDefault="00A9011A" w:rsidP="00A825F2">
            <w:pPr>
              <w:spacing w:line="276" w:lineRule="auto"/>
              <w:rPr>
                <w:sz w:val="20"/>
                <w:lang w:eastAsia="nl-NL"/>
              </w:rPr>
            </w:pPr>
            <w:r>
              <w:rPr>
                <w:sz w:val="20"/>
                <w:lang w:eastAsia="nl-NL"/>
              </w:rPr>
              <w:t>13.</w:t>
            </w:r>
            <w:r w:rsidR="00A825F2">
              <w:rPr>
                <w:sz w:val="20"/>
                <w:lang w:eastAsia="nl-NL"/>
              </w:rPr>
              <w:t>38</w:t>
            </w:r>
            <w:r>
              <w:rPr>
                <w:sz w:val="20"/>
                <w:lang w:eastAsia="nl-NL"/>
              </w:rPr>
              <w:t>0 (2.532)</w:t>
            </w:r>
          </w:p>
        </w:tc>
        <w:tc>
          <w:tcPr>
            <w:tcW w:w="2147" w:type="dxa"/>
          </w:tcPr>
          <w:p w:rsidR="00A9011A" w:rsidRPr="000A4976" w:rsidRDefault="00A9011A" w:rsidP="00A825F2">
            <w:pPr>
              <w:spacing w:line="276" w:lineRule="auto"/>
              <w:rPr>
                <w:sz w:val="20"/>
                <w:lang w:eastAsia="nl-NL"/>
              </w:rPr>
            </w:pPr>
            <w:r>
              <w:rPr>
                <w:sz w:val="20"/>
                <w:lang w:eastAsia="nl-NL"/>
              </w:rPr>
              <w:t>13.</w:t>
            </w:r>
            <w:r w:rsidR="00A825F2">
              <w:rPr>
                <w:sz w:val="20"/>
                <w:lang w:eastAsia="nl-NL"/>
              </w:rPr>
              <w:t>700</w:t>
            </w:r>
            <w:r>
              <w:rPr>
                <w:sz w:val="20"/>
                <w:lang w:eastAsia="nl-NL"/>
              </w:rPr>
              <w:t xml:space="preserve"> (2.671)</w:t>
            </w:r>
          </w:p>
        </w:tc>
        <w:tc>
          <w:tcPr>
            <w:tcW w:w="2147" w:type="dxa"/>
          </w:tcPr>
          <w:p w:rsidR="00A9011A" w:rsidRPr="000A4976" w:rsidRDefault="00A9011A" w:rsidP="00A825F2">
            <w:pPr>
              <w:spacing w:line="276" w:lineRule="auto"/>
              <w:rPr>
                <w:sz w:val="20"/>
                <w:lang w:eastAsia="nl-NL"/>
              </w:rPr>
            </w:pPr>
            <w:r>
              <w:rPr>
                <w:sz w:val="20"/>
                <w:lang w:eastAsia="nl-NL"/>
              </w:rPr>
              <w:t>0.3</w:t>
            </w:r>
            <w:r w:rsidR="00A825F2">
              <w:rPr>
                <w:sz w:val="20"/>
                <w:lang w:eastAsia="nl-NL"/>
              </w:rPr>
              <w:t>18 (0.759)</w:t>
            </w:r>
          </w:p>
        </w:tc>
      </w:tr>
      <w:tr w:rsidR="00A9011A" w:rsidRPr="000A4976" w:rsidTr="00073A10">
        <w:tc>
          <w:tcPr>
            <w:tcW w:w="2802" w:type="dxa"/>
            <w:tcBorders>
              <w:bottom w:val="single" w:sz="12" w:space="0" w:color="auto"/>
            </w:tcBorders>
          </w:tcPr>
          <w:p w:rsidR="00A9011A" w:rsidRPr="000A4976" w:rsidRDefault="00A9011A" w:rsidP="00AD3583">
            <w:pPr>
              <w:spacing w:line="276" w:lineRule="auto"/>
              <w:rPr>
                <w:sz w:val="20"/>
                <w:lang w:eastAsia="nl-NL"/>
              </w:rPr>
            </w:pPr>
            <w:r w:rsidRPr="000A4976">
              <w:rPr>
                <w:sz w:val="20"/>
                <w:lang w:eastAsia="nl-NL"/>
              </w:rPr>
              <w:t>QALYS (discounted)</w:t>
            </w:r>
          </w:p>
        </w:tc>
        <w:tc>
          <w:tcPr>
            <w:tcW w:w="2146" w:type="dxa"/>
            <w:tcBorders>
              <w:bottom w:val="single" w:sz="12" w:space="0" w:color="auto"/>
            </w:tcBorders>
          </w:tcPr>
          <w:p w:rsidR="00A9011A" w:rsidRPr="000A4976" w:rsidRDefault="00A9011A" w:rsidP="00A825F2">
            <w:pPr>
              <w:spacing w:line="276" w:lineRule="auto"/>
              <w:rPr>
                <w:sz w:val="20"/>
                <w:lang w:eastAsia="nl-NL"/>
              </w:rPr>
            </w:pPr>
            <w:r>
              <w:rPr>
                <w:sz w:val="20"/>
                <w:lang w:eastAsia="nl-NL"/>
              </w:rPr>
              <w:t>8.</w:t>
            </w:r>
            <w:r w:rsidR="00A825F2">
              <w:rPr>
                <w:sz w:val="20"/>
                <w:lang w:eastAsia="nl-NL"/>
              </w:rPr>
              <w:t>208</w:t>
            </w:r>
            <w:r>
              <w:rPr>
                <w:sz w:val="20"/>
                <w:lang w:eastAsia="nl-NL"/>
              </w:rPr>
              <w:t xml:space="preserve"> (1.433)</w:t>
            </w:r>
          </w:p>
        </w:tc>
        <w:tc>
          <w:tcPr>
            <w:tcW w:w="2147" w:type="dxa"/>
            <w:tcBorders>
              <w:bottom w:val="single" w:sz="12" w:space="0" w:color="auto"/>
            </w:tcBorders>
          </w:tcPr>
          <w:p w:rsidR="00A9011A" w:rsidRPr="000A4976" w:rsidRDefault="00A9011A" w:rsidP="00A825F2">
            <w:pPr>
              <w:spacing w:line="276" w:lineRule="auto"/>
              <w:rPr>
                <w:sz w:val="20"/>
                <w:lang w:eastAsia="nl-NL"/>
              </w:rPr>
            </w:pPr>
            <w:r>
              <w:rPr>
                <w:sz w:val="20"/>
                <w:lang w:eastAsia="nl-NL"/>
              </w:rPr>
              <w:t>8.3</w:t>
            </w:r>
            <w:r w:rsidR="00A825F2">
              <w:rPr>
                <w:sz w:val="20"/>
                <w:lang w:eastAsia="nl-NL"/>
              </w:rPr>
              <w:t>49</w:t>
            </w:r>
            <w:r>
              <w:rPr>
                <w:sz w:val="20"/>
                <w:lang w:eastAsia="nl-NL"/>
              </w:rPr>
              <w:t xml:space="preserve"> (1.493)</w:t>
            </w:r>
          </w:p>
        </w:tc>
        <w:tc>
          <w:tcPr>
            <w:tcW w:w="2147" w:type="dxa"/>
            <w:tcBorders>
              <w:bottom w:val="single" w:sz="12" w:space="0" w:color="auto"/>
            </w:tcBorders>
          </w:tcPr>
          <w:p w:rsidR="00A9011A" w:rsidRPr="000A4976" w:rsidRDefault="00A9011A" w:rsidP="00AD3583">
            <w:pPr>
              <w:spacing w:line="276" w:lineRule="auto"/>
              <w:rPr>
                <w:sz w:val="20"/>
                <w:lang w:eastAsia="nl-NL"/>
              </w:rPr>
            </w:pPr>
            <w:r>
              <w:rPr>
                <w:sz w:val="20"/>
                <w:lang w:eastAsia="nl-NL"/>
              </w:rPr>
              <w:t>0.1</w:t>
            </w:r>
            <w:r w:rsidR="00A825F2">
              <w:rPr>
                <w:sz w:val="20"/>
                <w:lang w:eastAsia="nl-NL"/>
              </w:rPr>
              <w:t>41 (0.389)</w:t>
            </w:r>
          </w:p>
        </w:tc>
      </w:tr>
    </w:tbl>
    <w:p w:rsidR="00A9011A" w:rsidRDefault="00A9011A" w:rsidP="00A9011A"/>
    <w:p w:rsidR="00A9011A" w:rsidRDefault="00E729BA" w:rsidP="00AE3D16">
      <w:pPr>
        <w:rPr>
          <w:lang w:eastAsia="nl-NL"/>
        </w:rPr>
      </w:pPr>
      <w:r>
        <w:rPr>
          <w:lang w:eastAsia="nl-NL"/>
        </w:rPr>
        <w:fldChar w:fldCharType="begin"/>
      </w:r>
      <w:r w:rsidR="008731E8">
        <w:rPr>
          <w:lang w:eastAsia="nl-NL"/>
        </w:rPr>
        <w:instrText xml:space="preserve"> REF _Ref364922298 \h </w:instrText>
      </w:r>
      <w:r>
        <w:rPr>
          <w:lang w:eastAsia="nl-NL"/>
        </w:rPr>
      </w:r>
      <w:r>
        <w:rPr>
          <w:lang w:eastAsia="nl-NL"/>
        </w:rPr>
        <w:fldChar w:fldCharType="separate"/>
      </w:r>
      <w:r w:rsidR="004911B7">
        <w:t xml:space="preserve">Table </w:t>
      </w:r>
      <w:r w:rsidR="004911B7">
        <w:rPr>
          <w:noProof/>
        </w:rPr>
        <w:t>48</w:t>
      </w:r>
      <w:r>
        <w:rPr>
          <w:lang w:eastAsia="nl-NL"/>
        </w:rPr>
        <w:fldChar w:fldCharType="end"/>
      </w:r>
      <w:r w:rsidR="008731E8">
        <w:rPr>
          <w:lang w:eastAsia="nl-NL"/>
        </w:rPr>
        <w:t xml:space="preserve"> </w:t>
      </w:r>
      <w:r w:rsidR="00A9011A">
        <w:rPr>
          <w:lang w:eastAsia="nl-NL"/>
        </w:rPr>
        <w:t xml:space="preserve">reports the proportion of patients who experienced organ damage </w:t>
      </w:r>
      <w:r w:rsidR="00A825F2">
        <w:rPr>
          <w:lang w:eastAsia="nl-NL"/>
        </w:rPr>
        <w:t>up to</w:t>
      </w:r>
      <w:r w:rsidR="00A9011A">
        <w:rPr>
          <w:lang w:eastAsia="nl-NL"/>
        </w:rPr>
        <w:t xml:space="preserve"> the time of death for the SoC and treatment arms. A lower proportion of patient</w:t>
      </w:r>
      <w:r w:rsidR="00A825F2">
        <w:rPr>
          <w:lang w:eastAsia="nl-NL"/>
        </w:rPr>
        <w:t>s</w:t>
      </w:r>
      <w:r w:rsidR="00A9011A">
        <w:rPr>
          <w:lang w:eastAsia="nl-NL"/>
        </w:rPr>
        <w:t xml:space="preserve"> receiving the new treatment had accumulated organ damage in the </w:t>
      </w:r>
      <w:r w:rsidR="00AE3D16">
        <w:rPr>
          <w:lang w:eastAsia="nl-NL"/>
        </w:rPr>
        <w:t>cardiovascular</w:t>
      </w:r>
      <w:r w:rsidR="00A9011A">
        <w:rPr>
          <w:lang w:eastAsia="nl-NL"/>
        </w:rPr>
        <w:t xml:space="preserve">, </w:t>
      </w:r>
      <w:r w:rsidR="00AE3D16">
        <w:rPr>
          <w:lang w:eastAsia="nl-NL"/>
        </w:rPr>
        <w:t>renal</w:t>
      </w:r>
      <w:r w:rsidR="00A9011A">
        <w:rPr>
          <w:lang w:eastAsia="nl-NL"/>
        </w:rPr>
        <w:t xml:space="preserve">, </w:t>
      </w:r>
      <w:r w:rsidR="00AE3D16">
        <w:rPr>
          <w:lang w:eastAsia="nl-NL"/>
        </w:rPr>
        <w:t>ocular</w:t>
      </w:r>
      <w:r w:rsidR="00A9011A">
        <w:rPr>
          <w:lang w:eastAsia="nl-NL"/>
        </w:rPr>
        <w:t xml:space="preserve">, and </w:t>
      </w:r>
      <w:r w:rsidR="00AE3D16">
        <w:rPr>
          <w:lang w:eastAsia="nl-NL"/>
        </w:rPr>
        <w:t xml:space="preserve">skin </w:t>
      </w:r>
      <w:r w:rsidR="00A9011A">
        <w:rPr>
          <w:lang w:eastAsia="nl-NL"/>
        </w:rPr>
        <w:t xml:space="preserve">organ systems. More patients with the new treatment died with damage in the </w:t>
      </w:r>
      <w:r w:rsidR="00AE3D16">
        <w:rPr>
          <w:lang w:eastAsia="nl-NL"/>
        </w:rPr>
        <w:t xml:space="preserve">neuropsychiatric </w:t>
      </w:r>
      <w:r w:rsidR="00A9011A">
        <w:rPr>
          <w:lang w:eastAsia="nl-NL"/>
        </w:rPr>
        <w:t xml:space="preserve">system, </w:t>
      </w:r>
      <w:r w:rsidR="00AE3D16">
        <w:rPr>
          <w:lang w:eastAsia="nl-NL"/>
        </w:rPr>
        <w:t xml:space="preserve">peripheral vascular </w:t>
      </w:r>
      <w:r w:rsidR="00A9011A">
        <w:rPr>
          <w:lang w:eastAsia="nl-NL"/>
        </w:rPr>
        <w:t xml:space="preserve">system, </w:t>
      </w:r>
      <w:r w:rsidR="00AE3D16">
        <w:rPr>
          <w:lang w:eastAsia="nl-NL"/>
        </w:rPr>
        <w:t>malignancy</w:t>
      </w:r>
      <w:r w:rsidR="00A9011A">
        <w:rPr>
          <w:lang w:eastAsia="nl-NL"/>
        </w:rPr>
        <w:t xml:space="preserve">, and </w:t>
      </w:r>
      <w:r w:rsidR="00AE3D16">
        <w:rPr>
          <w:lang w:eastAsia="nl-NL"/>
        </w:rPr>
        <w:t>diabetes</w:t>
      </w:r>
      <w:r w:rsidR="00A9011A">
        <w:rPr>
          <w:lang w:eastAsia="nl-NL"/>
        </w:rPr>
        <w:t xml:space="preserve">. Overall there were very small differences in the accumulation of damage between the two treatment arms. However, patients receiving treatment live longer, so have a longer time at risk of damage accumulation.  </w:t>
      </w:r>
    </w:p>
    <w:p w:rsidR="00073A10" w:rsidRDefault="00073A10">
      <w:pPr>
        <w:spacing w:after="0" w:afterAutospacing="0" w:line="240" w:lineRule="auto"/>
        <w:rPr>
          <w:b/>
          <w:bCs/>
          <w:sz w:val="18"/>
          <w:szCs w:val="16"/>
        </w:rPr>
      </w:pPr>
      <w:bookmarkStart w:id="542" w:name="_Ref313283166"/>
    </w:p>
    <w:p w:rsidR="00A9011A" w:rsidRDefault="00A9011A" w:rsidP="00234693">
      <w:pPr>
        <w:pStyle w:val="Caption"/>
      </w:pPr>
      <w:bookmarkStart w:id="543" w:name="_Ref364922298"/>
      <w:r>
        <w:t xml:space="preserve">Table </w:t>
      </w:r>
      <w:fldSimple w:instr=" SEQ Table \* ARABIC ">
        <w:r w:rsidR="004911B7">
          <w:rPr>
            <w:noProof/>
          </w:rPr>
          <w:t>48</w:t>
        </w:r>
      </w:fldSimple>
      <w:bookmarkEnd w:id="542"/>
      <w:bookmarkEnd w:id="543"/>
      <w:r>
        <w:t>: Mean p</w:t>
      </w:r>
      <w:r w:rsidR="00A825F2">
        <w:t>roportion</w:t>
      </w:r>
      <w:r>
        <w:t xml:space="preserve"> of patients with organ damage at death (standard deviation)</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646"/>
        <w:gridCol w:w="2030"/>
        <w:gridCol w:w="2031"/>
        <w:gridCol w:w="2013"/>
      </w:tblGrid>
      <w:tr w:rsidR="00A9011A" w:rsidRPr="000A4976" w:rsidTr="00073A10">
        <w:tc>
          <w:tcPr>
            <w:tcW w:w="2802" w:type="dxa"/>
            <w:tcBorders>
              <w:top w:val="single" w:sz="12" w:space="0" w:color="auto"/>
              <w:bottom w:val="single" w:sz="4" w:space="0" w:color="auto"/>
            </w:tcBorders>
          </w:tcPr>
          <w:p w:rsidR="00A9011A" w:rsidRPr="000A4976" w:rsidRDefault="00A9011A" w:rsidP="00AD3583">
            <w:pPr>
              <w:spacing w:line="276" w:lineRule="auto"/>
              <w:rPr>
                <w:sz w:val="18"/>
                <w:szCs w:val="18"/>
                <w:lang w:eastAsia="nl-NL"/>
              </w:rPr>
            </w:pPr>
          </w:p>
        </w:tc>
        <w:tc>
          <w:tcPr>
            <w:tcW w:w="2146" w:type="dxa"/>
            <w:tcBorders>
              <w:top w:val="single" w:sz="12" w:space="0" w:color="auto"/>
              <w:bottom w:val="single" w:sz="4" w:space="0" w:color="auto"/>
            </w:tcBorders>
          </w:tcPr>
          <w:p w:rsidR="00A9011A" w:rsidRPr="000A4976" w:rsidRDefault="00A9011A" w:rsidP="00AD3583">
            <w:pPr>
              <w:spacing w:line="276" w:lineRule="auto"/>
              <w:rPr>
                <w:sz w:val="18"/>
                <w:szCs w:val="18"/>
                <w:lang w:eastAsia="nl-NL"/>
              </w:rPr>
            </w:pPr>
            <w:r w:rsidRPr="000A4976">
              <w:rPr>
                <w:sz w:val="18"/>
                <w:szCs w:val="18"/>
                <w:lang w:eastAsia="nl-NL"/>
              </w:rPr>
              <w:t>Standard of care</w:t>
            </w:r>
          </w:p>
        </w:tc>
        <w:tc>
          <w:tcPr>
            <w:tcW w:w="2147" w:type="dxa"/>
            <w:tcBorders>
              <w:top w:val="single" w:sz="12" w:space="0" w:color="auto"/>
              <w:bottom w:val="single" w:sz="4" w:space="0" w:color="auto"/>
            </w:tcBorders>
          </w:tcPr>
          <w:p w:rsidR="00A9011A" w:rsidRPr="000A4976" w:rsidRDefault="00A9011A" w:rsidP="00AD3583">
            <w:pPr>
              <w:spacing w:line="276" w:lineRule="auto"/>
              <w:rPr>
                <w:sz w:val="18"/>
                <w:szCs w:val="18"/>
                <w:lang w:eastAsia="nl-NL"/>
              </w:rPr>
            </w:pPr>
            <w:r w:rsidRPr="000A4976">
              <w:rPr>
                <w:sz w:val="18"/>
                <w:szCs w:val="18"/>
                <w:lang w:eastAsia="nl-NL"/>
              </w:rPr>
              <w:t>New treatment</w:t>
            </w:r>
          </w:p>
        </w:tc>
        <w:tc>
          <w:tcPr>
            <w:tcW w:w="2147" w:type="dxa"/>
            <w:tcBorders>
              <w:top w:val="single" w:sz="12" w:space="0" w:color="auto"/>
              <w:bottom w:val="single" w:sz="4" w:space="0" w:color="auto"/>
            </w:tcBorders>
          </w:tcPr>
          <w:p w:rsidR="00A9011A" w:rsidRPr="000A4976" w:rsidRDefault="00A9011A" w:rsidP="00AD3583">
            <w:pPr>
              <w:spacing w:line="276" w:lineRule="auto"/>
              <w:rPr>
                <w:sz w:val="18"/>
                <w:szCs w:val="18"/>
                <w:lang w:eastAsia="nl-NL"/>
              </w:rPr>
            </w:pPr>
            <w:r w:rsidRPr="000A4976">
              <w:rPr>
                <w:sz w:val="18"/>
                <w:szCs w:val="18"/>
                <w:lang w:eastAsia="nl-NL"/>
              </w:rPr>
              <w:t>Difference</w:t>
            </w:r>
          </w:p>
        </w:tc>
      </w:tr>
      <w:tr w:rsidR="00A9011A" w:rsidRPr="000A4976" w:rsidTr="00AD3583">
        <w:tc>
          <w:tcPr>
            <w:tcW w:w="2802" w:type="dxa"/>
            <w:tcBorders>
              <w:top w:val="single" w:sz="4" w:space="0" w:color="auto"/>
            </w:tcBorders>
          </w:tcPr>
          <w:p w:rsidR="00A9011A" w:rsidRPr="000A4976" w:rsidRDefault="00A9011A" w:rsidP="00AD3583">
            <w:pPr>
              <w:spacing w:line="276" w:lineRule="auto"/>
              <w:rPr>
                <w:sz w:val="18"/>
                <w:szCs w:val="18"/>
                <w:lang w:eastAsia="nl-NL"/>
              </w:rPr>
            </w:pPr>
            <w:r w:rsidRPr="000A4976">
              <w:rPr>
                <w:sz w:val="18"/>
                <w:szCs w:val="18"/>
                <w:lang w:eastAsia="nl-NL"/>
              </w:rPr>
              <w:t>Cardiovascular</w:t>
            </w:r>
          </w:p>
        </w:tc>
        <w:tc>
          <w:tcPr>
            <w:tcW w:w="2146" w:type="dxa"/>
            <w:tcBorders>
              <w:top w:val="single" w:sz="4" w:space="0" w:color="auto"/>
            </w:tcBorders>
          </w:tcPr>
          <w:p w:rsidR="00A9011A" w:rsidRPr="000A4976" w:rsidRDefault="00A9011A" w:rsidP="00A825F2">
            <w:pPr>
              <w:spacing w:line="276" w:lineRule="auto"/>
              <w:rPr>
                <w:sz w:val="18"/>
                <w:szCs w:val="18"/>
                <w:lang w:eastAsia="nl-NL"/>
              </w:rPr>
            </w:pPr>
            <w:r>
              <w:rPr>
                <w:sz w:val="18"/>
                <w:szCs w:val="18"/>
                <w:lang w:eastAsia="nl-NL"/>
              </w:rPr>
              <w:t>0.4</w:t>
            </w:r>
            <w:r w:rsidR="00A825F2">
              <w:rPr>
                <w:sz w:val="18"/>
                <w:szCs w:val="18"/>
                <w:lang w:eastAsia="nl-NL"/>
              </w:rPr>
              <w:t>34</w:t>
            </w:r>
            <w:r>
              <w:rPr>
                <w:sz w:val="18"/>
                <w:szCs w:val="18"/>
                <w:lang w:eastAsia="nl-NL"/>
              </w:rPr>
              <w:t xml:space="preserve"> (0.075)</w:t>
            </w:r>
          </w:p>
        </w:tc>
        <w:tc>
          <w:tcPr>
            <w:tcW w:w="2147" w:type="dxa"/>
            <w:tcBorders>
              <w:top w:val="single" w:sz="4" w:space="0" w:color="auto"/>
            </w:tcBorders>
          </w:tcPr>
          <w:p w:rsidR="00A9011A" w:rsidRPr="000A4976" w:rsidRDefault="00A9011A" w:rsidP="00A825F2">
            <w:pPr>
              <w:spacing w:line="276" w:lineRule="auto"/>
              <w:rPr>
                <w:sz w:val="18"/>
                <w:szCs w:val="18"/>
                <w:lang w:eastAsia="nl-NL"/>
              </w:rPr>
            </w:pPr>
            <w:r>
              <w:rPr>
                <w:sz w:val="18"/>
                <w:szCs w:val="18"/>
                <w:lang w:eastAsia="nl-NL"/>
              </w:rPr>
              <w:t>0.4</w:t>
            </w:r>
            <w:r w:rsidR="00A825F2">
              <w:rPr>
                <w:sz w:val="18"/>
                <w:szCs w:val="18"/>
                <w:lang w:eastAsia="nl-NL"/>
              </w:rPr>
              <w:t xml:space="preserve">20 </w:t>
            </w:r>
            <w:r>
              <w:rPr>
                <w:sz w:val="18"/>
                <w:szCs w:val="18"/>
                <w:lang w:eastAsia="nl-NL"/>
              </w:rPr>
              <w:t>(0.077)</w:t>
            </w:r>
          </w:p>
        </w:tc>
        <w:tc>
          <w:tcPr>
            <w:tcW w:w="2147" w:type="dxa"/>
            <w:tcBorders>
              <w:top w:val="single" w:sz="4" w:space="0" w:color="auto"/>
            </w:tcBorders>
          </w:tcPr>
          <w:p w:rsidR="00A9011A" w:rsidRPr="000A4976" w:rsidRDefault="00A9011A" w:rsidP="00AD3583">
            <w:pPr>
              <w:spacing w:line="276" w:lineRule="auto"/>
              <w:rPr>
                <w:sz w:val="18"/>
                <w:szCs w:val="18"/>
                <w:lang w:eastAsia="nl-NL"/>
              </w:rPr>
            </w:pPr>
            <w:r>
              <w:rPr>
                <w:sz w:val="18"/>
                <w:szCs w:val="18"/>
                <w:lang w:eastAsia="nl-NL"/>
              </w:rPr>
              <w:t>-0.01</w:t>
            </w:r>
            <w:r w:rsidR="00A825F2">
              <w:rPr>
                <w:sz w:val="18"/>
                <w:szCs w:val="18"/>
                <w:lang w:eastAsia="nl-NL"/>
              </w:rPr>
              <w:t>4 (0.022)</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Renal</w:t>
            </w:r>
          </w:p>
        </w:tc>
        <w:tc>
          <w:tcPr>
            <w:tcW w:w="2146" w:type="dxa"/>
          </w:tcPr>
          <w:p w:rsidR="00A9011A" w:rsidRPr="000A4976" w:rsidRDefault="00A9011A" w:rsidP="00A825F2">
            <w:pPr>
              <w:spacing w:line="276" w:lineRule="auto"/>
              <w:rPr>
                <w:sz w:val="18"/>
                <w:szCs w:val="18"/>
                <w:lang w:eastAsia="nl-NL"/>
              </w:rPr>
            </w:pPr>
            <w:r>
              <w:rPr>
                <w:sz w:val="18"/>
                <w:szCs w:val="18"/>
                <w:lang w:eastAsia="nl-NL"/>
              </w:rPr>
              <w:t>0.1</w:t>
            </w:r>
            <w:r w:rsidR="00A825F2">
              <w:rPr>
                <w:sz w:val="18"/>
                <w:szCs w:val="18"/>
                <w:lang w:eastAsia="nl-NL"/>
              </w:rPr>
              <w:t>54</w:t>
            </w:r>
            <w:r>
              <w:rPr>
                <w:sz w:val="18"/>
                <w:szCs w:val="18"/>
                <w:lang w:eastAsia="nl-NL"/>
              </w:rPr>
              <w:t xml:space="preserve"> (0.049)</w:t>
            </w:r>
          </w:p>
        </w:tc>
        <w:tc>
          <w:tcPr>
            <w:tcW w:w="2147" w:type="dxa"/>
          </w:tcPr>
          <w:p w:rsidR="00A9011A" w:rsidRPr="000A4976" w:rsidRDefault="00A9011A" w:rsidP="00A825F2">
            <w:pPr>
              <w:spacing w:line="276" w:lineRule="auto"/>
              <w:rPr>
                <w:sz w:val="18"/>
                <w:szCs w:val="18"/>
                <w:lang w:eastAsia="nl-NL"/>
              </w:rPr>
            </w:pPr>
            <w:r>
              <w:rPr>
                <w:sz w:val="18"/>
                <w:szCs w:val="18"/>
                <w:lang w:eastAsia="nl-NL"/>
              </w:rPr>
              <w:t>0.1</w:t>
            </w:r>
            <w:r w:rsidR="00A825F2">
              <w:rPr>
                <w:sz w:val="18"/>
                <w:szCs w:val="18"/>
                <w:lang w:eastAsia="nl-NL"/>
              </w:rPr>
              <w:t>46</w:t>
            </w:r>
            <w:r>
              <w:rPr>
                <w:sz w:val="18"/>
                <w:szCs w:val="18"/>
                <w:lang w:eastAsia="nl-NL"/>
              </w:rPr>
              <w:t xml:space="preserve"> (0.048)</w:t>
            </w:r>
          </w:p>
        </w:tc>
        <w:tc>
          <w:tcPr>
            <w:tcW w:w="2147" w:type="dxa"/>
          </w:tcPr>
          <w:p w:rsidR="00A9011A" w:rsidRPr="000A4976" w:rsidRDefault="00A9011A" w:rsidP="00AD3583">
            <w:pPr>
              <w:spacing w:line="276" w:lineRule="auto"/>
              <w:rPr>
                <w:sz w:val="18"/>
                <w:szCs w:val="18"/>
                <w:lang w:eastAsia="nl-NL"/>
              </w:rPr>
            </w:pPr>
            <w:r>
              <w:rPr>
                <w:sz w:val="18"/>
                <w:szCs w:val="18"/>
                <w:lang w:eastAsia="nl-NL"/>
              </w:rPr>
              <w:t>-0.007</w:t>
            </w:r>
            <w:r w:rsidR="00A825F2">
              <w:rPr>
                <w:sz w:val="18"/>
                <w:szCs w:val="18"/>
                <w:lang w:eastAsia="nl-NL"/>
              </w:rPr>
              <w:t xml:space="preserve"> (0.011)</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Musculoskeletal</w:t>
            </w:r>
          </w:p>
        </w:tc>
        <w:tc>
          <w:tcPr>
            <w:tcW w:w="2146" w:type="dxa"/>
          </w:tcPr>
          <w:p w:rsidR="00A9011A" w:rsidRPr="000A4976" w:rsidRDefault="00A9011A" w:rsidP="00A825F2">
            <w:pPr>
              <w:spacing w:line="276" w:lineRule="auto"/>
              <w:rPr>
                <w:sz w:val="18"/>
                <w:szCs w:val="18"/>
                <w:lang w:eastAsia="nl-NL"/>
              </w:rPr>
            </w:pPr>
            <w:r>
              <w:rPr>
                <w:sz w:val="18"/>
                <w:szCs w:val="18"/>
                <w:lang w:eastAsia="nl-NL"/>
              </w:rPr>
              <w:t>0.63</w:t>
            </w:r>
            <w:r w:rsidR="00A825F2">
              <w:rPr>
                <w:sz w:val="18"/>
                <w:szCs w:val="18"/>
                <w:lang w:eastAsia="nl-NL"/>
              </w:rPr>
              <w:t>6</w:t>
            </w:r>
            <w:r>
              <w:rPr>
                <w:sz w:val="18"/>
                <w:szCs w:val="18"/>
                <w:lang w:eastAsia="nl-NL"/>
              </w:rPr>
              <w:t>(0.044)</w:t>
            </w:r>
          </w:p>
        </w:tc>
        <w:tc>
          <w:tcPr>
            <w:tcW w:w="2147" w:type="dxa"/>
          </w:tcPr>
          <w:p w:rsidR="00A9011A" w:rsidRPr="000A4976" w:rsidRDefault="00A9011A" w:rsidP="00A825F2">
            <w:pPr>
              <w:spacing w:line="276" w:lineRule="auto"/>
              <w:rPr>
                <w:sz w:val="18"/>
                <w:szCs w:val="18"/>
                <w:lang w:eastAsia="nl-NL"/>
              </w:rPr>
            </w:pPr>
            <w:r>
              <w:rPr>
                <w:sz w:val="18"/>
                <w:szCs w:val="18"/>
                <w:lang w:eastAsia="nl-NL"/>
              </w:rPr>
              <w:t>0.63</w:t>
            </w:r>
            <w:r w:rsidR="00A825F2">
              <w:rPr>
                <w:sz w:val="18"/>
                <w:szCs w:val="18"/>
                <w:lang w:eastAsia="nl-NL"/>
              </w:rPr>
              <w:t>7</w:t>
            </w:r>
            <w:r>
              <w:rPr>
                <w:sz w:val="18"/>
                <w:szCs w:val="18"/>
                <w:lang w:eastAsia="nl-NL"/>
              </w:rPr>
              <w:t>(0.051)</w:t>
            </w:r>
          </w:p>
        </w:tc>
        <w:tc>
          <w:tcPr>
            <w:tcW w:w="2147" w:type="dxa"/>
          </w:tcPr>
          <w:p w:rsidR="00A9011A" w:rsidRPr="000A4976" w:rsidRDefault="00A825F2" w:rsidP="00AD3583">
            <w:pPr>
              <w:spacing w:line="276" w:lineRule="auto"/>
              <w:rPr>
                <w:sz w:val="18"/>
                <w:szCs w:val="18"/>
                <w:lang w:eastAsia="nl-NL"/>
              </w:rPr>
            </w:pPr>
            <w:r>
              <w:rPr>
                <w:sz w:val="18"/>
                <w:szCs w:val="18"/>
                <w:lang w:eastAsia="nl-NL"/>
              </w:rPr>
              <w:t>0.001 (0.027)</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Neuropsychiatric</w:t>
            </w:r>
          </w:p>
        </w:tc>
        <w:tc>
          <w:tcPr>
            <w:tcW w:w="2146" w:type="dxa"/>
          </w:tcPr>
          <w:p w:rsidR="00A9011A" w:rsidRPr="000A4976" w:rsidRDefault="00A9011A" w:rsidP="00A825F2">
            <w:pPr>
              <w:spacing w:line="276" w:lineRule="auto"/>
              <w:rPr>
                <w:sz w:val="18"/>
                <w:szCs w:val="18"/>
                <w:lang w:eastAsia="nl-NL"/>
              </w:rPr>
            </w:pPr>
            <w:r>
              <w:rPr>
                <w:sz w:val="18"/>
                <w:szCs w:val="18"/>
                <w:lang w:eastAsia="nl-NL"/>
              </w:rPr>
              <w:t>0.47</w:t>
            </w:r>
            <w:r w:rsidR="00A825F2">
              <w:rPr>
                <w:sz w:val="18"/>
                <w:szCs w:val="18"/>
                <w:lang w:eastAsia="nl-NL"/>
              </w:rPr>
              <w:t>6</w:t>
            </w:r>
            <w:r>
              <w:rPr>
                <w:sz w:val="18"/>
                <w:szCs w:val="18"/>
                <w:lang w:eastAsia="nl-NL"/>
              </w:rPr>
              <w:t>(0.040)</w:t>
            </w:r>
          </w:p>
        </w:tc>
        <w:tc>
          <w:tcPr>
            <w:tcW w:w="2147" w:type="dxa"/>
          </w:tcPr>
          <w:p w:rsidR="00A9011A" w:rsidRPr="000A4976" w:rsidRDefault="00A9011A" w:rsidP="000E5284">
            <w:pPr>
              <w:spacing w:line="276" w:lineRule="auto"/>
              <w:rPr>
                <w:sz w:val="18"/>
                <w:szCs w:val="18"/>
                <w:lang w:eastAsia="nl-NL"/>
              </w:rPr>
            </w:pPr>
            <w:r>
              <w:rPr>
                <w:sz w:val="18"/>
                <w:szCs w:val="18"/>
                <w:lang w:eastAsia="nl-NL"/>
              </w:rPr>
              <w:t>0.47</w:t>
            </w:r>
            <w:r w:rsidR="000E5284">
              <w:rPr>
                <w:sz w:val="18"/>
                <w:szCs w:val="18"/>
                <w:lang w:eastAsia="nl-NL"/>
              </w:rPr>
              <w:t>7</w:t>
            </w:r>
            <w:r>
              <w:rPr>
                <w:sz w:val="18"/>
                <w:szCs w:val="18"/>
                <w:lang w:eastAsia="nl-NL"/>
              </w:rPr>
              <w:t>(0.044)</w:t>
            </w:r>
          </w:p>
        </w:tc>
        <w:tc>
          <w:tcPr>
            <w:tcW w:w="2147" w:type="dxa"/>
          </w:tcPr>
          <w:p w:rsidR="00A9011A" w:rsidRPr="000A4976" w:rsidRDefault="00A9011A" w:rsidP="000E5284">
            <w:pPr>
              <w:spacing w:line="276" w:lineRule="auto"/>
              <w:rPr>
                <w:sz w:val="18"/>
                <w:szCs w:val="18"/>
                <w:lang w:eastAsia="nl-NL"/>
              </w:rPr>
            </w:pPr>
            <w:r>
              <w:rPr>
                <w:sz w:val="18"/>
                <w:szCs w:val="18"/>
                <w:lang w:eastAsia="nl-NL"/>
              </w:rPr>
              <w:t>0.00</w:t>
            </w:r>
            <w:r w:rsidR="000E5284">
              <w:rPr>
                <w:sz w:val="18"/>
                <w:szCs w:val="18"/>
                <w:lang w:eastAsia="nl-NL"/>
              </w:rPr>
              <w:t>1 (0.018)</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Pulmonary</w:t>
            </w:r>
          </w:p>
        </w:tc>
        <w:tc>
          <w:tcPr>
            <w:tcW w:w="2146" w:type="dxa"/>
          </w:tcPr>
          <w:p w:rsidR="00A9011A" w:rsidRPr="000A4976" w:rsidRDefault="000E5284" w:rsidP="00AD3583">
            <w:pPr>
              <w:spacing w:line="276" w:lineRule="auto"/>
              <w:rPr>
                <w:sz w:val="18"/>
                <w:szCs w:val="18"/>
                <w:lang w:eastAsia="nl-NL"/>
              </w:rPr>
            </w:pPr>
            <w:r>
              <w:rPr>
                <w:sz w:val="18"/>
                <w:szCs w:val="18"/>
                <w:lang w:eastAsia="nl-NL"/>
              </w:rPr>
              <w:t>0.399</w:t>
            </w:r>
            <w:r w:rsidR="00A9011A">
              <w:rPr>
                <w:sz w:val="18"/>
                <w:szCs w:val="18"/>
                <w:lang w:eastAsia="nl-NL"/>
              </w:rPr>
              <w:t>(0.047)</w:t>
            </w:r>
          </w:p>
        </w:tc>
        <w:tc>
          <w:tcPr>
            <w:tcW w:w="2147" w:type="dxa"/>
          </w:tcPr>
          <w:p w:rsidR="00A9011A" w:rsidRPr="000A4976" w:rsidRDefault="00A9011A" w:rsidP="000E5284">
            <w:pPr>
              <w:spacing w:line="276" w:lineRule="auto"/>
              <w:rPr>
                <w:sz w:val="18"/>
                <w:szCs w:val="18"/>
                <w:lang w:eastAsia="nl-NL"/>
              </w:rPr>
            </w:pPr>
            <w:r>
              <w:rPr>
                <w:sz w:val="18"/>
                <w:szCs w:val="18"/>
                <w:lang w:eastAsia="nl-NL"/>
              </w:rPr>
              <w:t>0.39</w:t>
            </w:r>
            <w:r w:rsidR="000E5284">
              <w:rPr>
                <w:sz w:val="18"/>
                <w:szCs w:val="18"/>
                <w:lang w:eastAsia="nl-NL"/>
              </w:rPr>
              <w:t>7</w:t>
            </w:r>
            <w:r>
              <w:rPr>
                <w:sz w:val="18"/>
                <w:szCs w:val="18"/>
                <w:lang w:eastAsia="nl-NL"/>
              </w:rPr>
              <w:t>(0.050)</w:t>
            </w:r>
          </w:p>
        </w:tc>
        <w:tc>
          <w:tcPr>
            <w:tcW w:w="2147" w:type="dxa"/>
          </w:tcPr>
          <w:p w:rsidR="00A9011A" w:rsidRPr="000A4976" w:rsidRDefault="000E5284" w:rsidP="00AD3583">
            <w:pPr>
              <w:spacing w:line="276" w:lineRule="auto"/>
              <w:rPr>
                <w:sz w:val="18"/>
                <w:szCs w:val="18"/>
                <w:lang w:eastAsia="nl-NL"/>
              </w:rPr>
            </w:pPr>
            <w:r>
              <w:rPr>
                <w:sz w:val="18"/>
                <w:szCs w:val="18"/>
                <w:lang w:eastAsia="nl-NL"/>
              </w:rPr>
              <w:t>-0.002 (0.021)</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Peripheral Vascular</w:t>
            </w:r>
          </w:p>
        </w:tc>
        <w:tc>
          <w:tcPr>
            <w:tcW w:w="2146" w:type="dxa"/>
          </w:tcPr>
          <w:p w:rsidR="00A9011A" w:rsidRPr="000A4976" w:rsidRDefault="00A9011A" w:rsidP="000E5284">
            <w:pPr>
              <w:spacing w:line="276" w:lineRule="auto"/>
              <w:rPr>
                <w:sz w:val="18"/>
                <w:szCs w:val="18"/>
                <w:lang w:eastAsia="nl-NL"/>
              </w:rPr>
            </w:pPr>
            <w:r>
              <w:rPr>
                <w:sz w:val="18"/>
                <w:szCs w:val="18"/>
                <w:lang w:eastAsia="nl-NL"/>
              </w:rPr>
              <w:t>0.15</w:t>
            </w:r>
            <w:r w:rsidR="000E5284">
              <w:rPr>
                <w:sz w:val="18"/>
                <w:szCs w:val="18"/>
                <w:lang w:eastAsia="nl-NL"/>
              </w:rPr>
              <w:t>8</w:t>
            </w:r>
            <w:r>
              <w:rPr>
                <w:sz w:val="18"/>
                <w:szCs w:val="18"/>
                <w:lang w:eastAsia="nl-NL"/>
              </w:rPr>
              <w:t>(0.018)</w:t>
            </w:r>
          </w:p>
        </w:tc>
        <w:tc>
          <w:tcPr>
            <w:tcW w:w="2147" w:type="dxa"/>
          </w:tcPr>
          <w:p w:rsidR="00A9011A" w:rsidRPr="000A4976" w:rsidRDefault="00A9011A" w:rsidP="000E5284">
            <w:pPr>
              <w:spacing w:line="276" w:lineRule="auto"/>
              <w:rPr>
                <w:sz w:val="18"/>
                <w:szCs w:val="18"/>
                <w:lang w:eastAsia="nl-NL"/>
              </w:rPr>
            </w:pPr>
            <w:r>
              <w:rPr>
                <w:sz w:val="18"/>
                <w:szCs w:val="18"/>
                <w:lang w:eastAsia="nl-NL"/>
              </w:rPr>
              <w:t>0.15</w:t>
            </w:r>
            <w:r w:rsidR="000E5284">
              <w:rPr>
                <w:sz w:val="18"/>
                <w:szCs w:val="18"/>
                <w:lang w:eastAsia="nl-NL"/>
              </w:rPr>
              <w:t>9</w:t>
            </w:r>
            <w:r>
              <w:rPr>
                <w:sz w:val="18"/>
                <w:szCs w:val="18"/>
                <w:lang w:eastAsia="nl-NL"/>
              </w:rPr>
              <w:t>(0.021)</w:t>
            </w:r>
          </w:p>
        </w:tc>
        <w:tc>
          <w:tcPr>
            <w:tcW w:w="2147" w:type="dxa"/>
          </w:tcPr>
          <w:p w:rsidR="00A9011A" w:rsidRPr="000A4976" w:rsidRDefault="000E5284" w:rsidP="00AD3583">
            <w:pPr>
              <w:spacing w:line="276" w:lineRule="auto"/>
              <w:rPr>
                <w:sz w:val="18"/>
                <w:szCs w:val="18"/>
                <w:lang w:eastAsia="nl-NL"/>
              </w:rPr>
            </w:pPr>
            <w:r>
              <w:rPr>
                <w:sz w:val="18"/>
                <w:szCs w:val="18"/>
                <w:lang w:eastAsia="nl-NL"/>
              </w:rPr>
              <w:t>0.001 (0.011)</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Gastrointestinal</w:t>
            </w:r>
          </w:p>
        </w:tc>
        <w:tc>
          <w:tcPr>
            <w:tcW w:w="2146" w:type="dxa"/>
          </w:tcPr>
          <w:p w:rsidR="00A9011A" w:rsidRPr="000A4976" w:rsidRDefault="00A9011A" w:rsidP="000E5284">
            <w:pPr>
              <w:spacing w:line="276" w:lineRule="auto"/>
              <w:rPr>
                <w:sz w:val="18"/>
                <w:szCs w:val="18"/>
                <w:lang w:eastAsia="nl-NL"/>
              </w:rPr>
            </w:pPr>
            <w:r>
              <w:rPr>
                <w:sz w:val="18"/>
                <w:szCs w:val="18"/>
                <w:lang w:eastAsia="nl-NL"/>
              </w:rPr>
              <w:t>0.24</w:t>
            </w:r>
            <w:r w:rsidR="000E5284">
              <w:rPr>
                <w:sz w:val="18"/>
                <w:szCs w:val="18"/>
                <w:lang w:eastAsia="nl-NL"/>
              </w:rPr>
              <w:t>3</w:t>
            </w:r>
            <w:r>
              <w:rPr>
                <w:sz w:val="18"/>
                <w:szCs w:val="18"/>
                <w:lang w:eastAsia="nl-NL"/>
              </w:rPr>
              <w:t>(0.025)</w:t>
            </w:r>
          </w:p>
        </w:tc>
        <w:tc>
          <w:tcPr>
            <w:tcW w:w="2147" w:type="dxa"/>
          </w:tcPr>
          <w:p w:rsidR="00A9011A" w:rsidRPr="000A4976" w:rsidRDefault="00A9011A" w:rsidP="000E5284">
            <w:pPr>
              <w:spacing w:line="276" w:lineRule="auto"/>
              <w:rPr>
                <w:sz w:val="18"/>
                <w:szCs w:val="18"/>
                <w:lang w:eastAsia="nl-NL"/>
              </w:rPr>
            </w:pPr>
            <w:r>
              <w:rPr>
                <w:sz w:val="18"/>
                <w:szCs w:val="18"/>
                <w:lang w:eastAsia="nl-NL"/>
              </w:rPr>
              <w:t>0.24</w:t>
            </w:r>
            <w:r w:rsidR="000E5284">
              <w:rPr>
                <w:sz w:val="18"/>
                <w:szCs w:val="18"/>
                <w:lang w:eastAsia="nl-NL"/>
              </w:rPr>
              <w:t>3</w:t>
            </w:r>
            <w:r>
              <w:rPr>
                <w:sz w:val="18"/>
                <w:szCs w:val="18"/>
                <w:lang w:eastAsia="nl-NL"/>
              </w:rPr>
              <w:t>(0.028)</w:t>
            </w:r>
          </w:p>
        </w:tc>
        <w:tc>
          <w:tcPr>
            <w:tcW w:w="2147" w:type="dxa"/>
          </w:tcPr>
          <w:p w:rsidR="00A9011A" w:rsidRPr="000A4976" w:rsidRDefault="00A9011A" w:rsidP="00AD3583">
            <w:pPr>
              <w:spacing w:line="276" w:lineRule="auto"/>
              <w:rPr>
                <w:sz w:val="18"/>
                <w:szCs w:val="18"/>
                <w:lang w:eastAsia="nl-NL"/>
              </w:rPr>
            </w:pPr>
            <w:r>
              <w:rPr>
                <w:sz w:val="18"/>
                <w:szCs w:val="18"/>
                <w:lang w:eastAsia="nl-NL"/>
              </w:rPr>
              <w:t>0.000</w:t>
            </w:r>
            <w:r w:rsidR="000E5284">
              <w:rPr>
                <w:sz w:val="18"/>
                <w:szCs w:val="18"/>
                <w:lang w:eastAsia="nl-NL"/>
              </w:rPr>
              <w:t>3 (0.011)</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Ocular</w:t>
            </w:r>
          </w:p>
        </w:tc>
        <w:tc>
          <w:tcPr>
            <w:tcW w:w="2146" w:type="dxa"/>
          </w:tcPr>
          <w:p w:rsidR="00A9011A" w:rsidRPr="000A4976" w:rsidRDefault="00A9011A" w:rsidP="000E5284">
            <w:pPr>
              <w:spacing w:line="276" w:lineRule="auto"/>
              <w:rPr>
                <w:sz w:val="18"/>
                <w:szCs w:val="18"/>
                <w:lang w:eastAsia="nl-NL"/>
              </w:rPr>
            </w:pPr>
            <w:r>
              <w:rPr>
                <w:sz w:val="18"/>
                <w:szCs w:val="18"/>
                <w:lang w:eastAsia="nl-NL"/>
              </w:rPr>
              <w:t>0.48</w:t>
            </w:r>
            <w:r w:rsidR="000E5284">
              <w:rPr>
                <w:sz w:val="18"/>
                <w:szCs w:val="18"/>
                <w:lang w:eastAsia="nl-NL"/>
              </w:rPr>
              <w:t>4</w:t>
            </w:r>
            <w:r>
              <w:rPr>
                <w:sz w:val="18"/>
                <w:szCs w:val="18"/>
                <w:lang w:eastAsia="nl-NL"/>
              </w:rPr>
              <w:t>(0.050)</w:t>
            </w:r>
          </w:p>
        </w:tc>
        <w:tc>
          <w:tcPr>
            <w:tcW w:w="2147" w:type="dxa"/>
          </w:tcPr>
          <w:p w:rsidR="00A9011A" w:rsidRPr="000A4976" w:rsidRDefault="00A9011A" w:rsidP="000E5284">
            <w:pPr>
              <w:spacing w:line="276" w:lineRule="auto"/>
              <w:rPr>
                <w:sz w:val="18"/>
                <w:szCs w:val="18"/>
                <w:lang w:eastAsia="nl-NL"/>
              </w:rPr>
            </w:pPr>
            <w:r>
              <w:rPr>
                <w:sz w:val="18"/>
                <w:szCs w:val="18"/>
                <w:lang w:eastAsia="nl-NL"/>
              </w:rPr>
              <w:t>0.48</w:t>
            </w:r>
            <w:r w:rsidR="000E5284">
              <w:rPr>
                <w:sz w:val="18"/>
                <w:szCs w:val="18"/>
                <w:lang w:eastAsia="nl-NL"/>
              </w:rPr>
              <w:t>7</w:t>
            </w:r>
            <w:r>
              <w:rPr>
                <w:sz w:val="18"/>
                <w:szCs w:val="18"/>
                <w:lang w:eastAsia="nl-NL"/>
              </w:rPr>
              <w:t>(0.054)</w:t>
            </w:r>
          </w:p>
        </w:tc>
        <w:tc>
          <w:tcPr>
            <w:tcW w:w="2147" w:type="dxa"/>
          </w:tcPr>
          <w:p w:rsidR="00A9011A" w:rsidRPr="000A4976" w:rsidRDefault="000E5284" w:rsidP="00AD3583">
            <w:pPr>
              <w:spacing w:line="276" w:lineRule="auto"/>
              <w:rPr>
                <w:sz w:val="18"/>
                <w:szCs w:val="18"/>
                <w:lang w:eastAsia="nl-NL"/>
              </w:rPr>
            </w:pPr>
            <w:r>
              <w:rPr>
                <w:sz w:val="18"/>
                <w:szCs w:val="18"/>
                <w:lang w:eastAsia="nl-NL"/>
              </w:rPr>
              <w:t>0.002 (0.024)</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Skin</w:t>
            </w:r>
          </w:p>
        </w:tc>
        <w:tc>
          <w:tcPr>
            <w:tcW w:w="2146" w:type="dxa"/>
          </w:tcPr>
          <w:p w:rsidR="00A9011A" w:rsidRPr="000A4976" w:rsidRDefault="00A9011A" w:rsidP="007362EC">
            <w:pPr>
              <w:spacing w:line="276" w:lineRule="auto"/>
              <w:rPr>
                <w:sz w:val="18"/>
                <w:szCs w:val="18"/>
                <w:lang w:eastAsia="nl-NL"/>
              </w:rPr>
            </w:pPr>
            <w:r>
              <w:rPr>
                <w:sz w:val="18"/>
                <w:szCs w:val="18"/>
                <w:lang w:eastAsia="nl-NL"/>
              </w:rPr>
              <w:t>0.1</w:t>
            </w:r>
            <w:r w:rsidR="007362EC">
              <w:rPr>
                <w:sz w:val="18"/>
                <w:szCs w:val="18"/>
                <w:lang w:eastAsia="nl-NL"/>
              </w:rPr>
              <w:t>54</w:t>
            </w:r>
            <w:r>
              <w:rPr>
                <w:sz w:val="18"/>
                <w:szCs w:val="18"/>
                <w:lang w:eastAsia="nl-NL"/>
              </w:rPr>
              <w:t>(0.044)</w:t>
            </w:r>
          </w:p>
        </w:tc>
        <w:tc>
          <w:tcPr>
            <w:tcW w:w="2147" w:type="dxa"/>
          </w:tcPr>
          <w:p w:rsidR="00A9011A" w:rsidRPr="000A4976" w:rsidRDefault="00A9011A" w:rsidP="007362EC">
            <w:pPr>
              <w:spacing w:line="276" w:lineRule="auto"/>
              <w:rPr>
                <w:sz w:val="18"/>
                <w:szCs w:val="18"/>
                <w:lang w:eastAsia="nl-NL"/>
              </w:rPr>
            </w:pPr>
            <w:r>
              <w:rPr>
                <w:sz w:val="18"/>
                <w:szCs w:val="18"/>
                <w:lang w:eastAsia="nl-NL"/>
              </w:rPr>
              <w:t>0.1</w:t>
            </w:r>
            <w:r w:rsidR="007362EC">
              <w:rPr>
                <w:sz w:val="18"/>
                <w:szCs w:val="18"/>
                <w:lang w:eastAsia="nl-NL"/>
              </w:rPr>
              <w:t xml:space="preserve">51 </w:t>
            </w:r>
            <w:r>
              <w:rPr>
                <w:sz w:val="18"/>
                <w:szCs w:val="18"/>
                <w:lang w:eastAsia="nl-NL"/>
              </w:rPr>
              <w:t>(0.043)</w:t>
            </w:r>
          </w:p>
        </w:tc>
        <w:tc>
          <w:tcPr>
            <w:tcW w:w="2147" w:type="dxa"/>
          </w:tcPr>
          <w:p w:rsidR="00A9011A" w:rsidRPr="000A4976" w:rsidRDefault="007362EC" w:rsidP="00AD3583">
            <w:pPr>
              <w:spacing w:line="276" w:lineRule="auto"/>
              <w:rPr>
                <w:sz w:val="18"/>
                <w:szCs w:val="18"/>
                <w:lang w:eastAsia="nl-NL"/>
              </w:rPr>
            </w:pPr>
            <w:r>
              <w:rPr>
                <w:sz w:val="18"/>
                <w:szCs w:val="18"/>
                <w:lang w:eastAsia="nl-NL"/>
              </w:rPr>
              <w:t>-0.003 (0.007)</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Malignancy</w:t>
            </w:r>
          </w:p>
        </w:tc>
        <w:tc>
          <w:tcPr>
            <w:tcW w:w="2146" w:type="dxa"/>
          </w:tcPr>
          <w:p w:rsidR="00A9011A" w:rsidRPr="000A4976" w:rsidRDefault="00A9011A" w:rsidP="007362EC">
            <w:pPr>
              <w:spacing w:line="276" w:lineRule="auto"/>
              <w:rPr>
                <w:sz w:val="18"/>
                <w:szCs w:val="18"/>
                <w:lang w:eastAsia="nl-NL"/>
              </w:rPr>
            </w:pPr>
            <w:r>
              <w:rPr>
                <w:sz w:val="18"/>
                <w:szCs w:val="18"/>
                <w:lang w:eastAsia="nl-NL"/>
              </w:rPr>
              <w:t>0.39</w:t>
            </w:r>
            <w:r w:rsidR="007362EC">
              <w:rPr>
                <w:sz w:val="18"/>
                <w:szCs w:val="18"/>
                <w:lang w:eastAsia="nl-NL"/>
              </w:rPr>
              <w:t xml:space="preserve">6 </w:t>
            </w:r>
            <w:r>
              <w:rPr>
                <w:sz w:val="18"/>
                <w:szCs w:val="18"/>
                <w:lang w:eastAsia="nl-NL"/>
              </w:rPr>
              <w:t>(0.059)</w:t>
            </w:r>
          </w:p>
        </w:tc>
        <w:tc>
          <w:tcPr>
            <w:tcW w:w="2147" w:type="dxa"/>
          </w:tcPr>
          <w:p w:rsidR="00A9011A" w:rsidRPr="000A4976" w:rsidRDefault="00A9011A" w:rsidP="007362EC">
            <w:pPr>
              <w:spacing w:line="276" w:lineRule="auto"/>
              <w:rPr>
                <w:sz w:val="18"/>
                <w:szCs w:val="18"/>
                <w:lang w:eastAsia="nl-NL"/>
              </w:rPr>
            </w:pPr>
            <w:r>
              <w:rPr>
                <w:sz w:val="18"/>
                <w:szCs w:val="18"/>
                <w:lang w:eastAsia="nl-NL"/>
              </w:rPr>
              <w:t>0.</w:t>
            </w:r>
            <w:r w:rsidR="007362EC">
              <w:rPr>
                <w:sz w:val="18"/>
                <w:szCs w:val="18"/>
                <w:lang w:eastAsia="nl-NL"/>
              </w:rPr>
              <w:t>401</w:t>
            </w:r>
            <w:r>
              <w:rPr>
                <w:sz w:val="18"/>
                <w:szCs w:val="18"/>
                <w:lang w:eastAsia="nl-NL"/>
              </w:rPr>
              <w:t>(0.059)</w:t>
            </w:r>
          </w:p>
        </w:tc>
        <w:tc>
          <w:tcPr>
            <w:tcW w:w="2147" w:type="dxa"/>
          </w:tcPr>
          <w:p w:rsidR="00A9011A" w:rsidRPr="000A4976" w:rsidRDefault="00A9011A" w:rsidP="007362EC">
            <w:pPr>
              <w:spacing w:line="276" w:lineRule="auto"/>
              <w:rPr>
                <w:sz w:val="18"/>
                <w:szCs w:val="18"/>
                <w:lang w:eastAsia="nl-NL"/>
              </w:rPr>
            </w:pPr>
            <w:r>
              <w:rPr>
                <w:sz w:val="18"/>
                <w:szCs w:val="18"/>
                <w:lang w:eastAsia="nl-NL"/>
              </w:rPr>
              <w:t>0.00</w:t>
            </w:r>
            <w:r w:rsidR="007362EC">
              <w:rPr>
                <w:sz w:val="18"/>
                <w:szCs w:val="18"/>
                <w:lang w:eastAsia="nl-NL"/>
              </w:rPr>
              <w:t>5 (0.023)</w:t>
            </w:r>
          </w:p>
        </w:tc>
      </w:tr>
      <w:tr w:rsidR="00A9011A" w:rsidRPr="000A4976" w:rsidTr="00AD3583">
        <w:tc>
          <w:tcPr>
            <w:tcW w:w="2802" w:type="dxa"/>
          </w:tcPr>
          <w:p w:rsidR="00A9011A" w:rsidRPr="000A4976" w:rsidRDefault="00A9011A" w:rsidP="00AD3583">
            <w:pPr>
              <w:spacing w:line="276" w:lineRule="auto"/>
              <w:rPr>
                <w:sz w:val="18"/>
                <w:szCs w:val="18"/>
                <w:lang w:eastAsia="nl-NL"/>
              </w:rPr>
            </w:pPr>
            <w:r w:rsidRPr="000A4976">
              <w:rPr>
                <w:sz w:val="18"/>
                <w:szCs w:val="18"/>
                <w:lang w:eastAsia="nl-NL"/>
              </w:rPr>
              <w:t>Diabetes</w:t>
            </w:r>
          </w:p>
        </w:tc>
        <w:tc>
          <w:tcPr>
            <w:tcW w:w="2146" w:type="dxa"/>
          </w:tcPr>
          <w:p w:rsidR="00A9011A" w:rsidRPr="000A4976" w:rsidRDefault="00A9011A" w:rsidP="007362EC">
            <w:pPr>
              <w:spacing w:line="276" w:lineRule="auto"/>
              <w:rPr>
                <w:sz w:val="18"/>
                <w:szCs w:val="18"/>
                <w:lang w:eastAsia="nl-NL"/>
              </w:rPr>
            </w:pPr>
            <w:r>
              <w:rPr>
                <w:sz w:val="18"/>
                <w:szCs w:val="18"/>
                <w:lang w:eastAsia="nl-NL"/>
              </w:rPr>
              <w:t>0.2</w:t>
            </w:r>
            <w:r w:rsidR="007362EC">
              <w:rPr>
                <w:sz w:val="18"/>
                <w:szCs w:val="18"/>
                <w:lang w:eastAsia="nl-NL"/>
              </w:rPr>
              <w:t>52</w:t>
            </w:r>
            <w:r>
              <w:rPr>
                <w:sz w:val="18"/>
                <w:szCs w:val="18"/>
                <w:lang w:eastAsia="nl-NL"/>
              </w:rPr>
              <w:t>(0.043)</w:t>
            </w:r>
          </w:p>
        </w:tc>
        <w:tc>
          <w:tcPr>
            <w:tcW w:w="2147" w:type="dxa"/>
          </w:tcPr>
          <w:p w:rsidR="00A9011A" w:rsidRPr="000A4976" w:rsidRDefault="00A9011A" w:rsidP="007362EC">
            <w:pPr>
              <w:spacing w:line="276" w:lineRule="auto"/>
              <w:rPr>
                <w:sz w:val="18"/>
                <w:szCs w:val="18"/>
                <w:lang w:eastAsia="nl-NL"/>
              </w:rPr>
            </w:pPr>
            <w:r>
              <w:rPr>
                <w:sz w:val="18"/>
                <w:szCs w:val="18"/>
                <w:lang w:eastAsia="nl-NL"/>
              </w:rPr>
              <w:t>0.25</w:t>
            </w:r>
            <w:r w:rsidR="007362EC">
              <w:rPr>
                <w:sz w:val="18"/>
                <w:szCs w:val="18"/>
                <w:lang w:eastAsia="nl-NL"/>
              </w:rPr>
              <w:t>5</w:t>
            </w:r>
            <w:r>
              <w:rPr>
                <w:sz w:val="18"/>
                <w:szCs w:val="18"/>
                <w:lang w:eastAsia="nl-NL"/>
              </w:rPr>
              <w:t>(0.046)</w:t>
            </w:r>
          </w:p>
        </w:tc>
        <w:tc>
          <w:tcPr>
            <w:tcW w:w="2147" w:type="dxa"/>
          </w:tcPr>
          <w:p w:rsidR="00A9011A" w:rsidRPr="000A4976" w:rsidRDefault="00A9011A" w:rsidP="00AD3583">
            <w:pPr>
              <w:spacing w:line="276" w:lineRule="auto"/>
              <w:rPr>
                <w:sz w:val="18"/>
                <w:szCs w:val="18"/>
                <w:lang w:eastAsia="nl-NL"/>
              </w:rPr>
            </w:pPr>
            <w:r>
              <w:rPr>
                <w:sz w:val="18"/>
                <w:szCs w:val="18"/>
                <w:lang w:eastAsia="nl-NL"/>
              </w:rPr>
              <w:t>0.00</w:t>
            </w:r>
            <w:r w:rsidR="007362EC">
              <w:rPr>
                <w:sz w:val="18"/>
                <w:szCs w:val="18"/>
                <w:lang w:eastAsia="nl-NL"/>
              </w:rPr>
              <w:t>3 (0.016)</w:t>
            </w:r>
          </w:p>
        </w:tc>
      </w:tr>
      <w:tr w:rsidR="00A9011A" w:rsidRPr="000A4976" w:rsidTr="00073A10">
        <w:tc>
          <w:tcPr>
            <w:tcW w:w="2802" w:type="dxa"/>
            <w:tcBorders>
              <w:bottom w:val="single" w:sz="12" w:space="0" w:color="auto"/>
            </w:tcBorders>
          </w:tcPr>
          <w:p w:rsidR="00A9011A" w:rsidRPr="000A4976" w:rsidRDefault="00A9011A" w:rsidP="00AD3583">
            <w:pPr>
              <w:spacing w:line="276" w:lineRule="auto"/>
              <w:rPr>
                <w:sz w:val="18"/>
                <w:szCs w:val="18"/>
                <w:lang w:eastAsia="nl-NL"/>
              </w:rPr>
            </w:pPr>
            <w:r w:rsidRPr="000A4976">
              <w:rPr>
                <w:sz w:val="18"/>
                <w:szCs w:val="18"/>
                <w:lang w:eastAsia="nl-NL"/>
              </w:rPr>
              <w:t>Gonadal Failure</w:t>
            </w:r>
          </w:p>
        </w:tc>
        <w:tc>
          <w:tcPr>
            <w:tcW w:w="2146" w:type="dxa"/>
            <w:tcBorders>
              <w:bottom w:val="single" w:sz="12" w:space="0" w:color="auto"/>
            </w:tcBorders>
          </w:tcPr>
          <w:p w:rsidR="00A9011A" w:rsidRPr="000A4976" w:rsidRDefault="00A9011A" w:rsidP="007362EC">
            <w:pPr>
              <w:spacing w:line="276" w:lineRule="auto"/>
              <w:rPr>
                <w:sz w:val="18"/>
                <w:szCs w:val="18"/>
                <w:lang w:eastAsia="nl-NL"/>
              </w:rPr>
            </w:pPr>
            <w:r>
              <w:rPr>
                <w:sz w:val="18"/>
                <w:szCs w:val="18"/>
                <w:lang w:eastAsia="nl-NL"/>
              </w:rPr>
              <w:t>0.08</w:t>
            </w:r>
            <w:r w:rsidR="007362EC">
              <w:rPr>
                <w:sz w:val="18"/>
                <w:szCs w:val="18"/>
                <w:lang w:eastAsia="nl-NL"/>
              </w:rPr>
              <w:t>9</w:t>
            </w:r>
            <w:r>
              <w:rPr>
                <w:sz w:val="18"/>
                <w:szCs w:val="18"/>
                <w:lang w:eastAsia="nl-NL"/>
              </w:rPr>
              <w:t>(0.014)</w:t>
            </w:r>
          </w:p>
        </w:tc>
        <w:tc>
          <w:tcPr>
            <w:tcW w:w="2147" w:type="dxa"/>
            <w:tcBorders>
              <w:bottom w:val="single" w:sz="12" w:space="0" w:color="auto"/>
            </w:tcBorders>
          </w:tcPr>
          <w:p w:rsidR="00A9011A" w:rsidRPr="000A4976" w:rsidRDefault="00A9011A" w:rsidP="007362EC">
            <w:pPr>
              <w:spacing w:line="276" w:lineRule="auto"/>
              <w:rPr>
                <w:sz w:val="18"/>
                <w:szCs w:val="18"/>
                <w:lang w:eastAsia="nl-NL"/>
              </w:rPr>
            </w:pPr>
            <w:r>
              <w:rPr>
                <w:sz w:val="18"/>
                <w:szCs w:val="18"/>
                <w:lang w:eastAsia="nl-NL"/>
              </w:rPr>
              <w:t>0.08</w:t>
            </w:r>
            <w:r w:rsidR="007362EC">
              <w:rPr>
                <w:sz w:val="18"/>
                <w:szCs w:val="18"/>
                <w:lang w:eastAsia="nl-NL"/>
              </w:rPr>
              <w:t>9</w:t>
            </w:r>
            <w:r>
              <w:rPr>
                <w:sz w:val="18"/>
                <w:szCs w:val="18"/>
                <w:lang w:eastAsia="nl-NL"/>
              </w:rPr>
              <w:t>(0.015)</w:t>
            </w:r>
          </w:p>
        </w:tc>
        <w:tc>
          <w:tcPr>
            <w:tcW w:w="2147" w:type="dxa"/>
            <w:tcBorders>
              <w:bottom w:val="single" w:sz="12" w:space="0" w:color="auto"/>
            </w:tcBorders>
          </w:tcPr>
          <w:p w:rsidR="00A9011A" w:rsidRPr="000A4976" w:rsidRDefault="00A9011A" w:rsidP="00AD3583">
            <w:pPr>
              <w:spacing w:line="276" w:lineRule="auto"/>
              <w:rPr>
                <w:sz w:val="18"/>
                <w:szCs w:val="18"/>
                <w:lang w:eastAsia="nl-NL"/>
              </w:rPr>
            </w:pPr>
            <w:r>
              <w:rPr>
                <w:sz w:val="18"/>
                <w:szCs w:val="18"/>
                <w:lang w:eastAsia="nl-NL"/>
              </w:rPr>
              <w:t>0.00</w:t>
            </w:r>
            <w:r w:rsidR="007362EC">
              <w:rPr>
                <w:sz w:val="18"/>
                <w:szCs w:val="18"/>
                <w:lang w:eastAsia="nl-NL"/>
              </w:rPr>
              <w:t>1 (0.004)</w:t>
            </w:r>
          </w:p>
        </w:tc>
      </w:tr>
    </w:tbl>
    <w:p w:rsidR="00A9011A" w:rsidRDefault="00A9011A" w:rsidP="00A9011A">
      <w:pPr>
        <w:spacing w:after="0" w:afterAutospacing="0" w:line="240" w:lineRule="auto"/>
        <w:rPr>
          <w:b/>
          <w:bCs/>
          <w:sz w:val="18"/>
          <w:szCs w:val="16"/>
        </w:rPr>
      </w:pPr>
    </w:p>
    <w:p w:rsidR="00A9011A" w:rsidRDefault="00A9011A" w:rsidP="00A825F2">
      <w:r>
        <w:t xml:space="preserve">The mean discounted costs incurred by patients in the simulation are reported in </w:t>
      </w:r>
      <w:r w:rsidR="00E729BA">
        <w:fldChar w:fldCharType="begin"/>
      </w:r>
      <w:r>
        <w:instrText xml:space="preserve"> REF _Ref313285389 \h </w:instrText>
      </w:r>
      <w:r w:rsidR="00E729BA">
        <w:fldChar w:fldCharType="separate"/>
      </w:r>
      <w:r w:rsidR="004911B7">
        <w:t xml:space="preserve">Table </w:t>
      </w:r>
      <w:r w:rsidR="004911B7">
        <w:rPr>
          <w:noProof/>
        </w:rPr>
        <w:t>49</w:t>
      </w:r>
      <w:r w:rsidR="00E729BA">
        <w:fldChar w:fldCharType="end"/>
      </w:r>
      <w:r>
        <w:t>. Overall the new treatment has a marginal reduction in the costs associated with SLE. However, many costs are increased, which is most likely because patients live longer and spend longer at risk of organ damage. Organ systems that reported lower incidence of damage, also were found to incur lower costs in the simulation. Overall the cost differences between the two arms are small</w:t>
      </w:r>
      <w:r w:rsidR="00A825F2">
        <w:t xml:space="preserve"> relative to the overall cost</w:t>
      </w:r>
      <w:r>
        <w:t xml:space="preserve"> and suggest that there are almost no cost-savings from the new treatment.</w:t>
      </w:r>
    </w:p>
    <w:p w:rsidR="00A9011A" w:rsidRDefault="00A9011A" w:rsidP="00234693">
      <w:pPr>
        <w:pStyle w:val="Caption"/>
      </w:pPr>
      <w:bookmarkStart w:id="544" w:name="_Ref313285389"/>
      <w:bookmarkStart w:id="545" w:name="_Ref336332318"/>
      <w:r>
        <w:t xml:space="preserve">Table </w:t>
      </w:r>
      <w:fldSimple w:instr=" SEQ Table \* ARABIC ">
        <w:r w:rsidR="004911B7">
          <w:rPr>
            <w:noProof/>
          </w:rPr>
          <w:t>49</w:t>
        </w:r>
      </w:fldSimple>
      <w:bookmarkEnd w:id="544"/>
      <w:r>
        <w:t>: Summary of mean discounted costs broken down by cause</w:t>
      </w:r>
      <w:bookmarkEnd w:id="545"/>
      <w:r>
        <w:t xml:space="preserve"> (standard deviation)</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657"/>
        <w:gridCol w:w="2020"/>
        <w:gridCol w:w="2020"/>
        <w:gridCol w:w="2023"/>
      </w:tblGrid>
      <w:tr w:rsidR="00A9011A" w:rsidRPr="00B040D6" w:rsidTr="00073A10">
        <w:tc>
          <w:tcPr>
            <w:tcW w:w="2802" w:type="dxa"/>
            <w:tcBorders>
              <w:top w:val="single" w:sz="12" w:space="0" w:color="auto"/>
              <w:bottom w:val="single" w:sz="4" w:space="0" w:color="auto"/>
            </w:tcBorders>
          </w:tcPr>
          <w:p w:rsidR="00A9011A" w:rsidRPr="00B040D6" w:rsidRDefault="00A9011A" w:rsidP="00AD3583">
            <w:pPr>
              <w:spacing w:line="276" w:lineRule="auto"/>
              <w:rPr>
                <w:sz w:val="18"/>
                <w:szCs w:val="18"/>
                <w:lang w:eastAsia="nl-NL"/>
              </w:rPr>
            </w:pPr>
          </w:p>
        </w:tc>
        <w:tc>
          <w:tcPr>
            <w:tcW w:w="2146" w:type="dxa"/>
            <w:tcBorders>
              <w:top w:val="single" w:sz="12" w:space="0" w:color="auto"/>
              <w:bottom w:val="single" w:sz="4" w:space="0" w:color="auto"/>
            </w:tcBorders>
          </w:tcPr>
          <w:p w:rsidR="00A9011A" w:rsidRPr="00B040D6" w:rsidRDefault="00A9011A" w:rsidP="00AD3583">
            <w:pPr>
              <w:spacing w:line="276" w:lineRule="auto"/>
              <w:rPr>
                <w:sz w:val="18"/>
                <w:szCs w:val="18"/>
                <w:lang w:eastAsia="nl-NL"/>
              </w:rPr>
            </w:pPr>
            <w:r w:rsidRPr="00B040D6">
              <w:rPr>
                <w:sz w:val="18"/>
                <w:szCs w:val="18"/>
                <w:lang w:eastAsia="nl-NL"/>
              </w:rPr>
              <w:t>Standard of care</w:t>
            </w:r>
          </w:p>
        </w:tc>
        <w:tc>
          <w:tcPr>
            <w:tcW w:w="2147" w:type="dxa"/>
            <w:tcBorders>
              <w:top w:val="single" w:sz="12" w:space="0" w:color="auto"/>
              <w:bottom w:val="single" w:sz="4" w:space="0" w:color="auto"/>
            </w:tcBorders>
          </w:tcPr>
          <w:p w:rsidR="00A9011A" w:rsidRPr="00B040D6" w:rsidRDefault="00AE3D16" w:rsidP="00AD3583">
            <w:pPr>
              <w:spacing w:line="276" w:lineRule="auto"/>
              <w:rPr>
                <w:sz w:val="18"/>
                <w:szCs w:val="18"/>
                <w:lang w:eastAsia="nl-NL"/>
              </w:rPr>
            </w:pPr>
            <w:r>
              <w:rPr>
                <w:sz w:val="18"/>
                <w:szCs w:val="18"/>
                <w:lang w:eastAsia="nl-NL"/>
              </w:rPr>
              <w:t>New Treatment</w:t>
            </w:r>
          </w:p>
        </w:tc>
        <w:tc>
          <w:tcPr>
            <w:tcW w:w="2147" w:type="dxa"/>
            <w:tcBorders>
              <w:top w:val="single" w:sz="12" w:space="0" w:color="auto"/>
              <w:bottom w:val="single" w:sz="4" w:space="0" w:color="auto"/>
            </w:tcBorders>
          </w:tcPr>
          <w:p w:rsidR="00A9011A" w:rsidRPr="00B040D6" w:rsidRDefault="00A9011A" w:rsidP="00AD3583">
            <w:pPr>
              <w:spacing w:line="276" w:lineRule="auto"/>
              <w:rPr>
                <w:sz w:val="18"/>
                <w:szCs w:val="18"/>
                <w:lang w:eastAsia="nl-NL"/>
              </w:rPr>
            </w:pPr>
            <w:r w:rsidRPr="00B040D6">
              <w:rPr>
                <w:sz w:val="18"/>
                <w:szCs w:val="18"/>
                <w:lang w:eastAsia="nl-NL"/>
              </w:rPr>
              <w:t>Difference</w:t>
            </w:r>
          </w:p>
        </w:tc>
      </w:tr>
      <w:tr w:rsidR="00A9011A" w:rsidRPr="00B040D6" w:rsidTr="00AD3583">
        <w:tc>
          <w:tcPr>
            <w:tcW w:w="2802" w:type="dxa"/>
            <w:tcBorders>
              <w:top w:val="single" w:sz="4" w:space="0" w:color="auto"/>
            </w:tcBorders>
          </w:tcPr>
          <w:p w:rsidR="00A9011A" w:rsidRPr="00B040D6" w:rsidRDefault="00A9011A" w:rsidP="00AD3583">
            <w:pPr>
              <w:spacing w:line="276" w:lineRule="auto"/>
              <w:rPr>
                <w:sz w:val="18"/>
                <w:szCs w:val="18"/>
                <w:lang w:eastAsia="nl-NL"/>
              </w:rPr>
            </w:pPr>
            <w:r w:rsidRPr="00B040D6">
              <w:rPr>
                <w:sz w:val="18"/>
                <w:szCs w:val="18"/>
                <w:lang w:eastAsia="nl-NL"/>
              </w:rPr>
              <w:t>Disease activity related costs</w:t>
            </w:r>
          </w:p>
        </w:tc>
        <w:tc>
          <w:tcPr>
            <w:tcW w:w="2146" w:type="dxa"/>
            <w:tcBorders>
              <w:top w:val="single" w:sz="4" w:space="0" w:color="auto"/>
            </w:tcBorders>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19</w:t>
            </w:r>
            <w:r w:rsidR="007362EC">
              <w:rPr>
                <w:sz w:val="18"/>
                <w:szCs w:val="18"/>
                <w:lang w:eastAsia="nl-NL"/>
              </w:rPr>
              <w:t>,</w:t>
            </w:r>
            <w:r>
              <w:rPr>
                <w:sz w:val="18"/>
                <w:szCs w:val="18"/>
                <w:lang w:eastAsia="nl-NL"/>
              </w:rPr>
              <w:t>950</w:t>
            </w:r>
            <w:r w:rsidRPr="00B040D6">
              <w:rPr>
                <w:sz w:val="18"/>
                <w:szCs w:val="18"/>
                <w:lang w:eastAsia="nl-NL"/>
              </w:rPr>
              <w:t xml:space="preserve"> (</w:t>
            </w:r>
            <w:r>
              <w:rPr>
                <w:sz w:val="18"/>
                <w:szCs w:val="18"/>
                <w:lang w:eastAsia="nl-NL"/>
              </w:rPr>
              <w:t>1006)</w:t>
            </w:r>
          </w:p>
        </w:tc>
        <w:tc>
          <w:tcPr>
            <w:tcW w:w="2147" w:type="dxa"/>
            <w:tcBorders>
              <w:top w:val="single" w:sz="4" w:space="0" w:color="auto"/>
            </w:tcBorders>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20</w:t>
            </w:r>
            <w:r w:rsidR="007362EC">
              <w:rPr>
                <w:sz w:val="18"/>
                <w:szCs w:val="18"/>
                <w:lang w:eastAsia="nl-NL"/>
              </w:rPr>
              <w:t>,</w:t>
            </w:r>
            <w:r>
              <w:rPr>
                <w:sz w:val="18"/>
                <w:szCs w:val="18"/>
                <w:lang w:eastAsia="nl-NL"/>
              </w:rPr>
              <w:t>280 (1340)</w:t>
            </w:r>
          </w:p>
        </w:tc>
        <w:tc>
          <w:tcPr>
            <w:tcW w:w="2147" w:type="dxa"/>
            <w:tcBorders>
              <w:top w:val="single" w:sz="4" w:space="0" w:color="auto"/>
            </w:tcBorders>
          </w:tcPr>
          <w:p w:rsidR="00A9011A" w:rsidRPr="00B040D6" w:rsidRDefault="00A9011A" w:rsidP="00AD3583">
            <w:pPr>
              <w:spacing w:line="276" w:lineRule="auto"/>
              <w:rPr>
                <w:sz w:val="18"/>
                <w:szCs w:val="18"/>
                <w:lang w:eastAsia="nl-NL"/>
              </w:rPr>
            </w:pPr>
            <w:r>
              <w:rPr>
                <w:sz w:val="18"/>
                <w:szCs w:val="18"/>
                <w:lang w:eastAsia="nl-NL"/>
              </w:rPr>
              <w:t>£330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Organ damage cost</w:t>
            </w:r>
          </w:p>
        </w:tc>
        <w:tc>
          <w:tcPr>
            <w:tcW w:w="2146" w:type="dxa"/>
          </w:tcPr>
          <w:p w:rsidR="00A9011A" w:rsidRPr="00B040D6" w:rsidRDefault="00A9011A" w:rsidP="00AD3583">
            <w:pPr>
              <w:spacing w:line="276" w:lineRule="auto"/>
              <w:rPr>
                <w:sz w:val="18"/>
                <w:szCs w:val="18"/>
                <w:lang w:eastAsia="nl-NL"/>
              </w:rPr>
            </w:pPr>
          </w:p>
        </w:tc>
        <w:tc>
          <w:tcPr>
            <w:tcW w:w="2147" w:type="dxa"/>
          </w:tcPr>
          <w:p w:rsidR="00A9011A" w:rsidRPr="00B040D6" w:rsidRDefault="00A9011A" w:rsidP="00AD3583">
            <w:pPr>
              <w:spacing w:line="276" w:lineRule="auto"/>
              <w:rPr>
                <w:sz w:val="18"/>
                <w:szCs w:val="18"/>
                <w:lang w:eastAsia="nl-NL"/>
              </w:rPr>
            </w:pPr>
          </w:p>
        </w:tc>
        <w:tc>
          <w:tcPr>
            <w:tcW w:w="2147" w:type="dxa"/>
          </w:tcPr>
          <w:p w:rsidR="00A9011A" w:rsidRPr="00B040D6" w:rsidRDefault="00A9011A" w:rsidP="00B35654">
            <w:pPr>
              <w:spacing w:line="276" w:lineRule="auto"/>
              <w:rPr>
                <w:sz w:val="18"/>
                <w:szCs w:val="18"/>
                <w:lang w:eastAsia="nl-NL"/>
              </w:rPr>
            </w:pP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Cardiovascular</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£3,</w:t>
            </w:r>
            <w:r>
              <w:rPr>
                <w:sz w:val="18"/>
                <w:szCs w:val="18"/>
                <w:lang w:eastAsia="nl-NL"/>
              </w:rPr>
              <w:t>164 (627)</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3069 (639)</w:t>
            </w:r>
          </w:p>
        </w:tc>
        <w:tc>
          <w:tcPr>
            <w:tcW w:w="2147" w:type="dxa"/>
          </w:tcPr>
          <w:p w:rsidR="00A9011A" w:rsidRPr="00B040D6" w:rsidRDefault="007362EC" w:rsidP="00AD3583">
            <w:pPr>
              <w:spacing w:line="276" w:lineRule="auto"/>
              <w:rPr>
                <w:sz w:val="18"/>
                <w:szCs w:val="18"/>
                <w:lang w:eastAsia="nl-NL"/>
              </w:rPr>
            </w:pPr>
            <w:r>
              <w:rPr>
                <w:sz w:val="18"/>
                <w:szCs w:val="18"/>
                <w:lang w:eastAsia="nl-NL"/>
              </w:rPr>
              <w:t>-£</w:t>
            </w:r>
            <w:r w:rsidR="00A9011A">
              <w:rPr>
                <w:sz w:val="18"/>
                <w:szCs w:val="18"/>
                <w:lang w:eastAsia="nl-NL"/>
              </w:rPr>
              <w:t>95</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Renal</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3,136 (1003)</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£3</w:t>
            </w:r>
            <w:r>
              <w:rPr>
                <w:sz w:val="18"/>
                <w:szCs w:val="18"/>
                <w:lang w:eastAsia="nl-NL"/>
              </w:rPr>
              <w:t>,070 (994)</w:t>
            </w:r>
          </w:p>
        </w:tc>
        <w:tc>
          <w:tcPr>
            <w:tcW w:w="2147" w:type="dxa"/>
          </w:tcPr>
          <w:p w:rsidR="00A9011A" w:rsidRPr="00B040D6" w:rsidRDefault="007362EC" w:rsidP="00AD3583">
            <w:pPr>
              <w:spacing w:line="276" w:lineRule="auto"/>
              <w:rPr>
                <w:sz w:val="18"/>
                <w:szCs w:val="18"/>
                <w:lang w:eastAsia="nl-NL"/>
              </w:rPr>
            </w:pPr>
            <w:r>
              <w:rPr>
                <w:sz w:val="18"/>
                <w:szCs w:val="18"/>
                <w:lang w:eastAsia="nl-NL"/>
              </w:rPr>
              <w:t>-£</w:t>
            </w:r>
            <w:r w:rsidR="00A9011A">
              <w:rPr>
                <w:sz w:val="18"/>
                <w:szCs w:val="18"/>
                <w:lang w:eastAsia="nl-NL"/>
              </w:rPr>
              <w:t>66</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Musculoskeletal</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20880 (2,487)</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£2</w:t>
            </w:r>
            <w:r>
              <w:rPr>
                <w:sz w:val="18"/>
                <w:szCs w:val="18"/>
                <w:lang w:eastAsia="nl-NL"/>
              </w:rPr>
              <w:t>1,040 (2,752)</w:t>
            </w:r>
          </w:p>
        </w:tc>
        <w:tc>
          <w:tcPr>
            <w:tcW w:w="2147" w:type="dxa"/>
          </w:tcPr>
          <w:p w:rsidR="00A9011A" w:rsidRPr="00B040D6" w:rsidRDefault="00A9011A" w:rsidP="00AD3583">
            <w:pPr>
              <w:spacing w:line="276" w:lineRule="auto"/>
              <w:rPr>
                <w:sz w:val="18"/>
                <w:szCs w:val="18"/>
                <w:lang w:eastAsia="nl-NL"/>
              </w:rPr>
            </w:pPr>
            <w:r>
              <w:rPr>
                <w:sz w:val="18"/>
                <w:szCs w:val="18"/>
                <w:lang w:eastAsia="nl-NL"/>
              </w:rPr>
              <w:t>£160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Neuropsychiatric</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£7,</w:t>
            </w:r>
            <w:r>
              <w:rPr>
                <w:sz w:val="18"/>
                <w:szCs w:val="18"/>
                <w:lang w:eastAsia="nl-NL"/>
              </w:rPr>
              <w:t>742 (823)</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£7,</w:t>
            </w:r>
            <w:r>
              <w:rPr>
                <w:sz w:val="18"/>
                <w:szCs w:val="18"/>
                <w:lang w:eastAsia="nl-NL"/>
              </w:rPr>
              <w:t>822 (969)</w:t>
            </w:r>
          </w:p>
        </w:tc>
        <w:tc>
          <w:tcPr>
            <w:tcW w:w="2147" w:type="dxa"/>
          </w:tcPr>
          <w:p w:rsidR="00A9011A" w:rsidRPr="00B040D6" w:rsidRDefault="00A9011A" w:rsidP="00AD3583">
            <w:pPr>
              <w:spacing w:line="276" w:lineRule="auto"/>
              <w:rPr>
                <w:sz w:val="18"/>
                <w:szCs w:val="18"/>
                <w:lang w:eastAsia="nl-NL"/>
              </w:rPr>
            </w:pPr>
            <w:r>
              <w:rPr>
                <w:sz w:val="18"/>
                <w:szCs w:val="18"/>
                <w:lang w:eastAsia="nl-NL"/>
              </w:rPr>
              <w:t>£80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Pulmonary</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39,820 (6,486)</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39,840 (6,761)</w:t>
            </w:r>
          </w:p>
        </w:tc>
        <w:tc>
          <w:tcPr>
            <w:tcW w:w="2147" w:type="dxa"/>
          </w:tcPr>
          <w:p w:rsidR="00A9011A" w:rsidRPr="00B040D6" w:rsidRDefault="00A9011A" w:rsidP="00AD3583">
            <w:pPr>
              <w:spacing w:line="276" w:lineRule="auto"/>
              <w:rPr>
                <w:sz w:val="18"/>
                <w:szCs w:val="18"/>
                <w:lang w:eastAsia="nl-NL"/>
              </w:rPr>
            </w:pPr>
            <w:r>
              <w:rPr>
                <w:sz w:val="18"/>
                <w:szCs w:val="18"/>
                <w:lang w:eastAsia="nl-NL"/>
              </w:rPr>
              <w:t>£20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Peripheral vascular</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£1,0</w:t>
            </w:r>
            <w:r>
              <w:rPr>
                <w:sz w:val="18"/>
                <w:szCs w:val="18"/>
                <w:lang w:eastAsia="nl-NL"/>
              </w:rPr>
              <w:t>36 (142)</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£1,094</w:t>
            </w:r>
            <w:r>
              <w:rPr>
                <w:sz w:val="18"/>
                <w:szCs w:val="18"/>
                <w:lang w:eastAsia="nl-NL"/>
              </w:rPr>
              <w:t xml:space="preserve"> (185)</w:t>
            </w:r>
          </w:p>
        </w:tc>
        <w:tc>
          <w:tcPr>
            <w:tcW w:w="2147" w:type="dxa"/>
          </w:tcPr>
          <w:p w:rsidR="00A9011A" w:rsidRPr="00B040D6" w:rsidRDefault="00A9011A" w:rsidP="00AD3583">
            <w:pPr>
              <w:spacing w:line="276" w:lineRule="auto"/>
              <w:rPr>
                <w:sz w:val="18"/>
                <w:szCs w:val="18"/>
                <w:lang w:eastAsia="nl-NL"/>
              </w:rPr>
            </w:pPr>
            <w:r>
              <w:rPr>
                <w:sz w:val="18"/>
                <w:szCs w:val="18"/>
                <w:lang w:eastAsia="nl-NL"/>
              </w:rPr>
              <w:t>£58</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Gastrointestinal</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346 (46)</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343 (49)</w:t>
            </w:r>
          </w:p>
        </w:tc>
        <w:tc>
          <w:tcPr>
            <w:tcW w:w="2147" w:type="dxa"/>
          </w:tcPr>
          <w:p w:rsidR="00A9011A" w:rsidRPr="00B040D6" w:rsidRDefault="007362EC" w:rsidP="00AD3583">
            <w:pPr>
              <w:spacing w:line="276" w:lineRule="auto"/>
              <w:rPr>
                <w:sz w:val="18"/>
                <w:szCs w:val="18"/>
                <w:lang w:eastAsia="nl-NL"/>
              </w:rPr>
            </w:pPr>
            <w:r>
              <w:rPr>
                <w:sz w:val="18"/>
                <w:szCs w:val="18"/>
                <w:lang w:eastAsia="nl-NL"/>
              </w:rPr>
              <w:t>-£</w:t>
            </w:r>
            <w:r w:rsidR="00A9011A">
              <w:rPr>
                <w:sz w:val="18"/>
                <w:szCs w:val="18"/>
                <w:lang w:eastAsia="nl-NL"/>
              </w:rPr>
              <w:t>3</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Ocular</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607 (84)</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607 (90)</w:t>
            </w:r>
          </w:p>
        </w:tc>
        <w:tc>
          <w:tcPr>
            <w:tcW w:w="2147" w:type="dxa"/>
          </w:tcPr>
          <w:p w:rsidR="00A9011A" w:rsidRPr="00B040D6" w:rsidRDefault="00A9011A" w:rsidP="00AD3583">
            <w:pPr>
              <w:spacing w:line="276" w:lineRule="auto"/>
              <w:rPr>
                <w:sz w:val="18"/>
                <w:szCs w:val="18"/>
                <w:lang w:eastAsia="nl-NL"/>
              </w:rPr>
            </w:pPr>
            <w:r>
              <w:rPr>
                <w:sz w:val="18"/>
                <w:szCs w:val="18"/>
                <w:lang w:eastAsia="nl-NL"/>
              </w:rPr>
              <w:t>£0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Skin</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£0</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£0</w:t>
            </w:r>
          </w:p>
        </w:tc>
        <w:tc>
          <w:tcPr>
            <w:tcW w:w="2147" w:type="dxa"/>
          </w:tcPr>
          <w:p w:rsidR="00A9011A" w:rsidRPr="00B040D6" w:rsidRDefault="00A9011A" w:rsidP="00AD3583">
            <w:pPr>
              <w:spacing w:line="276" w:lineRule="auto"/>
              <w:rPr>
                <w:sz w:val="18"/>
                <w:szCs w:val="18"/>
                <w:lang w:eastAsia="nl-NL"/>
              </w:rPr>
            </w:pPr>
            <w:r>
              <w:rPr>
                <w:sz w:val="18"/>
                <w:szCs w:val="18"/>
                <w:lang w:eastAsia="nl-NL"/>
              </w:rPr>
              <w:t>£0</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Malignancy</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615 (102)</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622 (109)</w:t>
            </w:r>
          </w:p>
        </w:tc>
        <w:tc>
          <w:tcPr>
            <w:tcW w:w="2147" w:type="dxa"/>
          </w:tcPr>
          <w:p w:rsidR="00A9011A" w:rsidRPr="00B040D6" w:rsidRDefault="00A9011A" w:rsidP="00AD3583">
            <w:pPr>
              <w:spacing w:line="276" w:lineRule="auto"/>
              <w:rPr>
                <w:sz w:val="18"/>
                <w:szCs w:val="18"/>
                <w:lang w:eastAsia="nl-NL"/>
              </w:rPr>
            </w:pPr>
            <w:r>
              <w:rPr>
                <w:sz w:val="18"/>
                <w:szCs w:val="18"/>
                <w:lang w:eastAsia="nl-NL"/>
              </w:rPr>
              <w:t>£7</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Diabetes</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821(165)</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w:t>
            </w:r>
            <w:r>
              <w:rPr>
                <w:sz w:val="18"/>
                <w:szCs w:val="18"/>
                <w:lang w:eastAsia="nl-NL"/>
              </w:rPr>
              <w:t>822 (174)</w:t>
            </w:r>
          </w:p>
        </w:tc>
        <w:tc>
          <w:tcPr>
            <w:tcW w:w="2147" w:type="dxa"/>
          </w:tcPr>
          <w:p w:rsidR="00A9011A" w:rsidRPr="00B040D6" w:rsidRDefault="00A9011A" w:rsidP="00AD3583">
            <w:pPr>
              <w:spacing w:line="276" w:lineRule="auto"/>
              <w:rPr>
                <w:sz w:val="18"/>
                <w:szCs w:val="18"/>
                <w:lang w:eastAsia="nl-NL"/>
              </w:rPr>
            </w:pPr>
            <w:r>
              <w:rPr>
                <w:sz w:val="18"/>
                <w:szCs w:val="18"/>
                <w:lang w:eastAsia="nl-NL"/>
              </w:rPr>
              <w:t>£1</w:t>
            </w:r>
          </w:p>
        </w:tc>
      </w:tr>
      <w:tr w:rsidR="00A9011A" w:rsidRPr="00B040D6" w:rsidTr="00AD3583">
        <w:tc>
          <w:tcPr>
            <w:tcW w:w="2802" w:type="dxa"/>
          </w:tcPr>
          <w:p w:rsidR="00A9011A" w:rsidRPr="00B040D6" w:rsidRDefault="00A9011A" w:rsidP="00AD3583">
            <w:pPr>
              <w:spacing w:line="276" w:lineRule="auto"/>
              <w:rPr>
                <w:sz w:val="18"/>
                <w:szCs w:val="18"/>
                <w:lang w:eastAsia="nl-NL"/>
              </w:rPr>
            </w:pPr>
            <w:r w:rsidRPr="00B040D6">
              <w:rPr>
                <w:sz w:val="18"/>
                <w:szCs w:val="18"/>
                <w:lang w:eastAsia="nl-NL"/>
              </w:rPr>
              <w:t>Gonadal Failure</w:t>
            </w:r>
          </w:p>
        </w:tc>
        <w:tc>
          <w:tcPr>
            <w:tcW w:w="2146" w:type="dxa"/>
          </w:tcPr>
          <w:p w:rsidR="00A9011A" w:rsidRPr="00B040D6" w:rsidRDefault="00A9011A" w:rsidP="00AD3583">
            <w:pPr>
              <w:spacing w:line="276" w:lineRule="auto"/>
              <w:rPr>
                <w:sz w:val="18"/>
                <w:szCs w:val="18"/>
                <w:lang w:eastAsia="nl-NL"/>
              </w:rPr>
            </w:pPr>
            <w:r w:rsidRPr="00B040D6">
              <w:rPr>
                <w:sz w:val="18"/>
                <w:szCs w:val="18"/>
                <w:lang w:eastAsia="nl-NL"/>
              </w:rPr>
              <w:t>£0</w:t>
            </w:r>
          </w:p>
        </w:tc>
        <w:tc>
          <w:tcPr>
            <w:tcW w:w="2147" w:type="dxa"/>
          </w:tcPr>
          <w:p w:rsidR="00A9011A" w:rsidRPr="00B040D6" w:rsidRDefault="00A9011A" w:rsidP="00AD3583">
            <w:pPr>
              <w:spacing w:line="276" w:lineRule="auto"/>
              <w:rPr>
                <w:sz w:val="18"/>
                <w:szCs w:val="18"/>
                <w:lang w:eastAsia="nl-NL"/>
              </w:rPr>
            </w:pPr>
            <w:r w:rsidRPr="00B040D6">
              <w:rPr>
                <w:sz w:val="18"/>
                <w:szCs w:val="18"/>
                <w:lang w:eastAsia="nl-NL"/>
              </w:rPr>
              <w:t>£0</w:t>
            </w:r>
          </w:p>
        </w:tc>
        <w:tc>
          <w:tcPr>
            <w:tcW w:w="2147" w:type="dxa"/>
          </w:tcPr>
          <w:p w:rsidR="00A9011A" w:rsidRPr="00B040D6" w:rsidRDefault="00A9011A" w:rsidP="00AD3583">
            <w:pPr>
              <w:spacing w:line="276" w:lineRule="auto"/>
              <w:rPr>
                <w:sz w:val="18"/>
                <w:szCs w:val="18"/>
                <w:lang w:eastAsia="nl-NL"/>
              </w:rPr>
            </w:pPr>
          </w:p>
        </w:tc>
      </w:tr>
      <w:tr w:rsidR="00A9011A" w:rsidRPr="00B040D6" w:rsidTr="00AD3583">
        <w:tc>
          <w:tcPr>
            <w:tcW w:w="2802" w:type="dxa"/>
          </w:tcPr>
          <w:p w:rsidR="00A9011A" w:rsidRPr="00B040D6" w:rsidRDefault="00A9011A" w:rsidP="00AD3583">
            <w:pPr>
              <w:spacing w:line="276" w:lineRule="auto"/>
              <w:rPr>
                <w:b/>
                <w:bCs/>
                <w:sz w:val="18"/>
                <w:szCs w:val="18"/>
                <w:lang w:eastAsia="nl-NL"/>
              </w:rPr>
            </w:pPr>
            <w:r w:rsidRPr="00B040D6">
              <w:rPr>
                <w:b/>
                <w:bCs/>
                <w:sz w:val="18"/>
                <w:szCs w:val="18"/>
                <w:lang w:eastAsia="nl-NL"/>
              </w:rPr>
              <w:t>Sum of organ damage costs</w:t>
            </w:r>
          </w:p>
        </w:tc>
        <w:tc>
          <w:tcPr>
            <w:tcW w:w="2146" w:type="dxa"/>
          </w:tcPr>
          <w:p w:rsidR="00A9011A" w:rsidRPr="00B040D6" w:rsidRDefault="00A9011A" w:rsidP="00AD3583">
            <w:pPr>
              <w:spacing w:line="276" w:lineRule="auto"/>
              <w:rPr>
                <w:b/>
                <w:bCs/>
                <w:sz w:val="18"/>
                <w:szCs w:val="18"/>
                <w:lang w:eastAsia="nl-NL"/>
              </w:rPr>
            </w:pPr>
            <w:r>
              <w:rPr>
                <w:b/>
                <w:bCs/>
                <w:sz w:val="18"/>
                <w:szCs w:val="18"/>
                <w:lang w:eastAsia="nl-NL"/>
              </w:rPr>
              <w:t>£78,187</w:t>
            </w:r>
          </w:p>
        </w:tc>
        <w:tc>
          <w:tcPr>
            <w:tcW w:w="2147" w:type="dxa"/>
          </w:tcPr>
          <w:p w:rsidR="00A9011A" w:rsidRPr="00B040D6" w:rsidRDefault="00A9011A" w:rsidP="00AD3583">
            <w:pPr>
              <w:spacing w:line="276" w:lineRule="auto"/>
              <w:rPr>
                <w:b/>
                <w:bCs/>
                <w:sz w:val="18"/>
                <w:szCs w:val="18"/>
                <w:lang w:eastAsia="nl-NL"/>
              </w:rPr>
            </w:pPr>
            <w:r>
              <w:rPr>
                <w:b/>
                <w:bCs/>
                <w:sz w:val="18"/>
                <w:szCs w:val="18"/>
                <w:lang w:eastAsia="nl-NL"/>
              </w:rPr>
              <w:t>£78,329</w:t>
            </w:r>
          </w:p>
        </w:tc>
        <w:tc>
          <w:tcPr>
            <w:tcW w:w="2147" w:type="dxa"/>
          </w:tcPr>
          <w:p w:rsidR="00A9011A" w:rsidRPr="00B040D6" w:rsidRDefault="00A9011A" w:rsidP="00AD3583">
            <w:pPr>
              <w:spacing w:line="276" w:lineRule="auto"/>
              <w:rPr>
                <w:b/>
                <w:bCs/>
                <w:sz w:val="18"/>
                <w:szCs w:val="18"/>
                <w:lang w:eastAsia="nl-NL"/>
              </w:rPr>
            </w:pPr>
            <w:r>
              <w:rPr>
                <w:b/>
                <w:bCs/>
                <w:sz w:val="18"/>
                <w:szCs w:val="18"/>
                <w:lang w:eastAsia="nl-NL"/>
              </w:rPr>
              <w:t>£142</w:t>
            </w:r>
          </w:p>
        </w:tc>
      </w:tr>
      <w:tr w:rsidR="00A9011A" w:rsidRPr="00B040D6" w:rsidTr="00073A10">
        <w:tc>
          <w:tcPr>
            <w:tcW w:w="2802" w:type="dxa"/>
            <w:tcBorders>
              <w:bottom w:val="single" w:sz="12" w:space="0" w:color="auto"/>
            </w:tcBorders>
          </w:tcPr>
          <w:p w:rsidR="00A9011A" w:rsidRPr="00B040D6" w:rsidRDefault="00A9011A" w:rsidP="00AD3583">
            <w:pPr>
              <w:spacing w:line="276" w:lineRule="auto"/>
              <w:rPr>
                <w:b/>
                <w:bCs/>
                <w:sz w:val="18"/>
                <w:szCs w:val="18"/>
                <w:lang w:eastAsia="nl-NL"/>
              </w:rPr>
            </w:pPr>
            <w:r w:rsidRPr="00B040D6">
              <w:rPr>
                <w:b/>
                <w:bCs/>
                <w:sz w:val="18"/>
                <w:szCs w:val="18"/>
                <w:lang w:eastAsia="nl-NL"/>
              </w:rPr>
              <w:t>Total costs</w:t>
            </w:r>
          </w:p>
        </w:tc>
        <w:tc>
          <w:tcPr>
            <w:tcW w:w="2146" w:type="dxa"/>
            <w:tcBorders>
              <w:bottom w:val="single" w:sz="12" w:space="0" w:color="auto"/>
            </w:tcBorders>
          </w:tcPr>
          <w:p w:rsidR="00A9011A" w:rsidRPr="00B040D6" w:rsidRDefault="00A9011A" w:rsidP="00AD3583">
            <w:pPr>
              <w:spacing w:line="276" w:lineRule="auto"/>
              <w:rPr>
                <w:b/>
                <w:bCs/>
                <w:sz w:val="18"/>
                <w:szCs w:val="18"/>
                <w:lang w:eastAsia="nl-NL"/>
              </w:rPr>
            </w:pPr>
            <w:r>
              <w:rPr>
                <w:b/>
                <w:bCs/>
                <w:sz w:val="18"/>
                <w:szCs w:val="18"/>
                <w:lang w:eastAsia="nl-NL"/>
              </w:rPr>
              <w:t>£98,137</w:t>
            </w:r>
          </w:p>
        </w:tc>
        <w:tc>
          <w:tcPr>
            <w:tcW w:w="2147" w:type="dxa"/>
            <w:tcBorders>
              <w:bottom w:val="single" w:sz="12" w:space="0" w:color="auto"/>
            </w:tcBorders>
          </w:tcPr>
          <w:p w:rsidR="00A9011A" w:rsidRPr="00B040D6" w:rsidRDefault="00A9011A" w:rsidP="00AD3583">
            <w:pPr>
              <w:spacing w:line="276" w:lineRule="auto"/>
              <w:rPr>
                <w:b/>
                <w:bCs/>
                <w:sz w:val="18"/>
                <w:szCs w:val="18"/>
                <w:lang w:eastAsia="nl-NL"/>
              </w:rPr>
            </w:pPr>
            <w:r>
              <w:rPr>
                <w:b/>
                <w:bCs/>
                <w:sz w:val="18"/>
                <w:szCs w:val="18"/>
                <w:lang w:eastAsia="nl-NL"/>
              </w:rPr>
              <w:t>£98,609</w:t>
            </w:r>
          </w:p>
        </w:tc>
        <w:tc>
          <w:tcPr>
            <w:tcW w:w="2147" w:type="dxa"/>
            <w:tcBorders>
              <w:bottom w:val="single" w:sz="12" w:space="0" w:color="auto"/>
            </w:tcBorders>
          </w:tcPr>
          <w:p w:rsidR="00A9011A" w:rsidRPr="00B040D6" w:rsidRDefault="00A9011A" w:rsidP="00AD3583">
            <w:pPr>
              <w:spacing w:line="276" w:lineRule="auto"/>
              <w:rPr>
                <w:b/>
                <w:bCs/>
                <w:sz w:val="18"/>
                <w:szCs w:val="18"/>
                <w:lang w:eastAsia="nl-NL"/>
              </w:rPr>
            </w:pPr>
            <w:r>
              <w:rPr>
                <w:b/>
                <w:bCs/>
                <w:sz w:val="18"/>
                <w:szCs w:val="18"/>
                <w:lang w:eastAsia="nl-NL"/>
              </w:rPr>
              <w:t>£472</w:t>
            </w:r>
          </w:p>
        </w:tc>
      </w:tr>
    </w:tbl>
    <w:p w:rsidR="00A9011A" w:rsidRDefault="00A9011A" w:rsidP="00A9011A">
      <w:pPr>
        <w:rPr>
          <w:lang w:eastAsia="nl-NL"/>
        </w:rPr>
      </w:pPr>
    </w:p>
    <w:p w:rsidR="007362EC" w:rsidRDefault="007362EC" w:rsidP="009074EF">
      <w:pPr>
        <w:rPr>
          <w:lang w:eastAsia="nl-NL"/>
        </w:rPr>
      </w:pPr>
      <w:r>
        <w:rPr>
          <w:lang w:eastAsia="nl-NL"/>
        </w:rPr>
        <w:t xml:space="preserve">The uncertainty in the CE model is </w:t>
      </w:r>
      <w:r w:rsidR="009074EF">
        <w:rPr>
          <w:lang w:eastAsia="nl-NL"/>
        </w:rPr>
        <w:t xml:space="preserve">illustrated in </w:t>
      </w:r>
      <w:r w:rsidR="00E729BA">
        <w:rPr>
          <w:lang w:eastAsia="nl-NL"/>
        </w:rPr>
        <w:fldChar w:fldCharType="begin"/>
      </w:r>
      <w:r w:rsidR="009074EF">
        <w:rPr>
          <w:lang w:eastAsia="nl-NL"/>
        </w:rPr>
        <w:instrText xml:space="preserve"> REF _Ref363388909 \h </w:instrText>
      </w:r>
      <w:r w:rsidR="00E729BA">
        <w:rPr>
          <w:lang w:eastAsia="nl-NL"/>
        </w:rPr>
      </w:r>
      <w:r w:rsidR="00E729BA">
        <w:rPr>
          <w:lang w:eastAsia="nl-NL"/>
        </w:rPr>
        <w:fldChar w:fldCharType="separate"/>
      </w:r>
      <w:r w:rsidR="004911B7">
        <w:t xml:space="preserve">Figure </w:t>
      </w:r>
      <w:r w:rsidR="004911B7">
        <w:rPr>
          <w:noProof/>
        </w:rPr>
        <w:t>23</w:t>
      </w:r>
      <w:r w:rsidR="00E729BA">
        <w:rPr>
          <w:lang w:eastAsia="nl-NL"/>
        </w:rPr>
        <w:fldChar w:fldCharType="end"/>
      </w:r>
      <w:r w:rsidR="009074EF">
        <w:rPr>
          <w:lang w:eastAsia="nl-NL"/>
        </w:rPr>
        <w:t xml:space="preserve"> assuming that the cost of the new treatment is zero. This demonstrates the extent of uncertainty in the CE model. </w:t>
      </w:r>
    </w:p>
    <w:p w:rsidR="009074EF" w:rsidRDefault="009074EF" w:rsidP="00234693">
      <w:pPr>
        <w:pStyle w:val="Caption"/>
      </w:pPr>
      <w:bookmarkStart w:id="546" w:name="_Ref363388909"/>
      <w:r>
        <w:t xml:space="preserve">Figure </w:t>
      </w:r>
      <w:r w:rsidR="00E729BA">
        <w:fldChar w:fldCharType="begin"/>
      </w:r>
      <w:r w:rsidR="000B0EDB">
        <w:instrText xml:space="preserve"> SEQ Figure \* ARABIC </w:instrText>
      </w:r>
      <w:r w:rsidR="00E729BA">
        <w:fldChar w:fldCharType="separate"/>
      </w:r>
      <w:r w:rsidR="004911B7">
        <w:rPr>
          <w:noProof/>
        </w:rPr>
        <w:t>23</w:t>
      </w:r>
      <w:r w:rsidR="00E729BA">
        <w:fldChar w:fldCharType="end"/>
      </w:r>
      <w:bookmarkEnd w:id="546"/>
      <w:r>
        <w:t xml:space="preserve">: </w:t>
      </w:r>
      <w:r w:rsidRPr="00786719">
        <w:t>A cost-effectiveness plane for the PSA outcomes assuming price is zero</w:t>
      </w:r>
    </w:p>
    <w:p w:rsidR="009074EF" w:rsidRDefault="009074EF" w:rsidP="00A9011A">
      <w:pPr>
        <w:rPr>
          <w:lang w:eastAsia="nl-NL"/>
        </w:rPr>
      </w:pPr>
      <w:r w:rsidRPr="009074EF">
        <w:rPr>
          <w:noProof/>
          <w:lang w:eastAsia="zh-CN" w:bidi="ar-SA"/>
        </w:rPr>
        <w:drawing>
          <wp:inline distT="0" distB="0" distL="0" distR="0">
            <wp:extent cx="5731510" cy="5332873"/>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731510" cy="5332873"/>
                    </a:xfrm>
                    <a:prstGeom prst="rect">
                      <a:avLst/>
                    </a:prstGeom>
                    <a:noFill/>
                    <a:ln w="9525">
                      <a:noFill/>
                      <a:miter lim="800000"/>
                      <a:headEnd/>
                      <a:tailEnd/>
                    </a:ln>
                  </pic:spPr>
                </pic:pic>
              </a:graphicData>
            </a:graphic>
          </wp:inline>
        </w:drawing>
      </w:r>
    </w:p>
    <w:p w:rsidR="00A9011A" w:rsidRDefault="00A9011A" w:rsidP="00A9011A">
      <w:pPr>
        <w:pStyle w:val="Heading3"/>
        <w:rPr>
          <w:lang w:eastAsia="nl-NL"/>
        </w:rPr>
      </w:pPr>
      <w:bookmarkStart w:id="547" w:name="_Toc335051104"/>
      <w:bookmarkStart w:id="548" w:name="_Toc337139013"/>
      <w:bookmarkStart w:id="549" w:name="_Toc379467662"/>
      <w:r>
        <w:rPr>
          <w:lang w:eastAsia="nl-NL"/>
        </w:rPr>
        <w:t>Drug Price Analysis</w:t>
      </w:r>
      <w:bookmarkEnd w:id="547"/>
      <w:bookmarkEnd w:id="548"/>
      <w:bookmarkEnd w:id="549"/>
    </w:p>
    <w:p w:rsidR="00A9011A" w:rsidRDefault="00A9011A" w:rsidP="00A9011A">
      <w:r>
        <w:t>A fixed price is not assumed in these analyses to allow the pharmaceutical company to</w:t>
      </w:r>
      <w:r w:rsidR="00B0148C">
        <w:t xml:space="preserve"> observe how price affects the cost-e</w:t>
      </w:r>
      <w:r>
        <w:t xml:space="preserve">ffectiveness of the treatment and the probability of reimbursement. </w:t>
      </w:r>
      <w:r w:rsidR="00E729BA">
        <w:fldChar w:fldCharType="begin"/>
      </w:r>
      <w:r>
        <w:instrText xml:space="preserve"> REF _Ref336257716 \h </w:instrText>
      </w:r>
      <w:r w:rsidR="00E729BA">
        <w:fldChar w:fldCharType="separate"/>
      </w:r>
      <w:r w:rsidR="004911B7">
        <w:t xml:space="preserve">Figure </w:t>
      </w:r>
      <w:r w:rsidR="004911B7">
        <w:rPr>
          <w:noProof/>
        </w:rPr>
        <w:t>24</w:t>
      </w:r>
      <w:r w:rsidR="00E729BA">
        <w:fldChar w:fldCharType="end"/>
      </w:r>
      <w:r>
        <w:t xml:space="preserve"> illustrates how incremental net benefit decreases with price on the left-hand axis. The graph illustrates that with current evidence a price of more than £900 per year yields a marginal positive Net Benefit.</w:t>
      </w:r>
      <w:r w:rsidR="009074EF">
        <w:t xml:space="preserve"> In other words, any price below £900 per year would result in an incremental CE ratio below £30,000 per QALY gained. </w:t>
      </w:r>
    </w:p>
    <w:p w:rsidR="00A9011A" w:rsidRDefault="00A9011A" w:rsidP="00234693">
      <w:pPr>
        <w:pStyle w:val="Caption"/>
      </w:pPr>
      <w:bookmarkStart w:id="550" w:name="_Ref336257716"/>
      <w:r>
        <w:t xml:space="preserve">Figure </w:t>
      </w:r>
      <w:r w:rsidR="00E729BA">
        <w:fldChar w:fldCharType="begin"/>
      </w:r>
      <w:r w:rsidR="000B0EDB">
        <w:instrText xml:space="preserve"> SEQ Figure \* ARABIC </w:instrText>
      </w:r>
      <w:r w:rsidR="00E729BA">
        <w:fldChar w:fldCharType="separate"/>
      </w:r>
      <w:r w:rsidR="004911B7">
        <w:rPr>
          <w:noProof/>
        </w:rPr>
        <w:t>24</w:t>
      </w:r>
      <w:r w:rsidR="00E729BA">
        <w:fldChar w:fldCharType="end"/>
      </w:r>
      <w:bookmarkEnd w:id="550"/>
      <w:r>
        <w:t xml:space="preserve">: </w:t>
      </w:r>
      <w:r w:rsidRPr="009963B9">
        <w:t>Drug Price Analysis. Impact on Incremental Net Benefit and Probability Cost-Effective</w:t>
      </w:r>
    </w:p>
    <w:p w:rsidR="00A9011A" w:rsidRDefault="00A9011A" w:rsidP="00A9011A">
      <w:r w:rsidRPr="00D571E2">
        <w:rPr>
          <w:noProof/>
          <w:lang w:eastAsia="zh-CN" w:bidi="ar-SA"/>
        </w:rPr>
        <w:drawing>
          <wp:inline distT="0" distB="0" distL="0" distR="0">
            <wp:extent cx="5731510" cy="572067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731510" cy="5720679"/>
                    </a:xfrm>
                    <a:prstGeom prst="rect">
                      <a:avLst/>
                    </a:prstGeom>
                    <a:noFill/>
                    <a:ln w="9525">
                      <a:noFill/>
                      <a:miter lim="800000"/>
                      <a:headEnd/>
                      <a:tailEnd/>
                    </a:ln>
                  </pic:spPr>
                </pic:pic>
              </a:graphicData>
            </a:graphic>
          </wp:inline>
        </w:drawing>
      </w:r>
    </w:p>
    <w:p w:rsidR="00A9011A" w:rsidRDefault="00E729BA" w:rsidP="00D564FB">
      <w:r>
        <w:fldChar w:fldCharType="begin"/>
      </w:r>
      <w:r w:rsidR="00A9011A">
        <w:instrText xml:space="preserve"> REF _Ref334456125 \h </w:instrText>
      </w:r>
      <w:r>
        <w:fldChar w:fldCharType="separate"/>
      </w:r>
      <w:r w:rsidR="004911B7">
        <w:t xml:space="preserve">Figure </w:t>
      </w:r>
      <w:r w:rsidR="004911B7">
        <w:rPr>
          <w:noProof/>
        </w:rPr>
        <w:t>25</w:t>
      </w:r>
      <w:r>
        <w:fldChar w:fldCharType="end"/>
      </w:r>
      <w:r w:rsidR="00A9011A">
        <w:t xml:space="preserve"> illustrates a histogram of </w:t>
      </w:r>
      <w:r w:rsidR="009074EF">
        <w:t xml:space="preserve">the distribution of </w:t>
      </w:r>
      <w:r w:rsidR="0017698C">
        <w:t>value-based price</w:t>
      </w:r>
      <w:r w:rsidR="00A9011A">
        <w:t xml:space="preserve"> estimate for all iterations of the PSA. The graph demonstrates that </w:t>
      </w:r>
      <w:r w:rsidR="00C26CB4">
        <w:t xml:space="preserve">model simulations estimate </w:t>
      </w:r>
      <w:r w:rsidR="0017698C">
        <w:t>value-based price</w:t>
      </w:r>
      <w:r w:rsidR="00C26CB4">
        <w:t xml:space="preserve"> between -£5000 and £5000</w:t>
      </w:r>
      <w:r w:rsidR="00A9011A">
        <w:t>.</w:t>
      </w:r>
      <w:r w:rsidR="00C26CB4">
        <w:t xml:space="preserve"> The most probable outcomes would be a price in the range of 0-£1000.</w:t>
      </w:r>
      <w:r w:rsidR="00A9011A">
        <w:t xml:space="preserve"> A proportion of iterations generate a negative </w:t>
      </w:r>
      <w:r w:rsidR="0017698C">
        <w:t>value-based price</w:t>
      </w:r>
      <w:r w:rsidR="00A9011A">
        <w:t xml:space="preserve"> indicating how often the treatment is less beneficial than SoC at a threshold of £30,000 per QALY. </w:t>
      </w:r>
      <w:r w:rsidR="00D564FB">
        <w:t>The distribution of value-based price is not symmetric with some model iterations producing very favourable outcomes where QALY gains were greater than 1.</w:t>
      </w:r>
    </w:p>
    <w:p w:rsidR="00A9011A" w:rsidRDefault="00A9011A" w:rsidP="00234693">
      <w:pPr>
        <w:pStyle w:val="Caption"/>
      </w:pPr>
      <w:bookmarkStart w:id="551" w:name="_Ref334456125"/>
      <w:r>
        <w:t xml:space="preserve">Figure </w:t>
      </w:r>
      <w:r w:rsidR="00E729BA">
        <w:fldChar w:fldCharType="begin"/>
      </w:r>
      <w:r w:rsidR="000B0EDB">
        <w:instrText xml:space="preserve"> SEQ Figure \* ARABIC </w:instrText>
      </w:r>
      <w:r w:rsidR="00E729BA">
        <w:fldChar w:fldCharType="separate"/>
      </w:r>
      <w:r w:rsidR="004911B7">
        <w:rPr>
          <w:noProof/>
        </w:rPr>
        <w:t>25</w:t>
      </w:r>
      <w:r w:rsidR="00E729BA">
        <w:fldChar w:fldCharType="end"/>
      </w:r>
      <w:bookmarkEnd w:id="551"/>
      <w:r>
        <w:t>: Variation in Expected Value</w:t>
      </w:r>
      <w:r w:rsidR="00FE7941">
        <w:t>-</w:t>
      </w:r>
      <w:r>
        <w:t>Based Price from Probabilistic Sensitivity Analysis</w:t>
      </w:r>
    </w:p>
    <w:p w:rsidR="00A9011A" w:rsidRPr="00A85EA7" w:rsidRDefault="00D564FB" w:rsidP="00A9011A">
      <w:r w:rsidRPr="00D564FB">
        <w:rPr>
          <w:noProof/>
          <w:lang w:eastAsia="zh-CN" w:bidi="ar-SA"/>
        </w:rPr>
        <w:drawing>
          <wp:inline distT="0" distB="0" distL="0" distR="0">
            <wp:extent cx="5731510" cy="5722484"/>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731510" cy="5722484"/>
                    </a:xfrm>
                    <a:prstGeom prst="rect">
                      <a:avLst/>
                    </a:prstGeom>
                    <a:noFill/>
                    <a:ln w="9525">
                      <a:noFill/>
                      <a:miter lim="800000"/>
                      <a:headEnd/>
                      <a:tailEnd/>
                    </a:ln>
                  </pic:spPr>
                </pic:pic>
              </a:graphicData>
            </a:graphic>
          </wp:inline>
        </w:drawing>
      </w:r>
      <w:r w:rsidR="00A9011A">
        <w:t xml:space="preserve">   </w:t>
      </w:r>
    </w:p>
    <w:p w:rsidR="00A9011A" w:rsidRDefault="00A9011A" w:rsidP="00A9011A">
      <w:pPr>
        <w:pStyle w:val="Heading3"/>
        <w:rPr>
          <w:lang w:eastAsia="nl-NL"/>
        </w:rPr>
      </w:pPr>
      <w:bookmarkStart w:id="552" w:name="_Toc335051105"/>
      <w:bookmarkStart w:id="553" w:name="_Toc337139014"/>
      <w:bookmarkStart w:id="554" w:name="_Ref355270960"/>
      <w:bookmarkStart w:id="555" w:name="_Ref355270964"/>
      <w:bookmarkStart w:id="556" w:name="_Toc379467663"/>
      <w:r>
        <w:rPr>
          <w:lang w:eastAsia="nl-NL"/>
        </w:rPr>
        <w:t>Parameter Sensitivity</w:t>
      </w:r>
      <w:bookmarkEnd w:id="552"/>
      <w:bookmarkEnd w:id="553"/>
      <w:bookmarkEnd w:id="554"/>
      <w:bookmarkEnd w:id="555"/>
      <w:bookmarkEnd w:id="556"/>
    </w:p>
    <w:p w:rsidR="00A9011A" w:rsidRPr="00E86B3F" w:rsidRDefault="00A9011A" w:rsidP="00AE3D16">
      <w:pPr>
        <w:rPr>
          <w:lang w:eastAsia="nl-NL"/>
        </w:rPr>
      </w:pPr>
      <w:r>
        <w:t xml:space="preserve">An ANCOVA sensitivity analysis was used to identify important parameters in the CE model. </w:t>
      </w:r>
      <w:r w:rsidR="002A1315">
        <w:t xml:space="preserve">The disadvantage of using the ANCOVA method was that it imposes an assumption that all parameters are linearly associated with value-based price. The large residual identified in this analysis indicates that this condition does not hold for a large proportion of the variables included in the analysis. However, the ANOVA method is relatively simple to use and </w:t>
      </w:r>
      <w:r w:rsidR="005223F7">
        <w:t>does not require advanced training in statistics.</w:t>
      </w:r>
      <w:r w:rsidR="00AE3D16">
        <w:t xml:space="preserve"> </w:t>
      </w:r>
      <w:r w:rsidR="002A1315">
        <w:t xml:space="preserve">Therefore, the method is accessible to many analysts and can easily be incorporated into analyses during drug development. </w:t>
      </w:r>
      <w:r w:rsidR="00E729BA">
        <w:rPr>
          <w:lang w:eastAsia="nl-NL"/>
        </w:rPr>
        <w:fldChar w:fldCharType="begin"/>
      </w:r>
      <w:r>
        <w:rPr>
          <w:lang w:eastAsia="nl-NL"/>
        </w:rPr>
        <w:instrText xml:space="preserve"> REF _Ref336336086 \h </w:instrText>
      </w:r>
      <w:r w:rsidR="00E729BA">
        <w:rPr>
          <w:lang w:eastAsia="nl-NL"/>
        </w:rPr>
      </w:r>
      <w:r w:rsidR="00E729BA">
        <w:rPr>
          <w:lang w:eastAsia="nl-NL"/>
        </w:rPr>
        <w:fldChar w:fldCharType="separate"/>
      </w:r>
      <w:r w:rsidR="004911B7">
        <w:t xml:space="preserve">Figure </w:t>
      </w:r>
      <w:r w:rsidR="004911B7">
        <w:rPr>
          <w:noProof/>
        </w:rPr>
        <w:t>26</w:t>
      </w:r>
      <w:r w:rsidR="00E729BA">
        <w:rPr>
          <w:lang w:eastAsia="nl-NL"/>
        </w:rPr>
        <w:fldChar w:fldCharType="end"/>
      </w:r>
      <w:r>
        <w:rPr>
          <w:lang w:eastAsia="nl-NL"/>
        </w:rPr>
        <w:t xml:space="preserve"> illustrates how the variation in other </w:t>
      </w:r>
      <w:r w:rsidR="001A1797">
        <w:rPr>
          <w:lang w:eastAsia="nl-NL"/>
        </w:rPr>
        <w:t xml:space="preserve">CE </w:t>
      </w:r>
      <w:r>
        <w:rPr>
          <w:lang w:eastAsia="nl-NL"/>
        </w:rPr>
        <w:t xml:space="preserve">model parameters impacts on the variation in </w:t>
      </w:r>
      <w:r w:rsidR="0017698C">
        <w:rPr>
          <w:lang w:eastAsia="nl-NL"/>
        </w:rPr>
        <w:t>value-based price</w:t>
      </w:r>
      <w:r>
        <w:rPr>
          <w:lang w:eastAsia="nl-NL"/>
        </w:rPr>
        <w:t xml:space="preserve">. Variability in the statistical models for mean change in SLEDAI, </w:t>
      </w:r>
      <w:r w:rsidR="00AE3D16">
        <w:rPr>
          <w:lang w:eastAsia="nl-NL"/>
        </w:rPr>
        <w:t xml:space="preserve">musculoskeletal </w:t>
      </w:r>
      <w:r>
        <w:rPr>
          <w:lang w:eastAsia="nl-NL"/>
        </w:rPr>
        <w:t xml:space="preserve">damage, </w:t>
      </w:r>
      <w:r w:rsidR="00AE3D16">
        <w:rPr>
          <w:lang w:eastAsia="nl-NL"/>
        </w:rPr>
        <w:t>mortality</w:t>
      </w:r>
      <w:r>
        <w:rPr>
          <w:lang w:eastAsia="nl-NL"/>
        </w:rPr>
        <w:t xml:space="preserve">, </w:t>
      </w:r>
      <w:r w:rsidR="00AE3D16">
        <w:rPr>
          <w:lang w:eastAsia="nl-NL"/>
        </w:rPr>
        <w:t xml:space="preserve">neuropsychiatric </w:t>
      </w:r>
      <w:r>
        <w:rPr>
          <w:lang w:eastAsia="nl-NL"/>
        </w:rPr>
        <w:t xml:space="preserve">damage and </w:t>
      </w:r>
      <w:r w:rsidR="00AE3D16">
        <w:rPr>
          <w:lang w:eastAsia="nl-NL"/>
        </w:rPr>
        <w:t xml:space="preserve">pulmonary </w:t>
      </w:r>
      <w:r>
        <w:rPr>
          <w:lang w:eastAsia="nl-NL"/>
        </w:rPr>
        <w:t xml:space="preserve">damage explain the greatest variation in </w:t>
      </w:r>
      <w:r w:rsidR="0017698C">
        <w:rPr>
          <w:lang w:eastAsia="nl-NL"/>
        </w:rPr>
        <w:t>value-based price</w:t>
      </w:r>
      <w:r>
        <w:rPr>
          <w:lang w:eastAsia="nl-NL"/>
        </w:rPr>
        <w:t xml:space="preserve"> in the </w:t>
      </w:r>
      <w:r w:rsidR="001A1797">
        <w:rPr>
          <w:lang w:eastAsia="nl-NL"/>
        </w:rPr>
        <w:t xml:space="preserve">CE </w:t>
      </w:r>
      <w:r>
        <w:rPr>
          <w:lang w:eastAsia="nl-NL"/>
        </w:rPr>
        <w:t xml:space="preserve">model. The costs associated with organ damage and utility did not contribute much to the </w:t>
      </w:r>
      <w:r w:rsidR="00C26CB4">
        <w:rPr>
          <w:lang w:eastAsia="nl-NL"/>
        </w:rPr>
        <w:t>variance of value-based price</w:t>
      </w:r>
      <w:r>
        <w:rPr>
          <w:lang w:eastAsia="nl-NL"/>
        </w:rPr>
        <w:t>.</w:t>
      </w:r>
      <w:r w:rsidR="0038051B">
        <w:rPr>
          <w:lang w:eastAsia="nl-NL"/>
        </w:rPr>
        <w:t xml:space="preserve"> The residual demonstrates the proportion of variance in value-base price not explained by the inputs.</w:t>
      </w:r>
    </w:p>
    <w:p w:rsidR="00A9011A" w:rsidRDefault="00A9011A" w:rsidP="00234693">
      <w:pPr>
        <w:pStyle w:val="Caption"/>
      </w:pPr>
      <w:bookmarkStart w:id="557" w:name="_Ref336336086"/>
      <w:r>
        <w:t xml:space="preserve">Figure </w:t>
      </w:r>
      <w:r w:rsidR="00E729BA">
        <w:fldChar w:fldCharType="begin"/>
      </w:r>
      <w:r w:rsidR="000B0EDB">
        <w:instrText xml:space="preserve"> SEQ Figure \* ARABIC </w:instrText>
      </w:r>
      <w:r w:rsidR="00E729BA">
        <w:fldChar w:fldCharType="separate"/>
      </w:r>
      <w:r w:rsidR="004911B7">
        <w:rPr>
          <w:noProof/>
        </w:rPr>
        <w:t>26</w:t>
      </w:r>
      <w:r w:rsidR="00E729BA">
        <w:fldChar w:fldCharType="end"/>
      </w:r>
      <w:bookmarkEnd w:id="557"/>
      <w:r>
        <w:t>: ANCOVA res</w:t>
      </w:r>
      <w:r w:rsidR="00FE7941">
        <w:t>ults for % variability in Value-</w:t>
      </w:r>
      <w:r>
        <w:t>Based Price explained by model inputs</w:t>
      </w:r>
    </w:p>
    <w:p w:rsidR="00A9011A" w:rsidRDefault="00A9011A" w:rsidP="00A9011A">
      <w:pPr>
        <w:rPr>
          <w:lang w:eastAsia="nl-NL"/>
        </w:rPr>
      </w:pPr>
      <w:r w:rsidRPr="00693871">
        <w:rPr>
          <w:noProof/>
          <w:lang w:eastAsia="zh-CN" w:bidi="ar-SA"/>
        </w:rPr>
        <w:drawing>
          <wp:inline distT="0" distB="0" distL="0" distR="0">
            <wp:extent cx="5731510" cy="6357914"/>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5731510" cy="6357914"/>
                    </a:xfrm>
                    <a:prstGeom prst="rect">
                      <a:avLst/>
                    </a:prstGeom>
                    <a:noFill/>
                    <a:ln w="9525">
                      <a:noFill/>
                      <a:miter lim="800000"/>
                      <a:headEnd/>
                      <a:tailEnd/>
                    </a:ln>
                  </pic:spPr>
                </pic:pic>
              </a:graphicData>
            </a:graphic>
          </wp:inline>
        </w:drawing>
      </w:r>
    </w:p>
    <w:p w:rsidR="009732B5" w:rsidRDefault="009732B5" w:rsidP="00A9011A">
      <w:pPr>
        <w:rPr>
          <w:lang w:eastAsia="nl-NL"/>
        </w:rPr>
      </w:pPr>
    </w:p>
    <w:p w:rsidR="00A9011A" w:rsidRDefault="00A9011A" w:rsidP="00B35654">
      <w:pPr>
        <w:pStyle w:val="Heading3"/>
        <w:rPr>
          <w:lang w:eastAsia="nl-NL"/>
        </w:rPr>
      </w:pPr>
      <w:bookmarkStart w:id="558" w:name="_Toc337139015"/>
      <w:bookmarkStart w:id="559" w:name="_Toc379467664"/>
      <w:r>
        <w:rPr>
          <w:lang w:eastAsia="nl-NL"/>
        </w:rPr>
        <w:t xml:space="preserve">Computation </w:t>
      </w:r>
      <w:bookmarkEnd w:id="558"/>
      <w:r w:rsidR="00B35654">
        <w:rPr>
          <w:lang w:eastAsia="nl-NL"/>
        </w:rPr>
        <w:t>Burden</w:t>
      </w:r>
      <w:bookmarkEnd w:id="559"/>
    </w:p>
    <w:p w:rsidR="00A9011A" w:rsidRDefault="00A9011A" w:rsidP="002B5C9D">
      <w:pPr>
        <w:rPr>
          <w:lang w:eastAsia="nl-NL"/>
        </w:rPr>
      </w:pPr>
      <w:r w:rsidRPr="0031345B">
        <w:rPr>
          <w:lang w:eastAsia="nl-NL"/>
        </w:rPr>
        <w:t xml:space="preserve">The CE model </w:t>
      </w:r>
      <w:r>
        <w:rPr>
          <w:lang w:eastAsia="nl-NL"/>
        </w:rPr>
        <w:t xml:space="preserve">was developed to be an individual patient simulation of 15,000 duplicated patients whose disease status is updated every year until death. A single iteration of the CE model takes approximately 41 seconds to complete the analysis, and 12 hours to generate 1000 iterations of the PSA. </w:t>
      </w:r>
      <w:r w:rsidR="00E729BA">
        <w:rPr>
          <w:lang w:eastAsia="nl-NL"/>
        </w:rPr>
        <w:fldChar w:fldCharType="begin"/>
      </w:r>
      <w:r>
        <w:rPr>
          <w:lang w:eastAsia="nl-NL"/>
        </w:rPr>
        <w:instrText xml:space="preserve"> REF _Ref337110949 \h </w:instrText>
      </w:r>
      <w:r w:rsidR="00E729BA">
        <w:rPr>
          <w:lang w:eastAsia="nl-NL"/>
        </w:rPr>
      </w:r>
      <w:r w:rsidR="00E729BA">
        <w:rPr>
          <w:lang w:eastAsia="nl-NL"/>
        </w:rPr>
        <w:fldChar w:fldCharType="separate"/>
      </w:r>
      <w:r w:rsidR="004911B7">
        <w:t xml:space="preserve">Figure </w:t>
      </w:r>
      <w:r w:rsidR="004911B7">
        <w:rPr>
          <w:noProof/>
        </w:rPr>
        <w:t>27</w:t>
      </w:r>
      <w:r w:rsidR="00E729BA">
        <w:rPr>
          <w:lang w:eastAsia="nl-NL"/>
        </w:rPr>
        <w:fldChar w:fldCharType="end"/>
      </w:r>
      <w:r>
        <w:rPr>
          <w:lang w:eastAsia="nl-NL"/>
        </w:rPr>
        <w:t xml:space="preserve"> illustrates how </w:t>
      </w:r>
      <w:r w:rsidR="0038051B">
        <w:rPr>
          <w:lang w:eastAsia="nl-NL"/>
        </w:rPr>
        <w:t xml:space="preserve">the expected </w:t>
      </w:r>
      <w:r w:rsidR="0017698C">
        <w:rPr>
          <w:lang w:eastAsia="nl-NL"/>
        </w:rPr>
        <w:t>value-based price</w:t>
      </w:r>
      <w:r>
        <w:rPr>
          <w:lang w:eastAsia="nl-NL"/>
        </w:rPr>
        <w:t xml:space="preserve"> converges to a stable estimate for increasing PSA iterations. After 5,000 iterations the CE outcome is relatively stable. The </w:t>
      </w:r>
      <w:r w:rsidR="001A1797">
        <w:rPr>
          <w:lang w:eastAsia="nl-NL"/>
        </w:rPr>
        <w:t xml:space="preserve">CE </w:t>
      </w:r>
      <w:r>
        <w:rPr>
          <w:lang w:eastAsia="nl-NL"/>
        </w:rPr>
        <w:t xml:space="preserve">model is unlikely to generate reliable results for runs of fewer than 3,000 iterations. Consequently, the computation time to generate PSA results from the </w:t>
      </w:r>
      <w:r w:rsidR="001A1797">
        <w:rPr>
          <w:lang w:eastAsia="nl-NL"/>
        </w:rPr>
        <w:t xml:space="preserve">CE </w:t>
      </w:r>
      <w:r>
        <w:rPr>
          <w:lang w:eastAsia="nl-NL"/>
        </w:rPr>
        <w:t xml:space="preserve">model is </w:t>
      </w:r>
      <w:r w:rsidR="0038051B">
        <w:rPr>
          <w:lang w:eastAsia="nl-NL"/>
        </w:rPr>
        <w:t>36 hours at a minimum</w:t>
      </w:r>
      <w:r>
        <w:rPr>
          <w:lang w:eastAsia="nl-NL"/>
        </w:rPr>
        <w:t>.</w:t>
      </w:r>
    </w:p>
    <w:p w:rsidR="002B5C9D" w:rsidRDefault="002B5C9D" w:rsidP="002B5C9D">
      <w:pPr>
        <w:rPr>
          <w:lang w:eastAsia="nl-NL"/>
        </w:rPr>
      </w:pPr>
    </w:p>
    <w:p w:rsidR="00A9011A" w:rsidRDefault="00A9011A" w:rsidP="00234693">
      <w:pPr>
        <w:pStyle w:val="Caption"/>
      </w:pPr>
      <w:bookmarkStart w:id="560" w:name="_Ref337110949"/>
      <w:r>
        <w:t xml:space="preserve">Figure </w:t>
      </w:r>
      <w:r w:rsidR="00E729BA">
        <w:fldChar w:fldCharType="begin"/>
      </w:r>
      <w:r w:rsidR="000B0EDB">
        <w:instrText xml:space="preserve"> SEQ Figure \* ARABIC </w:instrText>
      </w:r>
      <w:r w:rsidR="00E729BA">
        <w:fldChar w:fldCharType="separate"/>
      </w:r>
      <w:r w:rsidR="004911B7">
        <w:rPr>
          <w:noProof/>
        </w:rPr>
        <w:t>27</w:t>
      </w:r>
      <w:r w:rsidR="00E729BA">
        <w:fldChar w:fldCharType="end"/>
      </w:r>
      <w:bookmarkEnd w:id="560"/>
      <w:r w:rsidR="00FE7941">
        <w:t>: The Expected Value-</w:t>
      </w:r>
      <w:r>
        <w:t>Based Price for increasing PSA iterations</w:t>
      </w:r>
    </w:p>
    <w:p w:rsidR="00A9011A" w:rsidRPr="0031345B" w:rsidRDefault="00A9011A" w:rsidP="00A9011A">
      <w:pPr>
        <w:rPr>
          <w:lang w:eastAsia="nl-NL"/>
        </w:rPr>
      </w:pPr>
      <w:r w:rsidRPr="00E14D63">
        <w:rPr>
          <w:noProof/>
          <w:lang w:eastAsia="zh-CN" w:bidi="ar-SA"/>
        </w:rPr>
        <w:drawing>
          <wp:inline distT="0" distB="0" distL="0" distR="0">
            <wp:extent cx="5731510" cy="6357914"/>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731510" cy="6357914"/>
                    </a:xfrm>
                    <a:prstGeom prst="rect">
                      <a:avLst/>
                    </a:prstGeom>
                    <a:noFill/>
                    <a:ln w="9525">
                      <a:noFill/>
                      <a:miter lim="800000"/>
                      <a:headEnd/>
                      <a:tailEnd/>
                    </a:ln>
                  </pic:spPr>
                </pic:pic>
              </a:graphicData>
            </a:graphic>
          </wp:inline>
        </w:drawing>
      </w:r>
      <w:r>
        <w:rPr>
          <w:lang w:eastAsia="nl-NL"/>
        </w:rPr>
        <w:t xml:space="preserve"> </w:t>
      </w:r>
    </w:p>
    <w:p w:rsidR="00916E62" w:rsidRDefault="00916E62">
      <w:pPr>
        <w:spacing w:after="0" w:afterAutospacing="0" w:line="240" w:lineRule="auto"/>
        <w:rPr>
          <w:caps/>
          <w:spacing w:val="15"/>
          <w:szCs w:val="22"/>
          <w:lang w:eastAsia="nl-NL"/>
        </w:rPr>
      </w:pPr>
      <w:bookmarkStart w:id="561" w:name="_Ref332371690"/>
      <w:bookmarkStart w:id="562" w:name="_Toc335051106"/>
      <w:bookmarkStart w:id="563" w:name="_Toc337139016"/>
      <w:r>
        <w:rPr>
          <w:lang w:eastAsia="nl-NL"/>
        </w:rPr>
        <w:br w:type="page"/>
      </w:r>
    </w:p>
    <w:p w:rsidR="00A9011A" w:rsidRDefault="00A9011A" w:rsidP="00A9011A">
      <w:pPr>
        <w:pStyle w:val="Heading2"/>
        <w:keepNext/>
        <w:pBdr>
          <w:top w:val="none" w:sz="0" w:space="0" w:color="auto"/>
          <w:left w:val="none" w:sz="0" w:space="0" w:color="auto"/>
          <w:bottom w:val="none" w:sz="0" w:space="0" w:color="auto"/>
          <w:right w:val="none" w:sz="0" w:space="0" w:color="auto"/>
        </w:pBdr>
        <w:tabs>
          <w:tab w:val="num" w:pos="851"/>
        </w:tabs>
        <w:spacing w:before="240" w:after="240" w:afterAutospacing="0" w:line="260" w:lineRule="atLeast"/>
        <w:ind w:left="851" w:hanging="851"/>
        <w:rPr>
          <w:lang w:eastAsia="nl-NL"/>
        </w:rPr>
      </w:pPr>
      <w:bookmarkStart w:id="564" w:name="_Ref363379374"/>
      <w:bookmarkStart w:id="565" w:name="_Ref363379386"/>
      <w:bookmarkStart w:id="566" w:name="_Toc379467665"/>
      <w:r>
        <w:rPr>
          <w:lang w:eastAsia="nl-NL"/>
        </w:rPr>
        <w:t>Discussion</w:t>
      </w:r>
      <w:bookmarkEnd w:id="561"/>
      <w:bookmarkEnd w:id="562"/>
      <w:bookmarkEnd w:id="563"/>
      <w:bookmarkEnd w:id="564"/>
      <w:bookmarkEnd w:id="565"/>
      <w:bookmarkEnd w:id="566"/>
    </w:p>
    <w:p w:rsidR="008005BD" w:rsidRPr="008005BD" w:rsidRDefault="008005BD" w:rsidP="008005BD">
      <w:pPr>
        <w:pStyle w:val="Heading2"/>
        <w:rPr>
          <w:lang w:eastAsia="nl-NL"/>
        </w:rPr>
      </w:pPr>
      <w:bookmarkStart w:id="567" w:name="_Toc379467666"/>
      <w:r>
        <w:rPr>
          <w:lang w:eastAsia="nl-NL"/>
        </w:rPr>
        <w:t>The Cost-Effectiveness of New Treatments in SLE</w:t>
      </w:r>
      <w:bookmarkEnd w:id="567"/>
    </w:p>
    <w:p w:rsidR="00A9011A" w:rsidRDefault="007F1AA1" w:rsidP="0038051B">
      <w:r>
        <w:t xml:space="preserve">The CE model developed in this chapter </w:t>
      </w:r>
      <w:r w:rsidR="0038051B">
        <w:t>estimates</w:t>
      </w:r>
      <w:r>
        <w:t xml:space="preserve"> modest long term health benefits and cost savings from </w:t>
      </w:r>
      <w:r w:rsidR="0038051B">
        <w:t xml:space="preserve">the hypothetical </w:t>
      </w:r>
      <w:r>
        <w:t>new biologic treatments</w:t>
      </w:r>
      <w:r w:rsidR="0038051B">
        <w:t xml:space="preserve"> given the elicited uncertainty in its additional effect over and above standard care</w:t>
      </w:r>
      <w:r>
        <w:t xml:space="preserve">. </w:t>
      </w:r>
      <w:r w:rsidR="00A9011A">
        <w:t xml:space="preserve">The </w:t>
      </w:r>
      <w:r w:rsidR="001A1797">
        <w:t xml:space="preserve">CE </w:t>
      </w:r>
      <w:r w:rsidR="00A9011A">
        <w:t>model demonstrated how a new treatment that modifies disease activity ha</w:t>
      </w:r>
      <w:r w:rsidR="0038051B">
        <w:t>s</w:t>
      </w:r>
      <w:r w:rsidR="00A9011A">
        <w:t xml:space="preserve"> the potential to increase life expectancy. The differences in the proportion of patients developing organ damage were less notable. However</w:t>
      </w:r>
      <w:r w:rsidR="00DC0EDA">
        <w:t>,</w:t>
      </w:r>
      <w:r w:rsidR="00A9011A">
        <w:t xml:space="preserve"> this is </w:t>
      </w:r>
      <w:r w:rsidR="0038051B">
        <w:t>at least in part</w:t>
      </w:r>
      <w:r w:rsidR="00A9011A">
        <w:t xml:space="preserve"> due to greater damage accrual in patients living longer on the new treatment. The reduction in healthcare costs for the new treatment was marginal. </w:t>
      </w:r>
    </w:p>
    <w:p w:rsidR="00407999" w:rsidRDefault="00DC0EDA" w:rsidP="00AE3D16">
      <w:r>
        <w:t xml:space="preserve">This chapter has developed a CE model for SLE and demonstrates the challenges involved in demonstrating cost-effectiveness from </w:t>
      </w:r>
      <w:r w:rsidR="00AE3D16">
        <w:t>12 month</w:t>
      </w:r>
      <w:r>
        <w:t xml:space="preserve"> RCT evidence. </w:t>
      </w:r>
      <w:r w:rsidR="00A9011A">
        <w:t xml:space="preserve">The analysis of drug price indicates that a new treatment with efficacy evidence similar to that described above will not be able to charge high prices </w:t>
      </w:r>
      <w:r w:rsidR="00FA253F">
        <w:t>if the reimbursement authority imposes a willingness to pay threshold of £30,000</w:t>
      </w:r>
      <w:r w:rsidR="00A9011A">
        <w:t xml:space="preserve">. In this chapter I examined the expected </w:t>
      </w:r>
      <w:r w:rsidR="0017698C">
        <w:t>value-based price</w:t>
      </w:r>
      <w:r w:rsidR="00A9011A">
        <w:t xml:space="preserve"> for the treatment based on </w:t>
      </w:r>
      <w:r w:rsidR="00C26CB4">
        <w:t>prior information about the CE model inputs</w:t>
      </w:r>
      <w:r w:rsidR="00A9011A">
        <w:t xml:space="preserve">. </w:t>
      </w:r>
      <w:r w:rsidR="00D7051E">
        <w:t xml:space="preserve">This data was implicitly information that might be available after a Phase II trial. </w:t>
      </w:r>
      <w:r w:rsidR="00A9011A">
        <w:t xml:space="preserve">The </w:t>
      </w:r>
      <w:r w:rsidR="00D7051E">
        <w:t>incremental Net Benefit was</w:t>
      </w:r>
      <w:r w:rsidR="00A9011A">
        <w:t xml:space="preserve"> low at all prices and negligible at £5,000.  This means that </w:t>
      </w:r>
      <w:r w:rsidR="00D7051E">
        <w:t xml:space="preserve">in the absence of stronger evidence </w:t>
      </w:r>
      <w:r w:rsidR="00A9011A">
        <w:t xml:space="preserve">companies would </w:t>
      </w:r>
      <w:r w:rsidR="007F1AA1">
        <w:t>have to choose between</w:t>
      </w:r>
      <w:r w:rsidR="00A9011A">
        <w:t xml:space="preserve"> limited access to health care markets at a high price, </w:t>
      </w:r>
      <w:r w:rsidR="007F1AA1">
        <w:t>and</w:t>
      </w:r>
      <w:r w:rsidR="00A9011A">
        <w:t xml:space="preserve"> broader access at lower prices. </w:t>
      </w:r>
      <w:r w:rsidR="00D7051E">
        <w:t>However, if a Phase III trial were undertaken and if the results showed superior effectiveness to the prior means the prospects for reimbursement would be more favourable.</w:t>
      </w:r>
    </w:p>
    <w:p w:rsidR="00A9011A" w:rsidRDefault="00407999" w:rsidP="00D7051E">
      <w:r w:rsidRPr="00F81F39">
        <w:t xml:space="preserve">A recent example from the belimumab Phase III trials illustrates the limitations of trial design. The drug was assessed in two Phase III clinical trials each of sample size of approximately 800. The follow-up of the clinical trials were 12 and 18 months. The drug was approved by the FDA and EMEA, however </w:t>
      </w:r>
      <w:r>
        <w:t xml:space="preserve">the drug </w:t>
      </w:r>
      <w:r w:rsidRPr="00F81F39">
        <w:t>has not been approved by NICE or CADTH based on CE evidence. This suggests that more evidence is needed to ensure comprehensive market access for new treatments in SLE.</w:t>
      </w:r>
    </w:p>
    <w:p w:rsidR="00A9011A" w:rsidRDefault="00A9011A" w:rsidP="00A9011A">
      <w:pPr>
        <w:pStyle w:val="Heading3"/>
      </w:pPr>
      <w:bookmarkStart w:id="568" w:name="_Toc379467667"/>
      <w:r>
        <w:t>How can CE models be used in Drug Development?</w:t>
      </w:r>
      <w:bookmarkEnd w:id="568"/>
    </w:p>
    <w:p w:rsidR="00AD6009" w:rsidRDefault="00A9011A" w:rsidP="00D7051E">
      <w:r>
        <w:t xml:space="preserve">Preliminary analyses early in drug development could be used to </w:t>
      </w:r>
      <w:r w:rsidR="00AD6009">
        <w:t xml:space="preserve">aid </w:t>
      </w:r>
      <w:r w:rsidR="00D7051E">
        <w:t>a pharmaceutical company’s decision to continue data collection for the new treatment</w:t>
      </w:r>
      <w:r>
        <w:t>.</w:t>
      </w:r>
      <w:r w:rsidR="00AD6009">
        <w:t xml:space="preserve"> The CE analysis could be used to decide whether to proceed with the drug development programme. If the expected CE outcomes suggest that the value-based price is substantially lower than the </w:t>
      </w:r>
      <w:r w:rsidR="00CC17B0">
        <w:t>p</w:t>
      </w:r>
      <w:r w:rsidR="00AD6009">
        <w:t xml:space="preserve">harmaceutical </w:t>
      </w:r>
      <w:r w:rsidR="00D7051E">
        <w:t>company’s</w:t>
      </w:r>
      <w:r w:rsidR="00AD6009">
        <w:t xml:space="preserve"> expectations it may not be worth investing in further trials. Multi-way parameter sensitivity analyses could be employed to evaluate what combination of parameter estimates would be necessary to achieve higher prices and whether these parameter estimates are realistic. </w:t>
      </w:r>
    </w:p>
    <w:p w:rsidR="00D7051E" w:rsidRDefault="00AD6009" w:rsidP="00C26CB4">
      <w:r>
        <w:t>Parameter sensitivi</w:t>
      </w:r>
      <w:r w:rsidR="00D7051E">
        <w:t>ty analysis can be helpful in i</w:t>
      </w:r>
      <w:r>
        <w:t xml:space="preserve">dentifying which parameters contribute to the </w:t>
      </w:r>
      <w:r w:rsidR="00C26CB4">
        <w:t>variance in value-based price and treatment Net Benefit</w:t>
      </w:r>
      <w:r>
        <w:t xml:space="preserve">. It may be beneficial to target data collection towards those parameters </w:t>
      </w:r>
      <w:r w:rsidR="00C26CB4">
        <w:t>whose variability contributes the most to the variance in CE model outcomes</w:t>
      </w:r>
      <w:r>
        <w:t xml:space="preserve">. </w:t>
      </w:r>
    </w:p>
    <w:p w:rsidR="00A9011A" w:rsidRDefault="00AD6009" w:rsidP="00C26CB4">
      <w:r>
        <w:t xml:space="preserve">From a societal perspective EVPPI can be used to value </w:t>
      </w:r>
      <w:r w:rsidR="00C26CB4">
        <w:t xml:space="preserve">a </w:t>
      </w:r>
      <w:r>
        <w:t xml:space="preserve">complete reduction in the uncertainty for </w:t>
      </w:r>
      <w:r w:rsidR="00C26CB4">
        <w:t>individual</w:t>
      </w:r>
      <w:r>
        <w:t xml:space="preserve"> parameters of the model. EVPPI was not employed in this analysis because it is conditional on a fixed price for the treatment, which I am assuming has not been set by the </w:t>
      </w:r>
      <w:r w:rsidR="00CC17B0">
        <w:t>p</w:t>
      </w:r>
      <w:r>
        <w:t xml:space="preserve">harmaceutical </w:t>
      </w:r>
      <w:r w:rsidR="00CC17B0">
        <w:t>c</w:t>
      </w:r>
      <w:r>
        <w:t>ompany. The ANCOVA analysis did not require price to be fixed, but is more limited than EVPPI</w:t>
      </w:r>
      <w:r w:rsidR="00D96D6F">
        <w:t xml:space="preserve"> because</w:t>
      </w:r>
      <w:r w:rsidR="00887B11">
        <w:t xml:space="preserve"> </w:t>
      </w:r>
      <w:r w:rsidR="00C26CB4">
        <w:t>does not value a reduction in CE model outcome uncertainty</w:t>
      </w:r>
      <w:r>
        <w:t xml:space="preserve">. </w:t>
      </w:r>
      <w:r w:rsidR="001361D7">
        <w:t>The ANCOVA method is sufficient as a guide to the pharmaceutical company on which parameters are more important and is quick and easy to generate.</w:t>
      </w:r>
      <w:r w:rsidR="00A9011A">
        <w:t xml:space="preserve">  </w:t>
      </w:r>
    </w:p>
    <w:p w:rsidR="00A9011A" w:rsidRDefault="00A9011A" w:rsidP="00A9011A">
      <w:pPr>
        <w:pStyle w:val="Heading3"/>
      </w:pPr>
      <w:bookmarkStart w:id="569" w:name="_Toc379467668"/>
      <w:r>
        <w:t>Computation Burden</w:t>
      </w:r>
      <w:bookmarkEnd w:id="569"/>
    </w:p>
    <w:p w:rsidR="00F548DC" w:rsidRDefault="00A9011A" w:rsidP="00D7051E">
      <w:r>
        <w:t>The computation burden of the CE model is considerable</w:t>
      </w:r>
      <w:r w:rsidR="00F548DC">
        <w:t xml:space="preserve">. The main reason for this is because every annual cycle </w:t>
      </w:r>
      <w:r w:rsidR="00D7051E">
        <w:t>the model evaluates if the individual has experienced fourteen different organ damage and mortality events</w:t>
      </w:r>
      <w:r w:rsidR="00F548DC">
        <w:t>. The model is an individual patient simulation so the outcomes must be updated for every individual</w:t>
      </w:r>
      <w:r>
        <w:t xml:space="preserve">. It </w:t>
      </w:r>
      <w:r w:rsidR="00D7051E">
        <w:t>could</w:t>
      </w:r>
      <w:r>
        <w:t xml:space="preserve"> have been beneficial to make simplifications to the </w:t>
      </w:r>
      <w:r w:rsidR="001A1797">
        <w:t xml:space="preserve">CE </w:t>
      </w:r>
      <w:r>
        <w:t xml:space="preserve">model to reduce the time taken to generate analyses. I considered two methods to simplify the </w:t>
      </w:r>
      <w:r w:rsidR="001A1797">
        <w:t xml:space="preserve">CE </w:t>
      </w:r>
      <w:r>
        <w:t xml:space="preserve">model. </w:t>
      </w:r>
    </w:p>
    <w:p w:rsidR="00A9011A" w:rsidRDefault="00A9011A" w:rsidP="00D7051E">
      <w:pPr>
        <w:rPr>
          <w:lang w:eastAsia="nl-NL"/>
        </w:rPr>
      </w:pPr>
      <w:r>
        <w:t xml:space="preserve">Firstly, I investigated whether a Markov cohort </w:t>
      </w:r>
      <w:r w:rsidR="001A1797">
        <w:t xml:space="preserve">CE </w:t>
      </w:r>
      <w:r>
        <w:t>model could be employed to simulate SLE. However, a</w:t>
      </w:r>
      <w:r>
        <w:rPr>
          <w:lang w:eastAsia="nl-NL"/>
        </w:rPr>
        <w:t xml:space="preserve"> Markov cohort </w:t>
      </w:r>
      <w:r w:rsidR="001A1797">
        <w:rPr>
          <w:lang w:eastAsia="nl-NL"/>
        </w:rPr>
        <w:t xml:space="preserve">CE </w:t>
      </w:r>
      <w:r>
        <w:rPr>
          <w:lang w:eastAsia="nl-NL"/>
        </w:rPr>
        <w:t xml:space="preserve">model was considered incompatible with a structure that included interactions between disease activity, steroid exposure, organ damage development and mortality. Recording the many combinations of disease feature would require a large number of tunnel states in a Markov </w:t>
      </w:r>
      <w:r w:rsidR="001A1797">
        <w:rPr>
          <w:lang w:eastAsia="nl-NL"/>
        </w:rPr>
        <w:t xml:space="preserve">CE </w:t>
      </w:r>
      <w:r>
        <w:rPr>
          <w:lang w:eastAsia="nl-NL"/>
        </w:rPr>
        <w:t xml:space="preserve">model, and the Markov framework would become large and inefficient.  </w:t>
      </w:r>
    </w:p>
    <w:p w:rsidR="00A9011A" w:rsidRDefault="00A9011A" w:rsidP="00D2476D">
      <w:r>
        <w:t xml:space="preserve">Secondly, I considered modifying the structure of the </w:t>
      </w:r>
      <w:r w:rsidR="001A1797">
        <w:t xml:space="preserve">CE </w:t>
      </w:r>
      <w:r>
        <w:t xml:space="preserve">model to combine or exclude </w:t>
      </w:r>
      <w:r w:rsidR="00D7051E">
        <w:t xml:space="preserve">organ damage </w:t>
      </w:r>
      <w:r>
        <w:t>outcomes with less impact</w:t>
      </w:r>
      <w:r w:rsidR="00D7051E">
        <w:t>, such as diabetes</w:t>
      </w:r>
      <w:r w:rsidR="0071127D">
        <w:t>,</w:t>
      </w:r>
      <w:r w:rsidR="00D7051E">
        <w:t xml:space="preserve"> gonadal failure and malignancy</w:t>
      </w:r>
      <w:r>
        <w:t xml:space="preserve">. However, simplifications would weaken the </w:t>
      </w:r>
      <w:r w:rsidR="001A1797">
        <w:t xml:space="preserve">CE </w:t>
      </w:r>
      <w:r>
        <w:t xml:space="preserve">model in terms of its robustness and flexibility. </w:t>
      </w:r>
      <w:r w:rsidR="001361D7">
        <w:t>O</w:t>
      </w:r>
      <w:r>
        <w:t>rgan damage impacts on the risk of future events like mortality, pulmonary damage and musculoskeletal damage, which have been identified as important inputs in the CE model</w:t>
      </w:r>
      <w:r w:rsidR="00D7051E">
        <w:t xml:space="preserve"> in the ANCOVA analysis</w:t>
      </w:r>
      <w:r>
        <w:t xml:space="preserve">. Modelling a subset of organ damage events would underestimate the burden of organ damage. </w:t>
      </w:r>
      <w:r w:rsidR="001361D7">
        <w:t>T</w:t>
      </w:r>
      <w:r>
        <w:t xml:space="preserve">he more detailed </w:t>
      </w:r>
      <w:r w:rsidR="001A1797">
        <w:t xml:space="preserve">CE </w:t>
      </w:r>
      <w:r>
        <w:t xml:space="preserve">model can accommodate more </w:t>
      </w:r>
      <w:r w:rsidR="00D7051E">
        <w:t xml:space="preserve">patient population </w:t>
      </w:r>
      <w:r>
        <w:t xml:space="preserve">sub-group analyses if the pharmaceutical company </w:t>
      </w:r>
      <w:r w:rsidR="00D7051E">
        <w:t>were</w:t>
      </w:r>
      <w:r>
        <w:t xml:space="preserve"> interested in</w:t>
      </w:r>
      <w:r w:rsidR="00D7051E">
        <w:t xml:space="preserve"> analysing possible different</w:t>
      </w:r>
      <w:r>
        <w:t xml:space="preserve"> inclusion criteria. Simplifications would reduce the generalisability of the</w:t>
      </w:r>
      <w:r w:rsidR="001A1797">
        <w:t xml:space="preserve"> CE</w:t>
      </w:r>
      <w:r>
        <w:t xml:space="preserve"> model to different treatments for SLE. Simplifications could be </w:t>
      </w:r>
      <w:r w:rsidR="00D7051E">
        <w:t xml:space="preserve">potentially </w:t>
      </w:r>
      <w:r>
        <w:t xml:space="preserve">more appropriately made in a real-life setting where more information was available about the new treatment to inform the decisions. </w:t>
      </w:r>
      <w:r w:rsidR="00D2476D">
        <w:t>However, for the reasons of robustness and flexibility</w:t>
      </w:r>
      <w:r>
        <w:t xml:space="preserve"> I decided not to make simplifications to the CE model. </w:t>
      </w:r>
    </w:p>
    <w:p w:rsidR="00A9011A" w:rsidRDefault="00A9011A" w:rsidP="00A9011A">
      <w:pPr>
        <w:pStyle w:val="Heading3"/>
      </w:pPr>
      <w:bookmarkStart w:id="570" w:name="_Toc379467669"/>
      <w:r>
        <w:t>Conclusions</w:t>
      </w:r>
      <w:bookmarkEnd w:id="570"/>
    </w:p>
    <w:p w:rsidR="001361D7" w:rsidRDefault="00983D2F" w:rsidP="00D2476D">
      <w:r>
        <w:t xml:space="preserve">In this chapter I have described a CE model to evaluate long-term costs and QALYs for SLE. </w:t>
      </w:r>
      <w:r w:rsidR="001361D7">
        <w:t>The CE model can be used to generate useful analyses of the CE outcomes during the early stages of drug development. Probabilistic sensitivity analysis and parameter sensitivity analysis can be used to describe the uncertainty in the CE model outcomes and indicate where more precise parameter estimates are needed. However, in order to evaluate the value of data collection the CE model and BCTS must be combined to predict possible trial outcomes and how they would impact on the expected price of the new treatment.</w:t>
      </w:r>
    </w:p>
    <w:p w:rsidR="00D2476D" w:rsidRDefault="00D2476D" w:rsidP="00D2476D">
      <w:r>
        <w:t xml:space="preserve">In Chapter 8 of the thesis I move on to combine the BCTS and CE model in a single simulation to evaluate the value of alternative SLE trial designs. </w:t>
      </w:r>
    </w:p>
    <w:p w:rsidR="00D2476D" w:rsidRDefault="00D2476D">
      <w:pPr>
        <w:spacing w:after="0" w:afterAutospacing="0" w:line="240" w:lineRule="auto"/>
      </w:pPr>
      <w:r>
        <w:br w:type="page"/>
      </w:r>
    </w:p>
    <w:p w:rsidR="002367E4" w:rsidRDefault="009F501C" w:rsidP="002367E4">
      <w:pPr>
        <w:pStyle w:val="Heading1"/>
      </w:pPr>
      <w:bookmarkStart w:id="571" w:name="_Toc345584683"/>
      <w:bookmarkStart w:id="572" w:name="_Toc379467670"/>
      <w:r>
        <w:t>Chapter 8: Value of Trials Analysis</w:t>
      </w:r>
      <w:bookmarkEnd w:id="571"/>
      <w:bookmarkEnd w:id="572"/>
    </w:p>
    <w:p w:rsidR="009F501C" w:rsidRPr="002367E4" w:rsidRDefault="009F501C" w:rsidP="00597CF5">
      <w:pPr>
        <w:pStyle w:val="ListParagraph"/>
        <w:numPr>
          <w:ilvl w:val="0"/>
          <w:numId w:val="30"/>
        </w:numPr>
        <w:rPr>
          <w:sz w:val="16"/>
          <w:szCs w:val="16"/>
        </w:rPr>
      </w:pPr>
    </w:p>
    <w:p w:rsidR="001B1FD3" w:rsidRDefault="009F501C" w:rsidP="002C404F">
      <w:r>
        <w:t xml:space="preserve">In this chapter I compare trial designs for an SLE Phase III RCT using </w:t>
      </w:r>
      <w:r w:rsidR="00D2476D">
        <w:t xml:space="preserve">a modified version of the </w:t>
      </w:r>
      <w:r>
        <w:t xml:space="preserve">Health Economic </w:t>
      </w:r>
      <w:r w:rsidR="002C404F">
        <w:t xml:space="preserve">VOI </w:t>
      </w:r>
      <w:r w:rsidR="00D2476D">
        <w:t>methods to consider the pharmaceutical perspective.</w:t>
      </w:r>
      <w:r>
        <w:t xml:space="preserve"> </w:t>
      </w:r>
    </w:p>
    <w:p w:rsidR="001B1FD3" w:rsidRDefault="001B1FD3" w:rsidP="00FE1C17">
      <w:bookmarkStart w:id="573" w:name="_Toc345584684"/>
      <w:r>
        <w:t xml:space="preserve">I describe an analytic method to compare </w:t>
      </w:r>
      <w:r w:rsidR="00F6664B">
        <w:t xml:space="preserve">SLE </w:t>
      </w:r>
      <w:r>
        <w:t xml:space="preserve">Phase III </w:t>
      </w:r>
      <w:r w:rsidR="00F6664B">
        <w:t>R</w:t>
      </w:r>
      <w:r>
        <w:t>CTs with variable sample size and duration of follow-up. The VOI analysis utilised the BCTS described in Chapter 6</w:t>
      </w:r>
      <w:r w:rsidRPr="00A030C3">
        <w:t xml:space="preserve"> </w:t>
      </w:r>
      <w:r>
        <w:t xml:space="preserve">and the CE model described in Chapter 7. The BCTS was used to simulate trial datasets given a particular design specification. The trial data were combined with prior parameters of the CE model to estimate posterior densities for the </w:t>
      </w:r>
      <w:r w:rsidR="001A1797">
        <w:t xml:space="preserve">CE </w:t>
      </w:r>
      <w:r>
        <w:t>model inputs and update the outcomes of the CE model. Initially Bayesian updating was completed using a traditional calculation using Markov Chain Monte Carlo Simulation (MCMC) in Win</w:t>
      </w:r>
      <w:r w:rsidR="00DB3D6B">
        <w:t>BUGS</w:t>
      </w:r>
      <w:r>
        <w:t xml:space="preserve">. However, this method </w:t>
      </w:r>
      <w:r w:rsidR="00FE1C17">
        <w:t>would take years</w:t>
      </w:r>
      <w:r>
        <w:t xml:space="preserve"> to generate results. An approximation method was used to speed up analysis time. In the results section I present the outcomes of the analysis from </w:t>
      </w:r>
      <w:r w:rsidR="00D2476D">
        <w:t xml:space="preserve">1,600 </w:t>
      </w:r>
      <w:r>
        <w:t>BCTS iterations.</w:t>
      </w:r>
    </w:p>
    <w:p w:rsidR="001B1FD3" w:rsidRDefault="001B1FD3" w:rsidP="00F6664B">
      <w:r>
        <w:t xml:space="preserve">In Chapter 3, I discussed the limitations of using the ENBS method from the pharmaceutical perspective. In this chapter I present an alternative method to value </w:t>
      </w:r>
      <w:r w:rsidR="00F6664B">
        <w:t>drug development trials</w:t>
      </w:r>
      <w:r>
        <w:t xml:space="preserve"> </w:t>
      </w:r>
      <w:r w:rsidR="00D2476D">
        <w:t xml:space="preserve">based on the uncertainty in value-based price </w:t>
      </w:r>
      <w:r>
        <w:t>that</w:t>
      </w:r>
      <w:r w:rsidR="00666462">
        <w:t xml:space="preserve"> </w:t>
      </w:r>
      <w:r>
        <w:t xml:space="preserve">aligns with the priorities and information constraints of a pharmaceutical company. </w:t>
      </w:r>
      <w:r w:rsidR="001A23A1">
        <w:t>As such, this chapter describes a novel method for evaluating the value of trials from a pharmaceutical perspective and illustrates the limitations of adopting value of information methods alongside a CE model for a complex disease.</w:t>
      </w:r>
    </w:p>
    <w:p w:rsidR="001B1FD3" w:rsidRDefault="004A1BEA" w:rsidP="00D2476D">
      <w:r>
        <w:t>Section</w:t>
      </w:r>
      <w:r w:rsidR="008E04BA">
        <w:t xml:space="preserve"> </w:t>
      </w:r>
      <w:r w:rsidR="00E729BA">
        <w:fldChar w:fldCharType="begin"/>
      </w:r>
      <w:r w:rsidR="008E04BA">
        <w:instrText xml:space="preserve"> REF _Ref355361802 \n \h </w:instrText>
      </w:r>
      <w:r w:rsidR="00E729BA">
        <w:fldChar w:fldCharType="separate"/>
      </w:r>
      <w:r w:rsidR="004911B7">
        <w:rPr>
          <w:cs/>
        </w:rPr>
        <w:t>‎</w:t>
      </w:r>
      <w:r w:rsidR="004911B7">
        <w:t>8.1</w:t>
      </w:r>
      <w:r w:rsidR="00E729BA">
        <w:fldChar w:fldCharType="end"/>
      </w:r>
      <w:r>
        <w:t xml:space="preserve"> describes</w:t>
      </w:r>
      <w:r w:rsidR="00D2476D">
        <w:t xml:space="preserve"> an overview of</w:t>
      </w:r>
      <w:r>
        <w:t xml:space="preserve"> the </w:t>
      </w:r>
      <w:r w:rsidR="008E04BA">
        <w:t>process of Bayesian updating of prior data</w:t>
      </w:r>
      <w:r>
        <w:t xml:space="preserve">. </w:t>
      </w:r>
      <w:r w:rsidR="00AE3D16">
        <w:t xml:space="preserve">Sections 8.2, 8.4, and 8.5 describe the methods used in the analysis. </w:t>
      </w:r>
      <w:r>
        <w:t xml:space="preserve">Section </w:t>
      </w:r>
      <w:r w:rsidR="00E729BA">
        <w:fldChar w:fldCharType="begin"/>
      </w:r>
      <w:r>
        <w:instrText xml:space="preserve"> REF _Ref354932054 \n \h </w:instrText>
      </w:r>
      <w:r w:rsidR="00E729BA">
        <w:fldChar w:fldCharType="separate"/>
      </w:r>
      <w:r w:rsidR="004911B7">
        <w:rPr>
          <w:cs/>
        </w:rPr>
        <w:t>‎</w:t>
      </w:r>
      <w:r w:rsidR="004911B7">
        <w:t>8.2</w:t>
      </w:r>
      <w:r w:rsidR="00E729BA">
        <w:fldChar w:fldCharType="end"/>
      </w:r>
      <w:r>
        <w:t xml:space="preserve"> </w:t>
      </w:r>
      <w:r w:rsidR="00D2476D">
        <w:t>specifies</w:t>
      </w:r>
      <w:r>
        <w:t xml:space="preserve"> the prior parameters of the CE model to be updated. Section </w:t>
      </w:r>
      <w:r w:rsidR="00E729BA">
        <w:fldChar w:fldCharType="begin"/>
      </w:r>
      <w:r>
        <w:instrText xml:space="preserve"> REF _Ref354932096 \n \h </w:instrText>
      </w:r>
      <w:r w:rsidR="00E729BA">
        <w:fldChar w:fldCharType="separate"/>
      </w:r>
      <w:r w:rsidR="004911B7">
        <w:rPr>
          <w:cs/>
        </w:rPr>
        <w:t>‎</w:t>
      </w:r>
      <w:r w:rsidR="004911B7">
        <w:t>8.3</w:t>
      </w:r>
      <w:r w:rsidR="00E729BA">
        <w:fldChar w:fldCharType="end"/>
      </w:r>
      <w:r>
        <w:t xml:space="preserve"> describes the </w:t>
      </w:r>
      <w:r w:rsidR="001A1797">
        <w:t>trial design</w:t>
      </w:r>
      <w:r>
        <w:t xml:space="preserve"> specification</w:t>
      </w:r>
      <w:r w:rsidR="001A1797">
        <w:t>s</w:t>
      </w:r>
      <w:r>
        <w:t xml:space="preserve"> for the BCTS. The process of Bayesian </w:t>
      </w:r>
      <w:r w:rsidR="00DB3D6B">
        <w:t>u</w:t>
      </w:r>
      <w:r>
        <w:t xml:space="preserve">pdating is described in detail in Section </w:t>
      </w:r>
      <w:r w:rsidR="00E729BA">
        <w:fldChar w:fldCharType="begin"/>
      </w:r>
      <w:r>
        <w:instrText xml:space="preserve"> REF _Ref354932124 \n \h </w:instrText>
      </w:r>
      <w:r w:rsidR="00E729BA">
        <w:fldChar w:fldCharType="separate"/>
      </w:r>
      <w:r w:rsidR="004911B7">
        <w:rPr>
          <w:cs/>
        </w:rPr>
        <w:t>‎</w:t>
      </w:r>
      <w:r w:rsidR="004911B7">
        <w:t>8.4</w:t>
      </w:r>
      <w:r w:rsidR="00E729BA">
        <w:fldChar w:fldCharType="end"/>
      </w:r>
      <w:r>
        <w:t xml:space="preserve">. Section </w:t>
      </w:r>
      <w:r w:rsidR="00E729BA">
        <w:fldChar w:fldCharType="begin"/>
      </w:r>
      <w:r>
        <w:instrText xml:space="preserve"> REF _Ref354932193 \n \h </w:instrText>
      </w:r>
      <w:r w:rsidR="00E729BA">
        <w:fldChar w:fldCharType="separate"/>
      </w:r>
      <w:r w:rsidR="004911B7">
        <w:rPr>
          <w:cs/>
        </w:rPr>
        <w:t>‎</w:t>
      </w:r>
      <w:r w:rsidR="004911B7">
        <w:t>8.5</w:t>
      </w:r>
      <w:r w:rsidR="00E729BA">
        <w:fldChar w:fldCharType="end"/>
      </w:r>
      <w:r>
        <w:t xml:space="preserve"> introduces a novel method for valuing alternative trial designs from the pharmaceutical perspective. The results of the analysis are presented in Section </w:t>
      </w:r>
      <w:r w:rsidR="00E729BA">
        <w:fldChar w:fldCharType="begin"/>
      </w:r>
      <w:r>
        <w:instrText xml:space="preserve"> REF _Ref354932271 \n \h </w:instrText>
      </w:r>
      <w:r w:rsidR="00E729BA">
        <w:fldChar w:fldCharType="separate"/>
      </w:r>
      <w:r w:rsidR="004911B7">
        <w:rPr>
          <w:cs/>
        </w:rPr>
        <w:t>‎</w:t>
      </w:r>
      <w:r w:rsidR="004911B7">
        <w:t>8.6</w:t>
      </w:r>
      <w:r w:rsidR="00E729BA">
        <w:fldChar w:fldCharType="end"/>
      </w:r>
      <w:r>
        <w:t xml:space="preserve"> with a discussion of the method in Section </w:t>
      </w:r>
      <w:r w:rsidR="00E729BA">
        <w:fldChar w:fldCharType="begin"/>
      </w:r>
      <w:r>
        <w:instrText xml:space="preserve"> REF _Ref354932286 \n \h </w:instrText>
      </w:r>
      <w:r w:rsidR="00E729BA">
        <w:fldChar w:fldCharType="separate"/>
      </w:r>
      <w:r w:rsidR="004911B7">
        <w:rPr>
          <w:cs/>
        </w:rPr>
        <w:t>‎</w:t>
      </w:r>
      <w:r w:rsidR="004911B7">
        <w:t>8.7</w:t>
      </w:r>
      <w:r w:rsidR="00E729BA">
        <w:fldChar w:fldCharType="end"/>
      </w:r>
      <w:r>
        <w:t>.</w:t>
      </w:r>
    </w:p>
    <w:p w:rsidR="009F501C" w:rsidRDefault="009F501C" w:rsidP="00D2476D">
      <w:pPr>
        <w:pStyle w:val="Heading2"/>
      </w:pPr>
      <w:bookmarkStart w:id="574" w:name="_Toc345584686"/>
      <w:bookmarkStart w:id="575" w:name="_Ref355361802"/>
      <w:bookmarkStart w:id="576" w:name="_Toc379467671"/>
      <w:bookmarkEnd w:id="573"/>
      <w:r>
        <w:t>Bayesian Statistic</w:t>
      </w:r>
      <w:r w:rsidR="00D2476D">
        <w:t xml:space="preserve">al Methods </w:t>
      </w:r>
      <w:r>
        <w:t>in Planning SLE Clinical Trials</w:t>
      </w:r>
      <w:bookmarkEnd w:id="574"/>
      <w:bookmarkEnd w:id="575"/>
      <w:bookmarkEnd w:id="576"/>
    </w:p>
    <w:p w:rsidR="009F501C" w:rsidRDefault="009F501C" w:rsidP="0016510D">
      <w:r>
        <w:t>The CE model described in Chapter 7 define</w:t>
      </w:r>
      <w:r w:rsidR="001A23A1">
        <w:t>d</w:t>
      </w:r>
      <w:r>
        <w:t xml:space="preserve"> </w:t>
      </w:r>
      <w:r w:rsidR="00C26CB4">
        <w:t>a model to estimate total costs and QALYs conditional on uncertain input parameters,</w:t>
      </w:r>
      <m:oMath>
        <m:r>
          <w:rPr>
            <w:rFonts w:ascii="Cambria Math" w:hAnsi="Cambria Math"/>
          </w:rPr>
          <m:t xml:space="preserve"> θ</m:t>
        </m:r>
      </m:oMath>
      <w:r>
        <w:t xml:space="preserve">. The Phase III trial would provide </w:t>
      </w:r>
      <w:r w:rsidR="00D2476D">
        <w:t xml:space="preserve">additional </w:t>
      </w:r>
      <w:r>
        <w:t xml:space="preserve">data </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oMath>
      <w:r>
        <w:t xml:space="preserve"> on a s</w:t>
      </w:r>
      <w:r w:rsidR="00D2476D">
        <w:t>ubset</w:t>
      </w:r>
      <w:r>
        <w:t xml:space="preserve"> of the CE model parameters</w:t>
      </w:r>
      <m:oMath>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The complement set of CE model parameters,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were not updated with trial data. The prior joint probability density p(</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was updated, via Bayesian updating, to </w:t>
      </w:r>
      <w:r w:rsidR="008B5B5E">
        <w:t>derive</w:t>
      </w:r>
      <w:r>
        <w:t xml:space="preserve"> the posterior density </w:t>
      </w:r>
      <m:oMath>
        <m:r>
          <w:rPr>
            <w:rFonts w:ascii="Cambria Math" w:hAnsi="Cambria Math"/>
          </w:rPr>
          <m:t>p(θ|</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oMath>
      <w:r>
        <w:t xml:space="preserve"> for each hypothetical data set sampled. The CE model </w:t>
      </w:r>
      <w:r w:rsidR="001A23A1">
        <w:t>was</w:t>
      </w:r>
      <w:r>
        <w:t xml:space="preserve"> </w:t>
      </w:r>
      <w:r w:rsidR="008B5B5E">
        <w:t>re-run</w:t>
      </w:r>
      <w:r>
        <w:t xml:space="preserve"> with the posterior density </w:t>
      </w:r>
      <m:oMath>
        <m:r>
          <w:rPr>
            <w:rFonts w:ascii="Cambria Math" w:hAnsi="Cambria Math"/>
          </w:rPr>
          <m:t>p(θ|</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oMath>
      <w:r>
        <w:t xml:space="preserve"> and </w:t>
      </w:r>
      <m:oMath>
        <m:sSubSup>
          <m:sSubSupPr>
            <m:ctrlPr>
              <w:rPr>
                <w:rFonts w:ascii="Cambria Math" w:hAnsi="Cambria Math"/>
                <w:i/>
              </w:rPr>
            </m:ctrlPr>
          </m:sSubSupPr>
          <m:e>
            <m:r>
              <w:rPr>
                <w:rFonts w:ascii="Cambria Math" w:hAnsi="Cambria Math"/>
              </w:rPr>
              <m:t>p(θ</m:t>
            </m:r>
          </m:e>
          <m:sub>
            <m:r>
              <w:rPr>
                <w:rFonts w:ascii="Cambria Math" w:hAnsi="Cambria Math"/>
              </w:rPr>
              <m:t>I</m:t>
            </m:r>
          </m:sub>
          <m:sup>
            <m:r>
              <w:rPr>
                <w:rFonts w:ascii="Cambria Math" w:hAnsi="Cambria Math"/>
              </w:rPr>
              <m:t>C</m:t>
            </m:r>
          </m:sup>
        </m:sSubSup>
        <m:r>
          <w:rPr>
            <w:rFonts w:ascii="Cambria Math" w:hAnsi="Cambria Math"/>
          </w:rPr>
          <m:t xml:space="preserve">) </m:t>
        </m:r>
      </m:oMath>
      <w:r>
        <w:t xml:space="preserve">to </w:t>
      </w:r>
      <w:r w:rsidR="00E6025B">
        <w:t>estimate</w:t>
      </w:r>
      <w:r>
        <w:t xml:space="preserve"> the </w:t>
      </w:r>
      <w:r w:rsidR="00E6025B">
        <w:t>CE outcomes</w:t>
      </w:r>
      <w:r>
        <w:t xml:space="preserve"> given the simulated trial data.</w:t>
      </w:r>
      <w:r w:rsidRPr="00E00C62">
        <w:t xml:space="preserve"> </w:t>
      </w:r>
    </w:p>
    <w:p w:rsidR="009F501C" w:rsidRDefault="009F501C" w:rsidP="00FE1C17">
      <w:r>
        <w:t xml:space="preserve">The BCTS described in Chapter 6 can be used to simulate Phase III data generated from alternative trial designs. Multiple simulated datasets are generated for each trial design to </w:t>
      </w:r>
      <w:r w:rsidR="00C26CB4">
        <w:t xml:space="preserve">predict many possible </w:t>
      </w:r>
      <w:r>
        <w:t xml:space="preserve">outcomes of the Phase III trial. Alternative clinical trial designs can be evaluated by simulating trial data and updating CE model parameters with the information gathered. For each simulated dataset the prior and likelihood of the data are synthesised to generate the posterior distribution of the parameters and evaluate the CE model outcomes. The CE model parameters described in Chapter 7 are analogous to the </w:t>
      </w:r>
      <w:r w:rsidR="00E6025B">
        <w:t>p</w:t>
      </w:r>
      <w:r>
        <w:t xml:space="preserve">harmaceutical </w:t>
      </w:r>
      <w:r w:rsidR="00E6025B">
        <w:t>company’s</w:t>
      </w:r>
      <w:r>
        <w:t xml:space="preserve"> prior belief of the CE model inputs before they collect Phase III data. </w:t>
      </w:r>
    </w:p>
    <w:p w:rsidR="009F501C" w:rsidRDefault="009F501C" w:rsidP="00E6025B">
      <w:r>
        <w:t xml:space="preserve">The simulation process is </w:t>
      </w:r>
      <w:r w:rsidR="00E6025B">
        <w:t>illustrated</w:t>
      </w:r>
      <w:r>
        <w:t xml:space="preserve"> in </w:t>
      </w:r>
      <w:r w:rsidR="00E729BA">
        <w:fldChar w:fldCharType="begin"/>
      </w:r>
      <w:r>
        <w:instrText xml:space="preserve"> REF _Ref335313891 \h </w:instrText>
      </w:r>
      <w:r w:rsidR="00E729BA">
        <w:fldChar w:fldCharType="separate"/>
      </w:r>
      <w:r w:rsidR="004911B7">
        <w:t xml:space="preserve">Figure </w:t>
      </w:r>
      <w:r w:rsidR="004911B7">
        <w:rPr>
          <w:noProof/>
        </w:rPr>
        <w:t>28</w:t>
      </w:r>
      <w:r w:rsidR="00E729BA">
        <w:fldChar w:fldCharType="end"/>
      </w:r>
      <w:r>
        <w:t>.</w:t>
      </w:r>
    </w:p>
    <w:p w:rsidR="009F501C" w:rsidRDefault="009F501C" w:rsidP="00234693">
      <w:pPr>
        <w:pStyle w:val="Caption"/>
      </w:pPr>
      <w:bookmarkStart w:id="577" w:name="_Ref335313891"/>
      <w:r>
        <w:t xml:space="preserve">Figure </w:t>
      </w:r>
      <w:r w:rsidR="00E729BA">
        <w:fldChar w:fldCharType="begin"/>
      </w:r>
      <w:r w:rsidR="000B0EDB">
        <w:instrText xml:space="preserve"> SEQ Figure \* ARABIC </w:instrText>
      </w:r>
      <w:r w:rsidR="00E729BA">
        <w:fldChar w:fldCharType="separate"/>
      </w:r>
      <w:r w:rsidR="004911B7">
        <w:rPr>
          <w:noProof/>
        </w:rPr>
        <w:t>28</w:t>
      </w:r>
      <w:r w:rsidR="00E729BA">
        <w:fldChar w:fldCharType="end"/>
      </w:r>
      <w:bookmarkEnd w:id="577"/>
      <w:r>
        <w:t xml:space="preserve">: The </w:t>
      </w:r>
      <w:r w:rsidR="00FE1C17">
        <w:t xml:space="preserve">four stage </w:t>
      </w:r>
      <w:r>
        <w:t>simulation process to evaluate alternative trial designs</w:t>
      </w:r>
    </w:p>
    <w:p w:rsidR="009F501C" w:rsidRDefault="00D2476D" w:rsidP="00D2476D">
      <w:r w:rsidRPr="00D2476D">
        <w:rPr>
          <w:noProof/>
          <w:lang w:eastAsia="zh-CN" w:bidi="ar-SA"/>
        </w:rPr>
        <w:drawing>
          <wp:inline distT="0" distB="0" distL="0" distR="0">
            <wp:extent cx="5731510" cy="2301733"/>
            <wp:effectExtent l="19050" t="0" r="254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5731510" cy="2301733"/>
                    </a:xfrm>
                    <a:prstGeom prst="rect">
                      <a:avLst/>
                    </a:prstGeom>
                    <a:noFill/>
                    <a:ln w="9525">
                      <a:noFill/>
                      <a:miter lim="800000"/>
                      <a:headEnd/>
                      <a:tailEnd/>
                    </a:ln>
                  </pic:spPr>
                </pic:pic>
              </a:graphicData>
            </a:graphic>
          </wp:inline>
        </w:drawing>
      </w:r>
    </w:p>
    <w:p w:rsidR="009F501C" w:rsidRDefault="00FE1C17" w:rsidP="00FE1C17">
      <w:r>
        <w:t>In the first stage</w:t>
      </w:r>
      <w:r w:rsidR="009F501C">
        <w:t>, a population of SLE patients are generated reflecting the disease characteristics of patients in the Hopkins Lupus Cohort. Second</w:t>
      </w:r>
      <w:r>
        <w:t>ly</w:t>
      </w:r>
      <w:r w:rsidR="009F501C">
        <w:t xml:space="preserve">, </w:t>
      </w:r>
      <w:r>
        <w:t>a</w:t>
      </w:r>
      <w:r w:rsidR="00D2476D">
        <w:t xml:space="preserve"> chosen trial design </w:t>
      </w:r>
      <w:r w:rsidR="009F501C">
        <w:t xml:space="preserve">a SLE Phase III clinical trial is simulated to generate a single sample dataset. </w:t>
      </w:r>
      <w:r>
        <w:t>In stage three</w:t>
      </w:r>
      <w:r w:rsidR="009F501C">
        <w:t>, this data</w:t>
      </w:r>
      <w:r>
        <w:t>set</w:t>
      </w:r>
      <w:r w:rsidR="009F501C">
        <w:t xml:space="preserve"> is combined with the prior </w:t>
      </w:r>
      <w:r w:rsidR="008B5B5E">
        <w:t>distributions</w:t>
      </w:r>
      <w:r w:rsidR="009F501C">
        <w:t xml:space="preserve"> of the CE model to get the posterior </w:t>
      </w:r>
      <w:r w:rsidR="008B5B5E">
        <w:t>distributions</w:t>
      </w:r>
      <w:r w:rsidR="009F501C">
        <w:t xml:space="preserve">. </w:t>
      </w:r>
      <w:r>
        <w:t>In the final stage</w:t>
      </w:r>
      <w:r w:rsidR="009F501C">
        <w:t xml:space="preserve">, the CE model is evaluated </w:t>
      </w:r>
      <w:r>
        <w:t>given</w:t>
      </w:r>
      <w:r w:rsidR="009F501C">
        <w:t xml:space="preserve"> the posterior parameters and the results are recorded. The simulation returns to </w:t>
      </w:r>
      <w:r>
        <w:t xml:space="preserve">stage 2 to </w:t>
      </w:r>
      <w:r w:rsidR="009F501C">
        <w:t xml:space="preserve">simulate another clinical trial dataset, and the process is repeated until sufficient trial results have been iterated to draw a conclusion about the value of </w:t>
      </w:r>
      <w:r w:rsidR="00D2476D">
        <w:t>chosen</w:t>
      </w:r>
      <w:r w:rsidR="009F501C">
        <w:t xml:space="preserve"> trial designs.</w:t>
      </w:r>
      <w:r w:rsidR="00D2476D">
        <w:t xml:space="preserve"> The whole process is repeated for each alternative trial design of interest, thus enabling comparison of the relative value of different designs.</w:t>
      </w:r>
    </w:p>
    <w:p w:rsidR="009F501C" w:rsidRDefault="009F501C" w:rsidP="00033D17">
      <w:pPr>
        <w:pStyle w:val="Heading2"/>
      </w:pPr>
      <w:bookmarkStart w:id="578" w:name="_Toc345584687"/>
      <w:bookmarkStart w:id="579" w:name="_Ref354932054"/>
      <w:bookmarkStart w:id="580" w:name="_Toc379467672"/>
      <w:r>
        <w:t xml:space="preserve">The </w:t>
      </w:r>
      <w:r w:rsidR="00033D17">
        <w:t>P</w:t>
      </w:r>
      <w:r>
        <w:t xml:space="preserve">rior </w:t>
      </w:r>
      <w:r w:rsidR="00033D17">
        <w:t>P</w:t>
      </w:r>
      <w:r>
        <w:t xml:space="preserve">arameter </w:t>
      </w:r>
      <w:r w:rsidR="00033D17">
        <w:t>D</w:t>
      </w:r>
      <w:r>
        <w:t>istributions</w:t>
      </w:r>
      <w:bookmarkEnd w:id="578"/>
      <w:bookmarkEnd w:id="579"/>
      <w:bookmarkEnd w:id="580"/>
    </w:p>
    <w:p w:rsidR="009F501C" w:rsidRDefault="009F501C" w:rsidP="007F49FE">
      <w:r>
        <w:t xml:space="preserve">The prior distributions of the CE model were introduced and discussed in more detail in Chapter 7. The full list of the prior distributions of all the CE model parameters can be found in Appendix </w:t>
      </w:r>
      <w:r w:rsidR="007F49FE">
        <w:t>16</w:t>
      </w:r>
      <w:r>
        <w:t xml:space="preserve">. </w:t>
      </w:r>
      <w:r w:rsidR="00E6025B">
        <w:t>In this example, the natural history data was taken from a longitudinal cohort study, the treatment specific data from a Phase II trials, costs and QALYs from published literature, and unknown data from elicitation of experts.</w:t>
      </w:r>
    </w:p>
    <w:p w:rsidR="009F501C" w:rsidRDefault="009F501C" w:rsidP="009F501C">
      <w:pPr>
        <w:pStyle w:val="Heading2"/>
      </w:pPr>
      <w:bookmarkStart w:id="581" w:name="_Toc345584688"/>
      <w:bookmarkStart w:id="582" w:name="_Ref354932096"/>
      <w:bookmarkStart w:id="583" w:name="_Toc379467673"/>
      <w:r>
        <w:t>Data Simulation</w:t>
      </w:r>
      <w:bookmarkEnd w:id="581"/>
      <w:bookmarkEnd w:id="582"/>
      <w:bookmarkEnd w:id="583"/>
    </w:p>
    <w:p w:rsidR="009F501C" w:rsidRDefault="009F501C" w:rsidP="00FE1C17">
      <w:r>
        <w:t xml:space="preserve">The BCTS described in Chapter 6 was used to simulate data collected in future Phase III SLE trials. The simulation describes a comprehensive set of disease outcomes, but only records those outcomes that will be used to update parameters of the CE model. Phase III </w:t>
      </w:r>
      <w:r w:rsidR="000454F1">
        <w:t>trials are</w:t>
      </w:r>
      <w:r>
        <w:t xml:space="preserve"> most commonly used to estimate treatment effect and treatment withdrawal, and these data were collected in the BCTS. Costs, utilities, prednisone dose, malignancy and gonadal failure were not recorded in the simulation. </w:t>
      </w:r>
      <w:r w:rsidR="008B5B5E">
        <w:t>The parameter sensitivity analysis, described in Chapter 7, indicated that the health economic outcomes were not sensitive to these parameters</w:t>
      </w:r>
      <w:r w:rsidR="00FE1C17">
        <w:t xml:space="preserve">. For this reason </w:t>
      </w:r>
      <w:r w:rsidR="008B5B5E">
        <w:t>they</w:t>
      </w:r>
      <w:r>
        <w:t xml:space="preserve"> </w:t>
      </w:r>
      <w:r w:rsidR="008B5B5E">
        <w:t xml:space="preserve">were excluded </w:t>
      </w:r>
      <w:r>
        <w:t>from Bayesian Updating</w:t>
      </w:r>
      <w:r w:rsidR="008B5B5E">
        <w:t>.</w:t>
      </w:r>
      <w:r>
        <w:t xml:space="preserve"> </w:t>
      </w:r>
      <w:r w:rsidR="000454F1">
        <w:t>In a real life setting steroid dose, malignancy and gonadal failure events could be</w:t>
      </w:r>
      <w:r w:rsidR="00FE1C17">
        <w:t xml:space="preserve"> monitored in a Phase III trial</w:t>
      </w:r>
      <w:r w:rsidR="000454F1">
        <w:t>.</w:t>
      </w:r>
      <w:r w:rsidR="00FE1C17">
        <w:t xml:space="preserve"> It was important to balance the inclusion of parameters in the Bayesian Updating against the time burden of the subsequent analysis.</w:t>
      </w:r>
    </w:p>
    <w:p w:rsidR="009F501C" w:rsidRDefault="009F501C" w:rsidP="000454F1">
      <w:r>
        <w:t>In Chapter 2 I identified four trial design features that might be modified in a Phase III trial for SLE</w:t>
      </w:r>
      <w:r w:rsidR="000454F1">
        <w:t xml:space="preserve"> including sample size, duration of follow-up, inclusion criteria, and trial endpoint</w:t>
      </w:r>
      <w:r>
        <w:t xml:space="preserve">. </w:t>
      </w:r>
      <w:r w:rsidR="000454F1">
        <w:t>I decided to focus the analysis on sample size and duration of follow-up.</w:t>
      </w:r>
    </w:p>
    <w:p w:rsidR="000454F1" w:rsidRDefault="000454F1" w:rsidP="00AE3D16">
      <w:r>
        <w:t xml:space="preserve">Sample size and </w:t>
      </w:r>
      <w:r w:rsidR="00AE3D16">
        <w:t xml:space="preserve">trial </w:t>
      </w:r>
      <w:r>
        <w:t>duration were identified as the two design features that should be investigated further. Larger sample sizes and duration of follow-up would increase the precision of CE model parameters, particularly those relating to treatment effect. Duration of follow-up was of particular interest because longer trials will collect more evidence for the effect of treatment on organ damage and mortality. The prior parameters for the organ damage and mortality survival models were found to have an important impact on the variance of value-based price. Longer follow-up in the Phase III trials should collect more precise estimates for the treatment effect on organ damage because it takes time to confirm a diagnosis of organ damage. In addition the sample size may improve the probability of observing a statistically significant difference in organ damage. However, both designs would increase the cost of the RCT. I therefore decided to focus my research on investigating whether longer follow-up of patients or larger sample sizes increase the prospects of reimbursement sufficiently to justify the additional costs in SLE trials.</w:t>
      </w:r>
      <w:r w:rsidRPr="00A871FB">
        <w:t xml:space="preserve"> </w:t>
      </w:r>
    </w:p>
    <w:p w:rsidR="009F501C" w:rsidRDefault="00E6025B" w:rsidP="00FE1C17">
      <w:r>
        <w:t>I decided not to evaluate i</w:t>
      </w:r>
      <w:r w:rsidR="009F501C">
        <w:t xml:space="preserve">nclusion criteria </w:t>
      </w:r>
      <w:r>
        <w:t>i</w:t>
      </w:r>
      <w:r w:rsidR="000454F1">
        <w:t>n this hypothetical analysis because i</w:t>
      </w:r>
      <w:r w:rsidR="009F501C">
        <w:t>n the absence of a real case study the specification of sub-groups of patients for whom the treatment may be more effective was arbitrary and unlikely to produce generalisable results. Furthermore, the analysis would require accurate market forecasting to consider uptake of treatment in different sub-groups. This data was not readily available.</w:t>
      </w:r>
      <w:r>
        <w:t xml:space="preserve"> </w:t>
      </w:r>
      <w:r w:rsidR="000454F1">
        <w:t>I decided not to focus on multiple disease activity measures. The main reason being that i</w:t>
      </w:r>
      <w:r w:rsidR="009F501C">
        <w:t xml:space="preserve">t was not possible to simulate multiple disease activity indices in the BCTS because the statistical analysis only included SLEDAI to describe disease activity. The definition of primary endpoint was not investigated due to data limitations describing the impact of the BILAG index on long term outcomes. </w:t>
      </w:r>
      <w:r>
        <w:t>The definition of primary endpoint can impact on the probability of regulatory approval, but given the SLEDAI based structure of the CE model would not impact on the quality of data collected for CE analysis.</w:t>
      </w:r>
    </w:p>
    <w:p w:rsidR="009F501C" w:rsidRDefault="009F501C" w:rsidP="009F501C">
      <w:pPr>
        <w:pStyle w:val="Heading3"/>
      </w:pPr>
      <w:bookmarkStart w:id="584" w:name="_Toc345584690"/>
      <w:bookmarkStart w:id="585" w:name="_Toc379467674"/>
      <w:r>
        <w:t>Clinical Trial Characteristics</w:t>
      </w:r>
      <w:bookmarkEnd w:id="584"/>
      <w:bookmarkEnd w:id="585"/>
    </w:p>
    <w:p w:rsidR="009F501C" w:rsidRDefault="009F501C" w:rsidP="009F501C">
      <w:pPr>
        <w:pStyle w:val="Heading4"/>
      </w:pPr>
      <w:r>
        <w:t>Inclusion Criteria</w:t>
      </w:r>
    </w:p>
    <w:p w:rsidR="009F501C" w:rsidRDefault="009F501C" w:rsidP="00D93858">
      <w:r>
        <w:t xml:space="preserve">The specifications for inclusion criteria were fixed to reflect a realistic design decision based on the available information on SLE clinical trials. The review of clinical trials highlighted that age and SLE diagnosis are the most common inclusion criteria in SLE trials. Disease severity and organ involvement have been used to define clinical trial populations. </w:t>
      </w:r>
      <w:r w:rsidR="00E6025B">
        <w:t>R</w:t>
      </w:r>
      <w:r>
        <w:t>ecent successful trials have used disease activity scores at baseline as inclusion criteria</w:t>
      </w:r>
      <w:r w:rsidR="00E6025B">
        <w:t>, and this approach is adopted in the BCTS</w:t>
      </w:r>
      <w:r>
        <w:t>. A meeting with Dr Akil, a clinical expert in SLE</w:t>
      </w:r>
      <w:r w:rsidR="00FE1C17">
        <w:t xml:space="preserve"> from the Hallamshire Hospital Sheffield</w:t>
      </w:r>
      <w:r>
        <w:t>,</w:t>
      </w:r>
      <w:r w:rsidR="00AE3D16">
        <w:t xml:space="preserve"> (March 2011)</w:t>
      </w:r>
      <w:r>
        <w:t xml:space="preserve"> highlighted the importance of excluding patients with severe renal involvement and neuropsychiatric involvement. </w:t>
      </w:r>
      <w:r w:rsidR="00E6025B">
        <w:t xml:space="preserve">It may be unsafe to recruit patients with neuropsychiatric or severe renal involvement into a clinical trial if their symptoms are life threatening.  </w:t>
      </w:r>
      <w:r w:rsidR="00D93858">
        <w:t>Furthermore, he</w:t>
      </w:r>
      <w:r>
        <w:t xml:space="preserve"> suggested that the inclusion criteria would include the identification of immunological indicators for disease activity such as anti-dsDNA or low complement on entry into the trial. </w:t>
      </w:r>
    </w:p>
    <w:p w:rsidR="000454F1" w:rsidRDefault="009F501C" w:rsidP="000454F1">
      <w:r>
        <w:t xml:space="preserve">In this BCTS the inclusion criteria specified that patients </w:t>
      </w:r>
      <w:r w:rsidR="000454F1">
        <w:t>were,</w:t>
      </w:r>
    </w:p>
    <w:p w:rsidR="000454F1" w:rsidRDefault="000454F1" w:rsidP="000454F1">
      <w:r>
        <w:t>(aged 18-70) AND (SLEDAI&gt;4) AND (DNA binding OR Low complement).</w:t>
      </w:r>
    </w:p>
    <w:p w:rsidR="009F501C" w:rsidRDefault="000454F1" w:rsidP="00D93858">
      <w:r>
        <w:t>Patients were exclud</w:t>
      </w:r>
      <w:r w:rsidR="00AE3D16">
        <w:t>ed</w:t>
      </w:r>
      <w:r>
        <w:t xml:space="preserve"> if they had </w:t>
      </w:r>
      <w:r w:rsidR="00D93858">
        <w:t>p</w:t>
      </w:r>
      <w:r>
        <w:t>roteinuria, h</w:t>
      </w:r>
      <w:r w:rsidR="00D93858">
        <w:t>a</w:t>
      </w:r>
      <w:r>
        <w:t>ematuria or neuropsychiatric involvement at baseline.</w:t>
      </w:r>
    </w:p>
    <w:p w:rsidR="009F501C" w:rsidRDefault="009F501C" w:rsidP="009F501C">
      <w:pPr>
        <w:pStyle w:val="Heading4"/>
      </w:pPr>
      <w:r>
        <w:t>Concomitant medications</w:t>
      </w:r>
    </w:p>
    <w:p w:rsidR="009F501C" w:rsidRPr="00915E2D" w:rsidRDefault="009F501C" w:rsidP="00D93858">
      <w:r>
        <w:t xml:space="preserve">The BCTS included variables to monitor patient’s history of immunosuppressant treatment, plaquenil prescribed at any time and steroid dose. It </w:t>
      </w:r>
      <w:r w:rsidR="00D93858">
        <w:t>was</w:t>
      </w:r>
      <w:r>
        <w:t xml:space="preserve"> assumed that patient’s history of immunosuppressants did not change during the trial, which is consistent with a concomitant medication restriction that new immunosuppressants cannot be initiated during the trial. Patients receiving plaquenil on entry into the trial continue to receive this treatment, however it was assumed that patients did not initiate plaquenil during the trial. Steroid treatment was allowed to vary over the course of the clinical trial according to the Hurdle model described in Chapter 5.</w:t>
      </w:r>
    </w:p>
    <w:p w:rsidR="009F501C" w:rsidRDefault="009F501C" w:rsidP="00E6025B">
      <w:pPr>
        <w:pStyle w:val="Heading4"/>
      </w:pPr>
      <w:r>
        <w:t xml:space="preserve">Treatment </w:t>
      </w:r>
      <w:r w:rsidR="00E6025B">
        <w:t>Comparators</w:t>
      </w:r>
    </w:p>
    <w:p w:rsidR="009F501C" w:rsidRPr="00CE0B60" w:rsidRDefault="009F501C" w:rsidP="00D93858">
      <w:r>
        <w:t xml:space="preserve">The </w:t>
      </w:r>
      <w:r w:rsidR="00E6025B">
        <w:t xml:space="preserve">BCTS was </w:t>
      </w:r>
      <w:r>
        <w:t xml:space="preserve">simulated </w:t>
      </w:r>
      <w:r w:rsidR="00E6025B">
        <w:t>with</w:t>
      </w:r>
      <w:r>
        <w:t xml:space="preserve"> two treatment arms. The first treatment arm reflect</w:t>
      </w:r>
      <w:r w:rsidR="000454F1">
        <w:t>ed</w:t>
      </w:r>
      <w:r>
        <w:t xml:space="preserve"> current S</w:t>
      </w:r>
      <w:r w:rsidR="00D93858">
        <w:t>tandard of Care (SoC)</w:t>
      </w:r>
      <w:r>
        <w:t xml:space="preserve"> given to SLE patients. The second treatment arm include</w:t>
      </w:r>
      <w:r w:rsidR="000454F1">
        <w:t>d</w:t>
      </w:r>
      <w:r>
        <w:t xml:space="preserve"> SoC combined with a new hypothetical biologic treatment. The patients </w:t>
      </w:r>
      <w:r w:rsidR="000454F1">
        <w:t xml:space="preserve">were </w:t>
      </w:r>
      <w:r>
        <w:t xml:space="preserve">randomised to either biologic treatment or SoC only with equal weights to generate an even distribution of patients across each treatment arm. </w:t>
      </w:r>
    </w:p>
    <w:p w:rsidR="009F501C" w:rsidRDefault="009F501C" w:rsidP="009F501C">
      <w:pPr>
        <w:pStyle w:val="Heading4"/>
      </w:pPr>
      <w:r>
        <w:t>Trial Endpoints</w:t>
      </w:r>
    </w:p>
    <w:p w:rsidR="009F501C" w:rsidRDefault="009F501C" w:rsidP="009F501C">
      <w:r>
        <w:t xml:space="preserve">The simulations will collect data for three clinical trial endpoints. These endpoints reflect three methods of describing the effectiveness of a new treatment. </w:t>
      </w:r>
    </w:p>
    <w:p w:rsidR="009F501C" w:rsidRDefault="009F501C" w:rsidP="0030783F">
      <w:r>
        <w:t>The first endpoint aim</w:t>
      </w:r>
      <w:r w:rsidR="00E6025B">
        <w:t>ed</w:t>
      </w:r>
      <w:r>
        <w:t xml:space="preserve"> to demonstrate efficacy. This approach is similar to that taken in the belimumab trials to observe a statistically significant difference in the proportion of patients who respond to treatment. Treatment efficacy </w:t>
      </w:r>
      <w:r w:rsidR="000454F1">
        <w:t>was</w:t>
      </w:r>
      <w:r>
        <w:t xml:space="preserve"> determined using a responder analysis. </w:t>
      </w:r>
      <w:r w:rsidR="0030783F">
        <w:t>The patient was classified as having responded to treatment i</w:t>
      </w:r>
      <w:r>
        <w:t>f the SLEDAI score declined period by more than 4 SLEDAI points</w:t>
      </w:r>
      <w:r w:rsidR="0030783F">
        <w:t xml:space="preserve"> after 52-week</w:t>
      </w:r>
      <w:r>
        <w:t xml:space="preserve">. This trial endpoint </w:t>
      </w:r>
      <w:r w:rsidR="000454F1">
        <w:t>was</w:t>
      </w:r>
      <w:r>
        <w:t xml:space="preserve"> described as the </w:t>
      </w:r>
      <w:r w:rsidR="0030783F">
        <w:t>E</w:t>
      </w:r>
      <w:r>
        <w:t xml:space="preserve">fficacy </w:t>
      </w:r>
      <w:r w:rsidR="0030783F">
        <w:t>T</w:t>
      </w:r>
      <w:r>
        <w:t xml:space="preserve">rial </w:t>
      </w:r>
      <w:r w:rsidR="0030783F">
        <w:t>E</w:t>
      </w:r>
      <w:r>
        <w:t xml:space="preserve">ndpoint from herein. </w:t>
      </w:r>
    </w:p>
    <w:p w:rsidR="009F501C" w:rsidRDefault="009F501C" w:rsidP="0030783F">
      <w:r>
        <w:t xml:space="preserve">The second endpoint </w:t>
      </w:r>
      <w:r w:rsidR="00E6025B">
        <w:t>was</w:t>
      </w:r>
      <w:r>
        <w:t xml:space="preserve"> based on the SLEDAI score measure </w:t>
      </w:r>
      <w:r w:rsidR="000454F1">
        <w:t>and focuse</w:t>
      </w:r>
      <w:r w:rsidR="0030783F">
        <w:t>d</w:t>
      </w:r>
      <w:r w:rsidR="000454F1">
        <w:t xml:space="preserve"> on the scale of </w:t>
      </w:r>
      <w:r>
        <w:t xml:space="preserve">the effect of treatment in reducing disease activity. </w:t>
      </w:r>
      <w:r w:rsidR="009F1F02">
        <w:t>T</w:t>
      </w:r>
      <w:r>
        <w:t>he measure of effectiveness will be based on the reduction in average SLEDAI scores</w:t>
      </w:r>
      <w:r w:rsidR="009F1F02">
        <w:t xml:space="preserve"> over the entire period of follow-up</w:t>
      </w:r>
      <w:r>
        <w:t xml:space="preserve">. This statistic will be applied to the long-term disease activity </w:t>
      </w:r>
      <w:r w:rsidR="001A1797">
        <w:t xml:space="preserve">regression </w:t>
      </w:r>
      <w:r>
        <w:t xml:space="preserve">model to estimate the reduction in long term SLEDAI with treatment. This endpoint is more relevant for the </w:t>
      </w:r>
      <w:r w:rsidR="00E6025B">
        <w:t>CE</w:t>
      </w:r>
      <w:r>
        <w:t xml:space="preserve"> analysis because it assesses if the reduction in SLEDAI score is sustained over time. This </w:t>
      </w:r>
      <w:r w:rsidR="009F1F02">
        <w:t>endpoint</w:t>
      </w:r>
      <w:r>
        <w:t xml:space="preserve"> will be referred to as the </w:t>
      </w:r>
      <w:r w:rsidR="0030783F">
        <w:t>D</w:t>
      </w:r>
      <w:r>
        <w:t xml:space="preserve">isease </w:t>
      </w:r>
      <w:r w:rsidR="0030783F">
        <w:t>A</w:t>
      </w:r>
      <w:r>
        <w:t xml:space="preserve">ctivity </w:t>
      </w:r>
      <w:r w:rsidR="0030783F">
        <w:t>T</w:t>
      </w:r>
      <w:r>
        <w:t xml:space="preserve">rial </w:t>
      </w:r>
      <w:r w:rsidR="0030783F">
        <w:t>E</w:t>
      </w:r>
      <w:r>
        <w:t>ndpoint.</w:t>
      </w:r>
    </w:p>
    <w:p w:rsidR="00916E62" w:rsidRPr="0084374B" w:rsidRDefault="009F501C" w:rsidP="00AE3D16">
      <w:r>
        <w:t>The third endpoint observe</w:t>
      </w:r>
      <w:r w:rsidR="00E6025B">
        <w:t>d</w:t>
      </w:r>
      <w:r>
        <w:t xml:space="preserve"> the reduction in organ damage accrual</w:t>
      </w:r>
      <w:r w:rsidR="009F1F02">
        <w:t xml:space="preserve"> measured by the SLICC/ACR damage index over the entire period of follow-up</w:t>
      </w:r>
      <w:r>
        <w:t xml:space="preserve">. Organ damage events are relatively rare events and a small proportion of patients </w:t>
      </w:r>
      <w:r w:rsidR="00E6025B">
        <w:t>were</w:t>
      </w:r>
      <w:r>
        <w:t xml:space="preserve"> expected to record an event during the </w:t>
      </w:r>
      <w:r w:rsidR="00E6025B">
        <w:t>BCTS</w:t>
      </w:r>
      <w:r>
        <w:t xml:space="preserve">. However, organ damage is a key component of the </w:t>
      </w:r>
      <w:r w:rsidR="00B0148C">
        <w:t>CE</w:t>
      </w:r>
      <w:r>
        <w:t xml:space="preserve"> model </w:t>
      </w:r>
      <w:r w:rsidR="002C404F">
        <w:t>because it is costly and impacts on quality of life</w:t>
      </w:r>
      <w:r>
        <w:t xml:space="preserve">. This </w:t>
      </w:r>
      <w:r w:rsidR="00AE3D16">
        <w:t xml:space="preserve">endpoint </w:t>
      </w:r>
      <w:r>
        <w:t xml:space="preserve">will be referred to as the </w:t>
      </w:r>
      <w:r w:rsidR="0030783F">
        <w:t>O</w:t>
      </w:r>
      <w:r>
        <w:t xml:space="preserve">rgan </w:t>
      </w:r>
      <w:r w:rsidR="0030783F">
        <w:t>D</w:t>
      </w:r>
      <w:r>
        <w:t xml:space="preserve">amage </w:t>
      </w:r>
      <w:r w:rsidR="0030783F">
        <w:t>T</w:t>
      </w:r>
      <w:r>
        <w:t xml:space="preserve">rial </w:t>
      </w:r>
      <w:r w:rsidR="0030783F">
        <w:t>E</w:t>
      </w:r>
      <w:r>
        <w:t>ndpoint.</w:t>
      </w:r>
    </w:p>
    <w:p w:rsidR="009F501C" w:rsidRDefault="009F501C" w:rsidP="009F501C">
      <w:pPr>
        <w:pStyle w:val="Heading3"/>
      </w:pPr>
      <w:bookmarkStart w:id="586" w:name="_Toc345584691"/>
      <w:bookmarkStart w:id="587" w:name="_Toc379467675"/>
      <w:r>
        <w:t>Modified Clinical Trial Settings</w:t>
      </w:r>
      <w:bookmarkEnd w:id="586"/>
      <w:bookmarkEnd w:id="587"/>
    </w:p>
    <w:p w:rsidR="009F501C" w:rsidRDefault="009F501C" w:rsidP="009F501C">
      <w:pPr>
        <w:pStyle w:val="Heading4"/>
      </w:pPr>
      <w:r>
        <w:t>Sample size</w:t>
      </w:r>
      <w:r w:rsidR="00E6025B">
        <w:t xml:space="preserve"> Selection</w:t>
      </w:r>
    </w:p>
    <w:p w:rsidR="009F501C" w:rsidRDefault="009F501C" w:rsidP="0030783F">
      <w:r>
        <w:t>Three sample sizes will be considered representing small, moderate and large sample size</w:t>
      </w:r>
      <w:r w:rsidR="0030783F">
        <w:t>s</w:t>
      </w:r>
      <w:r>
        <w:t xml:space="preserve">. The sample sizes were determined using frequentist sample size calculations according to the three endpoints of the trial. The endpoints were chosen to reflect different trial objectives. The sample size calculations </w:t>
      </w:r>
      <w:r w:rsidR="00E6025B">
        <w:t>assumed</w:t>
      </w:r>
      <w:r>
        <w:t xml:space="preserve"> that the duration of follow-up in the trial is 12 months. In the analysis the duration of follow-up will vary, but the sample sizes calculations </w:t>
      </w:r>
      <w:r w:rsidR="00E6025B">
        <w:t>were not</w:t>
      </w:r>
      <w:r>
        <w:t xml:space="preserve"> </w:t>
      </w:r>
      <w:r w:rsidR="0030783F">
        <w:t>changed</w:t>
      </w:r>
      <w:r>
        <w:t xml:space="preserve"> for the alternative durations. </w:t>
      </w:r>
    </w:p>
    <w:p w:rsidR="009F501C" w:rsidRDefault="009F501C" w:rsidP="0030783F">
      <w:r>
        <w:t xml:space="preserve">The first sample size </w:t>
      </w:r>
      <w:r w:rsidR="00E6025B">
        <w:t>was</w:t>
      </w:r>
      <w:r>
        <w:t xml:space="preserve"> determined with an aim to </w:t>
      </w:r>
      <w:r w:rsidR="00E6025B">
        <w:t>demonstrate short term efficacy</w:t>
      </w:r>
      <w:r w:rsidR="0030783F">
        <w:t>. R</w:t>
      </w:r>
      <w:r>
        <w:t xml:space="preserve">esponse is defined as a reduction in disease activity scores according to the efficacy trial endpoint. The </w:t>
      </w:r>
      <w:r w:rsidR="0030783F">
        <w:t xml:space="preserve">middle </w:t>
      </w:r>
      <w:r>
        <w:t xml:space="preserve">sample size </w:t>
      </w:r>
      <w:r w:rsidR="00E6025B">
        <w:t>was</w:t>
      </w:r>
      <w:r>
        <w:t xml:space="preserve"> powered to observe a statistically significant reduction in average SLEDAI scores. This sample size will be calculated based on a statistically significant reduction in the </w:t>
      </w:r>
      <w:r w:rsidR="00E6025B">
        <w:t>d</w:t>
      </w:r>
      <w:r>
        <w:t xml:space="preserve">isease </w:t>
      </w:r>
      <w:r w:rsidR="00E6025B">
        <w:t>a</w:t>
      </w:r>
      <w:r>
        <w:t xml:space="preserve">ctivity </w:t>
      </w:r>
      <w:r w:rsidR="00E6025B">
        <w:t>t</w:t>
      </w:r>
      <w:r>
        <w:t>rial endpoint.</w:t>
      </w:r>
      <w:r w:rsidR="00E6025B">
        <w:t xml:space="preserve"> </w:t>
      </w:r>
      <w:r>
        <w:t xml:space="preserve">The </w:t>
      </w:r>
      <w:r w:rsidR="0030783F">
        <w:t>large</w:t>
      </w:r>
      <w:r>
        <w:t xml:space="preserve"> sample size </w:t>
      </w:r>
      <w:r w:rsidR="00E6025B">
        <w:t>was</w:t>
      </w:r>
      <w:r>
        <w:t xml:space="preserve"> powered to observe a statistically significant reduction in organ damage accrual. Organ damage events are relatively rare events and a small proportion of patients will be expected to record an event over the 12 months of the clinical trial. Therefore, the sample size is likely to be very large. The sample size was calculated to observe a significant reduction in the Organ Damage trial endpoint.</w:t>
      </w:r>
    </w:p>
    <w:p w:rsidR="009F501C" w:rsidRDefault="009F501C" w:rsidP="0030783F">
      <w:r>
        <w:t xml:space="preserve">Frequentist sample size calculations are a more widely used method to determine sample size and have been adopted in previous trials for SLE. It may be counter-intuitive to adopt a frequentist sample size calculation alongside a Bayesian analysis of trial designs. However, </w:t>
      </w:r>
      <w:r w:rsidR="00407999">
        <w:t>the computation time of the analysis was too long to evaluate small incremental increase</w:t>
      </w:r>
      <w:r w:rsidR="009F1F02">
        <w:t>s</w:t>
      </w:r>
      <w:r w:rsidR="00407999">
        <w:t xml:space="preserve"> in sample size. </w:t>
      </w:r>
      <w:r w:rsidR="0030783F">
        <w:t>I adopted</w:t>
      </w:r>
      <w:r>
        <w:t xml:space="preserve"> a </w:t>
      </w:r>
      <w:r w:rsidR="00407999">
        <w:t>pragmatic</w:t>
      </w:r>
      <w:r>
        <w:t xml:space="preserve"> method to adopt in order to quickly generate three sample size calculations for three trial endpoints. All sample size calculations were estimated in STATA 11</w:t>
      </w:r>
      <w:r w:rsidR="0017698C">
        <w:t xml:space="preserve"> </w:t>
      </w:r>
      <w:r w:rsidR="00E729BA">
        <w:fldChar w:fldCharType="begin"/>
      </w:r>
      <w:r w:rsidR="00FC61FD">
        <w:instrText xml:space="preserve"> ADDIN REFMGR.CITE &lt;Refman&gt;&lt;Cite&gt;&lt;Author&gt;StataCorp.&lt;/Author&gt;&lt;Year&gt;2009&lt;/Year&gt;&lt;RecNum&gt;1620&lt;/RecNum&gt;&lt;IDText&gt;Stata Statistical Software: Release 11&lt;/IDText&gt;&lt;MDL Ref_Type="Computer Program"&gt;&lt;Ref_Type&gt;Computer Program&lt;/Ref_Type&gt;&lt;Ref_ID&gt;1620&lt;/Ref_ID&gt;&lt;Title_Primary&gt;&lt;i&gt;Stata Statistical Software: Release 11&lt;/i&gt;&lt;/Title_Primary&gt;&lt;Authors_Primary&gt;StataCorp.&lt;/Authors_Primary&gt;&lt;Date_Primary&gt;2009&lt;/Date_Primary&gt;&lt;Keywords&gt;Software&lt;/Keywords&gt;&lt;Reprint&gt;In File&lt;/Reprint&gt;&lt;Pub_Place&gt;College Station, TX:&lt;/Pub_Place&gt;&lt;Publisher&gt;StataCorp LP&lt;/Publisher&gt;&lt;ZZ_WorkformID&gt;11&lt;/ZZ_WorkformID&gt;&lt;/MDL&gt;&lt;/Cite&gt;&lt;/Refman&gt;</w:instrText>
      </w:r>
      <w:r w:rsidR="00E729BA">
        <w:fldChar w:fldCharType="separate"/>
      </w:r>
      <w:r w:rsidR="00DF14BD">
        <w:t>(235)</w:t>
      </w:r>
      <w:r w:rsidR="00E729BA">
        <w:fldChar w:fldCharType="end"/>
      </w:r>
      <w:r>
        <w:t>.</w:t>
      </w:r>
    </w:p>
    <w:p w:rsidR="00407999" w:rsidRDefault="00407999" w:rsidP="00407999">
      <w:pPr>
        <w:pStyle w:val="Heading5"/>
      </w:pPr>
      <w:r>
        <w:t>Sample size estimation for the efficacy trial endpoint</w:t>
      </w:r>
    </w:p>
    <w:p w:rsidR="007568A9" w:rsidRDefault="009F501C" w:rsidP="007568A9">
      <w:r>
        <w:t>The Efficacy Trial endpoint measures the proportion of responders to treatments in each arm of the trial (</w:t>
      </w:r>
      <w:r>
        <w:rPr>
          <w:rFonts w:cstheme="majorBidi"/>
        </w:rPr>
        <w:t>π</w:t>
      </w:r>
      <w:r>
        <w:rPr>
          <w:rFonts w:cstheme="majorBidi"/>
          <w:vertAlign w:val="subscript"/>
        </w:rPr>
        <w:t>1</w:t>
      </w:r>
      <w:r>
        <w:rPr>
          <w:rFonts w:cstheme="majorBidi"/>
        </w:rPr>
        <w:t>,</w:t>
      </w:r>
      <w:r>
        <w:t xml:space="preserve"> π</w:t>
      </w:r>
      <w:r>
        <w:rPr>
          <w:vertAlign w:val="subscript"/>
        </w:rPr>
        <w:t>2</w:t>
      </w:r>
      <w:r>
        <w:t>). The proportions are estimated from the counts of binary data from participants defined as either responders or non-responders at the end of the trial. The hypotheses for the test are</w:t>
      </w:r>
    </w:p>
    <w:p w:rsidR="009F501C" w:rsidRDefault="00E729BA" w:rsidP="009F501C">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r>
            <m:rPr>
              <m:sty m:val="p"/>
            </m:rPr>
            <w:rPr>
              <w:rFonts w:ascii="Cambria Math" w:hAnsi="Cambria Math"/>
            </w:rPr>
            <m:t xml:space="preserve">=0,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r>
            <m:rPr>
              <m:sty m:val="p"/>
            </m:rPr>
            <w:rPr>
              <w:rFonts w:ascii="Cambria Math" w:hAnsi="Cambria Math"/>
            </w:rPr>
            <m:t>≠0</m:t>
          </m:r>
        </m:oMath>
      </m:oMathPara>
    </w:p>
    <w:p w:rsidR="009F501C" w:rsidRDefault="009F501C" w:rsidP="009F501C">
      <w:pPr>
        <w:spacing w:line="240" w:lineRule="auto"/>
      </w:pPr>
      <w:r>
        <w:t>The general formula for calculating the sample size for binary data is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
        <w:gridCol w:w="7119"/>
        <w:gridCol w:w="1098"/>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m:rPr>
                    <m:sty m:val="p"/>
                  </m:rPr>
                  <w:rPr>
                    <w:rFonts w:ascii="Cambria Math" w:hAnsi="Cambria Math"/>
                  </w:rPr>
                  <m:t>n≈</m:t>
                </m:r>
                <m:f>
                  <m:fPr>
                    <m:ctrlPr>
                      <w:rPr>
                        <w:rFonts w:ascii="Cambria Math" w:hAnsi="Cambria Math"/>
                      </w:rPr>
                    </m:ctrlPr>
                  </m:fPr>
                  <m:num>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m:t>
                    </m:r>
                  </m:num>
                  <m:den>
                    <m:sSup>
                      <m:sSupPr>
                        <m:ctrlPr>
                          <w:rPr>
                            <w:rFonts w:ascii="Cambria Math" w:hAnsi="Cambria Math"/>
                          </w:rPr>
                        </m:ctrlPr>
                      </m:sSupPr>
                      <m:e>
                        <m:sSub>
                          <m:sSubPr>
                            <m:ctrlPr>
                              <w:rPr>
                                <w:rFonts w:ascii="Cambria Math" w:hAnsi="Cambria Math"/>
                              </w:rPr>
                            </m:ctrlPr>
                          </m:sSubPr>
                          <m:e>
                            <m:r>
                              <m:rPr>
                                <m:sty m:val="p"/>
                              </m:rPr>
                              <w:rPr>
                                <w:rFonts w:ascii="Cambria Math" w:hAnsi="Cambria Math"/>
                              </w:rPr>
                              <m:t>(π</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π</m:t>
                            </m:r>
                          </m:e>
                          <m:sub>
                            <m:r>
                              <m:rPr>
                                <m:sty m:val="p"/>
                              </m:rPr>
                              <w:rPr>
                                <w:rFonts w:ascii="Cambria Math" w:hAnsi="Cambria Math"/>
                              </w:rPr>
                              <m:t>1</m:t>
                            </m:r>
                          </m:sub>
                        </m:sSub>
                        <m:r>
                          <m:rPr>
                            <m:sty m:val="p"/>
                          </m:rPr>
                          <w:rPr>
                            <w:rFonts w:ascii="Cambria Math" w:hAnsi="Cambria Math"/>
                          </w:rPr>
                          <m:t>)</m:t>
                        </m:r>
                      </m:e>
                      <m:sup>
                        <m:r>
                          <m:rPr>
                            <m:sty m:val="p"/>
                          </m:rPr>
                          <w:rPr>
                            <w:rFonts w:ascii="Cambria Math" w:hAnsi="Cambria Math"/>
                          </w:rPr>
                          <m:t>2</m:t>
                        </m:r>
                      </m:sup>
                    </m:sSup>
                  </m:den>
                </m:f>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-1</m:t>
                            </m:r>
                          </m:sup>
                        </m:sSup>
                        <m:d>
                          <m:dPr>
                            <m:ctrlPr>
                              <w:rPr>
                                <w:rFonts w:ascii="Cambria Math" w:hAnsi="Cambria Math"/>
                              </w:rPr>
                            </m:ctrlPr>
                          </m:dPr>
                          <m:e>
                            <m:r>
                              <m:rPr>
                                <m:sty m:val="p"/>
                              </m:rPr>
                              <w:rPr>
                                <w:rFonts w:ascii="Cambria Math" w:hAnsi="Cambria Math"/>
                              </w:rPr>
                              <m:t>β</m:t>
                            </m:r>
                          </m:e>
                        </m:d>
                        <m:r>
                          <m:rPr>
                            <m:sty m:val="p"/>
                          </m:rPr>
                          <w:rPr>
                            <w:rFonts w:ascii="Cambria Math" w:hAnsi="Cambria Math"/>
                          </w:rPr>
                          <m:t>+</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e>
                        </m:d>
                      </m:e>
                    </m:d>
                  </m:e>
                  <m:sup>
                    <m:r>
                      <m:rPr>
                        <m:sty m:val="p"/>
                      </m:rPr>
                      <w:rPr>
                        <w:rFonts w:ascii="Cambria Math" w:hAnsi="Cambria Math"/>
                      </w:rPr>
                      <m:t>2</m:t>
                    </m:r>
                  </m:sup>
                </m:sSup>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407999">
      <w:r>
        <w:t>where α is the probability of a false positive error and β is the probability of a false negative error</w:t>
      </w:r>
      <w:r w:rsidR="009F1F02">
        <w:t xml:space="preserve"> </w:t>
      </w:r>
      <w:r w:rsidR="00E729BA">
        <w:fldChar w:fldCharType="begin"/>
      </w:r>
      <w:r w:rsidR="00FC61FD">
        <w:instrText xml:space="preserve"> ADDIN REFMGR.CITE &lt;Refman&gt;&lt;Cite&gt;&lt;Author&gt;Campbell&lt;/Author&gt;&lt;Year&gt;1995&lt;/Year&gt;&lt;RecNum&gt;1671&lt;/RecNum&gt;&lt;IDText&gt;Estimating sample sizes for binary, ordered categorical, and continuous outcomes in two group comparisons&lt;/IDText&gt;&lt;MDL Ref_Type="Journal"&gt;&lt;Ref_Type&gt;Journal&lt;/Ref_Type&gt;&lt;Ref_ID&gt;1671&lt;/Ref_ID&gt;&lt;Title_Primary&gt;Estimating sample sizes for binary, ordered categorical, and continuous outcomes in two group comparisons&lt;/Title_Primary&gt;&lt;Authors_Primary&gt;Campbell,M.J.&lt;/Authors_Primary&gt;&lt;Authors_Primary&gt;Julious,S.A.&lt;/Authors_Primary&gt;&lt;Authors_Primary&gt;Altman,D.G.&lt;/Authors_Primary&gt;&lt;Date_Primary&gt;1995/10/28&lt;/Date_Primary&gt;&lt;Keywords&gt;Data Interpretation,Statistical&lt;/Keywords&gt;&lt;Keywords&gt;Humans&lt;/Keywords&gt;&lt;Keywords&gt;Research&lt;/Keywords&gt;&lt;Keywords&gt;sample&lt;/Keywords&gt;&lt;Keywords&gt;Sample Size&lt;/Keywords&gt;&lt;Keywords&gt;statistics&lt;/Keywords&gt;&lt;Reprint&gt;Not in File&lt;/Reprint&gt;&lt;Start_Page&gt;1145&lt;/Start_Page&gt;&lt;End_Page&gt;1148&lt;/End_Page&gt;&lt;Periodical&gt;BMJ.&lt;/Periodical&gt;&lt;Volume&gt;311&lt;/Volume&gt;&lt;Issue&gt;7013&lt;/Issue&gt;&lt;ZZ_JournalStdAbbrev&gt;&lt;f name="System"&gt;BMJ.&lt;/f&gt;&lt;/ZZ_JournalStdAbbrev&gt;&lt;ZZ_WorkformID&gt;1&lt;/ZZ_WorkformID&gt;&lt;/MDL&gt;&lt;/Cite&gt;&lt;/Refman&gt;</w:instrText>
      </w:r>
      <w:r w:rsidR="00E729BA">
        <w:fldChar w:fldCharType="separate"/>
      </w:r>
      <w:r w:rsidR="00DF14BD">
        <w:t>(236)</w:t>
      </w:r>
      <w:r w:rsidR="00E729BA">
        <w:fldChar w:fldCharType="end"/>
      </w:r>
      <w:r>
        <w:t xml:space="preserve">. </w:t>
      </w:r>
      <w:r w:rsidR="00407999">
        <w:t>A single simulation of the BCTS</w:t>
      </w:r>
      <w:r>
        <w:t xml:space="preserve"> provide</w:t>
      </w:r>
      <w:r w:rsidR="00407999">
        <w:t>d</w:t>
      </w:r>
      <w:r>
        <w:t xml:space="preserve"> estimates p</w:t>
      </w:r>
      <w:r>
        <w:rPr>
          <w:vertAlign w:val="subscript"/>
        </w:rPr>
        <w:t>1</w:t>
      </w:r>
      <w:r>
        <w:t>, p</w:t>
      </w:r>
      <w:r>
        <w:rPr>
          <w:vertAlign w:val="subscript"/>
        </w:rPr>
        <w:t>2</w:t>
      </w:r>
      <w:r>
        <w:t xml:space="preserve"> to approximate the response rates for the two arms of the trial. The new treatment arm is expected to have a response rate </w:t>
      </w:r>
      <w:r w:rsidR="00407999">
        <w:t>0.54</w:t>
      </w:r>
      <w:r>
        <w:t xml:space="preserve">, </w:t>
      </w:r>
      <w:r w:rsidR="00407999">
        <w:t>and the standard of care arm 0.</w:t>
      </w:r>
      <w:r>
        <w:t xml:space="preserve">4. The α and β are set to 5% and 20% respectively so that the trial has an 80% power to detect a clinically meaningful difference. The estimated sample size is 426, which should be inflated to account for an estimated 24% withdrawal rate, to give a final sample size of 529 patients. </w:t>
      </w:r>
    </w:p>
    <w:p w:rsidR="00407999" w:rsidRDefault="00407999" w:rsidP="00407999">
      <w:pPr>
        <w:pStyle w:val="Heading5"/>
      </w:pPr>
      <w:r>
        <w:t>Sample size estimation for the disease activity trial endpoint</w:t>
      </w:r>
    </w:p>
    <w:p w:rsidR="009F501C" w:rsidRDefault="009F501C" w:rsidP="0030783F">
      <w:r>
        <w:t xml:space="preserve">The Disease Activity Trial </w:t>
      </w:r>
      <w:r w:rsidR="0030783F">
        <w:t>E</w:t>
      </w:r>
      <w:r>
        <w:t>ndpoint measures the change in average SLEDAI score over a year (</w:t>
      </w:r>
      <w:r>
        <w:rPr>
          <w:rFonts w:cstheme="majorBidi"/>
        </w:rPr>
        <w:t>µ</w:t>
      </w:r>
      <w:r>
        <w:rPr>
          <w:rFonts w:cstheme="majorBidi"/>
          <w:vertAlign w:val="subscript"/>
        </w:rPr>
        <w:t>1</w:t>
      </w:r>
      <w:r>
        <w:rPr>
          <w:rFonts w:cstheme="majorBidi"/>
        </w:rPr>
        <w:t>,</w:t>
      </w:r>
      <w:r>
        <w:t xml:space="preserve"> µ</w:t>
      </w:r>
      <w:r>
        <w:rPr>
          <w:vertAlign w:val="subscript"/>
        </w:rPr>
        <w:t>2</w:t>
      </w:r>
      <w:r>
        <w:t xml:space="preserve">). In a one year trial it is not possible to collect data on the average SLEDAI score for the year before entry into the trial, therefore the SLEDAI score at baseline will act as a proxy for </w:t>
      </w:r>
      <w:r w:rsidR="00407999">
        <w:t>the previous year</w:t>
      </w:r>
      <w:r>
        <w:t>. The primary endpoint of the trial aims to observe a statistically significant difference in the change in SLEDAI score between the two arms of the trial. The hypotheses for the test are</w:t>
      </w:r>
    </w:p>
    <w:p w:rsidR="009F501C" w:rsidRDefault="00E729BA" w:rsidP="009F501C">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µ</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µ</m:t>
              </m:r>
            </m:e>
            <m:sub>
              <m:r>
                <m:rPr>
                  <m:sty m:val="p"/>
                </m:rPr>
                <w:rPr>
                  <w:rFonts w:ascii="Cambria Math" w:hAnsi="Cambria Math"/>
                </w:rPr>
                <m:t>2</m:t>
              </m:r>
            </m:sub>
          </m:sSub>
          <m:r>
            <m:rPr>
              <m:sty m:val="p"/>
            </m:rPr>
            <w:rPr>
              <w:rFonts w:ascii="Cambria Math" w:hAnsi="Cambria Math"/>
            </w:rPr>
            <m:t xml:space="preserve">=δ=0,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µ</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µ</m:t>
              </m:r>
            </m:e>
            <m:sub>
              <m:r>
                <m:rPr>
                  <m:sty m:val="p"/>
                </m:rPr>
                <w:rPr>
                  <w:rFonts w:ascii="Cambria Math" w:hAnsi="Cambria Math"/>
                </w:rPr>
                <m:t>2</m:t>
              </m:r>
            </m:sub>
          </m:sSub>
          <m:r>
            <m:rPr>
              <m:sty m:val="p"/>
            </m:rPr>
            <w:rPr>
              <w:rFonts w:ascii="Cambria Math" w:hAnsi="Cambria Math"/>
            </w:rPr>
            <m:t>=δ≠0</m:t>
          </m:r>
        </m:oMath>
      </m:oMathPara>
    </w:p>
    <w:p w:rsidR="009F501C" w:rsidRDefault="009F501C" w:rsidP="009F501C">
      <w:pPr>
        <w:spacing w:line="240" w:lineRule="auto"/>
      </w:pPr>
      <w:r>
        <w:t>The general formula for calculating the sample size for continuous data is expressed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7084"/>
        <w:gridCol w:w="1125"/>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m:rPr>
                    <m:sty m:val="p"/>
                  </m:rPr>
                  <w:rPr>
                    <w:rFonts w:ascii="Cambria Math" w:hAnsi="Cambria Math"/>
                  </w:rPr>
                  <m:t>n≈</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num>
                  <m:den>
                    <m:r>
                      <m:rPr>
                        <m:sty m:val="p"/>
                      </m:rPr>
                      <w:rPr>
                        <w:rFonts w:ascii="Cambria Math" w:hAnsi="Cambria Math"/>
                      </w:rPr>
                      <m:t>(</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den>
                </m:f>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Φ</m:t>
                            </m:r>
                          </m:e>
                          <m:sup>
                            <m:r>
                              <m:rPr>
                                <m:sty m:val="p"/>
                              </m:rPr>
                              <w:rPr>
                                <w:rFonts w:ascii="Cambria Math" w:hAnsi="Cambria Math"/>
                              </w:rPr>
                              <m:t>-1</m:t>
                            </m:r>
                          </m:sup>
                        </m:sSup>
                        <m:d>
                          <m:dPr>
                            <m:ctrlPr>
                              <w:rPr>
                                <w:rFonts w:ascii="Cambria Math" w:hAnsi="Cambria Math"/>
                              </w:rPr>
                            </m:ctrlPr>
                          </m:dPr>
                          <m:e>
                            <m:r>
                              <m:rPr>
                                <m:sty m:val="p"/>
                              </m:rPr>
                              <w:rPr>
                                <w:rFonts w:ascii="Cambria Math" w:hAnsi="Cambria Math"/>
                              </w:rPr>
                              <m:t>β</m:t>
                            </m:r>
                          </m:e>
                        </m:d>
                        <m:r>
                          <m:rPr>
                            <m:sty m:val="p"/>
                          </m:rPr>
                          <w:rPr>
                            <w:rFonts w:ascii="Cambria Math" w:hAnsi="Cambria Math"/>
                          </w:rPr>
                          <m:t>+</m:t>
                        </m:r>
                        <m:sSup>
                          <m:sSupPr>
                            <m:ctrlPr>
                              <w:rPr>
                                <w:rFonts w:ascii="Cambria Math" w:hAnsi="Cambria Math"/>
                              </w:rPr>
                            </m:ctrlPr>
                          </m:sSupPr>
                          <m:e>
                            <m:r>
                              <m:rPr>
                                <m:sty m:val="p"/>
                              </m:rPr>
                              <w:rPr>
                                <w:rFonts w:ascii="Cambria Math" w:hAnsi="Cambria Math"/>
                              </w:rPr>
                              <m:t>Φ</m:t>
                            </m:r>
                          </m:e>
                          <m:sup>
                            <m:r>
                              <m:rPr>
                                <m:sty m:val="p"/>
                              </m:rPr>
                              <w:rPr>
                                <w:rFonts w:ascii="Cambria Math" w:hAnsi="Cambria Math"/>
                              </w:rPr>
                              <m:t>-1</m:t>
                            </m:r>
                          </m:sup>
                        </m:sSup>
                        <m:d>
                          <m:dPr>
                            <m:ctrlPr>
                              <w:rPr>
                                <w:rFonts w:ascii="Cambria Math" w:hAnsi="Cambria Math"/>
                              </w:rPr>
                            </m:ctrlPr>
                          </m:dPr>
                          <m:e>
                            <m:f>
                              <m:fPr>
                                <m:ctrlPr>
                                  <w:rPr>
                                    <w:rFonts w:ascii="Cambria Math" w:hAnsi="Cambria Math"/>
                                  </w:rPr>
                                </m:ctrlPr>
                              </m:fPr>
                              <m:num>
                                <m:r>
                                  <m:rPr>
                                    <m:sty m:val="p"/>
                                  </m:rPr>
                                  <w:rPr>
                                    <w:rFonts w:ascii="Cambria Math" w:hAnsi="Cambria Math"/>
                                  </w:rPr>
                                  <m:t>α</m:t>
                                </m:r>
                              </m:num>
                              <m:den>
                                <m:r>
                                  <m:rPr>
                                    <m:sty m:val="p"/>
                                  </m:rPr>
                                  <w:rPr>
                                    <w:rFonts w:ascii="Cambria Math" w:hAnsi="Cambria Math"/>
                                  </w:rPr>
                                  <m:t>2</m:t>
                                </m:r>
                              </m:den>
                            </m:f>
                          </m:e>
                        </m:d>
                      </m:e>
                    </m:d>
                  </m:e>
                  <m:sup>
                    <m:r>
                      <m:rPr>
                        <m:sty m:val="p"/>
                      </m:rPr>
                      <w:rPr>
                        <w:rFonts w:ascii="Cambria Math" w:hAnsi="Cambria Math"/>
                      </w:rPr>
                      <m:t>2</m:t>
                    </m:r>
                  </m:sup>
                </m:sSup>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407999">
      <w:r>
        <w:t>where α is the probability of a false positive error and β is the probability of a false negative error</w:t>
      </w:r>
      <w:r w:rsidR="009F1F02">
        <w:t xml:space="preserve"> </w:t>
      </w:r>
      <w:r w:rsidR="00E729BA">
        <w:fldChar w:fldCharType="begin"/>
      </w:r>
      <w:r w:rsidR="00FC61FD">
        <w:instrText xml:space="preserve"> ADDIN REFMGR.CITE &lt;Refman&gt;&lt;Cite&gt;&lt;Author&gt;Campbell&lt;/Author&gt;&lt;Year&gt;1995&lt;/Year&gt;&lt;RecNum&gt;1671&lt;/RecNum&gt;&lt;IDText&gt;Estimating sample sizes for binary, ordered categorical, and continuous outcomes in two group comparisons&lt;/IDText&gt;&lt;MDL Ref_Type="Journal"&gt;&lt;Ref_Type&gt;Journal&lt;/Ref_Type&gt;&lt;Ref_ID&gt;1671&lt;/Ref_ID&gt;&lt;Title_Primary&gt;Estimating sample sizes for binary, ordered categorical, and continuous outcomes in two group comparisons&lt;/Title_Primary&gt;&lt;Authors_Primary&gt;Campbell,M.J.&lt;/Authors_Primary&gt;&lt;Authors_Primary&gt;Julious,S.A.&lt;/Authors_Primary&gt;&lt;Authors_Primary&gt;Altman,D.G.&lt;/Authors_Primary&gt;&lt;Date_Primary&gt;1995/10/28&lt;/Date_Primary&gt;&lt;Keywords&gt;Data Interpretation,Statistical&lt;/Keywords&gt;&lt;Keywords&gt;Humans&lt;/Keywords&gt;&lt;Keywords&gt;Research&lt;/Keywords&gt;&lt;Keywords&gt;sample&lt;/Keywords&gt;&lt;Keywords&gt;Sample Size&lt;/Keywords&gt;&lt;Keywords&gt;statistics&lt;/Keywords&gt;&lt;Reprint&gt;Not in File&lt;/Reprint&gt;&lt;Start_Page&gt;1145&lt;/Start_Page&gt;&lt;End_Page&gt;1148&lt;/End_Page&gt;&lt;Periodical&gt;BMJ.&lt;/Periodical&gt;&lt;Volume&gt;311&lt;/Volume&gt;&lt;Issue&gt;7013&lt;/Issue&gt;&lt;ZZ_JournalStdAbbrev&gt;&lt;f name="System"&gt;BMJ.&lt;/f&gt;&lt;/ZZ_JournalStdAbbrev&gt;&lt;ZZ_WorkformID&gt;1&lt;/ZZ_WorkformID&gt;&lt;/MDL&gt;&lt;/Cite&gt;&lt;/Refman&gt;</w:instrText>
      </w:r>
      <w:r w:rsidR="00E729BA">
        <w:fldChar w:fldCharType="separate"/>
      </w:r>
      <w:r w:rsidR="00DF14BD">
        <w:t>(236)</w:t>
      </w:r>
      <w:r w:rsidR="00E729BA">
        <w:fldChar w:fldCharType="end"/>
      </w:r>
      <w:r>
        <w:t xml:space="preserve">. </w:t>
      </w:r>
      <w:r w:rsidR="00407999">
        <w:t>A single simulation of the BCTS provided</w:t>
      </w:r>
      <w:r>
        <w:t xml:space="preserve"> estimates </w:t>
      </w:r>
      <m:oMath>
        <m:acc>
          <m:accPr>
            <m:chr m:val="̅"/>
            <m:ctrlPr>
              <w:rPr>
                <w:rFonts w:ascii="Cambria Math" w:hAnsi="Cambria Math"/>
                <w:i/>
              </w:rPr>
            </m:ctrlPr>
          </m:accPr>
          <m:e>
            <m:r>
              <w:rPr>
                <w:rFonts w:ascii="Cambria Math" w:hAnsi="Cambria Math"/>
              </w:rPr>
              <m:t>x</m:t>
            </m:r>
          </m:e>
        </m:acc>
      </m:oMath>
      <w:r>
        <w:rPr>
          <w:vertAlign w:val="subscript"/>
        </w:rPr>
        <w:t>1</w:t>
      </w:r>
      <w:r>
        <w:t xml:space="preserve">, </w:t>
      </w:r>
      <m:oMath>
        <m:acc>
          <m:accPr>
            <m:chr m:val="̅"/>
            <m:ctrlPr>
              <w:rPr>
                <w:rFonts w:ascii="Cambria Math" w:hAnsi="Cambria Math"/>
                <w:i/>
              </w:rPr>
            </m:ctrlPr>
          </m:accPr>
          <m:e>
            <m:r>
              <w:rPr>
                <w:rFonts w:ascii="Cambria Math" w:hAnsi="Cambria Math"/>
              </w:rPr>
              <m:t>x</m:t>
            </m:r>
          </m:e>
        </m:acc>
      </m:oMath>
      <w:r>
        <w:rPr>
          <w:vertAlign w:val="subscript"/>
        </w:rPr>
        <w:t>2</w:t>
      </w:r>
      <w:r>
        <w:t xml:space="preserve"> to approximate the difference between the two arms of the trial, and an estimate of the variance </w:t>
      </w:r>
      <m:oMath>
        <m:sSup>
          <m:sSupPr>
            <m:ctrlPr>
              <w:rPr>
                <w:rFonts w:ascii="Cambria Math" w:hAnsi="Cambria Math"/>
              </w:rPr>
            </m:ctrlPr>
          </m:sSupPr>
          <m:e>
            <m:r>
              <m:rPr>
                <m:sty m:val="p"/>
              </m:rPr>
              <w:rPr>
                <w:rFonts w:ascii="Cambria Math" w:hAnsi="Cambria Math"/>
              </w:rPr>
              <m:t>σ</m:t>
            </m:r>
          </m:e>
          <m:sup>
            <m:r>
              <m:rPr>
                <m:sty m:val="p"/>
              </m:rPr>
              <w:rPr>
                <w:rFonts w:ascii="Cambria Math" w:hAnsi="Cambria Math"/>
              </w:rPr>
              <m:t>2</m:t>
            </m:r>
          </m:sup>
        </m:sSup>
      </m:oMath>
      <w:r>
        <w:t>. The average change in SLEDAI for standard of care was 1.525. The change in SLEDAI for treatment was estimated to be 1.8832.</w:t>
      </w:r>
      <w:r w:rsidR="00C777B0">
        <w:t xml:space="preserve"> These estimates were derived from the BCTS described in Chapter 6.</w:t>
      </w:r>
      <w:r>
        <w:t xml:space="preserve"> The respective standard deviations were 2.44 and 2.43. The α and β are set to 5% and 20% respectively so that the trial has an 80% power to detect a clinically meaningful difference. The estimated sample size is 1</w:t>
      </w:r>
      <w:r w:rsidR="00AE3D16">
        <w:t>,</w:t>
      </w:r>
      <w:r>
        <w:t xml:space="preserve">946, which should be inflated to account for an estimated 24% withdrawal rate, to give a final sample size of 2413 patients. </w:t>
      </w:r>
      <w:r w:rsidR="00C777B0">
        <w:t xml:space="preserve">The withdrawal rate was estimated from previous SLE trials as described in Section </w:t>
      </w:r>
      <w:r w:rsidR="00E729BA">
        <w:fldChar w:fldCharType="begin"/>
      </w:r>
      <w:r w:rsidR="00C777B0">
        <w:instrText xml:space="preserve"> REF _Ref377895408 \r \h </w:instrText>
      </w:r>
      <w:r w:rsidR="00E729BA">
        <w:fldChar w:fldCharType="separate"/>
      </w:r>
      <w:r w:rsidR="004911B7">
        <w:rPr>
          <w:cs/>
        </w:rPr>
        <w:t>‎</w:t>
      </w:r>
      <w:r w:rsidR="004911B7">
        <w:t>6.2.3.7</w:t>
      </w:r>
      <w:r w:rsidR="00E729BA">
        <w:fldChar w:fldCharType="end"/>
      </w:r>
      <w:r w:rsidR="00C777B0">
        <w:t xml:space="preserve"> of Chapter 6.</w:t>
      </w:r>
    </w:p>
    <w:p w:rsidR="00407999" w:rsidRDefault="00407999" w:rsidP="00407999">
      <w:pPr>
        <w:pStyle w:val="Heading5"/>
      </w:pPr>
      <w:r>
        <w:t>Sample size estimation for the organ damage trial endpoint</w:t>
      </w:r>
    </w:p>
    <w:p w:rsidR="009F501C" w:rsidRDefault="009F501C" w:rsidP="00407999">
      <w:r>
        <w:t xml:space="preserve">The </w:t>
      </w:r>
      <w:r w:rsidR="00407999">
        <w:t>o</w:t>
      </w:r>
      <w:r>
        <w:t xml:space="preserve">rgan </w:t>
      </w:r>
      <w:r w:rsidR="00407999">
        <w:t>d</w:t>
      </w:r>
      <w:r>
        <w:t xml:space="preserve">amage </w:t>
      </w:r>
      <w:r w:rsidR="00407999">
        <w:t>t</w:t>
      </w:r>
      <w:r>
        <w:t xml:space="preserve">rial endpoint measures the reduction in the accumulation of organ damage.  The primary endpoint of the trial observes the difference in the rate of organ damage accrual on the SLICC/ACR </w:t>
      </w:r>
      <w:r w:rsidR="002C404F">
        <w:t>Damage I</w:t>
      </w:r>
      <w:r>
        <w:t>ndex between by comparing the hazard rates in the two arms of the trial to get the log of the hazard ratio for treatment. The hypotheses for the test are</w:t>
      </w:r>
    </w:p>
    <w:p w:rsidR="009F501C" w:rsidRDefault="00E729BA" w:rsidP="009F501C">
      <m:oMathPara>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ln⁡(λ</m:t>
              </m:r>
            </m:e>
            <m:sub>
              <m:r>
                <m:rPr>
                  <m:sty m:val="p"/>
                </m:rPr>
                <w:rPr>
                  <w:rFonts w:ascii="Cambria Math" w:hAnsi="Cambria Math"/>
                </w:rPr>
                <m:t>1</m:t>
              </m:r>
            </m:sub>
          </m:sSub>
          <m:r>
            <m:rPr>
              <m:sty m:val="p"/>
            </m:rPr>
            <w:rPr>
              <w:rFonts w:ascii="Cambria Math" w:hAnsi="Cambria Math"/>
            </w:rPr>
            <m:t>)-ln⁡(</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2</m:t>
              </m:r>
            </m:sub>
          </m:sSub>
          <m:r>
            <m:rPr>
              <m:sty m:val="p"/>
            </m:rPr>
            <w:rPr>
              <w:rFonts w:ascii="Cambria Math" w:hAnsi="Cambria Math"/>
            </w:rPr>
            <m:t xml:space="preserve">)=ln⁡(Δ)=0,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1</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ln⁡(λ</m:t>
              </m:r>
            </m:e>
            <m:sub>
              <m:r>
                <m:rPr>
                  <m:sty m:val="p"/>
                </m:rPr>
                <w:rPr>
                  <w:rFonts w:ascii="Cambria Math" w:hAnsi="Cambria Math"/>
                </w:rPr>
                <m:t>1</m:t>
              </m:r>
            </m:sub>
          </m:sSub>
          <m:r>
            <m:rPr>
              <m:sty m:val="p"/>
            </m:rPr>
            <w:rPr>
              <w:rFonts w:ascii="Cambria Math" w:hAnsi="Cambria Math"/>
            </w:rPr>
            <m:t>)-ln⁡(</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2</m:t>
              </m:r>
            </m:sub>
          </m:sSub>
          <m:r>
            <m:rPr>
              <m:sty m:val="p"/>
            </m:rPr>
            <w:rPr>
              <w:rFonts w:ascii="Cambria Math" w:hAnsi="Cambria Math"/>
            </w:rPr>
            <m:t>)=ln⁡(Δ)≠0</m:t>
          </m:r>
        </m:oMath>
      </m:oMathPara>
    </w:p>
    <w:p w:rsidR="009F501C" w:rsidRDefault="009F501C" w:rsidP="00016DBF">
      <w:r>
        <w:t xml:space="preserve">To estimate the sample size for the difference between two hazard rates we must assume an exponential survivor function for the control group. </w:t>
      </w:r>
      <w:r w:rsidR="002273DA">
        <w:t>This assumption gives</w:t>
      </w:r>
      <w:r>
        <w:t xml:space="preserve"> more flexible study designs and accounts for the duration of follow-up and how these impacts on the number of events observed given the baseline hazard rate. The method also accounts for an exponential hazard for loss of follow-up of patients. The </w:t>
      </w:r>
      <w:r w:rsidR="009F1F02">
        <w:t>method</w:t>
      </w:r>
      <w:r>
        <w:t xml:space="preserve"> assumes that the rate of organ damage follows an exponential survival distribution with hazard rates in the control and treatment arms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1</m:t>
            </m:r>
          </m:sub>
        </m:sSub>
      </m:oMath>
      <w:r>
        <w:t xml:space="preserve"> and </w:t>
      </w:r>
      <m:oMath>
        <m:sSub>
          <m:sSubPr>
            <m:ctrlPr>
              <w:rPr>
                <w:rFonts w:ascii="Cambria Math" w:hAnsi="Cambria Math"/>
              </w:rPr>
            </m:ctrlPr>
          </m:sSubPr>
          <m:e>
            <m:r>
              <m:rPr>
                <m:sty m:val="p"/>
              </m:rPr>
              <w:rPr>
                <w:rFonts w:ascii="Cambria Math" w:hAnsi="Cambria Math"/>
              </w:rPr>
              <m:t>λ</m:t>
            </m:r>
          </m:e>
          <m:sub>
            <m:r>
              <m:rPr>
                <m:sty m:val="p"/>
              </m:rPr>
              <w:rPr>
                <w:rFonts w:ascii="Cambria Math" w:hAnsi="Cambria Math"/>
              </w:rPr>
              <m:t>2</m:t>
            </m:r>
          </m:sub>
        </m:sSub>
      </m:oMath>
      <w:r>
        <w:t xml:space="preserve"> respectively</w:t>
      </w:r>
      <w:r w:rsidR="009F1F02">
        <w:t xml:space="preserve"> </w:t>
      </w:r>
      <w:r w:rsidR="00E729BA">
        <w:fldChar w:fldCharType="begin"/>
      </w:r>
      <w:r w:rsidR="00FC61FD">
        <w:instrText xml:space="preserve"> ADDIN REFMGR.CITE &lt;Refman&gt;&lt;Cite&gt;&lt;Author&gt;Cleves&lt;/Author&gt;&lt;Year&gt;2008&lt;/Year&gt;&lt;RecNum&gt;1489&lt;/RecNum&gt;&lt;IDText&gt;An Introduction to Surival Analysis using Stata&lt;/IDText&gt;&lt;MDL Ref_Type="Book, Whole"&gt;&lt;Ref_Type&gt;Book, Whole&lt;/Ref_Type&gt;&lt;Ref_ID&gt;1489&lt;/Ref_ID&gt;&lt;Title_Primary&gt;An Introduction to Surival Analysis using Stata&lt;/Title_Primary&gt;&lt;Authors_Primary&gt;Cleves,M&lt;/Authors_Primary&gt;&lt;Authors_Primary&gt;Gould,W&lt;/Authors_Primary&gt;&lt;Authors_Primary&gt;Gutierrez,R&lt;/Authors_Primary&gt;&lt;Authors_Primary&gt;Marachenko,Y&lt;/Authors_Primary&gt;&lt;Date_Primary&gt;2008&lt;/Date_Primary&gt;&lt;Keywords&gt;analysis&lt;/Keywords&gt;&lt;Reprint&gt;Not in File&lt;/Reprint&gt;&lt;Volume&gt;Second Edition&lt;/Volume&gt;&lt;Pub_Place&gt;College Station&lt;/Pub_Place&gt;&lt;Publisher&gt;Stata press&lt;/Publisher&gt;&lt;ZZ_WorkformID&gt;2&lt;/ZZ_WorkformID&gt;&lt;/MDL&gt;&lt;/Cite&gt;&lt;/Refman&gt;</w:instrText>
      </w:r>
      <w:r w:rsidR="00E729BA">
        <w:fldChar w:fldCharType="separate"/>
      </w:r>
      <w:r w:rsidR="0081424E">
        <w:t>(216)</w:t>
      </w:r>
      <w:r w:rsidR="00E729BA">
        <w:fldChar w:fldCharType="end"/>
      </w:r>
      <w:r>
        <w:t xml:space="preserve">. </w:t>
      </w:r>
      <w:r w:rsidR="00016DBF">
        <w:t>The natural history model for organ damage included exponential, Weibull, Gompertz and loglogistic functional forms. Whereas, for the sample size calculation a single function form was needed and t</w:t>
      </w:r>
      <w:r w:rsidR="00C777B0">
        <w:t xml:space="preserve">he exponential was chosen for simplicity, </w:t>
      </w:r>
    </w:p>
    <w:p w:rsidR="009F501C" w:rsidRDefault="002273DA" w:rsidP="002273DA">
      <w:r>
        <w:t xml:space="preserve">I used the </w:t>
      </w:r>
      <w:r w:rsidR="009F501C">
        <w:t>Hopkins Lupus Cohort</w:t>
      </w:r>
      <w:r>
        <w:t xml:space="preserve"> to estimate</w:t>
      </w:r>
      <w:r w:rsidR="009F501C">
        <w:t xml:space="preserve"> the baseline hazard,</w:t>
      </w:r>
      <m:oMath>
        <m:r>
          <m:rPr>
            <m:sty m:val="p"/>
          </m:rPr>
          <w:rPr>
            <w:rFonts w:ascii="Cambria Math" w:hAnsi="Cambria Math"/>
          </w:rPr>
          <m:t xml:space="preserve"> λ</m:t>
        </m:r>
      </m:oMath>
      <w:r w:rsidR="009F501C">
        <w:t>, of composite SLICC/ACR Damage Index progression to be</w:t>
      </w:r>
      <w:r w:rsidR="009F501C" w:rsidRPr="00322D72">
        <w:t xml:space="preserve"> 0.122</w:t>
      </w:r>
      <w:r w:rsidR="009F501C">
        <w:t xml:space="preserve">5. The elicitation exercise estimated hazard ratios for treatment effect on groups of organ systems of the index. These were pooled by weighted average, according to the prevalence of organ damage, to give a mean hazard ratio of 0.8043. The estimated sample size, accounting for withdrawal of patients is 6350. </w:t>
      </w:r>
    </w:p>
    <w:p w:rsidR="009F501C" w:rsidRDefault="009F501C" w:rsidP="009F501C">
      <w:pPr>
        <w:pStyle w:val="Heading4"/>
      </w:pPr>
      <w:r>
        <w:t>Duration of follow-up</w:t>
      </w:r>
      <w:r w:rsidR="00407999">
        <w:t xml:space="preserve"> selection</w:t>
      </w:r>
    </w:p>
    <w:p w:rsidR="009F501C" w:rsidRDefault="009F501C" w:rsidP="001A23A1">
      <w:r>
        <w:t xml:space="preserve">The BCTS compared alternative duration of follow-ups. The baseline </w:t>
      </w:r>
      <w:r w:rsidR="001A1797">
        <w:t>specification</w:t>
      </w:r>
      <w:r>
        <w:t xml:space="preserve"> followed patients for 12 months, because this design specification had been adopted in previous clinical trials and is required by the FDA</w:t>
      </w:r>
      <w:r w:rsidR="009F1F02">
        <w:t xml:space="preserve"> </w:t>
      </w:r>
      <w:r w:rsidR="00E729BA">
        <w:fldChar w:fldCharType="begin"/>
      </w:r>
      <w:r w:rsidR="00FC61FD">
        <w:instrText xml:space="preserve"> ADDIN REFMGR.CITE &lt;Refman&gt;&lt;Cite&gt;&lt;Author&gt;US Department of Health and Human Services Food and Drug Administration&lt;/Author&gt;&lt;Year&gt;2010&lt;/Year&gt;&lt;RecNum&gt;10&lt;/RecNum&gt;&lt;IDText&gt;Guidance for Industry: Systemic Lupus Erythematosus - Developing Drugs for Treatment&lt;/IDText&gt;&lt;MDL Ref_Type="Report"&gt;&lt;Ref_Type&gt;Report&lt;/Ref_Type&gt;&lt;Ref_ID&gt;10&lt;/Ref_ID&gt;&lt;Title_Primary&gt;Guidance for Industry: Systemic Lupus Erythematosus - Developing Drugs for Treatment&lt;/Title_Primary&gt;&lt;Authors_Primary&gt;US Department of Health and Human Services Food and Drug Administration&lt;/Authors_Primary&gt;&lt;Date_Primary&gt;2010&lt;/Date_Primary&gt;&lt;Reprint&gt;Not in File&lt;/Reprint&gt;&lt;Web_URL&gt;&lt;u&gt;http://www.fda.gov/downloads/Drugs/GuidanceComplianceRegulatoryInformation/Guidances/ucm072063.pdf&lt;/u&gt;&lt;/Web_URL&gt;&lt;ZZ_WorkformID&gt;24&lt;/ZZ_WorkformID&gt;&lt;/MDL&gt;&lt;/Cite&gt;&lt;/Refman&gt;</w:instrText>
      </w:r>
      <w:r w:rsidR="00E729BA">
        <w:fldChar w:fldCharType="separate"/>
      </w:r>
      <w:r w:rsidR="0081424E">
        <w:t>(81)</w:t>
      </w:r>
      <w:r w:rsidR="00E729BA">
        <w:fldChar w:fldCharType="end"/>
      </w:r>
      <w:r>
        <w:t xml:space="preserve">. </w:t>
      </w:r>
      <w:r w:rsidR="001A23A1">
        <w:t>I</w:t>
      </w:r>
      <w:r>
        <w:t xml:space="preserve"> hypothesised that longer duration of follow-up would be beneficial to the </w:t>
      </w:r>
      <w:r w:rsidR="00CC17B0">
        <w:t>p</w:t>
      </w:r>
      <w:r>
        <w:t xml:space="preserve">harmaceutical </w:t>
      </w:r>
      <w:r w:rsidR="00CC17B0">
        <w:t>c</w:t>
      </w:r>
      <w:r>
        <w:t xml:space="preserve">ompanies because it would collect data on the long term benefits of treatment. Therefore, duration of 2 years and 5 years was simulated. The 5 year trial is considered to be an extreme value to illustrate the maximum possible follow-up that could be considered. </w:t>
      </w:r>
    </w:p>
    <w:p w:rsidR="009F501C" w:rsidRDefault="00407999" w:rsidP="00407999">
      <w:pPr>
        <w:pStyle w:val="Heading4"/>
      </w:pPr>
      <w:r>
        <w:t>Final Specification of the</w:t>
      </w:r>
      <w:r w:rsidR="009F501C">
        <w:t xml:space="preserve"> trial Designs</w:t>
      </w:r>
    </w:p>
    <w:p w:rsidR="009F501C" w:rsidRDefault="009F1F02" w:rsidP="00087603">
      <w:r>
        <w:t>To consider the trade-off betwe</w:t>
      </w:r>
      <w:r w:rsidR="002273DA">
        <w:t xml:space="preserve">en sample size and follow-up I </w:t>
      </w:r>
      <w:r>
        <w:t xml:space="preserve">specified six trial design scenarios. </w:t>
      </w:r>
      <w:r w:rsidR="009F501C">
        <w:t xml:space="preserve">The trial designs considered in these analyses will include 3 sample sizes and 3 duration of follow-up. The combinations of possible trial design settings are illustrated in </w:t>
      </w:r>
      <w:r w:rsidR="00E729BA">
        <w:fldChar w:fldCharType="begin"/>
      </w:r>
      <w:r w:rsidR="009F501C">
        <w:instrText xml:space="preserve"> REF _Ref327468176 \h </w:instrText>
      </w:r>
      <w:r w:rsidR="00E729BA">
        <w:fldChar w:fldCharType="separate"/>
      </w:r>
      <w:r w:rsidR="004911B7">
        <w:t xml:space="preserve">Figure </w:t>
      </w:r>
      <w:r w:rsidR="004911B7">
        <w:rPr>
          <w:noProof/>
        </w:rPr>
        <w:t>29</w:t>
      </w:r>
      <w:r w:rsidR="00E729BA">
        <w:fldChar w:fldCharType="end"/>
      </w:r>
      <w:r w:rsidR="009F501C">
        <w:t>.</w:t>
      </w:r>
      <w:r w:rsidR="00016DBF">
        <w:t xml:space="preserve"> Three other trial designs with large sample size and long duratio</w:t>
      </w:r>
      <w:r w:rsidR="009A5835">
        <w:t xml:space="preserve">n of follow-up were not included in the analysis. This was primarily to reduce computation time in the simulation. The largest trial design specifications were excluded because these were less likely to be feasible for a pharmaceutical company. </w:t>
      </w:r>
      <w:r w:rsidR="00087603">
        <w:t>The excluded trials would be more costly to conduct that the trial designs that have been selected, but they would collect more information on the effectiveness of the new treatments. However, t</w:t>
      </w:r>
      <w:r w:rsidR="009A5835">
        <w:t xml:space="preserve">he trial specifications described below is sufficient to consider the trade-off between sample size and follow-up. </w:t>
      </w:r>
    </w:p>
    <w:p w:rsidR="009F501C" w:rsidRDefault="009F501C" w:rsidP="00234693">
      <w:pPr>
        <w:pStyle w:val="Caption"/>
      </w:pPr>
      <w:bookmarkStart w:id="588" w:name="_Ref327468176"/>
      <w:r>
        <w:t xml:space="preserve">Figure </w:t>
      </w:r>
      <w:r w:rsidR="00E729BA">
        <w:fldChar w:fldCharType="begin"/>
      </w:r>
      <w:r w:rsidR="000B0EDB">
        <w:instrText xml:space="preserve"> SEQ Figure \* ARABIC </w:instrText>
      </w:r>
      <w:r w:rsidR="00E729BA">
        <w:fldChar w:fldCharType="separate"/>
      </w:r>
      <w:r w:rsidR="004911B7">
        <w:rPr>
          <w:noProof/>
        </w:rPr>
        <w:t>29</w:t>
      </w:r>
      <w:r w:rsidR="00E729BA">
        <w:fldChar w:fldCharType="end"/>
      </w:r>
      <w:bookmarkEnd w:id="588"/>
      <w:r>
        <w:t>: Trial design options to be simulated</w:t>
      </w:r>
    </w:p>
    <w:p w:rsidR="009F1F02" w:rsidRDefault="009F1F02" w:rsidP="009F1F02">
      <w:r w:rsidRPr="009F1F02">
        <w:rPr>
          <w:noProof/>
          <w:lang w:eastAsia="zh-CN" w:bidi="ar-SA"/>
        </w:rPr>
        <w:drawing>
          <wp:inline distT="0" distB="0" distL="0" distR="0">
            <wp:extent cx="5731510" cy="3170921"/>
            <wp:effectExtent l="0" t="0" r="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5731510" cy="3170921"/>
                    </a:xfrm>
                    <a:prstGeom prst="rect">
                      <a:avLst/>
                    </a:prstGeom>
                    <a:noFill/>
                    <a:ln w="9525">
                      <a:noFill/>
                      <a:miter lim="800000"/>
                      <a:headEnd/>
                      <a:tailEnd/>
                    </a:ln>
                  </pic:spPr>
                </pic:pic>
              </a:graphicData>
            </a:graphic>
          </wp:inline>
        </w:drawing>
      </w:r>
    </w:p>
    <w:p w:rsidR="009F501C" w:rsidRPr="00F81F39" w:rsidRDefault="009F501C" w:rsidP="009F1F02">
      <w:r>
        <w:t xml:space="preserve">The </w:t>
      </w:r>
      <w:r w:rsidR="009F1F02">
        <w:t>six</w:t>
      </w:r>
      <w:r>
        <w:t xml:space="preserve"> clinical trial design choices </w:t>
      </w:r>
      <w:r w:rsidRPr="00F81F39">
        <w:t xml:space="preserve">reflect a wide range of clinical trial designs. Whilst Trial </w:t>
      </w:r>
      <w:r w:rsidRPr="00F81F39">
        <w:rPr>
          <w:b/>
          <w:bCs/>
        </w:rPr>
        <w:t>A</w:t>
      </w:r>
      <w:r w:rsidRPr="00F81F39">
        <w:t xml:space="preserve"> may be sufficient to meet the requirements of a license regulator, the design does not aim to collect data that will demonstrate that the drug is cost-effective. </w:t>
      </w:r>
    </w:p>
    <w:p w:rsidR="00073A10" w:rsidRPr="00F81F39" w:rsidRDefault="009F501C" w:rsidP="00085BC4">
      <w:r w:rsidRPr="00F81F39">
        <w:t>Trial</w:t>
      </w:r>
      <w:r w:rsidR="002273DA">
        <w:t>s</w:t>
      </w:r>
      <w:r w:rsidRPr="00F81F39">
        <w:t xml:space="preserve"> </w:t>
      </w:r>
      <w:r w:rsidRPr="00F81F39">
        <w:rPr>
          <w:b/>
          <w:bCs/>
        </w:rPr>
        <w:t>B</w:t>
      </w:r>
      <w:r w:rsidRPr="00F81F39">
        <w:t xml:space="preserve"> </w:t>
      </w:r>
      <w:r>
        <w:t xml:space="preserve">through </w:t>
      </w:r>
      <w:r w:rsidRPr="00F81F39">
        <w:t xml:space="preserve">to </w:t>
      </w:r>
      <w:r w:rsidR="009F1F02">
        <w:rPr>
          <w:b/>
          <w:bCs/>
        </w:rPr>
        <w:t>F</w:t>
      </w:r>
      <w:r w:rsidRPr="00F81F39">
        <w:t xml:space="preserve"> reflect changes to the trial design to increase the amount of data collected in the clinical trial. The designs reflect several options to increase data. The analysis is designed to observe the value of increasing the sample size, duration of follow-up or a combination of both. </w:t>
      </w:r>
    </w:p>
    <w:p w:rsidR="009F501C" w:rsidRDefault="009F501C" w:rsidP="009F501C">
      <w:pPr>
        <w:pStyle w:val="Heading2"/>
      </w:pPr>
      <w:bookmarkStart w:id="589" w:name="_Toc345584692"/>
      <w:bookmarkStart w:id="590" w:name="_Ref354932124"/>
      <w:bookmarkStart w:id="591" w:name="_Toc379467676"/>
      <w:r w:rsidRPr="0095263B">
        <w:t>B</w:t>
      </w:r>
      <w:r>
        <w:t>ay</w:t>
      </w:r>
      <w:r w:rsidRPr="0095263B">
        <w:t>esian Updating of Probability D</w:t>
      </w:r>
      <w:r>
        <w:t>ensity</w:t>
      </w:r>
      <w:bookmarkEnd w:id="589"/>
      <w:bookmarkEnd w:id="590"/>
      <w:bookmarkEnd w:id="591"/>
    </w:p>
    <w:p w:rsidR="00004149" w:rsidRDefault="00004149" w:rsidP="00004149">
      <w:r>
        <w:t xml:space="preserve">The log-likelihood for each model was specified so that the prior could be updated with the data from the simulated trial. The log likelihood for the change in average SLEDAI score model can be written as, </w:t>
      </w:r>
    </w:p>
    <w:p w:rsidR="00004149" w:rsidRPr="00575244" w:rsidRDefault="00E729BA" w:rsidP="00004149">
      <m:oMathPara>
        <m:oMath>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L</m:t>
                  </m:r>
                </m:e>
              </m:d>
              <m:ctrlPr>
                <w:rPr>
                  <w:rFonts w:ascii="Cambria Math" w:hAnsi="Cambria Math"/>
                  <w:i/>
                </w:rPr>
              </m:ctrlPr>
            </m:e>
          </m:func>
          <m:r>
            <w:rPr>
              <w:rFonts w:ascii="Cambria Math" w:hAnsi="Cambria Math"/>
            </w:rPr>
            <m:t>=-0.5n</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2π</m:t>
                  </m:r>
                </m:e>
              </m:d>
              <m:ctrlPr>
                <w:rPr>
                  <w:rFonts w:ascii="Cambria Math" w:hAnsi="Cambria Math"/>
                  <w:i/>
                </w:rPr>
              </m:ctrlPr>
            </m:e>
          </m:func>
          <m:r>
            <w:rPr>
              <w:rFonts w:ascii="Cambria Math" w:hAnsi="Cambria Math"/>
            </w:rPr>
            <m:t>-0.5n</m:t>
          </m:r>
          <m:func>
            <m:funcPr>
              <m:ctrlPr>
                <w:rPr>
                  <w:rFonts w:ascii="Cambria Math" w:hAnsi="Cambria Math"/>
                </w:rPr>
              </m:ctrlPr>
            </m:funcPr>
            <m:fName>
              <m:r>
                <m:rPr>
                  <m:sty m:val="p"/>
                </m:rPr>
                <w:rPr>
                  <w:rFonts w:ascii="Cambria Math" w:hAnsi="Cambria Math"/>
                </w:rPr>
                <m:t>log</m:t>
              </m:r>
            </m:fName>
            <m:e>
              <m:d>
                <m:dPr>
                  <m:ctrlPr>
                    <w:rPr>
                      <w:rFonts w:ascii="Cambria Math" w:hAnsi="Cambria Math"/>
                      <w:i/>
                    </w:rPr>
                  </m:ctrlPr>
                </m:dPr>
                <m:e>
                  <m:r>
                    <w:rPr>
                      <w:rFonts w:ascii="Cambria Math" w:hAnsi="Cambria Math"/>
                    </w:rPr>
                    <m:t>σ</m:t>
                  </m:r>
                </m:e>
              </m:d>
              <m:ctrlPr>
                <w:rPr>
                  <w:rFonts w:ascii="Cambria Math" w:hAnsi="Cambria Math"/>
                  <w:i/>
                </w:rPr>
              </m:ctrlPr>
            </m:e>
          </m:func>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(y-βX)</m:t>
                  </m:r>
                </m:e>
                <m:sup>
                  <m:r>
                    <w:rPr>
                      <w:rFonts w:ascii="Cambria Math" w:hAnsi="Cambria Math"/>
                    </w:rPr>
                    <m:t>T</m:t>
                  </m:r>
                </m:sup>
              </m:sSup>
              <m:r>
                <w:rPr>
                  <w:rFonts w:ascii="Cambria Math" w:hAnsi="Cambria Math"/>
                </w:rPr>
                <m:t>(y-βX)</m:t>
              </m:r>
            </m:num>
            <m:den>
              <m:r>
                <w:rPr>
                  <w:rFonts w:ascii="Cambria Math" w:hAnsi="Cambria Math"/>
                </w:rPr>
                <m:t>2σ</m:t>
              </m:r>
            </m:den>
          </m:f>
        </m:oMath>
      </m:oMathPara>
    </w:p>
    <w:p w:rsidR="00004149" w:rsidRPr="00575244" w:rsidRDefault="00412D6D" w:rsidP="00412D6D">
      <w:r>
        <w:t xml:space="preserve">where n is the number of time-points observed, </w:t>
      </w:r>
      <m:oMath>
        <m:r>
          <w:rPr>
            <w:rFonts w:ascii="Cambria Math" w:hAnsi="Cambria Math"/>
          </w:rPr>
          <m:t>σ</m:t>
        </m:r>
      </m:oMath>
      <w:r>
        <w:t xml:space="preserve"> is the variance, y is the change in SLEDAI, </w:t>
      </w:r>
      <m:oMath>
        <m:r>
          <w:rPr>
            <w:rFonts w:ascii="Cambria Math" w:hAnsi="Cambria Math"/>
          </w:rPr>
          <m:t>β</m:t>
        </m:r>
      </m:oMath>
      <w:r>
        <w:t xml:space="preserve"> the coefficients and X the patient characteristics. </w:t>
      </w:r>
      <w:r w:rsidR="00004149">
        <w:t xml:space="preserve">The </w:t>
      </w:r>
      <w:r>
        <w:t>natural history</w:t>
      </w:r>
      <w:r w:rsidR="00004149">
        <w:t xml:space="preserve"> model included 12 statistical models, which were updated simultaneously. The 12 models were assumed to be independent, but the parameters within a model were multivariate normal. The likelihood for the parametric survival models can be written as,</w:t>
      </w:r>
    </w:p>
    <w:p w:rsidR="00004149" w:rsidRDefault="00004149" w:rsidP="00412D6D">
      <m:oMathPara>
        <m:oMath>
          <m:r>
            <w:rPr>
              <w:rFonts w:ascii="Cambria Math" w:hAnsi="Cambria Math"/>
            </w:rPr>
            <m:t>L</m:t>
          </m:r>
          <m:r>
            <m:rPr>
              <m:sty m:val="p"/>
            </m:rP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x</m:t>
              </m:r>
            </m:sub>
          </m:sSub>
          <m:r>
            <m:rPr>
              <m:sty m:val="p"/>
            </m:rPr>
            <w:rPr>
              <w:rFonts w:ascii="Cambria Math" w:hAnsi="Cambria Math"/>
            </w:rPr>
            <m:t>,</m:t>
          </m:r>
          <m:r>
            <w:rPr>
              <w:rFonts w:ascii="Cambria Math" w:hAnsi="Cambria Math"/>
            </w:rPr>
            <m:t>Θ</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r>
                        <w:rPr>
                          <w:rFonts w:ascii="Cambria Math" w:hAnsi="Cambria Math"/>
                        </w:rPr>
                        <m:t>x</m:t>
                      </m:r>
                    </m:e>
                    <m:sub>
                      <m:r>
                        <w:rPr>
                          <w:rFonts w:ascii="Cambria Math" w:hAnsi="Cambria Math"/>
                        </w:rPr>
                        <m:t>j</m:t>
                      </m:r>
                    </m:sub>
                  </m:sSub>
                  <m:sSub>
                    <m:sSubPr>
                      <m:ctrlPr>
                        <w:rPr>
                          <w:rFonts w:ascii="Cambria Math" w:hAnsi="Cambria Math"/>
                        </w:rPr>
                      </m:ctrlPr>
                    </m:sSubPr>
                    <m:e>
                      <m:r>
                        <w:rPr>
                          <w:rFonts w:ascii="Cambria Math" w:hAnsi="Cambria Math"/>
                        </w:rPr>
                        <m:t>β</m:t>
                      </m:r>
                    </m:e>
                    <m:sub>
                      <m:r>
                        <w:rPr>
                          <w:rFonts w:ascii="Cambria Math" w:hAnsi="Cambria Math"/>
                        </w:rPr>
                        <m:t>x</m:t>
                      </m:r>
                    </m:sub>
                  </m:sSub>
                  <m:r>
                    <m:rPr>
                      <m:sty m:val="p"/>
                    </m:rPr>
                    <w:rPr>
                      <w:rFonts w:ascii="Cambria Math" w:hAnsi="Cambria Math"/>
                    </w:rPr>
                    <m:t>,</m:t>
                  </m:r>
                  <m:r>
                    <w:rPr>
                      <w:rFonts w:ascii="Cambria Math" w:hAnsi="Cambria Math"/>
                    </w:rPr>
                    <m:t>Θ</m:t>
                  </m:r>
                  <m:r>
                    <m:rPr>
                      <m:sty m:val="p"/>
                    </m:rPr>
                    <w:rPr>
                      <w:rFonts w:ascii="Cambria Math" w:hAnsi="Cambria Math"/>
                    </w:rPr>
                    <m:t>)</m:t>
                  </m:r>
                </m:num>
                <m:den>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r>
                        <w:rPr>
                          <w:rFonts w:ascii="Cambria Math" w:hAnsi="Cambria Math"/>
                        </w:rPr>
                        <m:t>j</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r>
                        <w:rPr>
                          <w:rFonts w:ascii="Cambria Math" w:hAnsi="Cambria Math"/>
                        </w:rPr>
                        <m:t>x</m:t>
                      </m:r>
                    </m:e>
                    <m:sub>
                      <m:r>
                        <w:rPr>
                          <w:rFonts w:ascii="Cambria Math" w:hAnsi="Cambria Math"/>
                        </w:rPr>
                        <m:t>j</m:t>
                      </m:r>
                    </m:sub>
                  </m:sSub>
                  <m:sSub>
                    <m:sSubPr>
                      <m:ctrlPr>
                        <w:rPr>
                          <w:rFonts w:ascii="Cambria Math" w:hAnsi="Cambria Math"/>
                        </w:rPr>
                      </m:ctrlPr>
                    </m:sSubPr>
                    <m:e>
                      <m:r>
                        <w:rPr>
                          <w:rFonts w:ascii="Cambria Math" w:hAnsi="Cambria Math"/>
                        </w:rPr>
                        <m:t>β</m:t>
                      </m:r>
                    </m:e>
                    <m:sub>
                      <m:r>
                        <w:rPr>
                          <w:rFonts w:ascii="Cambria Math" w:hAnsi="Cambria Math"/>
                        </w:rPr>
                        <m:t>x</m:t>
                      </m:r>
                    </m:sub>
                  </m:sSub>
                  <m:r>
                    <m:rPr>
                      <m:sty m:val="p"/>
                    </m:rPr>
                    <w:rPr>
                      <w:rFonts w:ascii="Cambria Math" w:hAnsi="Cambria Math"/>
                    </w:rPr>
                    <m:t>,</m:t>
                  </m:r>
                  <m:r>
                    <w:rPr>
                      <w:rFonts w:ascii="Cambria Math" w:hAnsi="Cambria Math"/>
                    </w:rPr>
                    <m:t>Θ</m:t>
                  </m:r>
                  <m:r>
                    <m:rPr>
                      <m:sty m:val="p"/>
                    </m:rPr>
                    <w:rPr>
                      <w:rFonts w:ascii="Cambria Math" w:hAnsi="Cambria Math"/>
                    </w:rPr>
                    <m:t>)</m:t>
                  </m:r>
                </m:den>
              </m:f>
            </m:e>
          </m:nary>
          <m:r>
            <w:rPr>
              <w:rFonts w:ascii="Cambria Math" w:hAnsi="Cambria Math"/>
            </w:rPr>
            <m:t>h</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j</m:t>
                      </m:r>
                    </m:sub>
                  </m:sSub>
                  <m:sSub>
                    <m:sSubPr>
                      <m:ctrlPr>
                        <w:rPr>
                          <w:rFonts w:ascii="Cambria Math" w:hAnsi="Cambria Math"/>
                        </w:rPr>
                      </m:ctrlPr>
                    </m:sSubPr>
                    <m:e>
                      <m:r>
                        <w:rPr>
                          <w:rFonts w:ascii="Cambria Math" w:hAnsi="Cambria Math"/>
                        </w:rPr>
                        <m:t>β</m:t>
                      </m:r>
                    </m:e>
                    <m:sub>
                      <m:r>
                        <w:rPr>
                          <w:rFonts w:ascii="Cambria Math" w:hAnsi="Cambria Math"/>
                        </w:rPr>
                        <m:t>x</m:t>
                      </m:r>
                    </m:sub>
                  </m:sSub>
                  <m:r>
                    <m:rPr>
                      <m:sty m:val="p"/>
                    </m:rPr>
                    <w:rPr>
                      <w:rFonts w:ascii="Cambria Math" w:hAnsi="Cambria Math"/>
                    </w:rPr>
                    <m:t>,</m:t>
                  </m:r>
                  <m:r>
                    <w:rPr>
                      <w:rFonts w:ascii="Cambria Math" w:hAnsi="Cambria Math"/>
                    </w:rPr>
                    <m:t>Θ</m:t>
                  </m:r>
                </m:e>
              </m:d>
            </m:e>
            <m:sup>
              <m:sSub>
                <m:sSubPr>
                  <m:ctrlPr>
                    <w:rPr>
                      <w:rFonts w:ascii="Cambria Math" w:hAnsi="Cambria Math"/>
                    </w:rPr>
                  </m:ctrlPr>
                </m:sSubPr>
                <m:e>
                  <m:r>
                    <w:rPr>
                      <w:rFonts w:ascii="Cambria Math" w:hAnsi="Cambria Math"/>
                    </w:rPr>
                    <m:t>δ</m:t>
                  </m:r>
                </m:e>
                <m:sub>
                  <m:r>
                    <w:rPr>
                      <w:rFonts w:ascii="Cambria Math" w:hAnsi="Cambria Math"/>
                    </w:rPr>
                    <m:t>j</m:t>
                  </m:r>
                </m:sub>
              </m:sSub>
            </m:sup>
          </m:sSup>
        </m:oMath>
      </m:oMathPara>
    </w:p>
    <w:p w:rsidR="00004149" w:rsidRPr="00E9425F" w:rsidRDefault="00004149" w:rsidP="00412D6D">
      <m:oMath>
        <m:r>
          <w:rPr>
            <w:rFonts w:ascii="Cambria Math" w:hAnsi="Cambria Math"/>
          </w:rPr>
          <m:t>S</m:t>
        </m:r>
        <m:r>
          <m:rPr>
            <m:sty m:val="p"/>
          </m:rPr>
          <w:rPr>
            <w:rFonts w:ascii="Cambria Math" w:hAnsi="Cambria Math"/>
          </w:rPr>
          <m:t>()</m:t>
        </m:r>
      </m:oMath>
      <w:r>
        <w:t xml:space="preserve"> describes the survival function for the model and </w:t>
      </w:r>
      <m:oMath>
        <m:r>
          <w:rPr>
            <w:rFonts w:ascii="Cambria Math" w:hAnsi="Cambria Math"/>
          </w:rPr>
          <m:t>h</m:t>
        </m:r>
        <m:r>
          <m:rPr>
            <m:sty m:val="p"/>
          </m:rPr>
          <w:rPr>
            <w:rFonts w:ascii="Cambria Math" w:hAnsi="Cambria Math"/>
          </w:rPr>
          <m:t>()</m:t>
        </m:r>
      </m:oMath>
      <w:r>
        <w:t xml:space="preserve"> is the hazard function. </w:t>
      </w:r>
      <w:r w:rsidR="003B1246">
        <w:t>A detailed list of the log-likelihood functions for the regression models is provided in Appendix</w:t>
      </w:r>
      <w:r w:rsidR="007F49FE">
        <w:t xml:space="preserve"> 18</w:t>
      </w:r>
      <w:r w:rsidR="003B1246">
        <w:t>.</w:t>
      </w:r>
    </w:p>
    <w:p w:rsidR="009F501C" w:rsidRDefault="009F501C" w:rsidP="009F501C">
      <w:pPr>
        <w:pStyle w:val="Heading3"/>
      </w:pPr>
      <w:bookmarkStart w:id="592" w:name="_Toc345584693"/>
      <w:bookmarkStart w:id="593" w:name="_Toc379467677"/>
      <w:r>
        <w:t>Markov Chain Monte Carlo (MCMC) Methods</w:t>
      </w:r>
      <w:bookmarkEnd w:id="592"/>
      <w:bookmarkEnd w:id="593"/>
    </w:p>
    <w:p w:rsidR="00412D6D" w:rsidRDefault="00412D6D" w:rsidP="007F0DE9">
      <w:pPr>
        <w:rPr>
          <w:b/>
          <w:bCs/>
          <w:sz w:val="18"/>
          <w:szCs w:val="16"/>
        </w:rPr>
      </w:pPr>
      <w:r>
        <w:t xml:space="preserve">Many of the EVSI studies identified in the Methodology literature review in Chapter 3 used conjugate distributions to update the prior distributions with data. The risk of withdrawal, organ damage and mortality models use parametric survival analysis. The prior distribution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t xml:space="preserve"> is characterised by a multivariate normal distribution. However, the distribution of the trial data, </w:t>
      </w:r>
      <m:oMath>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oMath>
      <w:r>
        <w:t>, are not conjugate with the prior, because their form is generated by the exponential, Weibull, Gompertz or loglogistic forms that were used to generate them.</w:t>
      </w:r>
      <w:r w:rsidRPr="00FD0351">
        <w:t xml:space="preserve"> </w:t>
      </w:r>
      <w:r>
        <w:t xml:space="preserve">If the prior and simulated data are not conjugate then </w:t>
      </w:r>
      <w:r w:rsidR="007F0DE9">
        <w:t>the standard approach is</w:t>
      </w:r>
      <w:r>
        <w:t xml:space="preserve"> to estimate the posterior using Markov Chain Monte Carlo (MCMC) methods </w:t>
      </w:r>
      <w:r w:rsidR="00E729BA">
        <w:fldChar w:fldCharType="begin"/>
      </w:r>
      <w:r w:rsidR="00FC61FD">
        <w:instrText xml:space="preserve"> ADDIN REFMGR.CITE &lt;Refman&gt;&lt;Cite&gt;&lt;Author&gt;Spiegelhalter&lt;/Author&gt;&lt;Year&gt;2000&lt;/Year&gt;&lt;RecNum&gt;790&lt;/RecNum&gt;&lt;IDText&gt;Bayesian methods in health technology assessment: a review&lt;/IDText&gt;&lt;MDL Ref_Type="Journal"&gt;&lt;Ref_Type&gt;Journal&lt;/Ref_Type&gt;&lt;Ref_ID&gt;790&lt;/Ref_ID&gt;&lt;Title_Primary&gt;Bayesian methods in health technology assessment: a review&lt;/Title_Primary&gt;&lt;Authors_Primary&gt;Spiegelhalter,D.J.&lt;/Authors_Primary&gt;&lt;Authors_Primary&gt;Myles,J.P.&lt;/Authors_Primary&gt;&lt;Authors_Primary&gt;Jones,D.R.&lt;/Authors_Primary&gt;&lt;Authors_Primary&gt;Abrams,K.R.&lt;/Authors_Primary&gt;&lt;Date_Primary&gt;2000&lt;/Date_Primary&gt;&lt;Keywords&gt;analysis&lt;/Keywords&gt;&lt;Keywords&gt;Bayes Theorem&lt;/Keywords&gt;&lt;Keywords&gt;Biomedical Technology&lt;/Keywords&gt;&lt;Keywords&gt;Decision Making&lt;/Keywords&gt;&lt;Keywords&gt;Great Britain&lt;/Keywords&gt;&lt;Keywords&gt;Health&lt;/Keywords&gt;&lt;Keywords&gt;Humans&lt;/Keywords&gt;&lt;Keywords&gt;Medline&lt;/Keywords&gt;&lt;Keywords&gt;methods&lt;/Keywords&gt;&lt;Keywords&gt;Research&lt;/Keywords&gt;&lt;Keywords&gt;Sensitivity and Specificity&lt;/Keywords&gt;&lt;Keywords&gt;statistics &amp;amp; numerical data&lt;/Keywords&gt;&lt;Keywords&gt;Technology Assessment,Biomedical&lt;/Keywords&gt;&lt;Reprint&gt;Not in File&lt;/Reprint&gt;&lt;Start_Page&gt;1&lt;/Start_Page&gt;&lt;End_Page&gt;130&lt;/End_Page&gt;&lt;Periodical&gt;Health Technol.Assess.&lt;/Periodical&gt;&lt;Volume&gt;4&lt;/Volume&gt;&lt;Issue&gt;38&lt;/Issue&gt;&lt;ZZ_JournalStdAbbrev&gt;&lt;f name="System"&gt;Health Technol.Assess.&lt;/f&gt;&lt;/ZZ_JournalStdAbbrev&gt;&lt;ZZ_WorkformID&gt;1&lt;/ZZ_WorkformID&gt;&lt;/MDL&gt;&lt;/Cite&gt;&lt;/Refman&gt;</w:instrText>
      </w:r>
      <w:r w:rsidR="00E729BA">
        <w:fldChar w:fldCharType="separate"/>
      </w:r>
      <w:r w:rsidR="0081424E">
        <w:t>(92)</w:t>
      </w:r>
      <w:r w:rsidR="00E729BA">
        <w:fldChar w:fldCharType="end"/>
      </w:r>
      <w:r>
        <w:t xml:space="preserve">. </w:t>
      </w:r>
    </w:p>
    <w:p w:rsidR="003B1246" w:rsidRDefault="003B1246" w:rsidP="00412D6D">
      <w:r>
        <w:t>MCMC techniques are based on the construction of a Markov chain that eventually “converges” to the target distribution which describes the posterior density</w:t>
      </w:r>
      <m:oMath>
        <m:r>
          <w:rPr>
            <w:rFonts w:ascii="Cambria Math" w:hAnsi="Cambria Math"/>
          </w:rPr>
          <m:t xml:space="preserve"> p(θ|</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oMath>
      <w:r>
        <w:t xml:space="preserve">. Simulated samples from the posterior probability distribution can be obtained using WinBUGS (Windows Bayesian Inference Using Gibbs Sampling) software </w:t>
      </w:r>
      <w:r w:rsidR="00E729BA">
        <w:fldChar w:fldCharType="begin"/>
      </w:r>
      <w:r w:rsidR="00FC61FD">
        <w:instrText xml:space="preserve"> ADDIN REFMGR.CITE &lt;Refman&gt;&lt;Cite&gt;&lt;Author&gt;Spiegelhalter&lt;/Author&gt;&lt;Year&gt;2001&lt;/Year&gt;&lt;RecNum&gt;1616&lt;/RecNum&gt;&lt;IDText&gt;WInBUGS User Manual: Version1.4. Cambridge, UK: MRC Biostatistics Unit&lt;/IDText&gt;&lt;MDL Ref_Type="Computer Program"&gt;&lt;Ref_Type&gt;Computer Program&lt;/Ref_Type&gt;&lt;Ref_ID&gt;1616&lt;/Ref_ID&gt;&lt;Title_Primary&gt;WInBUGS User Manual: Version1.4. Cambridge, UK: MRC Biostatistics Unit&lt;/Title_Primary&gt;&lt;Authors_Primary&gt;Spiegelhalter,DJ&lt;/Authors_Primary&gt;&lt;Authors_Primary&gt;Thomas,A.&lt;/Authors_Primary&gt;&lt;Authors_Primary&gt;Best,N.&lt;/Authors_Primary&gt;&lt;Authors_Primary&gt;Lunn,D&lt;/Authors_Primary&gt;&lt;Date_Primary&gt;2001&lt;/Date_Primary&gt;&lt;Reprint&gt;In File&lt;/Reprint&gt;&lt;ZZ_WorkformID&gt;11&lt;/ZZ_WorkformID&gt;&lt;/MDL&gt;&lt;/Cite&gt;&lt;/Refman&gt;</w:instrText>
      </w:r>
      <w:r w:rsidR="00E729BA">
        <w:fldChar w:fldCharType="separate"/>
      </w:r>
      <w:r w:rsidR="0081424E">
        <w:t>(14)</w:t>
      </w:r>
      <w:r w:rsidR="00E729BA">
        <w:fldChar w:fldCharType="end"/>
      </w:r>
      <w:r w:rsidR="008B5B5E">
        <w:t>. In WinBUGS</w:t>
      </w:r>
      <w:r>
        <w:t xml:space="preserve"> a Gibbs sampling algorithm is an iterative procedure where every step generates instances from the distribution of each variable conditional on the current values of the other variables. </w:t>
      </w:r>
    </w:p>
    <w:p w:rsidR="009F501C" w:rsidRDefault="003B1246" w:rsidP="00A92CB9">
      <w:r>
        <w:t xml:space="preserve">MCMC </w:t>
      </w:r>
      <w:r w:rsidR="00510C70">
        <w:t>B</w:t>
      </w:r>
      <w:r w:rsidR="009F501C">
        <w:t xml:space="preserve">ayesian updating of the </w:t>
      </w:r>
      <w:r>
        <w:t>regression</w:t>
      </w:r>
      <w:r w:rsidR="009F501C">
        <w:t xml:space="preserve"> model parameters was implemented in WinBUGS. </w:t>
      </w:r>
      <w:r w:rsidR="00510C70">
        <w:t xml:space="preserve">The MCMC method was developed to sample parameter values from the posterior density of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510C70">
        <w:t xml:space="preserve"> in the CE model. </w:t>
      </w:r>
      <w:r w:rsidR="009F501C">
        <w:t xml:space="preserve">Two WinBUGs processes were set up to analyse </w:t>
      </w:r>
      <w:r w:rsidR="00A92CB9">
        <w:t xml:space="preserve">firstly </w:t>
      </w:r>
      <w:r w:rsidR="009F501C">
        <w:t xml:space="preserve">the </w:t>
      </w:r>
      <w:r w:rsidR="001A1797">
        <w:t>survival</w:t>
      </w:r>
      <w:r w:rsidR="009F501C">
        <w:t xml:space="preserve"> models, including organ damage mortality and withdrawal rates, </w:t>
      </w:r>
      <w:r w:rsidR="00A92CB9">
        <w:t>and secondly</w:t>
      </w:r>
      <w:r w:rsidR="009F501C">
        <w:t xml:space="preserve"> the average change in SLEDAI regression. Details of the specification of the WinBUGS model and illustrative results from the mortality </w:t>
      </w:r>
      <w:r w:rsidR="001A1797">
        <w:t xml:space="preserve">survival </w:t>
      </w:r>
      <w:r w:rsidR="009F501C">
        <w:t xml:space="preserve">model are reported in Appendix </w:t>
      </w:r>
      <w:r w:rsidR="007F49FE">
        <w:t>19</w:t>
      </w:r>
      <w:r w:rsidR="009F501C">
        <w:t xml:space="preserve">. </w:t>
      </w:r>
      <w:r w:rsidR="00A92CB9">
        <w:t xml:space="preserve">The MCMC successfully sampled parameter values from the posterior distribution. </w:t>
      </w:r>
      <w:r w:rsidR="009F501C">
        <w:t>However, this method could not be used in the final analysis because it was prohibitively time-consuming.</w:t>
      </w:r>
    </w:p>
    <w:p w:rsidR="009732B5" w:rsidRDefault="009732B5" w:rsidP="00A92CB9"/>
    <w:p w:rsidR="009F501C" w:rsidRPr="00A51B5A" w:rsidRDefault="00A92CB9" w:rsidP="00A92CB9">
      <w:pPr>
        <w:pStyle w:val="Heading4"/>
      </w:pPr>
      <w:r>
        <w:t>COmputation Time Issues for Implementing MCMC</w:t>
      </w:r>
    </w:p>
    <w:p w:rsidR="002273DA" w:rsidRDefault="009F501C" w:rsidP="002273DA">
      <w:r>
        <w:t xml:space="preserve">The computation time of MCMC raised considerable methodological challenges. In order to achieve convergence it was necessary to specify a burn-in </w:t>
      </w:r>
      <w:r w:rsidR="00A92CB9">
        <w:t xml:space="preserve">of 15,000 </w:t>
      </w:r>
      <w:r>
        <w:t>and a large degree of thinning</w:t>
      </w:r>
      <w:r w:rsidR="00A92CB9">
        <w:t xml:space="preserve"> (1 in 100)</w:t>
      </w:r>
      <w:r>
        <w:t xml:space="preserve"> to deal with considerable autocorrelation. As a consequence it was necessary to generate a </w:t>
      </w:r>
      <w:r w:rsidR="00510C70">
        <w:t xml:space="preserve">very </w:t>
      </w:r>
      <w:r>
        <w:t>large</w:t>
      </w:r>
      <w:r w:rsidR="002273DA">
        <w:t xml:space="preserve"> number of posterior iterations which, in turn, generate the </w:t>
      </w:r>
      <w:r>
        <w:t>set of results</w:t>
      </w:r>
      <w:r w:rsidR="002273DA">
        <w:t xml:space="preserve"> after thinning</w:t>
      </w:r>
      <w:r>
        <w:t xml:space="preserve">. </w:t>
      </w:r>
    </w:p>
    <w:p w:rsidR="009F501C" w:rsidRDefault="009F501C" w:rsidP="00167AA5">
      <w:r>
        <w:t xml:space="preserve">The full analysis process was completed for all regression parameters with a small simulated dataset of 529 patients followed for 1 year. The analysis took 69,443 seconds, approximately 19 hours, to generate 1000 parameters samples for the CE model. The larger trial designs would require even longer analysis time because of the increased size of the data. </w:t>
      </w:r>
      <w:r w:rsidR="00510C70">
        <w:t>In</w:t>
      </w:r>
      <w:r>
        <w:t xml:space="preserve"> Chapter 7, I concluded that the CE model required a minimum of 3,000 PSA iterations to generate stable </w:t>
      </w:r>
      <w:r w:rsidR="00510C70">
        <w:t>CE</w:t>
      </w:r>
      <w:r>
        <w:t xml:space="preserve"> results. </w:t>
      </w:r>
      <w:r w:rsidR="00510C70">
        <w:t xml:space="preserve">This would increase the computation </w:t>
      </w:r>
      <w:r w:rsidR="00167AA5">
        <w:t>of the posterior distribution for</w:t>
      </w:r>
      <w:r w:rsidR="0004687B">
        <w:t xml:space="preserve"> a </w:t>
      </w:r>
      <w:r w:rsidR="00167AA5">
        <w:t xml:space="preserve">single </w:t>
      </w:r>
      <w:r w:rsidR="0004687B">
        <w:t>trial dataset</w:t>
      </w:r>
      <w:r w:rsidR="00AE3D16">
        <w:t xml:space="preserve"> to</w:t>
      </w:r>
      <w:r w:rsidR="0004687B">
        <w:t xml:space="preserve"> </w:t>
      </w:r>
      <w:r w:rsidR="00510C70">
        <w:t xml:space="preserve">57 hours. </w:t>
      </w:r>
      <w:r>
        <w:t xml:space="preserve">In addition to the WinBUGS </w:t>
      </w:r>
      <w:r w:rsidR="00510C70">
        <w:t>analysis time it is necessary to evaluate</w:t>
      </w:r>
      <w:r>
        <w:t xml:space="preserve"> the posterior sample</w:t>
      </w:r>
      <w:r w:rsidR="00510C70">
        <w:t>s in the CE model</w:t>
      </w:r>
      <w:r>
        <w:t xml:space="preserve">, </w:t>
      </w:r>
      <w:r w:rsidR="00510C70">
        <w:t>which</w:t>
      </w:r>
      <w:r>
        <w:t xml:space="preserve"> </w:t>
      </w:r>
      <w:r w:rsidR="00510C70">
        <w:t xml:space="preserve">added </w:t>
      </w:r>
      <w:r>
        <w:t xml:space="preserve">an additional 12 hours to estimate the nested inner-loop CE outcomes. This process would need to be repeated many times to reflect </w:t>
      </w:r>
      <w:r w:rsidR="00C26CB4">
        <w:t>uncertainty in trial outcomes for each trial design</w:t>
      </w:r>
      <w:r>
        <w:t xml:space="preserve">. </w:t>
      </w:r>
      <w:r w:rsidR="000338D8">
        <w:t xml:space="preserve">For example, a BCTS of 6 trial designs each with 1,000 simulated trial results and fed through the MCMC and CE model PSA process would take 6*1000*(12+57)=414,000 hours=17,250 days=47 years computation time. </w:t>
      </w:r>
    </w:p>
    <w:p w:rsidR="009F501C" w:rsidRDefault="009F501C" w:rsidP="00167AA5">
      <w:r>
        <w:t xml:space="preserve">I explored the possibility of using a High Performance Computer (HPC) cluster to generate the analysis to moderate the impact of the substantial computation time of the analysis. The University of Sheffield Linux based HPC, </w:t>
      </w:r>
      <w:r w:rsidR="00167AA5">
        <w:t>known as I</w:t>
      </w:r>
      <w:r>
        <w:t xml:space="preserve">ceberg, </w:t>
      </w:r>
      <w:r w:rsidR="00510C70">
        <w:t>has the facility</w:t>
      </w:r>
      <w:r>
        <w:t xml:space="preserve"> to run the </w:t>
      </w:r>
      <w:r w:rsidR="00510C70">
        <w:t>MCMC Bayesian updating</w:t>
      </w:r>
      <w:r>
        <w:t xml:space="preserve"> described above using R linked to OpenBUGS </w:t>
      </w:r>
      <w:r w:rsidR="00E729BA">
        <w:fldChar w:fldCharType="begin"/>
      </w:r>
      <w:r w:rsidR="00FC61FD">
        <w:instrText xml:space="preserve"> ADDIN REFMGR.CITE &lt;Refman&gt;&lt;Cite&gt;&lt;Author&gt;University of Sheffield&lt;/Author&gt;&lt;Year&gt;2012&lt;/Year&gt;&lt;RecNum&gt;1625&lt;/RecNum&gt;&lt;IDText&gt;Iceberg HPC Cluster&lt;/IDText&gt;&lt;MDL Ref_Type="Electronic Citation"&gt;&lt;Ref_Type&gt;Electronic Citation&lt;/Ref_Type&gt;&lt;Ref_ID&gt;1625&lt;/Ref_ID&gt;&lt;Title_Primary&gt;Iceberg HPC Cluster&lt;/Title_Primary&gt;&lt;Date_Primary&gt;2012&lt;/Date_Primary&gt;&lt;Reprint&gt;In File&lt;/Reprint&gt;&lt;Periodical&gt;University of Sheffield&lt;/Periodical&gt;&lt;Web_URL&gt;&lt;u&gt;http://www.shef.ac.uk/wrgrid/iceberg&lt;/u&gt;&lt;/Web_URL&gt;&lt;ZZ_JournalFull&gt;&lt;f name="System"&gt;University of Sheffield&lt;/f&gt;&lt;/ZZ_JournalFull&gt;&lt;ZZ_WorkformID&gt;34&lt;/ZZ_WorkformID&gt;&lt;/MDL&gt;&lt;/Cite&gt;&lt;/Refman&gt;</w:instrText>
      </w:r>
      <w:r w:rsidR="00E729BA">
        <w:fldChar w:fldCharType="separate"/>
      </w:r>
      <w:r w:rsidR="00DF14BD">
        <w:t>(237)</w:t>
      </w:r>
      <w:r w:rsidR="00E729BA">
        <w:fldChar w:fldCharType="end"/>
      </w:r>
      <w:r>
        <w:t xml:space="preserve">. The HPC allows several simulations to be run in parallel on separate nodes increasing the number of analyses that can be generated within a fixed time-frame. However, the analysis was too time consuming because </w:t>
      </w:r>
      <w:r w:rsidR="00510C70">
        <w:t xml:space="preserve">the HPC imposes a </w:t>
      </w:r>
      <w:r>
        <w:t>maximum simulation time of 129 hours for each iteration of the prior parame</w:t>
      </w:r>
      <w:r w:rsidR="00510C70">
        <w:t>ters. I</w:t>
      </w:r>
      <w:r>
        <w:t xml:space="preserve"> would not be </w:t>
      </w:r>
      <w:r w:rsidR="0004687B">
        <w:t xml:space="preserve">able </w:t>
      </w:r>
      <w:r>
        <w:t xml:space="preserve">to evaluate more than </w:t>
      </w:r>
      <w:r w:rsidR="00510C70">
        <w:t>2</w:t>
      </w:r>
      <w:r>
        <w:t xml:space="preserve"> trial </w:t>
      </w:r>
      <w:r w:rsidR="0004687B">
        <w:t>datasets</w:t>
      </w:r>
      <w:r w:rsidR="00510C70">
        <w:t xml:space="preserve"> in that time</w:t>
      </w:r>
      <w:r>
        <w:t xml:space="preserve">. </w:t>
      </w:r>
      <w:r w:rsidR="0004687B">
        <w:t xml:space="preserve">In summary, I concluded that implementation of an MCMC updating process nested with the BCTS and alongside running the patient level CE model with PSA was not feasible in terms of computation time. </w:t>
      </w:r>
    </w:p>
    <w:p w:rsidR="009F501C" w:rsidRDefault="009F501C" w:rsidP="009F501C">
      <w:pPr>
        <w:pStyle w:val="Heading3"/>
      </w:pPr>
      <w:bookmarkStart w:id="594" w:name="_Toc345584694"/>
      <w:bookmarkStart w:id="595" w:name="_Toc379467678"/>
      <w:r>
        <w:t>Brennan and Karroubi Bayesian Approximation</w:t>
      </w:r>
      <w:bookmarkEnd w:id="594"/>
      <w:bookmarkEnd w:id="595"/>
    </w:p>
    <w:p w:rsidR="009F501C" w:rsidRDefault="009F501C" w:rsidP="00167AA5">
      <w:r>
        <w:t>Brennan and Karroubi (2007) developed a set of formulae for generating posterior expectations for EVSI analysis</w:t>
      </w:r>
      <w:r w:rsidR="00AE3D16">
        <w:t xml:space="preserve"> </w:t>
      </w:r>
      <w:r w:rsidR="00E729BA">
        <w:fldChar w:fldCharType="begin"/>
      </w:r>
      <w:r w:rsidR="00FC61FD">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fldChar w:fldCharType="separate"/>
      </w:r>
      <w:r w:rsidR="00AE3D16">
        <w:t>(115)</w:t>
      </w:r>
      <w:r w:rsidR="00E729BA">
        <w:fldChar w:fldCharType="end"/>
      </w:r>
      <w:r>
        <w:t xml:space="preserve">, building on work from Sweeting and Karroubi (2003), whose methods introduced the approximation of a number of Bayesian quantities </w:t>
      </w:r>
      <w:r w:rsidR="00E729BA">
        <w:fldChar w:fldCharType="begin"/>
      </w:r>
      <w:r w:rsidR="00FC61FD">
        <w:instrText xml:space="preserve"> ADDIN REFMGR.CITE &lt;Refman&gt;&lt;Cite&gt;&lt;Author&gt;Sweeting&lt;/Author&gt;&lt;Year&gt;2003&lt;/Year&gt;&lt;RecNum&gt;1632&lt;/RecNum&gt;&lt;IDText&gt;Some new formulae for posterior expectations and bartlett corrections&lt;/IDText&gt;&lt;MDL Ref_Type="Journal"&gt;&lt;Ref_Type&gt;Journal&lt;/Ref_Type&gt;&lt;Ref_ID&gt;1632&lt;/Ref_ID&gt;&lt;Title_Primary&gt;Some new formulae for posterior expectations and bartlett corrections&lt;/Title_Primary&gt;&lt;Authors_Primary&gt;Sweeting,TJ&lt;/Authors_Primary&gt;&lt;Authors_Primary&gt;Karroubi SA&lt;/Authors_Primary&gt;&lt;Date_Primary&gt;2003&lt;/Date_Primary&gt;&lt;Reprint&gt;In File&lt;/Reprint&gt;&lt;Start_Page&gt;497&lt;/Start_Page&gt;&lt;End_Page&gt;521&lt;/End_Page&gt;&lt;Periodical&gt;Test&lt;/Periodical&gt;&lt;Volume&gt;12&lt;/Volume&gt;&lt;ZZ_JournalFull&gt;&lt;f name="System"&gt;Test&lt;/f&gt;&lt;/ZZ_JournalFull&gt;&lt;ZZ_WorkformID&gt;1&lt;/ZZ_WorkformID&gt;&lt;/MDL&gt;&lt;/Cite&gt;&lt;/Refman&gt;</w:instrText>
      </w:r>
      <w:r w:rsidR="00E729BA">
        <w:fldChar w:fldCharType="separate"/>
      </w:r>
      <w:r w:rsidR="00DF14BD">
        <w:t>(238)</w:t>
      </w:r>
      <w:r w:rsidR="00E729BA">
        <w:fldChar w:fldCharType="end"/>
      </w:r>
      <w:r>
        <w:t xml:space="preserve">. </w:t>
      </w:r>
      <w:r w:rsidR="00AA38E0">
        <w:t>Sweeting and Karroubi’s method</w:t>
      </w:r>
      <w:r>
        <w:t xml:space="preserve"> was adapted to </w:t>
      </w:r>
      <w:r w:rsidR="008B5B5E">
        <w:t>incorporate</w:t>
      </w:r>
      <w:r>
        <w:t xml:space="preserve"> the prior into the likelihood functions to allow the posterior net benefit to be estimated. The method was found to be more efficient in EVSI calculations because it avoid</w:t>
      </w:r>
      <w:r w:rsidR="00167AA5">
        <w:t>ed</w:t>
      </w:r>
      <w:r>
        <w:t xml:space="preserve"> the MCMC updating process to generate a posterior probability distribution. It also reduces computation tim</w:t>
      </w:r>
      <w:r w:rsidR="00AA38E0">
        <w:t xml:space="preserve">e because it does not require PSA inner loop evaluations of CE outcomes </w:t>
      </w:r>
      <w:r>
        <w:t xml:space="preserve">for each simulated dataset. Their case study using the Weibull distribution would have taken 36.5 days to complete the analysis using MCMC in WinBUGS, whereas the B&amp;K approximation could produce the same result in 3.1 days </w:t>
      </w:r>
      <w:r w:rsidR="00E729BA">
        <w:fldChar w:fldCharType="begin"/>
      </w:r>
      <w:r w:rsidR="00FC61FD">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fldChar w:fldCharType="separate"/>
      </w:r>
      <w:r w:rsidR="0081424E">
        <w:t>(115)</w:t>
      </w:r>
      <w:r w:rsidR="00E729BA">
        <w:fldChar w:fldCharType="end"/>
      </w:r>
      <w:r>
        <w:t>. Based on this estimate I anticipate</w:t>
      </w:r>
      <w:r w:rsidR="0004687B">
        <w:t>d</w:t>
      </w:r>
      <w:r>
        <w:t xml:space="preserve"> that the B&amp;K approximation </w:t>
      </w:r>
      <w:r w:rsidR="0004687B">
        <w:t>c</w:t>
      </w:r>
      <w:r>
        <w:t>ould facilitate the evaluation of multiple trial designs.</w:t>
      </w:r>
    </w:p>
    <w:p w:rsidR="009F501C" w:rsidRDefault="00AA38E0" w:rsidP="009F501C">
      <w:pPr>
        <w:pStyle w:val="Heading4"/>
      </w:pPr>
      <w:r>
        <w:t xml:space="preserve">B&amp;K Approximation </w:t>
      </w:r>
      <w:r w:rsidR="009F501C">
        <w:t>Notation</w:t>
      </w:r>
    </w:p>
    <w:p w:rsidR="009F501C" w:rsidRDefault="009F501C" w:rsidP="009F501C">
      <w:r>
        <w:t xml:space="preserve">The approximation is comprised of a series of calculations described below, for which the following notation will be used. </w:t>
      </w:r>
    </w:p>
    <w:p w:rsidR="009F501C" w:rsidRDefault="009F501C" w:rsidP="009F501C">
      <m:oMath>
        <m:r>
          <w:rPr>
            <w:rFonts w:ascii="Cambria Math" w:hAnsi="Cambria Math"/>
          </w:rPr>
          <m:t>X</m:t>
        </m:r>
      </m:oMath>
      <w:r>
        <w:t xml:space="preserve">  A dataset of trial data with </w:t>
      </w:r>
      <m:oMath>
        <m:r>
          <w:rPr>
            <w:rFonts w:ascii="Cambria Math" w:hAnsi="Cambria Math"/>
          </w:rPr>
          <m:t>n</m:t>
        </m:r>
      </m:oMath>
      <w:r>
        <w:t xml:space="preserve"> independent and identically distributed observations, </w:t>
      </w:r>
    </w:p>
    <w:p w:rsidR="009F501C" w:rsidRDefault="009F501C" w:rsidP="009F501C">
      <w:pPr>
        <w:rPr>
          <w:rFonts w:eastAsiaTheme="minorEastAsia"/>
        </w:rPr>
      </w:pPr>
      <m:oMath>
        <m:r>
          <w:rPr>
            <w:rFonts w:ascii="Cambria Math" w:eastAsiaTheme="minorEastAsia" w:hAnsi="Cambria Math"/>
          </w:rPr>
          <m:t>θ</m:t>
        </m:r>
      </m:oMath>
      <w:r w:rsidRPr="005B5C0F">
        <w:rPr>
          <w:rFonts w:eastAsiaTheme="minorEastAsia"/>
        </w:rPr>
        <w:t xml:space="preserve"> </w:t>
      </w:r>
      <w:r>
        <w:rPr>
          <w:rFonts w:eastAsiaTheme="minorEastAsia"/>
        </w:rPr>
        <w:t xml:space="preserve"> vector of </w:t>
      </w:r>
      <m:oMath>
        <m:r>
          <w:rPr>
            <w:rFonts w:ascii="Cambria Math" w:eastAsiaTheme="minorEastAsia" w:hAnsi="Cambria Math"/>
          </w:rPr>
          <m:t>d</m:t>
        </m:r>
      </m:oMath>
      <w:r>
        <w:rPr>
          <w:rFonts w:eastAsiaTheme="minorEastAsia"/>
        </w:rPr>
        <w:t xml:space="preserve"> parameters (</w:t>
      </w:r>
      <m:oMath>
        <m:r>
          <w:rPr>
            <w:rFonts w:ascii="Cambria Math" w:eastAsiaTheme="minorEastAsia" w:hAnsi="Cambria Math"/>
          </w:rPr>
          <m:t>θ=(</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d</m:t>
            </m:r>
          </m:sup>
        </m:sSup>
        <m:r>
          <w:rPr>
            <w:rFonts w:ascii="Cambria Math" w:eastAsiaTheme="minorEastAsia" w:hAnsi="Cambria Math"/>
          </w:rPr>
          <m:t>)</m:t>
        </m:r>
      </m:oMath>
      <w:r>
        <w:rPr>
          <w:rFonts w:eastAsiaTheme="minorEastAsia"/>
        </w:rPr>
        <w:t>,</w:t>
      </w:r>
    </w:p>
    <w:p w:rsidR="009F501C" w:rsidRPr="00D849F7" w:rsidRDefault="009F501C" w:rsidP="001A1797">
      <m:oMath>
        <m:r>
          <w:rPr>
            <w:rFonts w:ascii="Cambria Math" w:hAnsi="Cambria Math"/>
          </w:rPr>
          <m:t>v(θ)</m:t>
        </m:r>
      </m:oMath>
      <w:r>
        <w:rPr>
          <w:rFonts w:eastAsiaTheme="minorEastAsia"/>
        </w:rPr>
        <w:t xml:space="preserve"> a function or </w:t>
      </w:r>
      <w:r w:rsidR="001A1797">
        <w:rPr>
          <w:rFonts w:eastAsiaTheme="minorEastAsia"/>
        </w:rPr>
        <w:t>CE</w:t>
      </w:r>
      <w:r>
        <w:rPr>
          <w:rFonts w:eastAsiaTheme="minorEastAsia"/>
        </w:rPr>
        <w:t xml:space="preserve"> model with parameter inputs </w:t>
      </w:r>
      <m:oMath>
        <m:r>
          <w:rPr>
            <w:rFonts w:ascii="Cambria Math" w:hAnsi="Cambria Math"/>
          </w:rPr>
          <m:t>θ</m:t>
        </m:r>
      </m:oMath>
      <w:r>
        <w:rPr>
          <w:rFonts w:eastAsiaTheme="minorEastAsia"/>
        </w:rPr>
        <w:t>,</w:t>
      </w:r>
    </w:p>
    <w:p w:rsidR="009F501C" w:rsidRDefault="009F501C" w:rsidP="009F501C">
      <w:pPr>
        <w:rPr>
          <w:rFonts w:eastAsiaTheme="minorEastAsia"/>
        </w:rPr>
      </w:pPr>
      <m:oMath>
        <m:r>
          <w:rPr>
            <w:rFonts w:ascii="Cambria Math" w:hAnsi="Cambria Math"/>
          </w:rPr>
          <m:t>p(X|θ)</m:t>
        </m:r>
      </m:oMath>
      <w:r>
        <w:rPr>
          <w:rFonts w:eastAsiaTheme="minorEastAsia"/>
        </w:rPr>
        <w:t xml:space="preserve"> t</w:t>
      </w:r>
      <w:r>
        <w:t xml:space="preserve">he probability of </w:t>
      </w:r>
      <m:oMath>
        <m:r>
          <w:rPr>
            <w:rFonts w:ascii="Cambria Math" w:hAnsi="Cambria Math"/>
          </w:rPr>
          <m:t>X</m:t>
        </m:r>
      </m:oMath>
      <w:r>
        <w:rPr>
          <w:rFonts w:eastAsiaTheme="minorEastAsia"/>
        </w:rPr>
        <w:t xml:space="preserve"> given the vector of </w:t>
      </w:r>
      <m:oMath>
        <m:r>
          <w:rPr>
            <w:rFonts w:ascii="Cambria Math" w:eastAsiaTheme="minorEastAsia" w:hAnsi="Cambria Math"/>
          </w:rPr>
          <m:t>d</m:t>
        </m:r>
      </m:oMath>
      <w:r>
        <w:rPr>
          <w:rFonts w:eastAsiaTheme="minorEastAsia"/>
        </w:rPr>
        <w:t xml:space="preserve"> parameters (</w:t>
      </w:r>
      <m:oMath>
        <m:r>
          <w:rPr>
            <w:rFonts w:ascii="Cambria Math" w:eastAsiaTheme="minorEastAsia" w:hAnsi="Cambria Math"/>
          </w:rPr>
          <m:t>θ=(</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d</m:t>
            </m:r>
          </m:sup>
        </m:sSup>
        <m:r>
          <w:rPr>
            <w:rFonts w:ascii="Cambria Math" w:eastAsiaTheme="minorEastAsia" w:hAnsi="Cambria Math"/>
          </w:rPr>
          <m:t>)</m:t>
        </m:r>
      </m:oMath>
      <w:r>
        <w:rPr>
          <w:rFonts w:eastAsiaTheme="minorEastAsia"/>
        </w:rPr>
        <w:t xml:space="preserve"> or likelihood,</w:t>
      </w:r>
    </w:p>
    <w:p w:rsidR="009F501C" w:rsidRDefault="009F501C" w:rsidP="009F501C">
      <w:pPr>
        <w:rPr>
          <w:rFonts w:eastAsiaTheme="minorEastAsia"/>
        </w:rPr>
      </w:pPr>
      <m:oMath>
        <m:r>
          <w:rPr>
            <w:rFonts w:ascii="Cambria Math" w:eastAsiaTheme="minorEastAsia" w:hAnsi="Cambria Math"/>
          </w:rPr>
          <m:t>p(θ)</m:t>
        </m:r>
      </m:oMath>
      <w:r>
        <w:rPr>
          <w:rFonts w:eastAsiaTheme="minorEastAsia"/>
        </w:rPr>
        <w:t xml:space="preserve"> the prior probability density describes the prior expectations of parameters</w:t>
      </w:r>
      <m:oMath>
        <m:r>
          <w:rPr>
            <w:rFonts w:ascii="Cambria Math" w:eastAsiaTheme="minorEastAsia" w:hAnsi="Cambria Math"/>
          </w:rPr>
          <m:t xml:space="preserve"> θ</m:t>
        </m:r>
      </m:oMath>
      <w:r>
        <w:rPr>
          <w:rFonts w:eastAsiaTheme="minorEastAsia"/>
        </w:rPr>
        <w:t>,</w:t>
      </w:r>
    </w:p>
    <w:p w:rsidR="009F501C" w:rsidRDefault="009F501C" w:rsidP="009F501C">
      <w:pPr>
        <w:rPr>
          <w:rFonts w:eastAsiaTheme="minorEastAsia"/>
        </w:rPr>
      </w:pPr>
      <m:oMath>
        <m:r>
          <w:rPr>
            <w:rFonts w:ascii="Cambria Math" w:eastAsiaTheme="minorEastAsia" w:hAnsi="Cambria Math"/>
          </w:rPr>
          <m:t>π(θ|X)</m:t>
        </m:r>
      </m:oMath>
      <w:r>
        <w:rPr>
          <w:rFonts w:eastAsiaTheme="minorEastAsia"/>
        </w:rPr>
        <w:t xml:space="preserve"> the posterior density of </w:t>
      </w:r>
      <m:oMath>
        <m:r>
          <w:rPr>
            <w:rFonts w:ascii="Cambria Math" w:eastAsiaTheme="minorEastAsia" w:hAnsi="Cambria Math"/>
          </w:rPr>
          <m:t>θ</m:t>
        </m:r>
      </m:oMath>
      <w:r>
        <w:rPr>
          <w:rFonts w:eastAsiaTheme="minorEastAsia"/>
        </w:rPr>
        <w:t xml:space="preserve"> given </w:t>
      </w:r>
      <m:oMath>
        <m:r>
          <w:rPr>
            <w:rFonts w:ascii="Cambria Math" w:hAnsi="Cambria Math"/>
          </w:rPr>
          <m:t>X</m:t>
        </m:r>
      </m:oMath>
      <w:r>
        <w:rPr>
          <w:rFonts w:eastAsiaTheme="minorEastAsia"/>
        </w:rPr>
        <w:t xml:space="preserve">  </w:t>
      </w:r>
    </w:p>
    <w:p w:rsidR="009F501C" w:rsidRDefault="009F501C" w:rsidP="009F501C">
      <w:pPr>
        <w:rPr>
          <w:rFonts w:eastAsiaTheme="minorEastAsia"/>
        </w:rPr>
      </w:pPr>
      <m:oMath>
        <m:r>
          <w:rPr>
            <w:rFonts w:ascii="Cambria Math" w:eastAsiaTheme="minorEastAsia" w:hAnsi="Cambria Math"/>
          </w:rPr>
          <m:t>l</m:t>
        </m:r>
        <m:d>
          <m:dPr>
            <m:ctrlPr>
              <w:rPr>
                <w:rFonts w:ascii="Cambria Math" w:eastAsiaTheme="minorEastAsia" w:hAnsi="Cambria Math"/>
                <w:i/>
              </w:rPr>
            </m:ctrlPr>
          </m:dPr>
          <m:e>
            <m:r>
              <w:rPr>
                <w:rFonts w:ascii="Cambria Math" w:eastAsiaTheme="minorEastAsia" w:hAnsi="Cambria Math"/>
              </w:rPr>
              <m:t>θ</m:t>
            </m:r>
          </m:e>
        </m:d>
      </m:oMath>
      <w:r>
        <w:rPr>
          <w:rFonts w:eastAsiaTheme="minorEastAsia"/>
        </w:rPr>
        <w:t xml:space="preserve"> the log-posterior density, </w:t>
      </w:r>
    </w:p>
    <w:p w:rsidR="009F501C" w:rsidRDefault="00E729BA" w:rsidP="009F501C">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f>
          <m:fPr>
            <m:type m:val="skw"/>
            <m:ctrlPr>
              <w:rPr>
                <w:rFonts w:ascii="Cambria Math" w:eastAsiaTheme="minorEastAsia" w:hAnsi="Cambria Math"/>
                <w:i/>
              </w:rPr>
            </m:ctrlPr>
          </m:fPr>
          <m:num>
            <m:r>
              <w:rPr>
                <w:rFonts w:ascii="Cambria Math" w:eastAsiaTheme="minorEastAsia" w:hAnsi="Cambria Math"/>
              </w:rPr>
              <m:t>δl(θ)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den>
        </m:f>
      </m:oMath>
      <w:r w:rsidR="009F501C">
        <w:rPr>
          <w:rFonts w:eastAsiaTheme="minorEastAsia"/>
        </w:rPr>
        <w:t xml:space="preserve">  the first partial derivatives of the log-posterior density function</w:t>
      </w:r>
    </w:p>
    <w:p w:rsidR="009F501C" w:rsidRDefault="009F501C" w:rsidP="009F501C">
      <w:pPr>
        <w:rPr>
          <w:rFonts w:eastAsiaTheme="minorEastAsia"/>
        </w:rPr>
      </w:pPr>
      <m:oMath>
        <m:r>
          <w:rPr>
            <w:rFonts w:ascii="Cambria Math" w:eastAsiaTheme="minorEastAsia" w:hAnsi="Cambria Math"/>
          </w:rPr>
          <m:t>j</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m:t>
        </m:r>
        <m:f>
          <m:fPr>
            <m:type m:val="skw"/>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den>
        </m:f>
      </m:oMath>
      <w:r>
        <w:rPr>
          <w:rFonts w:eastAsiaTheme="minorEastAsia"/>
        </w:rPr>
        <w:t xml:space="preserve"> the matrix of second order derivative of the log-posterior density function,</w:t>
      </w:r>
    </w:p>
    <w:p w:rsidR="009F501C" w:rsidRDefault="009F501C" w:rsidP="009F501C">
      <w:pPr>
        <w:rPr>
          <w:rFonts w:eastAsiaTheme="minorEastAsia"/>
        </w:rPr>
      </w:pPr>
      <m:oMath>
        <m:r>
          <w:rPr>
            <w:rFonts w:ascii="Cambria Math" w:eastAsiaTheme="minorEastAsia" w:hAnsi="Cambria Math"/>
          </w:rPr>
          <m:t>J=j</m:t>
        </m:r>
        <m:d>
          <m:dPr>
            <m:ctrlPr>
              <w:rPr>
                <w:rFonts w:ascii="Cambria Math" w:eastAsiaTheme="minorEastAsia" w:hAnsi="Cambria Math"/>
                <w:i/>
              </w:rPr>
            </m:ctrlPr>
          </m:dPr>
          <m:e>
            <m:acc>
              <m:accPr>
                <m:ctrlPr>
                  <w:rPr>
                    <w:rFonts w:ascii="Cambria Math" w:eastAsiaTheme="minorEastAsia" w:hAnsi="Cambria Math"/>
                    <w:i/>
                  </w:rPr>
                </m:ctrlPr>
              </m:accPr>
              <m:e>
                <m:r>
                  <w:rPr>
                    <w:rFonts w:ascii="Cambria Math" w:eastAsiaTheme="minorEastAsia" w:hAnsi="Cambria Math"/>
                  </w:rPr>
                  <m:t>θ</m:t>
                </m:r>
              </m:e>
            </m:acc>
          </m:e>
        </m:d>
      </m:oMath>
      <w:r>
        <w:rPr>
          <w:rFonts w:eastAsiaTheme="minorEastAsia"/>
        </w:rPr>
        <w:t xml:space="preserve"> the matrix for second order derivatives for the maximum likelihood estimate </w:t>
      </w:r>
      <m:oMath>
        <m:acc>
          <m:accPr>
            <m:ctrlPr>
              <w:rPr>
                <w:rFonts w:ascii="Cambria Math" w:eastAsiaTheme="minorEastAsia" w:hAnsi="Cambria Math"/>
                <w:i/>
              </w:rPr>
            </m:ctrlPr>
          </m:accPr>
          <m:e>
            <m:r>
              <w:rPr>
                <w:rFonts w:ascii="Cambria Math" w:eastAsiaTheme="minorEastAsia" w:hAnsi="Cambria Math"/>
              </w:rPr>
              <m:t>θ</m:t>
            </m:r>
          </m:e>
        </m:acc>
      </m:oMath>
      <w:r>
        <w:rPr>
          <w:rFonts w:eastAsiaTheme="minorEastAsia"/>
        </w:rPr>
        <w:t>.</w:t>
      </w:r>
    </w:p>
    <w:p w:rsidR="009F501C" w:rsidRDefault="009F501C" w:rsidP="009F501C">
      <w:pPr>
        <w:rPr>
          <w:rFonts w:eastAsiaTheme="minorEastAsia"/>
        </w:rPr>
      </w:pPr>
      <w:r>
        <w:rPr>
          <w:rFonts w:eastAsiaTheme="minorEastAsia"/>
        </w:rPr>
        <w:t xml:space="preserve">The approximation includes a number of calculations on partitions of the parameters. </w:t>
      </w:r>
    </w:p>
    <w:p w:rsidR="009F501C" w:rsidRDefault="00E729BA" w:rsidP="009F501C">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e>
        </m:d>
      </m:oMath>
      <w:r w:rsidR="009F501C">
        <w:rPr>
          <w:rFonts w:eastAsiaTheme="minorEastAsia"/>
        </w:rPr>
        <w:t xml:space="preserve"> a vector of the first </w:t>
      </w:r>
      <m:oMath>
        <m:r>
          <w:rPr>
            <w:rFonts w:ascii="Cambria Math" w:eastAsiaTheme="minorEastAsia" w:hAnsi="Cambria Math"/>
          </w:rPr>
          <m:t>i</m:t>
        </m:r>
      </m:oMath>
      <w:r w:rsidR="009F501C">
        <w:rPr>
          <w:rFonts w:eastAsiaTheme="minorEastAsia"/>
        </w:rPr>
        <w:t xml:space="preserve"> components of </w:t>
      </w:r>
      <m:oMath>
        <m:r>
          <w:rPr>
            <w:rFonts w:ascii="Cambria Math" w:eastAsiaTheme="minorEastAsia" w:hAnsi="Cambria Math"/>
          </w:rPr>
          <m:t>θ</m:t>
        </m:r>
      </m:oMath>
      <w:r w:rsidR="009F501C">
        <w:rPr>
          <w:rFonts w:eastAsiaTheme="minorEastAsia"/>
        </w:rPr>
        <w:t>,</w:t>
      </w:r>
    </w:p>
    <w:p w:rsidR="009F501C" w:rsidRDefault="00E729BA" w:rsidP="009F501C">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r>
          <w:rPr>
            <w:rFonts w:ascii="Cambria Math" w:eastAsiaTheme="minorEastAsia" w:hAnsi="Cambria Math"/>
          </w:rPr>
          <m:t>=</m:t>
        </m:r>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d</m:t>
                </m:r>
              </m:sup>
            </m:sSup>
          </m:e>
        </m:d>
      </m:oMath>
      <w:r w:rsidR="009F501C">
        <w:rPr>
          <w:rFonts w:eastAsiaTheme="minorEastAsia"/>
        </w:rPr>
        <w:t xml:space="preserve"> a vectors of the remaining components of </w:t>
      </w:r>
      <m:oMath>
        <m:r>
          <w:rPr>
            <w:rFonts w:ascii="Cambria Math" w:eastAsiaTheme="minorEastAsia" w:hAnsi="Cambria Math"/>
          </w:rPr>
          <m:t>θ</m:t>
        </m:r>
      </m:oMath>
      <w:r w:rsidR="009F501C">
        <w:rPr>
          <w:rFonts w:eastAsiaTheme="minorEastAsia"/>
        </w:rPr>
        <w:t xml:space="preserve"> from </w:t>
      </w:r>
      <m:oMath>
        <m:r>
          <w:rPr>
            <w:rFonts w:ascii="Cambria Math" w:eastAsiaTheme="minorEastAsia" w:hAnsi="Cambria Math"/>
          </w:rPr>
          <m:t>i+1</m:t>
        </m:r>
      </m:oMath>
      <w:r w:rsidR="009F501C">
        <w:rPr>
          <w:rFonts w:eastAsiaTheme="minorEastAsia"/>
        </w:rPr>
        <w:t xml:space="preserve"> to </w:t>
      </w:r>
      <m:oMath>
        <m:r>
          <w:rPr>
            <w:rFonts w:ascii="Cambria Math" w:eastAsiaTheme="minorEastAsia" w:hAnsi="Cambria Math"/>
          </w:rPr>
          <m:t>d</m:t>
        </m:r>
      </m:oMath>
      <w:r w:rsidR="009F501C">
        <w:rPr>
          <w:rFonts w:eastAsiaTheme="minorEastAsia"/>
        </w:rPr>
        <w:t>.</w:t>
      </w:r>
    </w:p>
    <w:p w:rsidR="009F501C" w:rsidRDefault="009F501C" w:rsidP="009F501C">
      <w:pPr>
        <w:rPr>
          <w:rFonts w:eastAsiaTheme="minorEastAsia"/>
        </w:rPr>
      </w:pPr>
      <w:r>
        <w:rPr>
          <w:rFonts w:eastAsiaTheme="minorEastAsia"/>
        </w:rPr>
        <w:t xml:space="preserve">The approximation method includes a step that defines the maximum likelihood estimators for a partition of the parameters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oMath>
      <w:r>
        <w:rPr>
          <w:rFonts w:eastAsiaTheme="minorEastAsia"/>
        </w:rPr>
        <w:t xml:space="preserve"> conditional on a fixed set of remaining parameter. Such that, </w:t>
      </w:r>
    </w:p>
    <w:p w:rsidR="009F501C" w:rsidRDefault="00E729BA" w:rsidP="009F501C">
      <w:pPr>
        <w:rPr>
          <w:rFonts w:eastAsiaTheme="minorEastAsia"/>
        </w:rPr>
      </w:pPr>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θ</m:t>
                </m:r>
              </m:e>
            </m:acc>
          </m:e>
          <m:sup>
            <m:r>
              <w:rPr>
                <w:rFonts w:ascii="Cambria Math" w:eastAsiaTheme="minorEastAsia" w:hAnsi="Cambria Math"/>
              </w:rPr>
              <m:t>i</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i-1</m:t>
            </m:r>
          </m:sub>
        </m:sSub>
        <m:r>
          <w:rPr>
            <w:rFonts w:ascii="Cambria Math" w:eastAsiaTheme="minorEastAsia" w:hAnsi="Cambria Math"/>
          </w:rPr>
          <m:t>)</m:t>
        </m:r>
      </m:oMath>
      <w:r w:rsidR="009F501C">
        <w:rPr>
          <w:rFonts w:eastAsiaTheme="minorEastAsia"/>
        </w:rPr>
        <w:t xml:space="preserve">  the maximum likelihood estimate of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oMath>
      <w:r w:rsidR="009F501C">
        <w:rPr>
          <w:rFonts w:eastAsiaTheme="minorEastAsia"/>
        </w:rPr>
        <w:t xml:space="preserve"> conditional on the first parameters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(i-1)</m:t>
            </m:r>
          </m:sub>
        </m:sSub>
      </m:oMath>
      <w:r w:rsidR="009F501C">
        <w:rPr>
          <w:rFonts w:eastAsiaTheme="minorEastAsia"/>
        </w:rPr>
        <w:t>.</w:t>
      </w:r>
    </w:p>
    <w:p w:rsidR="009F501C" w:rsidRDefault="009F501C" w:rsidP="009F501C">
      <w:pPr>
        <w:rPr>
          <w:rFonts w:eastAsiaTheme="minorEastAsia"/>
        </w:rPr>
      </w:pPr>
      <w:r>
        <w:rPr>
          <w:rFonts w:eastAsiaTheme="minorEastAsia"/>
        </w:rPr>
        <w:t xml:space="preserve">For any function </w:t>
      </w:r>
      <m:oMath>
        <m:r>
          <w:rPr>
            <w:rFonts w:ascii="Cambria Math" w:eastAsiaTheme="minorEastAsia" w:hAnsi="Cambria Math"/>
          </w:rPr>
          <m:t>g(θ)</m:t>
        </m:r>
      </m:oMath>
      <w:r>
        <w:rPr>
          <w:rFonts w:eastAsiaTheme="minorEastAsia"/>
        </w:rPr>
        <w:t xml:space="preserve">, when </w:t>
      </w:r>
      <m:oMath>
        <m:r>
          <w:rPr>
            <w:rFonts w:ascii="Cambria Math" w:eastAsiaTheme="minorEastAsia" w:hAnsi="Cambria Math"/>
          </w:rPr>
          <m:t>i&lt;d</m:t>
        </m:r>
      </m:oMath>
      <w:r>
        <w:rPr>
          <w:rFonts w:eastAsiaTheme="minorEastAsia"/>
        </w:rPr>
        <w:t xml:space="preserve"> we use the short-hand </w:t>
      </w: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r>
          <w:rPr>
            <w:rFonts w:ascii="Cambria Math" w:eastAsiaTheme="minorEastAsia" w:hAnsi="Cambria Math"/>
          </w:rPr>
          <m:t>(θ)</m:t>
        </m:r>
      </m:oMath>
      <w:r>
        <w:rPr>
          <w:rFonts w:eastAsiaTheme="minorEastAsia"/>
        </w:rPr>
        <w:t xml:space="preserve"> to denote </w:t>
      </w:r>
      <m:oMath>
        <m:r>
          <w:rPr>
            <w:rFonts w:ascii="Cambria Math" w:eastAsiaTheme="minorEastAsia" w:hAnsi="Cambria Math"/>
          </w:rPr>
          <m:t>g(</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θ</m:t>
                </m:r>
              </m:e>
            </m:acc>
          </m:e>
          <m:sup>
            <m:d>
              <m:dPr>
                <m:ctrlPr>
                  <w:rPr>
                    <w:rFonts w:ascii="Cambria Math" w:eastAsiaTheme="minorEastAsia" w:hAnsi="Cambria Math"/>
                    <w:i/>
                  </w:rPr>
                </m:ctrlPr>
              </m:dPr>
              <m:e>
                <m:r>
                  <w:rPr>
                    <w:rFonts w:ascii="Cambria Math" w:eastAsiaTheme="minorEastAsia" w:hAnsi="Cambria Math"/>
                  </w:rPr>
                  <m:t>i+1</m:t>
                </m:r>
              </m:e>
            </m:d>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which describe the function at the parameter values </w:t>
      </w:r>
      <m:oMath>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oMath>
      <w:r>
        <w:rPr>
          <w:rFonts w:eastAsiaTheme="minorEastAsia"/>
        </w:rPr>
        <w:t xml:space="preserve"> from 1 to i and </w:t>
      </w:r>
      <m:oMath>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θ</m:t>
                </m:r>
              </m:e>
            </m:acc>
          </m:e>
          <m:sup>
            <m:d>
              <m:dPr>
                <m:ctrlPr>
                  <w:rPr>
                    <w:rFonts w:ascii="Cambria Math" w:eastAsiaTheme="minorEastAsia" w:hAnsi="Cambria Math"/>
                    <w:i/>
                  </w:rPr>
                </m:ctrlPr>
              </m:dPr>
              <m:e>
                <m:r>
                  <w:rPr>
                    <w:rFonts w:ascii="Cambria Math" w:eastAsiaTheme="minorEastAsia" w:hAnsi="Cambria Math"/>
                  </w:rPr>
                  <m:t>i+1</m:t>
                </m:r>
              </m:e>
            </m:d>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θ</m:t>
            </m:r>
          </m:e>
          <m:sub>
            <m:r>
              <w:rPr>
                <w:rFonts w:ascii="Cambria Math" w:eastAsiaTheme="minorEastAsia" w:hAnsi="Cambria Math"/>
              </w:rPr>
              <m:t>i</m:t>
            </m:r>
          </m:sub>
        </m:sSub>
        <m:r>
          <w:rPr>
            <w:rFonts w:ascii="Cambria Math" w:eastAsiaTheme="minorEastAsia" w:hAnsi="Cambria Math"/>
          </w:rPr>
          <m:t>)</m:t>
        </m:r>
      </m:oMath>
      <w:r>
        <w:rPr>
          <w:rFonts w:eastAsiaTheme="minorEastAsia"/>
        </w:rPr>
        <w:t xml:space="preserve"> for values </w:t>
      </w:r>
      <w:r w:rsidRPr="00EA28DA">
        <w:rPr>
          <w:rFonts w:eastAsiaTheme="minorEastAsia"/>
        </w:rPr>
        <w:t>(</w:t>
      </w:r>
      <w:r w:rsidRPr="00EA28DA">
        <w:rPr>
          <w:rFonts w:eastAsiaTheme="minorEastAsia"/>
          <w:i/>
        </w:rPr>
        <w:t>i</w:t>
      </w:r>
      <w:r w:rsidRPr="00EA28DA">
        <w:rPr>
          <w:rFonts w:eastAsiaTheme="minorEastAsia"/>
        </w:rPr>
        <w:t>+1)</w:t>
      </w:r>
      <w:r>
        <w:rPr>
          <w:rFonts w:eastAsiaTheme="minorEastAsia"/>
        </w:rPr>
        <w:t xml:space="preserve"> to </w:t>
      </w:r>
      <w:r w:rsidRPr="00EA28DA">
        <w:rPr>
          <w:rFonts w:eastAsiaTheme="minorEastAsia"/>
          <w:i/>
        </w:rPr>
        <w:t>d</w:t>
      </w:r>
      <w:r>
        <w:rPr>
          <w:rFonts w:eastAsiaTheme="minorEastAsia"/>
        </w:rPr>
        <w:t xml:space="preserve">. </w:t>
      </w:r>
    </w:p>
    <w:p w:rsidR="009F501C" w:rsidRPr="00B251AE" w:rsidRDefault="009F501C" w:rsidP="009F501C">
      <w:pPr>
        <w:pStyle w:val="Heading4"/>
      </w:pPr>
      <w:r>
        <w:t>Brennan and Karroubi Method</w:t>
      </w:r>
    </w:p>
    <w:p w:rsidR="009F501C" w:rsidRDefault="009F501C" w:rsidP="009F501C">
      <w:r>
        <w:t xml:space="preserve">Brennan and Karroubi (2007) introduce their method based on the asymptotic theory of signed-root log-density ratio transformation described in Sweeting and Karroubi (2003) </w:t>
      </w:r>
      <w:r w:rsidR="00E729BA">
        <w:fldChar w:fldCharType="begin"/>
      </w:r>
      <w:r w:rsidR="00FC61FD">
        <w:instrText xml:space="preserve"> ADDIN REFMGR.CITE &lt;Refman&gt;&lt;Cite&gt;&lt;Author&gt;Sweeting&lt;/Author&gt;&lt;Year&gt;2003&lt;/Year&gt;&lt;RecNum&gt;1632&lt;/RecNum&gt;&lt;IDText&gt;Some new formulae for posterior expectations and bartlett corrections&lt;/IDText&gt;&lt;MDL Ref_Type="Journal"&gt;&lt;Ref_Type&gt;Journal&lt;/Ref_Type&gt;&lt;Ref_ID&gt;1632&lt;/Ref_ID&gt;&lt;Title_Primary&gt;Some new formulae for posterior expectations and bartlett corrections&lt;/Title_Primary&gt;&lt;Authors_Primary&gt;Sweeting,TJ&lt;/Authors_Primary&gt;&lt;Authors_Primary&gt;Karroubi SA&lt;/Authors_Primary&gt;&lt;Date_Primary&gt;2003&lt;/Date_Primary&gt;&lt;Reprint&gt;In File&lt;/Reprint&gt;&lt;Start_Page&gt;497&lt;/Start_Page&gt;&lt;End_Page&gt;521&lt;/End_Page&gt;&lt;Periodical&gt;Test&lt;/Periodical&gt;&lt;Volume&gt;12&lt;/Volume&gt;&lt;ZZ_JournalFull&gt;&lt;f name="System"&gt;Test&lt;/f&gt;&lt;/ZZ_JournalFull&gt;&lt;ZZ_WorkformID&gt;1&lt;/ZZ_WorkformID&gt;&lt;/MDL&gt;&lt;/Cite&gt;&lt;/Refman&gt;</w:instrText>
      </w:r>
      <w:r w:rsidR="00E729BA">
        <w:fldChar w:fldCharType="separate"/>
      </w:r>
      <w:r w:rsidR="00DF14BD">
        <w:t>(238)</w:t>
      </w:r>
      <w:r w:rsidR="00E729BA">
        <w:fldChar w:fldCharType="end"/>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
        <w:gridCol w:w="7092"/>
        <w:gridCol w:w="1119"/>
      </w:tblGrid>
      <w:tr w:rsidR="007568A9" w:rsidTr="000E0AEC">
        <w:trPr>
          <w:cantSplit/>
          <w:trHeight w:val="435"/>
        </w:trPr>
        <w:tc>
          <w:tcPr>
            <w:tcW w:w="534" w:type="dxa"/>
          </w:tcPr>
          <w:p w:rsidR="007568A9" w:rsidRDefault="007568A9" w:rsidP="007568A9"/>
        </w:tc>
        <w:tc>
          <w:tcPr>
            <w:tcW w:w="7512" w:type="dxa"/>
          </w:tcPr>
          <w:p w:rsidR="007568A9" w:rsidRPr="002367E4" w:rsidRDefault="00E729BA" w:rsidP="007568A9">
            <m:oMathPara>
              <m:oMath>
                <m:sSup>
                  <m:sSupPr>
                    <m:ctrlPr>
                      <w:rPr>
                        <w:rFonts w:ascii="Cambria Math" w:hAnsi="Cambria Math"/>
                        <w:i/>
                      </w:rPr>
                    </m:ctrlPr>
                  </m:sSupPr>
                  <m:e>
                    <m:r>
                      <w:rPr>
                        <w:rFonts w:ascii="Cambria Math" w:hAnsi="Cambria Math"/>
                      </w:rPr>
                      <m:t>r</m:t>
                    </m:r>
                  </m:e>
                  <m:sup>
                    <m:r>
                      <w:rPr>
                        <w:rFonts w:ascii="Cambria Math" w:hAnsi="Cambria Math"/>
                      </w:rPr>
                      <m:t>i</m:t>
                    </m:r>
                  </m:sup>
                </m:sSup>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e>
                </m:d>
                <m:r>
                  <w:rPr>
                    <w:rFonts w:ascii="Cambria Math" w:hAnsi="Cambria Math"/>
                  </w:rPr>
                  <m:t>=sign</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θ</m:t>
                        </m:r>
                      </m:e>
                      <m:sup>
                        <m:r>
                          <w:rPr>
                            <w:rFonts w:ascii="Cambria Math" w:hAnsi="Cambria Math"/>
                          </w:rPr>
                          <m:t>i</m:t>
                        </m:r>
                      </m:sup>
                    </m:sSup>
                    <m:r>
                      <w:rPr>
                        <w:rFonts w:ascii="Cambria Math" w:hAnsi="Cambria Math"/>
                      </w:rPr>
                      <m:t>-</m:t>
                    </m:r>
                    <m:sSup>
                      <m:sSupPr>
                        <m:ctrlPr>
                          <w:rPr>
                            <w:rFonts w:ascii="Cambria Math" w:hAnsi="Cambria Math"/>
                            <w:i/>
                          </w:rPr>
                        </m:ctrlPr>
                      </m:sSupPr>
                      <m:e>
                        <m:acc>
                          <m:accPr>
                            <m:ctrlPr>
                              <w:rPr>
                                <w:rFonts w:ascii="Cambria Math" w:hAnsi="Cambria Math"/>
                                <w:i/>
                              </w:rPr>
                            </m:ctrlPr>
                          </m:accPr>
                          <m:e>
                            <m:r>
                              <w:rPr>
                                <w:rFonts w:ascii="Cambria Math" w:hAnsi="Cambria Math"/>
                              </w:rPr>
                              <m:t>θ</m:t>
                            </m:r>
                          </m:e>
                        </m:acc>
                      </m:e>
                      <m:sup>
                        <m:r>
                          <w:rPr>
                            <w:rFonts w:ascii="Cambria Math" w:hAnsi="Cambria Math"/>
                          </w:rPr>
                          <m:t>i</m:t>
                        </m:r>
                      </m:sup>
                    </m:s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i-1</m:t>
                        </m:r>
                      </m:sub>
                    </m:sSub>
                    <m:r>
                      <w:rPr>
                        <w:rFonts w:ascii="Cambria Math" w:hAnsi="Cambria Math"/>
                      </w:rPr>
                      <m:t>)</m:t>
                    </m:r>
                  </m:e>
                </m:d>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m:t>
                        </m:r>
                        <m:d>
                          <m:dPr>
                            <m:begChr m:val="{"/>
                            <m:endChr m:val="}"/>
                            <m:ctrlPr>
                              <w:rPr>
                                <w:rFonts w:ascii="Cambria Math" w:hAnsi="Cambria Math"/>
                                <w:i/>
                              </w:rPr>
                            </m:ctrlPr>
                          </m:dPr>
                          <m:e>
                            <m:r>
                              <w:rPr>
                                <w:rFonts w:ascii="Cambria Math" w:hAnsi="Cambria Math"/>
                              </w:rPr>
                              <m:t>l</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i-1</m:t>
                                    </m:r>
                                  </m:sub>
                                </m:sSub>
                              </m:e>
                            </m:d>
                            <m:r>
                              <w:rPr>
                                <w:rFonts w:ascii="Cambria Math" w:hAnsi="Cambria Math"/>
                              </w:rPr>
                              <m:t>-l(</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e>
                        </m:d>
                      </m:e>
                    </m:d>
                  </m:e>
                  <m:sup>
                    <m:f>
                      <m:fPr>
                        <m:type m:val="skw"/>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    i=1,…,d</m:t>
                </m:r>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8B5B5E">
      <w:pPr>
        <w:rPr>
          <w:rFonts w:eastAsiaTheme="minorEastAsia"/>
        </w:rPr>
      </w:pPr>
      <w:r>
        <w:t xml:space="preserve">Brennan and Karroubi (2007) modify the method to </w:t>
      </w:r>
      <w:r w:rsidR="008B5B5E">
        <w:t>incorporate</w:t>
      </w:r>
      <w:r>
        <w:t xml:space="preserve"> the prior into the likelihood function to create the probability density. The method maximises the probability density in order to</w:t>
      </w:r>
      <w:r>
        <w:rPr>
          <w:rFonts w:eastAsiaTheme="minorEastAsia"/>
        </w:rPr>
        <w:t xml:space="preserve"> calculate the posterior expectation </w:t>
      </w:r>
      <w:r w:rsidR="00AA38E0">
        <w:rPr>
          <w:rFonts w:eastAsiaTheme="minorEastAsia"/>
        </w:rPr>
        <w:t>of a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7084"/>
        <w:gridCol w:w="1125"/>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04687B">
            <m:oMathPara>
              <m:oMath>
                <m:r>
                  <w:rPr>
                    <w:rFonts w:ascii="Cambria Math" w:hAnsi="Cambria Math"/>
                  </w:rPr>
                  <m:t>E</m:t>
                </m:r>
                <m:d>
                  <m:dPr>
                    <m:begChr m:val="{"/>
                    <m:endChr m:val="}"/>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θ</m:t>
                        </m:r>
                      </m:e>
                    </m:d>
                  </m:e>
                  <m:e>
                    <m:r>
                      <w:rPr>
                        <w:rFonts w:ascii="Cambria Math" w:hAnsi="Cambria Math"/>
                      </w:rPr>
                      <m:t>X</m:t>
                    </m:r>
                  </m:e>
                </m:d>
                <m:r>
                  <w:rPr>
                    <w:rFonts w:ascii="Cambria Math" w:hAnsi="Cambria Math"/>
                  </w:rPr>
                  <m:t>≅v</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d</m:t>
                    </m:r>
                  </m:sup>
                  <m:e>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m:t>
                        </m:r>
                      </m:sup>
                    </m:sSubSup>
                    <m:r>
                      <w:rPr>
                        <w:rFonts w:ascii="Cambria Math" w:hAnsi="Cambria Math"/>
                      </w:rPr>
                      <m:t>v</m:t>
                    </m:r>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m:t>
                            </m:r>
                          </m:sup>
                        </m:sSubSup>
                      </m:e>
                    </m:d>
                    <m:r>
                      <w:rPr>
                        <w:rFonts w:ascii="Cambria Math" w:hAnsi="Cambria Math"/>
                      </w:rPr>
                      <m:t>+</m:t>
                    </m:r>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m:t>
                        </m:r>
                      </m:sup>
                    </m:sSubSup>
                    <m:r>
                      <w:rPr>
                        <w:rFonts w:ascii="Cambria Math" w:hAnsi="Cambria Math"/>
                      </w:rPr>
                      <m:t>v</m:t>
                    </m:r>
                    <m:d>
                      <m:dPr>
                        <m:ctrlPr>
                          <w:rPr>
                            <w:rFonts w:ascii="Cambria Math" w:hAnsi="Cambria Math"/>
                            <w:i/>
                          </w:rPr>
                        </m:ctrlPr>
                      </m:dPr>
                      <m:e>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m:t>
                            </m:r>
                          </m:sup>
                        </m:sSubSup>
                      </m:e>
                    </m:d>
                    <m:r>
                      <w:rPr>
                        <w:rFonts w:ascii="Cambria Math" w:hAnsi="Cambria Math"/>
                      </w:rPr>
                      <m:t>-v</m:t>
                    </m:r>
                    <m:d>
                      <m:dPr>
                        <m:ctrlPr>
                          <w:rPr>
                            <w:rFonts w:ascii="Cambria Math" w:hAnsi="Cambria Math"/>
                            <w:i/>
                          </w:rPr>
                        </m:ctrlPr>
                      </m:dPr>
                      <m:e>
                        <m:acc>
                          <m:accPr>
                            <m:ctrlPr>
                              <w:rPr>
                                <w:rFonts w:ascii="Cambria Math" w:hAnsi="Cambria Math"/>
                                <w:i/>
                              </w:rPr>
                            </m:ctrlPr>
                          </m:accPr>
                          <m:e>
                            <m:r>
                              <w:rPr>
                                <w:rFonts w:ascii="Cambria Math" w:hAnsi="Cambria Math"/>
                              </w:rPr>
                              <m:t>θ</m:t>
                            </m:r>
                          </m:e>
                        </m:acc>
                      </m:e>
                    </m:d>
                    <m:r>
                      <w:rPr>
                        <w:rFonts w:ascii="Cambria Math" w:hAnsi="Cambria Math"/>
                      </w:rPr>
                      <m:t>)</m:t>
                    </m:r>
                  </m:e>
                </m:nary>
              </m:oMath>
            </m:oMathPara>
          </w:p>
        </w:tc>
        <w:tc>
          <w:tcPr>
            <w:tcW w:w="1196" w:type="dxa"/>
          </w:tcPr>
          <w:p w:rsidR="007568A9" w:rsidRDefault="007568A9" w:rsidP="00597CF5">
            <w:pPr>
              <w:pStyle w:val="ListParagraph"/>
              <w:numPr>
                <w:ilvl w:val="1"/>
                <w:numId w:val="30"/>
              </w:numPr>
              <w:bidi/>
              <w:ind w:right="220"/>
              <w:jc w:val="right"/>
            </w:pPr>
          </w:p>
        </w:tc>
      </w:tr>
    </w:tbl>
    <w:p w:rsidR="009F501C" w:rsidRPr="008352EE" w:rsidRDefault="009F501C" w:rsidP="00F331D3">
      <w:pPr>
        <w:rPr>
          <w:rFonts w:eastAsiaTheme="minorEastAsia"/>
        </w:rPr>
      </w:pPr>
      <w:r>
        <w:t xml:space="preserve">The first term of the equation </w:t>
      </w:r>
      <m:oMath>
        <m:r>
          <w:rPr>
            <w:rFonts w:ascii="Cambria Math" w:hAnsi="Cambria Math"/>
          </w:rPr>
          <m:t>v(</m:t>
        </m:r>
        <m:acc>
          <m:accPr>
            <m:ctrlPr>
              <w:rPr>
                <w:rFonts w:ascii="Cambria Math" w:hAnsi="Cambria Math"/>
                <w:i/>
              </w:rPr>
            </m:ctrlPr>
          </m:accPr>
          <m:e>
            <m:r>
              <w:rPr>
                <w:rFonts w:ascii="Cambria Math" w:hAnsi="Cambria Math"/>
              </w:rPr>
              <m:t>θ</m:t>
            </m:r>
          </m:e>
        </m:acc>
        <m:r>
          <w:rPr>
            <w:rFonts w:ascii="Cambria Math" w:hAnsi="Cambria Math"/>
          </w:rPr>
          <m:t>)</m:t>
        </m:r>
      </m:oMath>
      <w:r>
        <w:rPr>
          <w:rFonts w:eastAsiaTheme="minorEastAsia"/>
        </w:rPr>
        <w:t xml:space="preserve"> expresses the </w:t>
      </w:r>
      <w:r w:rsidR="001A1797">
        <w:rPr>
          <w:rFonts w:eastAsiaTheme="minorEastAsia"/>
        </w:rPr>
        <w:t>CE</w:t>
      </w:r>
      <w:r>
        <w:rPr>
          <w:rFonts w:eastAsiaTheme="minorEastAsia"/>
        </w:rPr>
        <w:t xml:space="preserve"> model</w:t>
      </w:r>
      <w:r w:rsidR="00AA38E0">
        <w:rPr>
          <w:rFonts w:eastAsiaTheme="minorEastAsia"/>
        </w:rPr>
        <w:t xml:space="preserve"> outcome</w:t>
      </w:r>
      <w:r w:rsidR="008B5B5E">
        <w:rPr>
          <w:rFonts w:eastAsiaTheme="minorEastAsia"/>
        </w:rPr>
        <w:t xml:space="preserve"> estimated at the posterior mode</w:t>
      </w:r>
      <w:r w:rsidR="00F331D3">
        <w:rPr>
          <w:rFonts w:eastAsiaTheme="minorEastAsia"/>
        </w:rPr>
        <w:t>,</w:t>
      </w:r>
      <m:oMath>
        <m:r>
          <w:rPr>
            <w:rFonts w:ascii="Cambria Math" w:eastAsiaTheme="minorEastAsia" w:hAnsi="Cambria Math"/>
          </w:rPr>
          <m:t xml:space="preserve"> </m:t>
        </m:r>
        <m:acc>
          <m:accPr>
            <m:ctrlPr>
              <w:rPr>
                <w:rFonts w:ascii="Cambria Math" w:hAnsi="Cambria Math"/>
                <w:i/>
              </w:rPr>
            </m:ctrlPr>
          </m:accPr>
          <m:e>
            <m:r>
              <w:rPr>
                <w:rFonts w:ascii="Cambria Math" w:hAnsi="Cambria Math"/>
              </w:rPr>
              <m:t>θ</m:t>
            </m:r>
          </m:e>
        </m:acc>
      </m:oMath>
      <w:r>
        <w:rPr>
          <w:rFonts w:eastAsiaTheme="minorEastAsia"/>
        </w:rPr>
        <w:t xml:space="preserve">. The second term describes a correction term based on </w:t>
      </w:r>
      <w:r w:rsidRPr="00D849F7">
        <w:rPr>
          <w:rFonts w:eastAsiaTheme="minorEastAsia"/>
          <w:i/>
        </w:rPr>
        <w:t>d</w:t>
      </w:r>
      <w:r>
        <w:rPr>
          <w:rFonts w:eastAsiaTheme="minorEastAsia"/>
        </w:rPr>
        <w:t xml:space="preserve"> summations, each of which evaluates the function </w:t>
      </w:r>
      <m:oMath>
        <m:r>
          <w:rPr>
            <w:rFonts w:ascii="Cambria Math" w:hAnsi="Cambria Math"/>
          </w:rPr>
          <m:t>v(θ)</m:t>
        </m:r>
      </m:oMath>
      <w:r>
        <w:rPr>
          <w:rFonts w:eastAsiaTheme="minorEastAsia"/>
        </w:rPr>
        <w:t xml:space="preserve"> with </w:t>
      </w:r>
      <w:r w:rsidR="0004687B">
        <w:rPr>
          <w:rFonts w:eastAsiaTheme="minorEastAsia"/>
        </w:rPr>
        <w:t>2</w:t>
      </w:r>
      <w:r w:rsidR="0004687B" w:rsidRPr="0004687B">
        <w:rPr>
          <w:rFonts w:eastAsiaTheme="minorEastAsia"/>
          <w:i/>
          <w:iCs/>
        </w:rPr>
        <w:t>d</w:t>
      </w:r>
      <w:r w:rsidR="0004687B">
        <w:rPr>
          <w:rFonts w:eastAsiaTheme="minorEastAsia"/>
        </w:rPr>
        <w:t>+1</w:t>
      </w:r>
      <w:r>
        <w:rPr>
          <w:rFonts w:eastAsiaTheme="minorEastAsia"/>
        </w:rPr>
        <w:t xml:space="preserve"> specifications of the CE model parameter inputs </w:t>
      </w:r>
      <m:oMath>
        <m:r>
          <w:rPr>
            <w:rFonts w:ascii="Cambria Math" w:hAnsi="Cambria Math"/>
          </w:rPr>
          <m:t>θ</m:t>
        </m:r>
      </m:oMath>
      <w:r>
        <w:rPr>
          <w:rFonts w:eastAsiaTheme="minorEastAsia"/>
        </w:rPr>
        <w:t xml:space="preserve">,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r>
          <w:rPr>
            <w:rFonts w:ascii="Cambria Math" w:eastAsiaTheme="minorEastAsia" w:hAnsi="Cambria Math"/>
          </w:rPr>
          <m:t>,</m:t>
        </m:r>
        <m:acc>
          <m:accPr>
            <m:ctrlPr>
              <w:rPr>
                <w:rFonts w:ascii="Cambria Math" w:eastAsiaTheme="minorEastAsia" w:hAnsi="Cambria Math"/>
                <w:i/>
              </w:rPr>
            </m:ctrlPr>
          </m:accPr>
          <m:e>
            <m:r>
              <w:rPr>
                <w:rFonts w:ascii="Cambria Math" w:eastAsiaTheme="minorEastAsia" w:hAnsi="Cambria Math"/>
              </w:rPr>
              <m:t>θ</m:t>
            </m:r>
          </m:e>
        </m:acc>
        <m:r>
          <w:rPr>
            <w:rFonts w:ascii="Cambria Math" w:eastAsiaTheme="minorEastAsia" w:hAnsi="Cambria Math"/>
          </w:rPr>
          <m:t>)</m:t>
        </m:r>
      </m:oMath>
      <w:r>
        <w:rPr>
          <w:rFonts w:eastAsiaTheme="minorEastAsia"/>
        </w:rPr>
        <w:t xml:space="preserve">, where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Pr>
          <w:rFonts w:eastAsiaTheme="minorEastAsia"/>
        </w:rPr>
        <w:t xml:space="preserve">and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Pr>
          <w:rFonts w:eastAsiaTheme="minorEastAsia"/>
        </w:rPr>
        <w:t>are weighted</w:t>
      </w:r>
      <w:r w:rsidR="00AA38E0">
        <w:rPr>
          <w:rFonts w:eastAsiaTheme="minorEastAsia"/>
        </w:rPr>
        <w:t xml:space="preserve"> by</w:t>
      </w:r>
      <w:r>
        <w:rPr>
          <w:rFonts w:eastAsiaTheme="minorEastAsia"/>
        </w:rPr>
        <w:t xml:space="preserve">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m:t>
            </m:r>
          </m:sup>
        </m:sSubSup>
      </m:oMath>
      <w:r>
        <w:rPr>
          <w:rFonts w:eastAsiaTheme="minorEastAsia"/>
        </w:rPr>
        <w:t xml:space="preserve"> and </w:t>
      </w:r>
      <m:oMath>
        <m:sSubSup>
          <m:sSubSupPr>
            <m:ctrlPr>
              <w:rPr>
                <w:rFonts w:ascii="Cambria Math" w:hAnsi="Cambria Math"/>
                <w:i/>
              </w:rPr>
            </m:ctrlPr>
          </m:sSubSupPr>
          <m:e>
            <m:r>
              <w:rPr>
                <w:rFonts w:ascii="Cambria Math" w:hAnsi="Cambria Math"/>
              </w:rPr>
              <m:t>α</m:t>
            </m:r>
          </m:e>
          <m:sub>
            <m:r>
              <w:rPr>
                <w:rFonts w:ascii="Cambria Math" w:hAnsi="Cambria Math"/>
              </w:rPr>
              <m:t>i</m:t>
            </m:r>
          </m:sub>
          <m:sup>
            <m:r>
              <w:rPr>
                <w:rFonts w:ascii="Cambria Math" w:hAnsi="Cambria Math"/>
              </w:rPr>
              <m:t>+</m:t>
            </m:r>
          </m:sup>
        </m:sSubSup>
      </m:oMath>
      <w:r>
        <w:rPr>
          <w:rFonts w:eastAsiaTheme="minorEastAsia"/>
        </w:rPr>
        <w:t>.</w:t>
      </w:r>
    </w:p>
    <w:p w:rsidR="009F501C" w:rsidRDefault="00F331D3" w:rsidP="0004687B">
      <w:pPr>
        <w:rPr>
          <w:rFonts w:eastAsiaTheme="minorEastAsia"/>
        </w:rPr>
      </w:pPr>
      <w:r>
        <w:rPr>
          <w:rFonts w:eastAsiaTheme="minorEastAsia"/>
        </w:rPr>
        <w:t>A</w:t>
      </w:r>
      <w:r w:rsidR="009F501C">
        <w:rPr>
          <w:rFonts w:eastAsiaTheme="minorEastAsia"/>
        </w:rPr>
        <w:t xml:space="preserve"> maximum likelihood procedure</w:t>
      </w:r>
      <w:r>
        <w:rPr>
          <w:rFonts w:eastAsiaTheme="minorEastAsia"/>
        </w:rPr>
        <w:t xml:space="preserve"> is used</w:t>
      </w:r>
      <w:r w:rsidR="009F501C">
        <w:rPr>
          <w:rFonts w:eastAsiaTheme="minorEastAsia"/>
        </w:rPr>
        <w:t xml:space="preserve"> to identify the posterior mode, or the values of </w:t>
      </w: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d</m:t>
            </m:r>
          </m:sup>
        </m:sSup>
        <m:r>
          <w:rPr>
            <w:rFonts w:ascii="Cambria Math" w:eastAsiaTheme="minorEastAsia" w:hAnsi="Cambria Math"/>
          </w:rPr>
          <m:t>)</m:t>
        </m:r>
      </m:oMath>
      <w:r w:rsidR="009F501C">
        <w:rPr>
          <w:rFonts w:eastAsiaTheme="minorEastAsia"/>
        </w:rPr>
        <w:t xml:space="preserve"> that maximise the posterior density function given the data </w:t>
      </w:r>
      <w:r w:rsidR="009F501C" w:rsidRPr="006D7ADC">
        <w:rPr>
          <w:rFonts w:eastAsiaTheme="minorEastAsia"/>
          <w:i/>
        </w:rPr>
        <w:t>X</w:t>
      </w:r>
      <w:r w:rsidR="009F501C">
        <w:rPr>
          <w:rFonts w:eastAsiaTheme="minorEastAsia"/>
        </w:rPr>
        <w:t xml:space="preserve">. Brennan and Karroubi (2007) use the Newton-Raphson technique to </w:t>
      </w:r>
      <w:r w:rsidR="0004687B">
        <w:rPr>
          <w:rFonts w:eastAsiaTheme="minorEastAsia"/>
        </w:rPr>
        <w:t xml:space="preserve">estimate the minimum of </w:t>
      </w:r>
      <w:r w:rsidR="009F501C">
        <w:rPr>
          <w:rFonts w:eastAsiaTheme="minorEastAsia"/>
        </w:rPr>
        <w:t xml:space="preserve"> the negative log posterior density function, which is performed</w:t>
      </w:r>
      <w:r w:rsidR="0004687B">
        <w:rPr>
          <w:rFonts w:eastAsiaTheme="minorEastAsia"/>
        </w:rPr>
        <w:t xml:space="preserve"> as an algorithm in a package from</w:t>
      </w:r>
      <w:r w:rsidR="009F501C">
        <w:rPr>
          <w:rFonts w:eastAsiaTheme="minorEastAsia"/>
        </w:rPr>
        <w:t xml:space="preserve"> R </w:t>
      </w:r>
      <w:r w:rsidR="00E729BA">
        <w:rPr>
          <w:rFonts w:eastAsiaTheme="minorEastAsia"/>
        </w:rPr>
        <w:fldChar w:fldCharType="begin"/>
      </w:r>
      <w:r w:rsidR="00FC61FD">
        <w:rPr>
          <w:rFonts w:eastAsiaTheme="minorEastAsia"/>
        </w:rPr>
        <w:instrText xml:space="preserve"> ADDIN REFMGR.CITE &lt;Refman&gt;&lt;Cite&gt;&lt;Author&gt;R Core Team&lt;/Author&gt;&lt;Year&gt;2012&lt;/Year&gt;&lt;RecNum&gt;1617&lt;/RecNum&gt;&lt;IDText&gt;R: A Language and Environment for Statistical Computing&lt;/IDText&gt;&lt;MDL Ref_Type="Computer Program"&gt;&lt;Ref_Type&gt;Computer Program&lt;/Ref_Type&gt;&lt;Ref_ID&gt;1617&lt;/Ref_ID&gt;&lt;Title_Primary&gt;R: A Language and Environment for Statistical Computing&lt;/Title_Primary&gt;&lt;Authors_Primary&gt;R Core Team&lt;/Authors_Primary&gt;&lt;Date_Primary&gt;2012&lt;/Date_Primary&gt;&lt;Keywords&gt;Environment&lt;/Keywords&gt;&lt;Reprint&gt;In File&lt;/Reprint&gt;&lt;Pub_Place&gt;Vienna, Austria&lt;/Pub_Place&gt;&lt;Publisher&gt;R Foundation for Statistical Computing&lt;/Publisher&gt;&lt;Web_URL&gt;&lt;u&gt;http://www.R-project.org&lt;/u&gt;&lt;/Web_URL&gt;&lt;ZZ_WorkformID&gt;11&lt;/ZZ_WorkformID&gt;&lt;/MDL&gt;&lt;/Cite&gt;&lt;/Refman&gt;</w:instrText>
      </w:r>
      <w:r w:rsidR="00E729BA">
        <w:rPr>
          <w:rFonts w:eastAsiaTheme="minorEastAsia"/>
        </w:rPr>
        <w:fldChar w:fldCharType="separate"/>
      </w:r>
      <w:r w:rsidR="0081424E">
        <w:rPr>
          <w:rFonts w:eastAsiaTheme="minorEastAsia"/>
        </w:rPr>
        <w:t>(220)</w:t>
      </w:r>
      <w:r w:rsidR="00E729BA">
        <w:rPr>
          <w:rFonts w:eastAsiaTheme="minorEastAsia"/>
        </w:rPr>
        <w:fldChar w:fldCharType="end"/>
      </w:r>
      <w:r w:rsidR="009F501C">
        <w:rPr>
          <w:rFonts w:eastAsiaTheme="minorEastAsia"/>
        </w:rPr>
        <w:t>.</w:t>
      </w:r>
    </w:p>
    <w:p w:rsidR="009F501C" w:rsidRDefault="00E729BA" w:rsidP="009F501C">
      <w:pPr>
        <w:rPr>
          <w:rFonts w:eastAsiaTheme="minorEastAsia"/>
        </w:rPr>
      </w:pP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9F501C">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9F501C">
        <w:rPr>
          <w:rFonts w:eastAsiaTheme="minorEastAsia"/>
        </w:rPr>
        <w:t xml:space="preserve"> are (</w:t>
      </w:r>
      <m:oMath>
        <m:r>
          <w:rPr>
            <w:rFonts w:ascii="Cambria Math" w:eastAsiaTheme="minorEastAsia" w:hAnsi="Cambria Math"/>
          </w:rPr>
          <m:t>d</m:t>
        </m:r>
      </m:oMath>
      <w:r w:rsidR="009F501C">
        <w:rPr>
          <w:rFonts w:eastAsiaTheme="minorEastAsia"/>
        </w:rPr>
        <w:t>x</w:t>
      </w:r>
      <m:oMath>
        <m:r>
          <w:rPr>
            <w:rFonts w:ascii="Cambria Math" w:eastAsiaTheme="minorEastAsia" w:hAnsi="Cambria Math"/>
          </w:rPr>
          <m:t xml:space="preserve"> d</m:t>
        </m:r>
      </m:oMath>
      <w:r w:rsidR="009F501C">
        <w:rPr>
          <w:rFonts w:eastAsiaTheme="minorEastAsia"/>
        </w:rPr>
        <w:t xml:space="preserve">) matrices with each row of the matrix containing a vector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sidR="009F501C">
        <w:rPr>
          <w:rFonts w:eastAsiaTheme="minorEastAsia"/>
        </w:rPr>
        <w:t xml:space="preserve"> or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sidR="009F501C">
        <w:rPr>
          <w:rFonts w:eastAsiaTheme="minorEastAsia"/>
        </w:rPr>
        <w:t xml:space="preserve"> with values for each of the parameters of the </w:t>
      </w:r>
      <w:r w:rsidR="001A1797">
        <w:rPr>
          <w:rFonts w:eastAsiaTheme="minorEastAsia"/>
        </w:rPr>
        <w:t xml:space="preserve">CE </w:t>
      </w:r>
      <w:r w:rsidR="009F501C">
        <w:rPr>
          <w:rFonts w:eastAsiaTheme="minorEastAsia"/>
        </w:rPr>
        <w:t xml:space="preserve">model. The matrix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9F501C">
        <w:rPr>
          <w:rFonts w:eastAsiaTheme="minorEastAsia"/>
        </w:rPr>
        <w:t xml:space="preserve">  follows the structure illustrated below, and the matrix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9F501C">
        <w:rPr>
          <w:rFonts w:eastAsiaTheme="minorEastAsia"/>
        </w:rPr>
        <w:t xml:space="preserve"> follows an identical structure with a different specification for the diagonal.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62"/>
        <w:gridCol w:w="758"/>
      </w:tblGrid>
      <w:tr w:rsidR="007568A9" w:rsidTr="000E0AEC">
        <w:trPr>
          <w:cantSplit/>
          <w:trHeight w:val="435"/>
        </w:trPr>
        <w:tc>
          <w:tcPr>
            <w:tcW w:w="8188" w:type="dxa"/>
          </w:tcPr>
          <w:p w:rsidR="007568A9" w:rsidRPr="00073A10" w:rsidRDefault="00E729BA" w:rsidP="007568A9">
            <w:pPr>
              <w:rPr>
                <w:sz w:val="20"/>
              </w:rPr>
            </w:pPr>
            <m:oMathPara>
              <m:oMath>
                <m:d>
                  <m:dPr>
                    <m:ctrlPr>
                      <w:rPr>
                        <w:rFonts w:ascii="Cambria Math" w:eastAsiaTheme="minorEastAsia" w:hAnsi="Cambria Math"/>
                        <w:i/>
                        <w:sz w:val="20"/>
                      </w:rPr>
                    </m:ctrlPr>
                  </m:dPr>
                  <m:e>
                    <m:m>
                      <m:mPr>
                        <m:mcs>
                          <m:mc>
                            <m:mcPr>
                              <m:count m:val="1"/>
                              <m:mcJc m:val="center"/>
                            </m:mcPr>
                          </m:mc>
                        </m:mcs>
                        <m:ctrlPr>
                          <w:rPr>
                            <w:rFonts w:ascii="Cambria Math" w:eastAsiaTheme="minorEastAsia" w:hAnsi="Cambria Math"/>
                            <w:i/>
                            <w:sz w:val="20"/>
                          </w:rPr>
                        </m:ctrlPr>
                      </m:mPr>
                      <m:mr>
                        <m:e>
                          <m:m>
                            <m:mPr>
                              <m:mcs>
                                <m:mc>
                                  <m:mcPr>
                                    <m:count m:val="1"/>
                                    <m:mcJc m:val="center"/>
                                  </m:mcPr>
                                </m:mc>
                              </m:mcs>
                              <m:ctrlPr>
                                <w:rPr>
                                  <w:rFonts w:ascii="Cambria Math" w:eastAsiaTheme="minorEastAsia" w:hAnsi="Cambria Math"/>
                                  <w:i/>
                                  <w:sz w:val="20"/>
                                </w:rPr>
                              </m:ctrlPr>
                            </m:mPr>
                            <m:mr>
                              <m:e>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1</m:t>
                                    </m:r>
                                  </m:sub>
                                  <m:sup>
                                    <m:r>
                                      <w:rPr>
                                        <w:rFonts w:ascii="Cambria Math" w:eastAsiaTheme="minorEastAsia" w:hAnsi="Cambria Math"/>
                                        <w:sz w:val="20"/>
                                      </w:rPr>
                                      <m:t>+</m:t>
                                    </m:r>
                                  </m:sup>
                                </m:sSubSup>
                              </m:e>
                            </m:mr>
                            <m:mr>
                              <m:e>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2</m:t>
                                    </m:r>
                                  </m:sub>
                                  <m:sup>
                                    <m:r>
                                      <w:rPr>
                                        <w:rFonts w:ascii="Cambria Math" w:eastAsiaTheme="minorEastAsia" w:hAnsi="Cambria Math"/>
                                        <w:sz w:val="20"/>
                                      </w:rPr>
                                      <m:t>+</m:t>
                                    </m:r>
                                  </m:sup>
                                </m:sSubSup>
                              </m:e>
                            </m:mr>
                            <m:mr>
                              <m:e>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mr>
                          </m:m>
                        </m:e>
                      </m:mr>
                      <m:mr>
                        <m:e>
                          <m:m>
                            <m:mPr>
                              <m:mcs>
                                <m:mc>
                                  <m:mcPr>
                                    <m:count m:val="1"/>
                                    <m:mcJc m:val="center"/>
                                  </m:mcPr>
                                </m:mc>
                              </m:mcs>
                              <m:ctrlPr>
                                <w:rPr>
                                  <w:rFonts w:ascii="Cambria Math" w:eastAsiaTheme="minorEastAsia" w:hAnsi="Cambria Math"/>
                                  <w:i/>
                                  <w:sz w:val="20"/>
                                </w:rPr>
                              </m:ctrlPr>
                            </m:mPr>
                            <m:mr>
                              <m:e>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i</m:t>
                                    </m:r>
                                  </m:sub>
                                  <m:sup>
                                    <m:r>
                                      <w:rPr>
                                        <w:rFonts w:ascii="Cambria Math" w:eastAsiaTheme="minorEastAsia" w:hAnsi="Cambria Math"/>
                                        <w:sz w:val="20"/>
                                      </w:rPr>
                                      <m:t>+</m:t>
                                    </m:r>
                                  </m:sup>
                                </m:sSubSup>
                              </m:e>
                            </m:mr>
                            <m:mr>
                              <m:e>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mr>
                            <m:mr>
                              <m:e>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d</m:t>
                                    </m:r>
                                  </m:sub>
                                  <m:sup>
                                    <m:r>
                                      <w:rPr>
                                        <w:rFonts w:ascii="Cambria Math" w:eastAsiaTheme="minorEastAsia" w:hAnsi="Cambria Math"/>
                                        <w:sz w:val="20"/>
                                      </w:rPr>
                                      <m:t>+</m:t>
                                    </m:r>
                                  </m:sup>
                                </m:sSubSup>
                              </m:e>
                            </m:mr>
                          </m:m>
                        </m:e>
                      </m:mr>
                    </m:m>
                  </m:e>
                </m:d>
                <m:r>
                  <w:rPr>
                    <w:rFonts w:ascii="Cambria Math" w:eastAsiaTheme="minorEastAsia" w:hAnsi="Cambria Math"/>
                    <w:sz w:val="20"/>
                  </w:rPr>
                  <m:t>=</m:t>
                </m:r>
                <m:d>
                  <m:dPr>
                    <m:ctrlPr>
                      <w:rPr>
                        <w:rFonts w:ascii="Cambria Math" w:eastAsiaTheme="minorEastAsia" w:hAnsi="Cambria Math"/>
                        <w:i/>
                        <w:sz w:val="20"/>
                      </w:rPr>
                    </m:ctrlPr>
                  </m:dPr>
                  <m:e>
                    <m:m>
                      <m:mPr>
                        <m:mcs>
                          <m:mc>
                            <m:mcPr>
                              <m:count m:val="2"/>
                              <m:mcJc m:val="center"/>
                            </m:mcPr>
                          </m:mc>
                        </m:mcs>
                        <m:ctrlPr>
                          <w:rPr>
                            <w:rFonts w:ascii="Cambria Math" w:eastAsiaTheme="minorEastAsia" w:hAnsi="Cambria Math"/>
                            <w:i/>
                            <w:sz w:val="20"/>
                          </w:rPr>
                        </m:ctrlPr>
                      </m:mPr>
                      <m:mr>
                        <m:e>
                          <m:m>
                            <m:mPr>
                              <m:mcs>
                                <m:mc>
                                  <m:mcPr>
                                    <m:count m:val="3"/>
                                    <m:mcJc m:val="center"/>
                                  </m:mcPr>
                                </m:mc>
                              </m:mcs>
                              <m:ctrlPr>
                                <w:rPr>
                                  <w:rFonts w:ascii="Cambria Math" w:eastAsiaTheme="minorEastAsia" w:hAnsi="Cambria Math"/>
                                  <w:i/>
                                  <w:sz w:val="20"/>
                                </w:rPr>
                              </m:ctrlPr>
                            </m:mP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1</m:t>
                                    </m:r>
                                  </m:sup>
                                </m:sSup>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k</m:t>
                                        </m:r>
                                      </m:e>
                                      <m:sup>
                                        <m:r>
                                          <w:rPr>
                                            <w:rFonts w:ascii="Cambria Math" w:eastAsiaTheme="minorEastAsia" w:hAnsi="Cambria Math"/>
                                            <w:sz w:val="20"/>
                                          </w:rPr>
                                          <m:t>1</m:t>
                                        </m:r>
                                      </m:sup>
                                    </m:sSup>
                                    <m:r>
                                      <w:rPr>
                                        <w:rFonts w:ascii="Cambria Math" w:eastAsiaTheme="minorEastAsia" w:hAnsi="Cambria Math"/>
                                        <w:sz w:val="20"/>
                                      </w:rPr>
                                      <m:t>)</m:t>
                                    </m:r>
                                  </m:e>
                                  <m:sup>
                                    <m:r>
                                      <w:rPr>
                                        <w:rFonts w:ascii="Cambria Math" w:eastAsiaTheme="minorEastAsia" w:hAnsi="Cambria Math"/>
                                        <w:sz w:val="20"/>
                                      </w:rPr>
                                      <m:t>-</m:t>
                                    </m:r>
                                    <m:f>
                                      <m:fPr>
                                        <m:type m:val="skw"/>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sup>
                                </m:sSup>
                              </m:e>
                              <m:e>
                                <m:box>
                                  <m:boxPr>
                                    <m:opEmu m:val="on"/>
                                    <m:ctrlPr>
                                      <w:rPr>
                                        <w:rFonts w:ascii="Cambria Math" w:eastAsiaTheme="minorEastAsia" w:hAnsi="Cambria Math"/>
                                        <w:i/>
                                        <w:sz w:val="20"/>
                                      </w:rPr>
                                    </m:ctrlPr>
                                  </m:boxPr>
                                  <m:e>
                                    <m:r>
                                      <w:rPr>
                                        <w:rFonts w:ascii="Cambria Math" w:eastAsiaTheme="minorEastAsia" w:hAnsi="Cambria Math"/>
                                        <w:sz w:val="20"/>
                                      </w:rPr>
                                      <m:t>←</m:t>
                                    </m:r>
                                  </m:e>
                                </m:box>
                              </m:e>
                              <m:e/>
                            </m:m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1</m:t>
                                    </m:r>
                                  </m:sup>
                                </m:sSup>
                              </m:e>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1</m:t>
                                    </m:r>
                                  </m:sup>
                                </m:sSup>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k</m:t>
                                        </m:r>
                                      </m:e>
                                      <m:sup>
                                        <m:r>
                                          <w:rPr>
                                            <w:rFonts w:ascii="Cambria Math" w:eastAsiaTheme="minorEastAsia" w:hAnsi="Cambria Math"/>
                                            <w:sz w:val="20"/>
                                          </w:rPr>
                                          <m:t>1</m:t>
                                        </m:r>
                                      </m:sup>
                                    </m:sSup>
                                    <m:r>
                                      <w:rPr>
                                        <w:rFonts w:ascii="Cambria Math" w:eastAsiaTheme="minorEastAsia" w:hAnsi="Cambria Math"/>
                                        <w:sz w:val="20"/>
                                      </w:rPr>
                                      <m:t>)</m:t>
                                    </m:r>
                                  </m:e>
                                  <m:sup>
                                    <m:r>
                                      <w:rPr>
                                        <w:rFonts w:ascii="Cambria Math" w:eastAsiaTheme="minorEastAsia" w:hAnsi="Cambria Math"/>
                                        <w:sz w:val="20"/>
                                      </w:rPr>
                                      <m:t>-</m:t>
                                    </m:r>
                                    <m:f>
                                      <m:fPr>
                                        <m:type m:val="skw"/>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sup>
                                </m:sSup>
                              </m:e>
                              <m:e>
                                <m:box>
                                  <m:boxPr>
                                    <m:opEmu m:val="on"/>
                                    <m:ctrlPr>
                                      <w:rPr>
                                        <w:rFonts w:ascii="Cambria Math" w:eastAsiaTheme="minorEastAsia" w:hAnsi="Cambria Math"/>
                                        <w:i/>
                                        <w:sz w:val="20"/>
                                      </w:rPr>
                                    </m:ctrlPr>
                                  </m:boxPr>
                                  <m:e>
                                    <m:r>
                                      <w:rPr>
                                        <w:rFonts w:ascii="Cambria Math" w:eastAsiaTheme="minorEastAsia" w:hAnsi="Cambria Math"/>
                                        <w:sz w:val="20"/>
                                      </w:rPr>
                                      <m:t>←</m:t>
                                    </m:r>
                                  </m:e>
                                </m:box>
                              </m:e>
                            </m:mr>
                            <m:mr>
                              <m:e>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e>
                                <m:r>
                                  <w:rPr>
                                    <w:rFonts w:ascii="Cambria Math" w:hAnsi="Cambria Math"/>
                                    <w:sz w:val="20"/>
                                  </w:rPr>
                                  <m:t>⋯</m:t>
                                </m:r>
                              </m:e>
                              <m:e>
                                <m:r>
                                  <w:rPr>
                                    <w:rFonts w:ascii="Cambria Math" w:hAnsi="Cambria Math"/>
                                    <w:sz w:val="20"/>
                                  </w:rPr>
                                  <m:t>⋱</m:t>
                                </m:r>
                              </m:e>
                            </m:mr>
                          </m:m>
                        </m:e>
                        <m:e>
                          <m:m>
                            <m:mPr>
                              <m:mcs>
                                <m:mc>
                                  <m:mcPr>
                                    <m:count m:val="3"/>
                                    <m:mcJc m:val="center"/>
                                  </m:mcPr>
                                </m:mc>
                              </m:mcs>
                              <m:ctrlPr>
                                <w:rPr>
                                  <w:rFonts w:ascii="Cambria Math" w:eastAsiaTheme="minorEastAsia" w:hAnsi="Cambria Math"/>
                                  <w:i/>
                                  <w:sz w:val="20"/>
                                </w:rPr>
                              </m:ctrlPr>
                            </m:mP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2</m:t>
                                    </m:r>
                                  </m:sup>
                                </m:sSup>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θ</m:t>
                                        </m:r>
                                      </m:e>
                                      <m:sub>
                                        <m:r>
                                          <w:rPr>
                                            <w:rFonts w:ascii="Cambria Math" w:eastAsiaTheme="minorEastAsia" w:hAnsi="Cambria Math"/>
                                            <w:sz w:val="20"/>
                                          </w:rPr>
                                          <m:t>1</m:t>
                                        </m:r>
                                      </m:sub>
                                    </m:sSub>
                                  </m:e>
                                </m:d>
                              </m:e>
                              <m:e>
                                <m:sSup>
                                  <m:sSupPr>
                                    <m:ctrlPr>
                                      <w:rPr>
                                        <w:rFonts w:ascii="Cambria Math" w:eastAsiaTheme="minorEastAsia" w:hAnsi="Cambria Math"/>
                                        <w:i/>
                                        <w:color w:val="FFFFFF" w:themeColor="background1"/>
                                        <w:sz w:val="20"/>
                                      </w:rPr>
                                    </m:ctrlPr>
                                  </m:sSupPr>
                                  <m:e>
                                    <m:acc>
                                      <m:accPr>
                                        <m:ctrlPr>
                                          <w:rPr>
                                            <w:rFonts w:ascii="Cambria Math" w:eastAsiaTheme="minorEastAsia" w:hAnsi="Cambria Math"/>
                                            <w:i/>
                                            <w:color w:val="FFFFFF" w:themeColor="background1"/>
                                            <w:sz w:val="20"/>
                                          </w:rPr>
                                        </m:ctrlPr>
                                      </m:accPr>
                                      <m:e>
                                        <m:r>
                                          <w:rPr>
                                            <w:rFonts w:ascii="Cambria Math" w:eastAsiaTheme="minorEastAsia" w:hAnsi="Cambria Math"/>
                                            <w:color w:val="FFFFFF" w:themeColor="background1"/>
                                            <w:sz w:val="20"/>
                                          </w:rPr>
                                          <m:t>θ</m:t>
                                        </m:r>
                                      </m:e>
                                    </m:acc>
                                  </m:e>
                                  <m:sup>
                                    <m:r>
                                      <w:rPr>
                                        <w:rFonts w:ascii="Cambria Math" w:eastAsiaTheme="minorEastAsia" w:hAnsi="Cambria Math"/>
                                        <w:color w:val="FFFFFF" w:themeColor="background1"/>
                                        <w:sz w:val="20"/>
                                      </w:rPr>
                                      <m:t>i</m:t>
                                    </m:r>
                                  </m:sup>
                                </m:sSup>
                                <m:r>
                                  <w:rPr>
                                    <w:rFonts w:ascii="Cambria Math" w:eastAsiaTheme="minorEastAsia" w:hAnsi="Cambria Math"/>
                                    <w:color w:val="FFFFFF" w:themeColor="background1"/>
                                    <w:sz w:val="20"/>
                                  </w:rPr>
                                  <m:t>+</m:t>
                                </m:r>
                                <m:sSup>
                                  <m:sSupPr>
                                    <m:ctrlPr>
                                      <w:rPr>
                                        <w:rFonts w:ascii="Cambria Math" w:eastAsiaTheme="minorEastAsia" w:hAnsi="Cambria Math"/>
                                        <w:i/>
                                        <w:color w:val="FFFFFF" w:themeColor="background1"/>
                                        <w:sz w:val="20"/>
                                      </w:rPr>
                                    </m:ctrlPr>
                                  </m:sSupPr>
                                  <m:e>
                                    <m:d>
                                      <m:dPr>
                                        <m:ctrlPr>
                                          <w:rPr>
                                            <w:rFonts w:ascii="Cambria Math" w:eastAsiaTheme="minorEastAsia" w:hAnsi="Cambria Math"/>
                                            <w:i/>
                                            <w:color w:val="FFFFFF" w:themeColor="background1"/>
                                            <w:sz w:val="20"/>
                                          </w:rPr>
                                        </m:ctrlPr>
                                      </m:dPr>
                                      <m:e>
                                        <m:sSup>
                                          <m:sSupPr>
                                            <m:ctrlPr>
                                              <w:rPr>
                                                <w:rFonts w:ascii="Cambria Math" w:eastAsiaTheme="minorEastAsia" w:hAnsi="Cambria Math"/>
                                                <w:i/>
                                                <w:color w:val="FFFFFF" w:themeColor="background1"/>
                                                <w:sz w:val="20"/>
                                              </w:rPr>
                                            </m:ctrlPr>
                                          </m:sSupPr>
                                          <m:e>
                                            <m:r>
                                              <w:rPr>
                                                <w:rFonts w:ascii="Cambria Math" w:eastAsiaTheme="minorEastAsia" w:hAnsi="Cambria Math"/>
                                                <w:color w:val="FFFFFF" w:themeColor="background1"/>
                                                <w:sz w:val="20"/>
                                              </w:rPr>
                                              <m:t>k</m:t>
                                            </m:r>
                                          </m:e>
                                          <m:sup>
                                            <m:r>
                                              <w:rPr>
                                                <w:rFonts w:ascii="Cambria Math" w:eastAsiaTheme="minorEastAsia" w:hAnsi="Cambria Math"/>
                                                <w:color w:val="FFFFFF" w:themeColor="background1"/>
                                                <w:sz w:val="20"/>
                                              </w:rPr>
                                              <m:t>i</m:t>
                                            </m:r>
                                          </m:sup>
                                        </m:sSup>
                                      </m:e>
                                    </m:d>
                                  </m:e>
                                  <m:sup>
                                    <m:r>
                                      <w:rPr>
                                        <w:rFonts w:ascii="Cambria Math" w:eastAsiaTheme="minorEastAsia" w:hAnsi="Cambria Math"/>
                                        <w:color w:val="FFFFFF" w:themeColor="background1"/>
                                        <w:sz w:val="20"/>
                                      </w:rPr>
                                      <m:t>-</m:t>
                                    </m:r>
                                    <m:f>
                                      <m:fPr>
                                        <m:type m:val="skw"/>
                                        <m:ctrlPr>
                                          <w:rPr>
                                            <w:rFonts w:ascii="Cambria Math" w:eastAsiaTheme="minorEastAsia" w:hAnsi="Cambria Math"/>
                                            <w:i/>
                                            <w:color w:val="FFFFFF" w:themeColor="background1"/>
                                            <w:sz w:val="20"/>
                                          </w:rPr>
                                        </m:ctrlPr>
                                      </m:fPr>
                                      <m:num>
                                        <m:r>
                                          <w:rPr>
                                            <w:rFonts w:ascii="Cambria Math" w:eastAsiaTheme="minorEastAsia" w:hAnsi="Cambria Math"/>
                                            <w:color w:val="FFFFFF" w:themeColor="background1"/>
                                            <w:sz w:val="20"/>
                                          </w:rPr>
                                          <m:t>1</m:t>
                                        </m:r>
                                      </m:num>
                                      <m:den>
                                        <m:r>
                                          <w:rPr>
                                            <w:rFonts w:ascii="Cambria Math" w:eastAsiaTheme="minorEastAsia" w:hAnsi="Cambria Math"/>
                                            <w:color w:val="FFFFFF" w:themeColor="background1"/>
                                            <w:sz w:val="20"/>
                                          </w:rPr>
                                          <m:t>2</m:t>
                                        </m:r>
                                      </m:den>
                                    </m:f>
                                  </m:sup>
                                </m:sSup>
                              </m:e>
                              <m:e>
                                <m:m>
                                  <m:mPr>
                                    <m:mcs>
                                      <m:mc>
                                        <m:mcPr>
                                          <m:count m:val="2"/>
                                          <m:mcJc m:val="center"/>
                                        </m:mcPr>
                                      </m:mc>
                                    </m:mcs>
                                    <m:ctrlPr>
                                      <w:rPr>
                                        <w:rFonts w:ascii="Cambria Math" w:eastAsiaTheme="minorEastAsia" w:hAnsi="Cambria Math"/>
                                        <w:i/>
                                        <w:sz w:val="20"/>
                                      </w:rPr>
                                    </m:ctrlPr>
                                  </m:mPr>
                                  <m:mr>
                                    <m:e/>
                                    <m:e>
                                      <m:r>
                                        <w:rPr>
                                          <w:rFonts w:ascii="Cambria Math" w:eastAsiaTheme="minorEastAsia" w:hAnsi="Cambria Math"/>
                                          <w:sz w:val="20"/>
                                        </w:rPr>
                                        <m:t>→</m:t>
                                      </m:r>
                                    </m:e>
                                  </m:mr>
                                </m:m>
                              </m:e>
                            </m:m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3</m:t>
                                    </m:r>
                                  </m:sup>
                                </m:sSup>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θ</m:t>
                                        </m:r>
                                      </m:e>
                                      <m:sub>
                                        <m:r>
                                          <w:rPr>
                                            <w:rFonts w:ascii="Cambria Math" w:eastAsiaTheme="minorEastAsia" w:hAnsi="Cambria Math"/>
                                            <w:sz w:val="20"/>
                                          </w:rPr>
                                          <m:t>2</m:t>
                                        </m:r>
                                      </m:sub>
                                    </m:sSub>
                                  </m:e>
                                </m:d>
                              </m:e>
                              <m:e/>
                              <m:e>
                                <m:m>
                                  <m:mPr>
                                    <m:mcs>
                                      <m:mc>
                                        <m:mcPr>
                                          <m:count m:val="2"/>
                                          <m:mcJc m:val="center"/>
                                        </m:mcPr>
                                      </m:mc>
                                    </m:mcs>
                                    <m:ctrlPr>
                                      <w:rPr>
                                        <w:rFonts w:ascii="Cambria Math" w:eastAsiaTheme="minorEastAsia" w:hAnsi="Cambria Math"/>
                                        <w:i/>
                                        <w:sz w:val="20"/>
                                      </w:rPr>
                                    </m:ctrlPr>
                                  </m:mPr>
                                  <m:mr>
                                    <m:e/>
                                    <m:e>
                                      <m:r>
                                        <w:rPr>
                                          <w:rFonts w:ascii="Cambria Math" w:eastAsiaTheme="minorEastAsia" w:hAnsi="Cambria Math"/>
                                          <w:sz w:val="20"/>
                                        </w:rPr>
                                        <m:t>→</m:t>
                                      </m:r>
                                    </m:e>
                                  </m:mr>
                                </m:m>
                              </m:e>
                            </m:mr>
                            <m:mr>
                              <m:e/>
                              <m:e/>
                              <m:e>
                                <m:m>
                                  <m:mPr>
                                    <m:mcs>
                                      <m:mc>
                                        <m:mcPr>
                                          <m:count m:val="2"/>
                                          <m:mcJc m:val="center"/>
                                        </m:mcPr>
                                      </m:mc>
                                    </m:mcs>
                                    <m:ctrlPr>
                                      <w:rPr>
                                        <w:rFonts w:ascii="Cambria Math" w:eastAsiaTheme="minorEastAsia" w:hAnsi="Cambria Math"/>
                                        <w:i/>
                                        <w:sz w:val="20"/>
                                      </w:rPr>
                                    </m:ctrlPr>
                                  </m:mPr>
                                  <m:mr>
                                    <m:e/>
                                    <m:e>
                                      <m:r>
                                        <w:rPr>
                                          <w:rFonts w:ascii="Cambria Math" w:hAnsi="Cambria Math"/>
                                          <w:sz w:val="20"/>
                                        </w:rPr>
                                        <m:t xml:space="preserve">  </m:t>
                                      </m:r>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mr>
                                </m:m>
                              </m:e>
                            </m:mr>
                          </m:m>
                        </m:e>
                      </m:mr>
                      <m:mr>
                        <m:e>
                          <m:m>
                            <m:mPr>
                              <m:mcs>
                                <m:mc>
                                  <m:mcPr>
                                    <m:count m:val="3"/>
                                    <m:mcJc m:val="center"/>
                                  </m:mcPr>
                                </m:mc>
                              </m:mcs>
                              <m:ctrlPr>
                                <w:rPr>
                                  <w:rFonts w:ascii="Cambria Math" w:eastAsiaTheme="minorEastAsia" w:hAnsi="Cambria Math"/>
                                  <w:i/>
                                  <w:sz w:val="20"/>
                                </w:rPr>
                              </m:ctrlPr>
                            </m:mPr>
                            <m:mr>
                              <m:e>
                                <m:r>
                                  <w:rPr>
                                    <w:rFonts w:ascii="Cambria Math" w:eastAsiaTheme="minorEastAsia" w:hAnsi="Cambria Math"/>
                                    <w:sz w:val="20"/>
                                  </w:rPr>
                                  <m:t xml:space="preserve">           </m:t>
                                </m:r>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1</m:t>
                                    </m:r>
                                  </m:sup>
                                </m:sSup>
                                <m:r>
                                  <w:rPr>
                                    <w:rFonts w:ascii="Cambria Math" w:eastAsiaTheme="minorEastAsia" w:hAnsi="Cambria Math"/>
                                    <w:sz w:val="20"/>
                                  </w:rPr>
                                  <m:t xml:space="preserve">           </m:t>
                                </m:r>
                              </m:e>
                              <m:e>
                                <m:r>
                                  <w:rPr>
                                    <w:rFonts w:ascii="Cambria Math" w:hAnsi="Cambria Math"/>
                                    <w:sz w:val="20"/>
                                  </w:rPr>
                                  <m:t xml:space="preserve">          …           </m:t>
                                </m:r>
                              </m:e>
                              <m:e/>
                            </m:mr>
                            <m:mr>
                              <m:e>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e>
                                <m:r>
                                  <w:rPr>
                                    <w:rFonts w:ascii="Cambria Math" w:hAnsi="Cambria Math"/>
                                    <w:sz w:val="20"/>
                                  </w:rPr>
                                  <m:t>…</m:t>
                                </m:r>
                              </m:e>
                              <m:e/>
                            </m:m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1</m:t>
                                    </m:r>
                                  </m:sup>
                                </m:sSup>
                              </m:e>
                              <m:e>
                                <m:r>
                                  <w:rPr>
                                    <w:rFonts w:ascii="Cambria Math" w:hAnsi="Cambria Math"/>
                                    <w:sz w:val="20"/>
                                  </w:rPr>
                                  <m:t>…</m:t>
                                </m:r>
                              </m:e>
                              <m:e/>
                            </m:mr>
                          </m:m>
                        </m:e>
                        <m:e>
                          <m:m>
                            <m:mPr>
                              <m:mcs>
                                <m:mc>
                                  <m:mcPr>
                                    <m:count m:val="3"/>
                                    <m:mcJc m:val="center"/>
                                  </m:mcPr>
                                </m:mc>
                              </m:mcs>
                              <m:ctrlPr>
                                <w:rPr>
                                  <w:rFonts w:ascii="Cambria Math" w:eastAsiaTheme="minorEastAsia" w:hAnsi="Cambria Math"/>
                                  <w:i/>
                                  <w:sz w:val="20"/>
                                </w:rPr>
                              </m:ctrlPr>
                            </m:mP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i</m:t>
                                    </m:r>
                                  </m:sup>
                                </m:sSup>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k</m:t>
                                        </m:r>
                                      </m:e>
                                      <m:sup>
                                        <m:r>
                                          <w:rPr>
                                            <w:rFonts w:ascii="Cambria Math" w:eastAsiaTheme="minorEastAsia" w:hAnsi="Cambria Math"/>
                                            <w:sz w:val="20"/>
                                          </w:rPr>
                                          <m:t>i</m:t>
                                        </m:r>
                                      </m:sup>
                                    </m:sSup>
                                    <m:r>
                                      <w:rPr>
                                        <w:rFonts w:ascii="Cambria Math" w:eastAsiaTheme="minorEastAsia" w:hAnsi="Cambria Math"/>
                                        <w:sz w:val="20"/>
                                      </w:rPr>
                                      <m:t>)</m:t>
                                    </m:r>
                                  </m:e>
                                  <m:sup>
                                    <m:r>
                                      <w:rPr>
                                        <w:rFonts w:ascii="Cambria Math" w:eastAsiaTheme="minorEastAsia" w:hAnsi="Cambria Math"/>
                                        <w:sz w:val="20"/>
                                      </w:rPr>
                                      <m:t>-</m:t>
                                    </m:r>
                                    <m:f>
                                      <m:fPr>
                                        <m:type m:val="skw"/>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sup>
                                </m:sSup>
                              </m:e>
                              <m:e>
                                <m:r>
                                  <w:rPr>
                                    <w:rFonts w:ascii="Cambria Math" w:eastAsiaTheme="minorEastAsia" w:hAnsi="Cambria Math"/>
                                    <w:sz w:val="20"/>
                                  </w:rPr>
                                  <m:t>←</m:t>
                                </m:r>
                              </m:e>
                              <m:e>
                                <m:m>
                                  <m:mPr>
                                    <m:mcs>
                                      <m:mc>
                                        <m:mcPr>
                                          <m:count m:val="2"/>
                                          <m:mcJc m:val="center"/>
                                        </m:mcPr>
                                      </m:mc>
                                    </m:mcs>
                                    <m:ctrlPr>
                                      <w:rPr>
                                        <w:rFonts w:ascii="Cambria Math" w:eastAsiaTheme="minorEastAsia" w:hAnsi="Cambria Math"/>
                                        <w:i/>
                                        <w:sz w:val="20"/>
                                      </w:rPr>
                                    </m:ctrlPr>
                                  </m:mPr>
                                  <m:mr>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i+1</m:t>
                                          </m:r>
                                        </m:sup>
                                      </m:sSup>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θ</m:t>
                                          </m:r>
                                        </m:e>
                                        <m:sub>
                                          <m:r>
                                            <w:rPr>
                                              <w:rFonts w:ascii="Cambria Math" w:eastAsiaTheme="minorEastAsia" w:hAnsi="Cambria Math"/>
                                              <w:sz w:val="20"/>
                                            </w:rPr>
                                            <m:t>i</m:t>
                                          </m:r>
                                        </m:sub>
                                      </m:sSub>
                                      <m:r>
                                        <w:rPr>
                                          <w:rFonts w:ascii="Cambria Math" w:eastAsiaTheme="minorEastAsia" w:hAnsi="Cambria Math"/>
                                          <w:sz w:val="20"/>
                                        </w:rPr>
                                        <m:t>)</m:t>
                                      </m:r>
                                    </m:e>
                                    <m:e>
                                      <m:r>
                                        <w:rPr>
                                          <w:rFonts w:ascii="Cambria Math" w:eastAsiaTheme="minorEastAsia" w:hAnsi="Cambria Math"/>
                                          <w:sz w:val="20"/>
                                        </w:rPr>
                                        <m:t>→</m:t>
                                      </m:r>
                                    </m:e>
                                  </m:mr>
                                </m:m>
                              </m:e>
                            </m:mr>
                            <m:mr>
                              <m:e/>
                              <m:e>
                                <m:r>
                                  <w:rPr>
                                    <w:rFonts w:ascii="Cambria Math" w:hAnsi="Cambria Math"/>
                                    <w:sz w:val="20"/>
                                  </w:rPr>
                                  <m:t>⋱</m:t>
                                </m:r>
                              </m:e>
                              <m:e>
                                <m:m>
                                  <m:mPr>
                                    <m:mcs>
                                      <m:mc>
                                        <m:mcPr>
                                          <m:count m:val="2"/>
                                          <m:mcJc m:val="center"/>
                                        </m:mcPr>
                                      </m:mc>
                                    </m:mcs>
                                    <m:ctrlPr>
                                      <w:rPr>
                                        <w:rFonts w:ascii="Cambria Math" w:hAnsi="Cambria Math"/>
                                        <w:i/>
                                        <w:sz w:val="20"/>
                                      </w:rPr>
                                    </m:ctrlPr>
                                  </m:mPr>
                                  <m:mr>
                                    <m:e/>
                                    <m:e>
                                      <m:m>
                                        <m:mPr>
                                          <m:mcs>
                                            <m:mc>
                                              <m:mcPr>
                                                <m:count m:val="2"/>
                                                <m:mcJc m:val="center"/>
                                              </m:mcPr>
                                            </m:mc>
                                          </m:mcs>
                                          <m:ctrlPr>
                                            <w:rPr>
                                              <w:rFonts w:ascii="Cambria Math" w:hAnsi="Cambria Math"/>
                                              <w:i/>
                                              <w:sz w:val="20"/>
                                            </w:rPr>
                                          </m:ctrlPr>
                                        </m:mPr>
                                        <m:mr>
                                          <m:e/>
                                          <m:e>
                                            <m:r>
                                              <w:rPr>
                                                <w:rFonts w:ascii="Cambria Math" w:hAnsi="Cambria Math"/>
                                                <w:sz w:val="20"/>
                                              </w:rPr>
                                              <m:t xml:space="preserve">  </m:t>
                                            </m:r>
                                            <m:m>
                                              <m:mPr>
                                                <m:mcs>
                                                  <m:mc>
                                                    <m:mcPr>
                                                      <m:count m:val="1"/>
                                                      <m:mcJc m:val="center"/>
                                                    </m:mcPr>
                                                  </m:mc>
                                                </m:mcs>
                                                <m:ctrlPr>
                                                  <w:rPr>
                                                    <w:rFonts w:ascii="Cambria Math" w:hAnsi="Cambria Math"/>
                                                    <w:i/>
                                                    <w:sz w:val="20"/>
                                                  </w:rPr>
                                                </m:ctrlPr>
                                              </m:mPr>
                                              <m:mr>
                                                <m:e>
                                                  <m:r>
                                                    <w:rPr>
                                                      <w:rFonts w:ascii="Cambria Math" w:hAnsi="Cambria Math"/>
                                                      <w:sz w:val="20"/>
                                                    </w:rPr>
                                                    <m:t>⋮</m:t>
                                                  </m:r>
                                                </m:e>
                                              </m:mr>
                                              <m:mr>
                                                <m:e>
                                                  <m:r>
                                                    <w:rPr>
                                                      <w:rFonts w:ascii="Cambria Math" w:hAnsi="Cambria Math"/>
                                                      <w:sz w:val="20"/>
                                                    </w:rPr>
                                                    <m:t>⋮</m:t>
                                                  </m:r>
                                                </m:e>
                                              </m:mr>
                                            </m:m>
                                          </m:e>
                                        </m:mr>
                                      </m:m>
                                    </m:e>
                                  </m:mr>
                                </m:m>
                              </m:e>
                            </m:mr>
                            <m:mr>
                              <m:e/>
                              <m:e/>
                              <m:e>
                                <m:sSup>
                                  <m:sSupPr>
                                    <m:ctrlPr>
                                      <w:rPr>
                                        <w:rFonts w:ascii="Cambria Math" w:eastAsiaTheme="minorEastAsia" w:hAnsi="Cambria Math"/>
                                        <w:i/>
                                        <w:sz w:val="20"/>
                                      </w:rPr>
                                    </m:ctrlPr>
                                  </m:sSupPr>
                                  <m:e>
                                    <m:acc>
                                      <m:accPr>
                                        <m:ctrlPr>
                                          <w:rPr>
                                            <w:rFonts w:ascii="Cambria Math" w:eastAsiaTheme="minorEastAsia" w:hAnsi="Cambria Math"/>
                                            <w:i/>
                                            <w:sz w:val="20"/>
                                          </w:rPr>
                                        </m:ctrlPr>
                                      </m:accPr>
                                      <m:e>
                                        <m:r>
                                          <w:rPr>
                                            <w:rFonts w:ascii="Cambria Math" w:eastAsiaTheme="minorEastAsia" w:hAnsi="Cambria Math"/>
                                            <w:sz w:val="20"/>
                                          </w:rPr>
                                          <m:t>θ</m:t>
                                        </m:r>
                                      </m:e>
                                    </m:acc>
                                  </m:e>
                                  <m:sup>
                                    <m:r>
                                      <w:rPr>
                                        <w:rFonts w:ascii="Cambria Math" w:eastAsiaTheme="minorEastAsia" w:hAnsi="Cambria Math"/>
                                        <w:sz w:val="20"/>
                                      </w:rPr>
                                      <m:t>d</m:t>
                                    </m:r>
                                  </m:sup>
                                </m:sSup>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m:t>
                                    </m:r>
                                    <m:sSup>
                                      <m:sSupPr>
                                        <m:ctrlPr>
                                          <w:rPr>
                                            <w:rFonts w:ascii="Cambria Math" w:eastAsiaTheme="minorEastAsia" w:hAnsi="Cambria Math"/>
                                            <w:i/>
                                            <w:sz w:val="20"/>
                                          </w:rPr>
                                        </m:ctrlPr>
                                      </m:sSupPr>
                                      <m:e>
                                        <m:r>
                                          <w:rPr>
                                            <w:rFonts w:ascii="Cambria Math" w:eastAsiaTheme="minorEastAsia" w:hAnsi="Cambria Math"/>
                                            <w:sz w:val="20"/>
                                          </w:rPr>
                                          <m:t>k</m:t>
                                        </m:r>
                                      </m:e>
                                      <m:sup>
                                        <m:r>
                                          <w:rPr>
                                            <w:rFonts w:ascii="Cambria Math" w:eastAsiaTheme="minorEastAsia" w:hAnsi="Cambria Math"/>
                                            <w:sz w:val="20"/>
                                          </w:rPr>
                                          <m:t>d</m:t>
                                        </m:r>
                                      </m:sup>
                                    </m:sSup>
                                    <m:r>
                                      <w:rPr>
                                        <w:rFonts w:ascii="Cambria Math" w:eastAsiaTheme="minorEastAsia" w:hAnsi="Cambria Math"/>
                                        <w:sz w:val="20"/>
                                      </w:rPr>
                                      <m:t>)</m:t>
                                    </m:r>
                                  </m:e>
                                  <m:sup>
                                    <m:r>
                                      <w:rPr>
                                        <w:rFonts w:ascii="Cambria Math" w:eastAsiaTheme="minorEastAsia" w:hAnsi="Cambria Math"/>
                                        <w:sz w:val="20"/>
                                      </w:rPr>
                                      <m:t>-</m:t>
                                    </m:r>
                                    <m:f>
                                      <m:fPr>
                                        <m:type m:val="skw"/>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sup>
                                </m:sSup>
                              </m:e>
                            </m:mr>
                          </m:m>
                        </m:e>
                      </m:mr>
                    </m:m>
                  </m:e>
                </m:d>
              </m:oMath>
            </m:oMathPara>
          </w:p>
        </w:tc>
        <w:tc>
          <w:tcPr>
            <w:tcW w:w="851" w:type="dxa"/>
          </w:tcPr>
          <w:p w:rsidR="007568A9" w:rsidRDefault="007568A9" w:rsidP="00597CF5">
            <w:pPr>
              <w:pStyle w:val="ListParagraph"/>
              <w:numPr>
                <w:ilvl w:val="1"/>
                <w:numId w:val="30"/>
              </w:numPr>
              <w:bidi/>
              <w:ind w:right="220"/>
              <w:jc w:val="right"/>
            </w:pPr>
          </w:p>
        </w:tc>
      </w:tr>
    </w:tbl>
    <w:p w:rsidR="009F501C" w:rsidRDefault="009F501C" w:rsidP="009F501C">
      <w:pPr>
        <w:rPr>
          <w:rFonts w:eastAsiaTheme="minorEastAsia"/>
        </w:rPr>
      </w:pPr>
    </w:p>
    <w:p w:rsidR="009F501C" w:rsidRDefault="009F501C" w:rsidP="001A1797">
      <w:pPr>
        <w:rPr>
          <w:rFonts w:eastAsiaTheme="minorEastAsia"/>
        </w:rPr>
      </w:pPr>
      <w:r>
        <w:rPr>
          <w:rFonts w:eastAsiaTheme="minorEastAsia"/>
        </w:rPr>
        <w:t xml:space="preserve">The off diagonal elements to the left and below the diagonal are the posterior mode for the first </w:t>
      </w:r>
      <m:oMath>
        <m:r>
          <w:rPr>
            <w:rFonts w:ascii="Cambria Math" w:eastAsiaTheme="minorEastAsia" w:hAnsi="Cambria Math"/>
          </w:rPr>
          <m:t>i-1</m:t>
        </m:r>
      </m:oMath>
      <w:r>
        <w:rPr>
          <w:rFonts w:eastAsiaTheme="minorEastAsia"/>
        </w:rPr>
        <w:t xml:space="preserve"> parameters of vector</w:t>
      </w:r>
      <m:oMath>
        <m:r>
          <w:rPr>
            <w:rFonts w:ascii="Cambria Math" w:eastAsiaTheme="minorEastAsia" w:hAnsi="Cambria Math"/>
          </w:rPr>
          <m:t xml:space="preserve"> </m:t>
        </m:r>
        <m:acc>
          <m:accPr>
            <m:ctrlPr>
              <w:rPr>
                <w:rFonts w:ascii="Cambria Math" w:hAnsi="Cambria Math"/>
                <w:i/>
              </w:rPr>
            </m:ctrlPr>
          </m:accPr>
          <m:e>
            <m:r>
              <w:rPr>
                <w:rFonts w:ascii="Cambria Math" w:hAnsi="Cambria Math"/>
              </w:rPr>
              <m:t>θ</m:t>
            </m:r>
          </m:e>
        </m:acc>
      </m:oMath>
      <w:r>
        <w:rPr>
          <w:rFonts w:eastAsiaTheme="minorEastAsia"/>
        </w:rPr>
        <w:t xml:space="preserve">. The diagonal elements for </w:t>
      </w:r>
      <m:oMath>
        <m:r>
          <w:rPr>
            <w:rFonts w:ascii="Cambria Math" w:eastAsiaTheme="minorEastAsia" w:hAnsi="Cambria Math"/>
          </w:rPr>
          <m:t>i=1,…,d</m:t>
        </m:r>
      </m:oMath>
      <w:r>
        <w:rPr>
          <w:rFonts w:eastAsiaTheme="minorEastAsia"/>
        </w:rPr>
        <w:t xml:space="preserve"> are estimated by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7090"/>
        <w:gridCol w:w="1120"/>
      </w:tblGrid>
      <w:tr w:rsidR="007568A9" w:rsidTr="000E0AEC">
        <w:trPr>
          <w:cantSplit/>
          <w:trHeight w:val="435"/>
        </w:trPr>
        <w:tc>
          <w:tcPr>
            <w:tcW w:w="534" w:type="dxa"/>
          </w:tcPr>
          <w:p w:rsidR="007568A9" w:rsidRDefault="007568A9" w:rsidP="007568A9"/>
        </w:tc>
        <w:tc>
          <w:tcPr>
            <w:tcW w:w="7512" w:type="dxa"/>
          </w:tcPr>
          <w:p w:rsidR="007568A9" w:rsidRPr="002367E4" w:rsidRDefault="00E729BA" w:rsidP="007568A9">
            <m:oMathPara>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r>
                  <w:rPr>
                    <w:rFonts w:ascii="Cambria Math" w:eastAsiaTheme="minorEastAsia" w:hAnsi="Cambria Math"/>
                  </w:rPr>
                  <m:t>=</m:t>
                </m:r>
                <m:sSup>
                  <m:sSupPr>
                    <m:ctrlPr>
                      <w:rPr>
                        <w:rFonts w:ascii="Cambria Math" w:eastAsiaTheme="minorEastAsia" w:hAnsi="Cambria Math"/>
                        <w:i/>
                      </w:rPr>
                    </m:ctrlPr>
                  </m:sSupPr>
                  <m:e>
                    <m:acc>
                      <m:accPr>
                        <m:ctrlPr>
                          <w:rPr>
                            <w:rFonts w:ascii="Cambria Math" w:eastAsiaTheme="minorEastAsia" w:hAnsi="Cambria Math"/>
                            <w:i/>
                          </w:rPr>
                        </m:ctrlPr>
                      </m:accPr>
                      <m:e>
                        <m:r>
                          <w:rPr>
                            <w:rFonts w:ascii="Cambria Math" w:eastAsiaTheme="minorEastAsia" w:hAnsi="Cambria Math"/>
                          </w:rPr>
                          <m:t>θ</m:t>
                        </m:r>
                      </m:e>
                    </m:acc>
                  </m:e>
                  <m:sup>
                    <m:r>
                      <w:rPr>
                        <w:rFonts w:ascii="Cambria Math" w:eastAsiaTheme="minorEastAsia" w:hAnsi="Cambria Math"/>
                      </w:rPr>
                      <m:t>i</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i</m:t>
                        </m:r>
                      </m:sup>
                    </m:sSup>
                    <m:r>
                      <w:rPr>
                        <w:rFonts w:ascii="Cambria Math" w:eastAsiaTheme="minorEastAsia" w:hAnsi="Cambria Math"/>
                      </w:rPr>
                      <m:t>)</m:t>
                    </m:r>
                  </m:e>
                  <m:sup>
                    <m:r>
                      <w:rPr>
                        <w:rFonts w:ascii="Cambria Math" w:eastAsiaTheme="minorEastAsia" w:hAnsi="Cambria Math"/>
                      </w:rPr>
                      <m:t>-</m:t>
                    </m:r>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 xml:space="preserve"> ,                 </m:t>
                </m:r>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pPr>
        <w:rPr>
          <w:rFonts w:eastAsiaTheme="minorEastAsia"/>
        </w:rPr>
      </w:pPr>
      <w:r>
        <w:rPr>
          <w:rFonts w:eastAsiaTheme="minorEastAsia"/>
        </w:rPr>
        <w:t xml:space="preserve">where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i</m:t>
            </m:r>
          </m:sup>
        </m:sSup>
      </m:oMath>
      <w:r>
        <w:rPr>
          <w:rFonts w:eastAsiaTheme="minorEastAsia"/>
        </w:rPr>
        <w:t xml:space="preserve"> is derived from the submatrix of </w:t>
      </w:r>
      <m:oMath>
        <m:r>
          <w:rPr>
            <w:rFonts w:ascii="Cambria Math" w:eastAsiaTheme="minorEastAsia" w:hAnsi="Cambria Math"/>
          </w:rPr>
          <m:t>j(θ)</m:t>
        </m:r>
      </m:oMath>
      <w:r>
        <w:rPr>
          <w:rFonts w:eastAsiaTheme="minorEastAsia"/>
        </w:rPr>
        <w:t xml:space="preserve"> at </w:t>
      </w:r>
      <m:oMath>
        <m:r>
          <w:rPr>
            <w:rFonts w:ascii="Cambria Math" w:eastAsiaTheme="minorEastAsia" w:hAnsi="Cambria Math"/>
          </w:rPr>
          <m:t>i</m:t>
        </m:r>
      </m:oMath>
      <w:r>
        <w:rPr>
          <w:rFonts w:eastAsiaTheme="minorEastAsia"/>
        </w:rPr>
        <w:t xml:space="preserve">, </w:t>
      </w:r>
      <m:oMath>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i</m:t>
            </m:r>
          </m:sup>
        </m:sSup>
        <m:r>
          <w:rPr>
            <w:rFonts w:ascii="Cambria Math" w:eastAsiaTheme="minorEastAsia" w:hAnsi="Cambria Math"/>
          </w:rPr>
          <m:t>(θ)</m:t>
        </m:r>
      </m:oMath>
      <w:r>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
        <w:gridCol w:w="7196"/>
        <w:gridCol w:w="1040"/>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eastAsiaTheme="minorEastAsia" w:hAnsi="Cambria Math"/>
                  </w:rPr>
                  <m:t>J=-</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e>
                                      <m:sup>
                                        <m:r>
                                          <w:rPr>
                                            <w:rFonts w:ascii="Cambria Math" w:eastAsiaTheme="minorEastAsia" w:hAnsi="Cambria Math"/>
                                          </w:rPr>
                                          <m:t>2</m:t>
                                        </m:r>
                                      </m:sup>
                                    </m:sSup>
                                  </m:den>
                                </m:f>
                              </m:e>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m:t>
                                    </m:r>
                                  </m:den>
                                </m:f>
                              </m:e>
                            </m:mr>
                            <m:m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1</m:t>
                                        </m:r>
                                      </m:sup>
                                    </m:sSup>
                                    <m:r>
                                      <w:rPr>
                                        <w:rFonts w:ascii="Cambria Math" w:eastAsiaTheme="minorEastAsia" w:hAnsi="Cambria Math"/>
                                      </w:rPr>
                                      <m:t>)</m:t>
                                    </m:r>
                                  </m:den>
                                </m:f>
                              </m:e>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2</m:t>
                                            </m:r>
                                          </m:sup>
                                        </m:sSup>
                                        <m:r>
                                          <w:rPr>
                                            <w:rFonts w:ascii="Cambria Math" w:eastAsiaTheme="minorEastAsia" w:hAnsi="Cambria Math"/>
                                          </w:rPr>
                                          <m:t>)</m:t>
                                        </m:r>
                                      </m:e>
                                      <m:sup>
                                        <m:r>
                                          <w:rPr>
                                            <w:rFonts w:ascii="Cambria Math" w:eastAsiaTheme="minorEastAsia" w:hAnsi="Cambria Math"/>
                                          </w:rPr>
                                          <m:t>2</m:t>
                                        </m:r>
                                      </m:sup>
                                    </m:sSup>
                                  </m:den>
                                </m:f>
                              </m:e>
                            </m:mr>
                          </m:m>
                        </m:e>
                        <m:e>
                          <m:m>
                            <m:mPr>
                              <m:mcs>
                                <m:mc>
                                  <m:mcPr>
                                    <m:count m:val="2"/>
                                    <m:mcJc m:val="center"/>
                                  </m:mcPr>
                                </m:mc>
                              </m:mcs>
                              <m:ctrlPr>
                                <w:rPr>
                                  <w:rFonts w:ascii="Cambria Math" w:eastAsiaTheme="minorEastAsia" w:hAnsi="Cambria Math"/>
                                  <w:i/>
                                  <w:color w:val="FFFFFF" w:themeColor="background1"/>
                                </w:rPr>
                              </m:ctrlPr>
                            </m:mPr>
                            <m:mr>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1</m:t>
                                            </m:r>
                                          </m:sup>
                                        </m:sSup>
                                        <m:r>
                                          <w:rPr>
                                            <w:rFonts w:ascii="Cambria Math" w:eastAsiaTheme="minorEastAsia" w:hAnsi="Cambria Math"/>
                                            <w:color w:val="FFFFFF" w:themeColor="background1"/>
                                          </w:rPr>
                                          <m:t>)</m:t>
                                        </m:r>
                                      </m:e>
                                      <m:sup>
                                        <m:r>
                                          <w:rPr>
                                            <w:rFonts w:ascii="Cambria Math" w:eastAsiaTheme="minorEastAsia" w:hAnsi="Cambria Math"/>
                                            <w:color w:val="FFFFFF" w:themeColor="background1"/>
                                          </w:rPr>
                                          <m:t>2</m:t>
                                        </m:r>
                                      </m:sup>
                                    </m:sSup>
                                  </m:den>
                                </m:f>
                              </m:e>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1</m:t>
                                        </m:r>
                                      </m:sup>
                                    </m:sSup>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m:t>
                                    </m:r>
                                  </m:den>
                                </m:f>
                              </m:e>
                            </m:mr>
                            <m:mr>
                              <m:e>
                                <m:m>
                                  <m:mPr>
                                    <m:mcs>
                                      <m:mc>
                                        <m:mcPr>
                                          <m:count m:val="1"/>
                                          <m:mcJc m:val="center"/>
                                        </m:mcPr>
                                      </m:mc>
                                    </m:mcs>
                                    <m:ctrlPr>
                                      <w:rPr>
                                        <w:rFonts w:ascii="Cambria Math" w:eastAsiaTheme="minorEastAsia" w:hAnsi="Cambria Math"/>
                                        <w:i/>
                                        <w:color w:val="000000" w:themeColor="text1"/>
                                      </w:rPr>
                                    </m:ctrlPr>
                                  </m:mPr>
                                  <m:mr>
                                    <m:e/>
                                  </m:mr>
                                  <m:mr>
                                    <m:e>
                                      <m:m>
                                        <m:mPr>
                                          <m:mcs>
                                            <m:mc>
                                              <m:mcPr>
                                                <m:count m:val="1"/>
                                                <m:mcJc m:val="center"/>
                                              </m:mcPr>
                                            </m:mc>
                                          </m:mcs>
                                          <m:ctrlPr>
                                            <w:rPr>
                                              <w:rFonts w:ascii="Cambria Math" w:hAnsi="Cambria Math"/>
                                              <w:i/>
                                              <w:color w:val="000000" w:themeColor="text1"/>
                                            </w:rPr>
                                          </m:ctrlPr>
                                        </m:mPr>
                                        <m:mr>
                                          <m:e>
                                            <m:m>
                                              <m:mPr>
                                                <m:mcs>
                                                  <m:mc>
                                                    <m:mcPr>
                                                      <m:count m:val="1"/>
                                                      <m:mcJc m:val="center"/>
                                                    </m:mcPr>
                                                  </m:mc>
                                                </m:mcs>
                                                <m:ctrlPr>
                                                  <w:rPr>
                                                    <w:rFonts w:ascii="Cambria Math" w:hAnsi="Cambria Math"/>
                                                    <w:i/>
                                                    <w:color w:val="000000" w:themeColor="text1"/>
                                                  </w:rPr>
                                                </m:ctrlPr>
                                              </m:mPr>
                                              <m:mr>
                                                <m:e/>
                                              </m:mr>
                                              <m:mr>
                                                <m:e/>
                                              </m:mr>
                                              <m:mr>
                                                <m:e/>
                                              </m:mr>
                                            </m:m>
                                          </m:e>
                                        </m:mr>
                                        <m:mr>
                                          <m:e>
                                            <m:r>
                                              <w:rPr>
                                                <w:rFonts w:ascii="Cambria Math" w:hAnsi="Cambria Math"/>
                                                <w:color w:val="000000" w:themeColor="text1"/>
                                              </w:rPr>
                                              <m:t>⋱</m:t>
                                            </m:r>
                                          </m:e>
                                        </m:mr>
                                      </m:m>
                                    </m:e>
                                  </m:mr>
                                </m:m>
                              </m:e>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m:t>
                                        </m:r>
                                      </m:e>
                                      <m:sup>
                                        <m:r>
                                          <w:rPr>
                                            <w:rFonts w:ascii="Cambria Math" w:eastAsiaTheme="minorEastAsia" w:hAnsi="Cambria Math"/>
                                            <w:color w:val="FFFFFF" w:themeColor="background1"/>
                                          </w:rPr>
                                          <m:t>2</m:t>
                                        </m:r>
                                      </m:sup>
                                    </m:sSup>
                                  </m:den>
                                </m:f>
                              </m:e>
                            </m:mr>
                          </m:m>
                        </m:e>
                      </m:mr>
                      <m:mr>
                        <m:e>
                          <m:m>
                            <m:mPr>
                              <m:mcs>
                                <m:mc>
                                  <m:mcPr>
                                    <m:count m:val="2"/>
                                    <m:mcJc m:val="center"/>
                                  </m:mcPr>
                                </m:mc>
                              </m:mcs>
                              <m:ctrlPr>
                                <w:rPr>
                                  <w:rFonts w:ascii="Cambria Math" w:eastAsiaTheme="minorEastAsia" w:hAnsi="Cambria Math"/>
                                  <w:i/>
                                  <w:color w:val="FFFFFF" w:themeColor="background1"/>
                                </w:rPr>
                              </m:ctrlPr>
                            </m:mPr>
                            <m:mr>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1</m:t>
                                            </m:r>
                                          </m:sup>
                                        </m:sSup>
                                        <m:r>
                                          <w:rPr>
                                            <w:rFonts w:ascii="Cambria Math" w:eastAsiaTheme="minorEastAsia" w:hAnsi="Cambria Math"/>
                                            <w:color w:val="FFFFFF" w:themeColor="background1"/>
                                          </w:rPr>
                                          <m:t>)</m:t>
                                        </m:r>
                                      </m:e>
                                      <m:sup>
                                        <m:r>
                                          <w:rPr>
                                            <w:rFonts w:ascii="Cambria Math" w:eastAsiaTheme="minorEastAsia" w:hAnsi="Cambria Math"/>
                                            <w:color w:val="FFFFFF" w:themeColor="background1"/>
                                          </w:rPr>
                                          <m:t>2</m:t>
                                        </m:r>
                                      </m:sup>
                                    </m:sSup>
                                  </m:den>
                                </m:f>
                              </m:e>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1</m:t>
                                        </m:r>
                                      </m:sup>
                                    </m:sSup>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m:t>
                                    </m:r>
                                  </m:den>
                                </m:f>
                              </m:e>
                            </m:mr>
                            <m:mr>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1</m:t>
                                        </m:r>
                                      </m:sup>
                                    </m:sSup>
                                    <m:r>
                                      <w:rPr>
                                        <w:rFonts w:ascii="Cambria Math" w:eastAsiaTheme="minorEastAsia" w:hAnsi="Cambria Math"/>
                                        <w:color w:val="FFFFFF" w:themeColor="background1"/>
                                      </w:rPr>
                                      <m:t>)</m:t>
                                    </m:r>
                                  </m:den>
                                </m:f>
                              </m:e>
                              <m:e>
                                <m:f>
                                  <m:fPr>
                                    <m:ctrlPr>
                                      <w:rPr>
                                        <w:rFonts w:ascii="Cambria Math" w:eastAsiaTheme="minorEastAsia" w:hAnsi="Cambria Math"/>
                                        <w:i/>
                                        <w:color w:val="FFFFFF" w:themeColor="background1"/>
                                      </w:rPr>
                                    </m:ctrlPr>
                                  </m:fPr>
                                  <m:num>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δ</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l(θ)</m:t>
                                    </m:r>
                                  </m:num>
                                  <m:den>
                                    <m:r>
                                      <w:rPr>
                                        <w:rFonts w:ascii="Cambria Math" w:eastAsiaTheme="minorEastAsia" w:hAnsi="Cambria Math"/>
                                        <w:color w:val="FFFFFF" w:themeColor="background1"/>
                                      </w:rPr>
                                      <m:t>δ</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m:t>
                                        </m:r>
                                        <m:sSup>
                                          <m:sSupPr>
                                            <m:ctrlPr>
                                              <w:rPr>
                                                <w:rFonts w:ascii="Cambria Math" w:eastAsiaTheme="minorEastAsia" w:hAnsi="Cambria Math"/>
                                                <w:i/>
                                                <w:color w:val="FFFFFF" w:themeColor="background1"/>
                                              </w:rPr>
                                            </m:ctrlPr>
                                          </m:sSupPr>
                                          <m:e>
                                            <m:r>
                                              <w:rPr>
                                                <w:rFonts w:ascii="Cambria Math" w:eastAsiaTheme="minorEastAsia" w:hAnsi="Cambria Math"/>
                                                <w:color w:val="FFFFFF" w:themeColor="background1"/>
                                              </w:rPr>
                                              <m:t>θ</m:t>
                                            </m:r>
                                          </m:e>
                                          <m:sup>
                                            <m:r>
                                              <w:rPr>
                                                <w:rFonts w:ascii="Cambria Math" w:eastAsiaTheme="minorEastAsia" w:hAnsi="Cambria Math"/>
                                                <w:color w:val="FFFFFF" w:themeColor="background1"/>
                                              </w:rPr>
                                              <m:t>2</m:t>
                                            </m:r>
                                          </m:sup>
                                        </m:sSup>
                                        <m:r>
                                          <w:rPr>
                                            <w:rFonts w:ascii="Cambria Math" w:eastAsiaTheme="minorEastAsia" w:hAnsi="Cambria Math"/>
                                            <w:color w:val="FFFFFF" w:themeColor="background1"/>
                                          </w:rPr>
                                          <m:t>)</m:t>
                                        </m:r>
                                      </m:e>
                                      <m:sup>
                                        <m:r>
                                          <w:rPr>
                                            <w:rFonts w:ascii="Cambria Math" w:eastAsiaTheme="minorEastAsia" w:hAnsi="Cambria Math"/>
                                            <w:color w:val="FFFFFF" w:themeColor="background1"/>
                                          </w:rPr>
                                          <m:t>2</m:t>
                                        </m:r>
                                      </m:sup>
                                    </m:sSup>
                                  </m:den>
                                </m:f>
                              </m:e>
                            </m:mr>
                          </m:m>
                        </m:e>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i</m:t>
                              </m:r>
                            </m:sup>
                          </m:sSup>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δ</m:t>
                                            </m:r>
                                          </m:e>
                                          <m:sup>
                                            <m:r>
                                              <w:rPr>
                                                <w:rFonts w:ascii="Cambria Math" w:eastAsiaTheme="minorEastAsia" w:hAnsi="Cambria Math"/>
                                              </w:rPr>
                                              <m:t>2</m:t>
                                            </m:r>
                                          </m:sup>
                                        </m:sSup>
                                        <m:r>
                                          <w:rPr>
                                            <w:rFonts w:ascii="Cambria Math" w:eastAsiaTheme="minorEastAsia" w:hAnsi="Cambria Math"/>
                                          </w:rPr>
                                          <m:t>l(θ)</m:t>
                                        </m:r>
                                      </m:num>
                                      <m:den>
                                        <m:r>
                                          <w:rPr>
                                            <w:rFonts w:ascii="Cambria Math" w:eastAsiaTheme="minorEastAsia" w:hAnsi="Cambria Math"/>
                                          </w:rPr>
                                          <m:t>δ</m:t>
                                        </m:r>
                                        <m:sSup>
                                          <m:sSupPr>
                                            <m:ctrlPr>
                                              <w:rPr>
                                                <w:rFonts w:ascii="Cambria Math" w:eastAsiaTheme="minorEastAsia" w:hAnsi="Cambria Math"/>
                                                <w:i/>
                                              </w:rPr>
                                            </m:ctrlPr>
                                          </m:sSupPr>
                                          <m:e>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i</m:t>
                                                </m:r>
                                              </m:sup>
                                            </m:sSup>
                                            <m:r>
                                              <w:rPr>
                                                <w:rFonts w:ascii="Cambria Math" w:eastAsiaTheme="minorEastAsia" w:hAnsi="Cambria Math"/>
                                              </w:rPr>
                                              <m:t>)</m:t>
                                            </m:r>
                                          </m:e>
                                          <m:sup>
                                            <m:r>
                                              <w:rPr>
                                                <w:rFonts w:ascii="Cambria Math" w:eastAsiaTheme="minorEastAsia" w:hAnsi="Cambria Math"/>
                                              </w:rPr>
                                              <m:t>2</m:t>
                                            </m:r>
                                          </m:sup>
                                        </m:sSup>
                                      </m:den>
                                    </m:f>
                                  </m:e>
                                  <m:e/>
                                </m:mr>
                                <m:mr>
                                  <m:e/>
                                  <m:e>
                                    <m:r>
                                      <w:rPr>
                                        <w:rFonts w:ascii="Cambria Math" w:hAnsi="Cambria Math"/>
                                      </w:rPr>
                                      <m:t>⋱</m:t>
                                    </m:r>
                                  </m:e>
                                </m:mr>
                              </m:m>
                            </m:e>
                          </m:d>
                        </m:e>
                      </m:mr>
                    </m:m>
                  </m:e>
                </m:d>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pPr>
        <w:rPr>
          <w:rFonts w:eastAsiaTheme="minorEastAsia"/>
        </w:rPr>
      </w:pPr>
      <w:r>
        <w:t xml:space="preserve">Where the sub-matrix </w:t>
      </w:r>
      <m:oMath>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i</m:t>
            </m:r>
          </m:sup>
        </m:sSup>
      </m:oMath>
      <w:r>
        <w:rPr>
          <w:rFonts w:eastAsiaTheme="minorEastAsia"/>
        </w:rPr>
        <w:t xml:space="preserve"> is inverted, and </w:t>
      </w:r>
      <m:oMath>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i</m:t>
            </m:r>
          </m:sup>
        </m:sSup>
      </m:oMath>
      <w:r>
        <w:rPr>
          <w:rFonts w:eastAsiaTheme="minorEastAsia"/>
        </w:rPr>
        <w:t xml:space="preserve"> is the first element of the inverted matrix </w:t>
      </w:r>
      <m:oMath>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i</m:t>
                    </m:r>
                  </m:sup>
                </m:sSup>
              </m:e>
            </m:d>
          </m:e>
          <m:sup>
            <m:r>
              <w:rPr>
                <w:rFonts w:ascii="Cambria Math" w:eastAsiaTheme="minorEastAsia" w:hAnsi="Cambria Math"/>
              </w:rPr>
              <m:t>-1</m:t>
            </m:r>
          </m:sup>
        </m:sSup>
      </m:oMath>
      <w:r>
        <w:rPr>
          <w:rFonts w:eastAsiaTheme="minorEastAsia"/>
        </w:rPr>
        <w:t>.</w:t>
      </w:r>
    </w:p>
    <w:p w:rsidR="00AA38E0" w:rsidRDefault="009F501C" w:rsidP="0004687B">
      <w:pPr>
        <w:rPr>
          <w:rFonts w:eastAsiaTheme="minorEastAsia"/>
        </w:rPr>
      </w:pPr>
      <w:r>
        <w:rPr>
          <w:rFonts w:eastAsiaTheme="minorEastAsia"/>
        </w:rPr>
        <w:t xml:space="preserve">Finally, the weights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Pr>
          <w:rFonts w:eastAsiaTheme="minorEastAsia"/>
        </w:rPr>
        <w:t xml:space="preserve"> are calculated from</w:t>
      </w:r>
      <w:r w:rsidR="00AA38E0">
        <w:rPr>
          <w:rFonts w:eastAsiaTheme="minorEastAsia"/>
        </w:rPr>
        <w:t xml:space="preserve"> partial derivative of the log-likelihood density</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oMath>
      <w:r>
        <w:rPr>
          <w:rFonts w:eastAsiaTheme="minorEastAsia"/>
        </w:rPr>
        <w:t xml:space="preserve">, </w:t>
      </w:r>
      <w:r w:rsidR="00AA38E0">
        <w:rPr>
          <w:rFonts w:eastAsiaTheme="minorEastAsia"/>
        </w:rPr>
        <w:t xml:space="preserve">and the function </w:t>
      </w:r>
      <m:oMath>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e>
        </m:d>
      </m:oMath>
      <w:r w:rsidR="00AA38E0">
        <w:rPr>
          <w:rFonts w:eastAsiaTheme="minorEastAsia"/>
        </w:rPr>
        <w:t>.</w:t>
      </w:r>
    </w:p>
    <w:p w:rsidR="00AA38E0" w:rsidRDefault="00E729BA" w:rsidP="0004687B">
      <w:pPr>
        <w:jc w:val="center"/>
      </w:pPr>
      <m:oMathPara>
        <m:oMath>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e>
          </m:d>
          <m:r>
            <w:rPr>
              <w:rFonts w:ascii="Cambria Math" w:eastAsiaTheme="minorEastAsia" w:hAnsi="Cambria Math"/>
            </w:rPr>
            <m:t>=</m:t>
          </m:r>
          <m:sSup>
            <m:sSupPr>
              <m:ctrlPr>
                <w:rPr>
                  <w:rFonts w:ascii="Cambria Math" w:eastAsiaTheme="minorEastAsia" w:hAnsi="Cambria Math"/>
                  <w:i/>
                </w:rPr>
              </m:ctrlPr>
            </m:sSupPr>
            <m:e>
              <m:d>
                <m:dPr>
                  <m:begChr m:val="|"/>
                  <m:endChr m:val="|"/>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i+1</m:t>
                      </m:r>
                    </m:sup>
                  </m:s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e>
              </m:d>
            </m:e>
            <m:sup>
              <m:r>
                <w:rPr>
                  <w:rFonts w:ascii="Cambria Math" w:eastAsiaTheme="minorEastAsia" w:hAnsi="Cambria Math"/>
                </w:rPr>
                <m:t>-</m:t>
              </m:r>
              <m:f>
                <m:fPr>
                  <m:type m:val="skw"/>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oMath>
      </m:oMathPara>
    </w:p>
    <w:p w:rsidR="001D7274" w:rsidRDefault="001D7274" w:rsidP="001D7274">
      <w:pPr>
        <w:rPr>
          <w:rFonts w:eastAsiaTheme="minorEastAsia"/>
        </w:rPr>
      </w:pPr>
      <w:r>
        <w:rPr>
          <w:rFonts w:eastAsiaTheme="minorEastAsia"/>
        </w:rPr>
        <w:t xml:space="preserve">The weights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m:t>
            </m:r>
          </m:sup>
        </m:sSup>
      </m:oMath>
      <w:r>
        <w:rPr>
          <w:rFonts w:eastAsiaTheme="minorEastAsia"/>
        </w:rPr>
        <w:t xml:space="preserve"> are estimated from </w:t>
      </w:r>
    </w:p>
    <w:p w:rsidR="001D7274" w:rsidRDefault="00E729BA" w:rsidP="00923D6B">
      <w:pPr>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i</m:t>
                      </m:r>
                    </m:sub>
                  </m:sSub>
                </m:e>
              </m:d>
            </m:e>
            <m:sup>
              <m:r>
                <w:rPr>
                  <w:rFonts w:ascii="Cambria Math" w:eastAsiaTheme="minorEastAsia" w:hAnsi="Cambria Math"/>
                </w:rPr>
                <m:t>-1</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den>
              </m:f>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 xml:space="preserve"> 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i</m:t>
                      </m:r>
                    </m:sub>
                  </m:sSub>
                </m:e>
              </m:d>
            </m:e>
            <m:sup>
              <m:r>
                <w:rPr>
                  <w:rFonts w:ascii="Cambria Math" w:eastAsiaTheme="minorEastAsia" w:hAnsi="Cambria Math"/>
                </w:rPr>
                <m:t>-1</m:t>
              </m:r>
            </m:sup>
          </m:sSup>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den>
              </m:f>
            </m:e>
          </m:d>
          <m:r>
            <w:rPr>
              <w:rFonts w:ascii="Cambria Math" w:eastAsiaTheme="minorEastAsia" w:hAnsi="Cambria Math"/>
            </w:rPr>
            <m:t xml:space="preserve">  </m:t>
          </m:r>
        </m:oMath>
      </m:oMathPara>
    </w:p>
    <w:p w:rsidR="00923D6B" w:rsidRDefault="00E729BA" w:rsidP="00923D6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τ</m:t>
              </m:r>
            </m:e>
            <m:sub>
              <m:r>
                <w:rPr>
                  <w:rFonts w:ascii="Cambria Math" w:eastAsiaTheme="minorEastAsia" w:hAnsi="Cambria Math"/>
                </w:rPr>
                <m:t>i</m:t>
              </m:r>
            </m:sub>
          </m:sSub>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den>
              </m:f>
            </m:e>
          </m:d>
          <m:r>
            <w:rPr>
              <w:rFonts w:ascii="Cambria Math" w:eastAsiaTheme="minorEastAsia" w:hAnsi="Cambria Math"/>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υ</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num>
                <m:den>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den>
              </m:f>
            </m:e>
          </m:d>
        </m:oMath>
      </m:oMathPara>
    </w:p>
    <w:p w:rsidR="009F501C" w:rsidRDefault="009F501C" w:rsidP="00AA38E0">
      <w:pPr>
        <w:rPr>
          <w:rFonts w:eastAsiaTheme="minorEastAsia"/>
        </w:rPr>
      </w:pPr>
      <w:r>
        <w:rPr>
          <w:rFonts w:eastAsiaTheme="minorEastAsia"/>
        </w:rPr>
        <w:t xml:space="preserve">Brennan and Karroubi (2007) </w:t>
      </w:r>
      <w:r w:rsidR="00AA38E0">
        <w:rPr>
          <w:rFonts w:eastAsiaTheme="minorEastAsia"/>
        </w:rPr>
        <w:t>estimate the partial derivative</w:t>
      </w:r>
      <w:r>
        <w:rPr>
          <w:rFonts w:eastAsiaTheme="minorEastAsia"/>
        </w:rPr>
        <w:t xml:space="preserve"> analytically. </w:t>
      </w:r>
      <m:oMath>
        <m:sSub>
          <m:sSubPr>
            <m:ctrlPr>
              <w:rPr>
                <w:rFonts w:ascii="Cambria Math" w:eastAsiaTheme="minorEastAsia" w:hAnsi="Cambria Math"/>
                <w:i/>
              </w:rPr>
            </m:ctrlPr>
          </m:sSubPr>
          <m:e>
            <m:r>
              <w:rPr>
                <w:rFonts w:ascii="Cambria Math" w:eastAsiaTheme="minorEastAsia" w:hAnsi="Cambria Math"/>
              </w:rPr>
              <m:t>ν</m:t>
            </m:r>
          </m:e>
          <m:sub>
            <m:r>
              <w:rPr>
                <w:rFonts w:ascii="Cambria Math" w:eastAsiaTheme="minorEastAsia" w:hAnsi="Cambria Math"/>
              </w:rPr>
              <m:t>i</m:t>
            </m:r>
          </m:sub>
        </m:sSub>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e>
        </m:d>
      </m:oMath>
      <w:r>
        <w:rPr>
          <w:rFonts w:eastAsiaTheme="minorEastAsia"/>
        </w:rPr>
        <w:t xml:space="preserve"> </w:t>
      </w:r>
      <w:r w:rsidR="00AA38E0">
        <w:rPr>
          <w:rFonts w:eastAsiaTheme="minorEastAsia"/>
        </w:rPr>
        <w:t>was</w:t>
      </w:r>
      <w:r>
        <w:rPr>
          <w:rFonts w:eastAsiaTheme="minorEastAsia"/>
        </w:rPr>
        <w:t xml:space="preserve"> obtained using the hessian </w:t>
      </w:r>
      <m:oMath>
        <m:r>
          <w:rPr>
            <w:rFonts w:ascii="Cambria Math" w:eastAsiaTheme="minorEastAsia" w:hAnsi="Cambria Math"/>
          </w:rPr>
          <m:t>j(θ)</m:t>
        </m:r>
      </m:oMath>
      <w:r>
        <w:rPr>
          <w:rFonts w:eastAsiaTheme="minorEastAsia"/>
        </w:rPr>
        <w:t xml:space="preserve"> matrix, and obtaining the sub-matrix </w:t>
      </w:r>
      <m:oMath>
        <m:sSup>
          <m:sSupPr>
            <m:ctrlPr>
              <w:rPr>
                <w:rFonts w:ascii="Cambria Math" w:eastAsiaTheme="minorEastAsia" w:hAnsi="Cambria Math"/>
                <w:i/>
              </w:rPr>
            </m:ctrlPr>
          </m:sSupPr>
          <m:e>
            <m:r>
              <w:rPr>
                <w:rFonts w:ascii="Cambria Math" w:eastAsiaTheme="minorEastAsia" w:hAnsi="Cambria Math"/>
              </w:rPr>
              <m:t>j</m:t>
            </m:r>
          </m:e>
          <m:sup>
            <m:d>
              <m:dPr>
                <m:ctrlPr>
                  <w:rPr>
                    <w:rFonts w:ascii="Cambria Math" w:eastAsiaTheme="minorEastAsia" w:hAnsi="Cambria Math"/>
                    <w:i/>
                  </w:rPr>
                </m:ctrlPr>
              </m:dPr>
              <m:e>
                <m:r>
                  <w:rPr>
                    <w:rFonts w:ascii="Cambria Math" w:eastAsiaTheme="minorEastAsia" w:hAnsi="Cambria Math"/>
                  </w:rPr>
                  <m:t>i+1</m:t>
                </m:r>
              </m:e>
            </m:d>
          </m:sup>
        </m:sSup>
        <m:r>
          <w:rPr>
            <w:rFonts w:ascii="Cambria Math" w:eastAsiaTheme="minorEastAsia" w:hAnsi="Cambria Math"/>
          </w:rPr>
          <m:t>(θ)</m:t>
        </m:r>
      </m:oMath>
      <w:r>
        <w:rPr>
          <w:rFonts w:eastAsiaTheme="minorEastAsia"/>
        </w:rPr>
        <w:t xml:space="preserve">, when </w:t>
      </w:r>
      <m:oMath>
        <m:r>
          <w:rPr>
            <w:rFonts w:ascii="Cambria Math" w:eastAsiaTheme="minorEastAsia" w:hAnsi="Cambria Math"/>
          </w:rPr>
          <m:t>θ=</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oMath>
      <w:r>
        <w:rPr>
          <w:rFonts w:eastAsiaTheme="minorEastAsia"/>
        </w:rPr>
        <w:t xml:space="preserve"> </w:t>
      </w:r>
    </w:p>
    <w:p w:rsidR="009F501C" w:rsidRDefault="009F501C" w:rsidP="009F501C">
      <w:pPr>
        <w:rPr>
          <w:rFonts w:eastAsiaTheme="minorEastAsia"/>
        </w:rPr>
      </w:pPr>
      <w:r>
        <w:rPr>
          <w:rFonts w:eastAsiaTheme="minorEastAsia"/>
        </w:rPr>
        <w:t xml:space="preserve">Brennan and Karroubi (2007) introduce a Health Economics case study to evaluate Net Benefit and let </w:t>
      </w:r>
      <m:oMath>
        <m:r>
          <w:rPr>
            <w:rFonts w:ascii="Cambria Math" w:eastAsiaTheme="minorEastAsia" w:hAnsi="Cambria Math"/>
          </w:rPr>
          <m:t xml:space="preserve"> v</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=NB(t,θ)</m:t>
        </m:r>
      </m:oMath>
      <w:r>
        <w:rPr>
          <w:rFonts w:eastAsiaTheme="minorEastAsia"/>
        </w:rPr>
        <w:t xml:space="preserve"> so that the Net Benefit of treatment </w:t>
      </w:r>
      <w:r>
        <w:rPr>
          <w:rFonts w:eastAsiaTheme="minorEastAsia"/>
          <w:i/>
          <w:iCs/>
        </w:rPr>
        <w:t>D</w:t>
      </w:r>
      <w:r>
        <w:rPr>
          <w:rFonts w:eastAsiaTheme="minorEastAsia"/>
        </w:rPr>
        <w:t xml:space="preserve"> can be evaluated given parameters </w:t>
      </w:r>
      <w:r w:rsidRPr="000312D7">
        <w:rPr>
          <w:rFonts w:eastAsiaTheme="minorEastAsia"/>
          <w:i/>
          <w:iCs/>
        </w:rPr>
        <w:t>θ</w:t>
      </w:r>
      <w:r>
        <w:rPr>
          <w:rFonts w:eastAsiaTheme="minorEastAsia"/>
        </w:rPr>
        <w:t>. They demonstrated that the inner expectation of the net benefit for data X can be approximated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7090"/>
        <w:gridCol w:w="1120"/>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eastAsiaTheme="minorEastAsia" w:hAnsi="Cambria Math"/>
                  </w:rPr>
                  <m:t>NB</m:t>
                </m:r>
                <m:d>
                  <m:dPr>
                    <m:ctrlPr>
                      <w:rPr>
                        <w:rFonts w:ascii="Cambria Math" w:eastAsiaTheme="minorEastAsia" w:hAnsi="Cambria Math"/>
                        <w:i/>
                      </w:rPr>
                    </m:ctrlPr>
                  </m:dPr>
                  <m:e>
                    <m:r>
                      <w:rPr>
                        <w:rFonts w:ascii="Cambria Math" w:eastAsiaTheme="minorEastAsia" w:hAnsi="Cambria Math"/>
                      </w:rPr>
                      <m:t>D,</m:t>
                    </m:r>
                    <m:acc>
                      <m:accPr>
                        <m:ctrlPr>
                          <w:rPr>
                            <w:rFonts w:ascii="Cambria Math" w:eastAsiaTheme="minorEastAsia" w:hAnsi="Cambria Math"/>
                            <w:i/>
                          </w:rPr>
                        </m:ctrlPr>
                      </m:accPr>
                      <m:e>
                        <m:r>
                          <w:rPr>
                            <w:rFonts w:ascii="Cambria Math" w:eastAsiaTheme="minorEastAsia" w:hAnsi="Cambria Math"/>
                          </w:rPr>
                          <m:t>θ</m:t>
                        </m:r>
                      </m:e>
                    </m:acc>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d</m:t>
                    </m:r>
                  </m:sup>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NB</m:t>
                        </m:r>
                        <m:d>
                          <m:dPr>
                            <m:ctrlPr>
                              <w:rPr>
                                <w:rFonts w:ascii="Cambria Math" w:eastAsiaTheme="minorEastAsia" w:hAnsi="Cambria Math"/>
                                <w:i/>
                              </w:rPr>
                            </m:ctrlPr>
                          </m:dPr>
                          <m:e>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NB</m:t>
                        </m:r>
                        <m:d>
                          <m:dPr>
                            <m:ctrlPr>
                              <w:rPr>
                                <w:rFonts w:ascii="Cambria Math" w:eastAsiaTheme="minorEastAsia" w:hAnsi="Cambria Math"/>
                                <w:i/>
                              </w:rPr>
                            </m:ctrlPr>
                          </m:dPr>
                          <m:e>
                            <m:r>
                              <w:rPr>
                                <w:rFonts w:ascii="Cambria Math" w:eastAsiaTheme="minorEastAsia" w:hAnsi="Cambria Math"/>
                              </w:rPr>
                              <m:t>D,</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e>
                        </m:d>
                        <m:r>
                          <w:rPr>
                            <w:rFonts w:ascii="Cambria Math" w:eastAsiaTheme="minorEastAsia" w:hAnsi="Cambria Math"/>
                          </w:rPr>
                          <m:t>-NB</m:t>
                        </m:r>
                        <m:d>
                          <m:dPr>
                            <m:ctrlPr>
                              <w:rPr>
                                <w:rFonts w:ascii="Cambria Math" w:eastAsiaTheme="minorEastAsia" w:hAnsi="Cambria Math"/>
                                <w:i/>
                              </w:rPr>
                            </m:ctrlPr>
                          </m:dPr>
                          <m:e>
                            <m:r>
                              <w:rPr>
                                <w:rFonts w:ascii="Cambria Math" w:eastAsiaTheme="minorEastAsia" w:hAnsi="Cambria Math"/>
                              </w:rPr>
                              <m:t>D,</m:t>
                            </m:r>
                            <m:acc>
                              <m:accPr>
                                <m:ctrlPr>
                                  <w:rPr>
                                    <w:rFonts w:ascii="Cambria Math" w:eastAsiaTheme="minorEastAsia" w:hAnsi="Cambria Math"/>
                                    <w:i/>
                                  </w:rPr>
                                </m:ctrlPr>
                              </m:accPr>
                              <m:e>
                                <m:r>
                                  <w:rPr>
                                    <w:rFonts w:ascii="Cambria Math" w:eastAsiaTheme="minorEastAsia" w:hAnsi="Cambria Math"/>
                                  </w:rPr>
                                  <m:t>θ</m:t>
                                </m:r>
                              </m:e>
                            </m:acc>
                          </m:e>
                        </m:d>
                      </m:e>
                    </m:d>
                  </m:e>
                </m:nary>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pPr>
        <w:rPr>
          <w:rFonts w:eastAsiaTheme="minorEastAsia"/>
        </w:rPr>
      </w:pPr>
      <w:r>
        <w:rPr>
          <w:rFonts w:eastAsiaTheme="minorEastAsia"/>
        </w:rPr>
        <w:t xml:space="preserve">If the net benefit function is linear, the </w:t>
      </w:r>
      <w:r w:rsidR="001A1797">
        <w:rPr>
          <w:rFonts w:eastAsiaTheme="minorEastAsia"/>
        </w:rPr>
        <w:t xml:space="preserve">CE </w:t>
      </w:r>
      <w:r>
        <w:rPr>
          <w:rFonts w:eastAsiaTheme="minorEastAsia"/>
        </w:rPr>
        <w:t xml:space="preserve">model parameters are independent and the probability distributions are symmetric then the first term of the equation will be accurate. However, if these conditions cannot be assumed then the second correction term will be required. Each approximation requires the net benefit to be estimated </w:t>
      </w:r>
      <m:oMath>
        <m:r>
          <w:rPr>
            <w:rFonts w:ascii="Cambria Math" w:eastAsiaTheme="minorEastAsia" w:hAnsi="Cambria Math"/>
          </w:rPr>
          <m:t>2d+1</m:t>
        </m:r>
      </m:oMath>
      <w:r>
        <w:rPr>
          <w:rFonts w:eastAsiaTheme="minorEastAsia"/>
        </w:rPr>
        <w:t xml:space="preserve"> times, because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 xml:space="preserve">, </m:t>
        </m:r>
        <m:r>
          <m:rPr>
            <m:sty m:val="p"/>
          </m:rPr>
          <w:rPr>
            <w:rFonts w:ascii="Cambria Math" w:eastAsiaTheme="minorEastAsia" w:hAnsi="Cambria Math"/>
          </w:rPr>
          <m:t>and</m:t>
        </m:r>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each required </w:t>
      </w:r>
      <w:r w:rsidRPr="000312D7">
        <w:rPr>
          <w:rFonts w:eastAsiaTheme="minorEastAsia"/>
          <w:i/>
          <w:iCs/>
        </w:rPr>
        <w:t>d</w:t>
      </w:r>
      <w:r>
        <w:rPr>
          <w:rFonts w:eastAsiaTheme="minorEastAsia"/>
        </w:rPr>
        <w:t xml:space="preserve"> evaluations of net benefit and a single evaluation is required for </w:t>
      </w:r>
      <m:oMath>
        <m:acc>
          <m:accPr>
            <m:ctrlPr>
              <w:rPr>
                <w:rFonts w:ascii="Cambria Math" w:eastAsiaTheme="minorEastAsia" w:hAnsi="Cambria Math"/>
                <w:i/>
              </w:rPr>
            </m:ctrlPr>
          </m:accPr>
          <m:e>
            <m:r>
              <w:rPr>
                <w:rFonts w:ascii="Cambria Math" w:eastAsiaTheme="minorEastAsia" w:hAnsi="Cambria Math"/>
              </w:rPr>
              <m:t>θ</m:t>
            </m:r>
          </m:e>
        </m:acc>
      </m:oMath>
      <w:r>
        <w:rPr>
          <w:rFonts w:eastAsiaTheme="minorEastAsia"/>
        </w:rPr>
        <w:t>. This can be included in the EVSI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7953"/>
        <w:gridCol w:w="665"/>
      </w:tblGrid>
      <w:tr w:rsidR="007568A9" w:rsidTr="00073A10">
        <w:trPr>
          <w:cantSplit/>
          <w:trHeight w:val="435"/>
        </w:trPr>
        <w:tc>
          <w:tcPr>
            <w:tcW w:w="8046" w:type="dxa"/>
          </w:tcPr>
          <w:p w:rsidR="007568A9" w:rsidRPr="002367E4" w:rsidRDefault="007568A9" w:rsidP="007568A9">
            <m:oMathPara>
              <m:oMath>
                <m:r>
                  <w:rPr>
                    <w:rFonts w:ascii="Cambria Math" w:eastAsiaTheme="minorEastAsia" w:hAnsi="Cambria Math"/>
                    <w:sz w:val="20"/>
                  </w:rPr>
                  <m:t>EVSI≅</m:t>
                </m:r>
                <m:sSub>
                  <m:sSubPr>
                    <m:ctrlPr>
                      <w:rPr>
                        <w:rFonts w:ascii="Cambria Math" w:eastAsiaTheme="minorEastAsia" w:hAnsi="Cambria Math"/>
                        <w:i/>
                        <w:sz w:val="20"/>
                      </w:rPr>
                    </m:ctrlPr>
                  </m:sSubPr>
                  <m:e>
                    <m:r>
                      <w:rPr>
                        <w:rFonts w:ascii="Cambria Math" w:eastAsiaTheme="minorEastAsia" w:hAnsi="Cambria Math"/>
                        <w:sz w:val="20"/>
                      </w:rPr>
                      <m:t>E</m:t>
                    </m:r>
                  </m:e>
                  <m:sub>
                    <m:sSub>
                      <m:sSubPr>
                        <m:ctrlPr>
                          <w:rPr>
                            <w:rFonts w:ascii="Cambria Math" w:eastAsiaTheme="minorEastAsia" w:hAnsi="Cambria Math"/>
                            <w:i/>
                            <w:sz w:val="20"/>
                          </w:rPr>
                        </m:ctrlPr>
                      </m:sSubPr>
                      <m:e>
                        <m:r>
                          <w:rPr>
                            <w:rFonts w:ascii="Cambria Math" w:eastAsiaTheme="minorEastAsia" w:hAnsi="Cambria Math"/>
                            <w:sz w:val="20"/>
                          </w:rPr>
                          <m:t>X</m:t>
                        </m:r>
                      </m:e>
                      <m:sub>
                        <m:sSub>
                          <m:sSubPr>
                            <m:ctrlPr>
                              <w:rPr>
                                <w:rFonts w:ascii="Cambria Math" w:eastAsiaTheme="minorEastAsia" w:hAnsi="Cambria Math"/>
                                <w:i/>
                                <w:sz w:val="20"/>
                              </w:rPr>
                            </m:ctrlPr>
                          </m:sSubPr>
                          <m:e>
                            <m:r>
                              <w:rPr>
                                <w:rFonts w:ascii="Cambria Math" w:eastAsiaTheme="minorEastAsia" w:hAnsi="Cambria Math"/>
                                <w:sz w:val="20"/>
                              </w:rPr>
                              <m:t>θ</m:t>
                            </m:r>
                          </m:e>
                          <m:sub>
                            <m:r>
                              <w:rPr>
                                <w:rFonts w:ascii="Cambria Math" w:eastAsiaTheme="minorEastAsia" w:hAnsi="Cambria Math"/>
                                <w:sz w:val="20"/>
                              </w:rPr>
                              <m:t>I</m:t>
                            </m:r>
                          </m:sub>
                        </m:sSub>
                      </m:sub>
                    </m:sSub>
                  </m:sub>
                </m:sSub>
                <m:func>
                  <m:funcPr>
                    <m:ctrlPr>
                      <w:rPr>
                        <w:rFonts w:ascii="Cambria Math" w:eastAsiaTheme="minorEastAsia" w:hAnsi="Cambria Math"/>
                        <w:i/>
                        <w:sz w:val="20"/>
                      </w:rPr>
                    </m:ctrlPr>
                  </m:funcPr>
                  <m:fName>
                    <m:limLow>
                      <m:limLowPr>
                        <m:ctrlPr>
                          <w:rPr>
                            <w:rFonts w:ascii="Cambria Math" w:eastAsiaTheme="minorEastAsia" w:hAnsi="Cambria Math"/>
                            <w:i/>
                            <w:sz w:val="20"/>
                          </w:rPr>
                        </m:ctrlPr>
                      </m:limLowPr>
                      <m:e>
                        <m:r>
                          <m:rPr>
                            <m:sty m:val="p"/>
                          </m:rPr>
                          <w:rPr>
                            <w:rFonts w:ascii="Cambria Math" w:hAnsi="Cambria Math"/>
                            <w:sz w:val="20"/>
                          </w:rPr>
                          <m:t>max</m:t>
                        </m:r>
                      </m:e>
                      <m:lim>
                        <m:r>
                          <w:rPr>
                            <w:rFonts w:ascii="Cambria Math" w:eastAsiaTheme="minorEastAsia" w:hAnsi="Cambria Math"/>
                            <w:sz w:val="20"/>
                          </w:rPr>
                          <m:t>t</m:t>
                        </m:r>
                      </m:lim>
                    </m:limLow>
                  </m:fName>
                  <m:e>
                    <m:d>
                      <m:dPr>
                        <m:begChr m:val="["/>
                        <m:endChr m:val="]"/>
                        <m:ctrlPr>
                          <w:rPr>
                            <w:rFonts w:ascii="Cambria Math" w:eastAsiaTheme="minorEastAsia" w:hAnsi="Cambria Math"/>
                            <w:i/>
                            <w:sz w:val="20"/>
                          </w:rPr>
                        </m:ctrlPr>
                      </m:dPr>
                      <m:e>
                        <m:r>
                          <w:rPr>
                            <w:rFonts w:ascii="Cambria Math" w:eastAsiaTheme="minorEastAsia" w:hAnsi="Cambria Math"/>
                            <w:sz w:val="20"/>
                          </w:rPr>
                          <m:t>NB</m:t>
                        </m:r>
                        <m:d>
                          <m:dPr>
                            <m:ctrlPr>
                              <w:rPr>
                                <w:rFonts w:ascii="Cambria Math" w:eastAsiaTheme="minorEastAsia" w:hAnsi="Cambria Math"/>
                                <w:i/>
                                <w:sz w:val="20"/>
                              </w:rPr>
                            </m:ctrlPr>
                          </m:dPr>
                          <m:e>
                            <m:r>
                              <w:rPr>
                                <w:rFonts w:ascii="Cambria Math" w:eastAsiaTheme="minorEastAsia" w:hAnsi="Cambria Math"/>
                                <w:sz w:val="20"/>
                              </w:rPr>
                              <m:t>D,</m:t>
                            </m:r>
                            <m:acc>
                              <m:accPr>
                                <m:ctrlPr>
                                  <w:rPr>
                                    <w:rFonts w:ascii="Cambria Math" w:eastAsiaTheme="minorEastAsia" w:hAnsi="Cambria Math"/>
                                    <w:i/>
                                    <w:sz w:val="20"/>
                                  </w:rPr>
                                </m:ctrlPr>
                              </m:accPr>
                              <m:e>
                                <m:r>
                                  <w:rPr>
                                    <w:rFonts w:ascii="Cambria Math" w:eastAsiaTheme="minorEastAsia" w:hAnsi="Cambria Math"/>
                                    <w:sz w:val="20"/>
                                  </w:rPr>
                                  <m:t>θ</m:t>
                                </m:r>
                              </m:e>
                            </m:acc>
                          </m:e>
                        </m:d>
                        <m:r>
                          <w:rPr>
                            <w:rFonts w:ascii="Cambria Math" w:eastAsiaTheme="minorEastAsia" w:hAnsi="Cambria Math"/>
                            <w:sz w:val="20"/>
                          </w:rPr>
                          <m:t>+</m:t>
                        </m:r>
                        <m:nary>
                          <m:naryPr>
                            <m:chr m:val="∑"/>
                            <m:limLoc m:val="undOvr"/>
                            <m:ctrlPr>
                              <w:rPr>
                                <w:rFonts w:ascii="Cambria Math" w:eastAsiaTheme="minorEastAsia" w:hAnsi="Cambria Math"/>
                                <w:i/>
                                <w:sz w:val="20"/>
                              </w:rPr>
                            </m:ctrlPr>
                          </m:naryPr>
                          <m:sub>
                            <m:r>
                              <w:rPr>
                                <w:rFonts w:ascii="Cambria Math" w:eastAsiaTheme="minorEastAsia" w:hAnsi="Cambria Math"/>
                                <w:sz w:val="20"/>
                              </w:rPr>
                              <m:t>i=1</m:t>
                            </m:r>
                          </m:sub>
                          <m:sup>
                            <m:r>
                              <w:rPr>
                                <w:rFonts w:ascii="Cambria Math" w:eastAsiaTheme="minorEastAsia" w:hAnsi="Cambria Math"/>
                                <w:sz w:val="20"/>
                              </w:rPr>
                              <m:t>d</m:t>
                            </m:r>
                          </m:sup>
                          <m:e>
                            <m:d>
                              <m:dPr>
                                <m:begChr m:val="{"/>
                                <m:endChr m:val="}"/>
                                <m:ctrlPr>
                                  <w:rPr>
                                    <w:rFonts w:ascii="Cambria Math" w:eastAsiaTheme="minorEastAsia" w:hAnsi="Cambria Math"/>
                                    <w:i/>
                                    <w:sz w:val="20"/>
                                  </w:rPr>
                                </m:ctrlPr>
                              </m:dPr>
                              <m:e>
                                <m:sSubSup>
                                  <m:sSubSupPr>
                                    <m:ctrlPr>
                                      <w:rPr>
                                        <w:rFonts w:ascii="Cambria Math" w:eastAsiaTheme="minorEastAsia" w:hAnsi="Cambria Math"/>
                                        <w:i/>
                                        <w:sz w:val="20"/>
                                      </w:rPr>
                                    </m:ctrlPr>
                                  </m:sSubSupPr>
                                  <m:e>
                                    <m:r>
                                      <w:rPr>
                                        <w:rFonts w:ascii="Cambria Math" w:eastAsiaTheme="minorEastAsia" w:hAnsi="Cambria Math"/>
                                        <w:sz w:val="20"/>
                                      </w:rPr>
                                      <m:t>α</m:t>
                                    </m:r>
                                  </m:e>
                                  <m:sub>
                                    <m:r>
                                      <w:rPr>
                                        <w:rFonts w:ascii="Cambria Math" w:eastAsiaTheme="minorEastAsia" w:hAnsi="Cambria Math"/>
                                        <w:sz w:val="20"/>
                                      </w:rPr>
                                      <m:t>i</m:t>
                                    </m:r>
                                  </m:sub>
                                  <m:sup>
                                    <m:r>
                                      <w:rPr>
                                        <w:rFonts w:ascii="Cambria Math" w:eastAsiaTheme="minorEastAsia" w:hAnsi="Cambria Math"/>
                                        <w:sz w:val="20"/>
                                      </w:rPr>
                                      <m:t>-</m:t>
                                    </m:r>
                                  </m:sup>
                                </m:sSubSup>
                                <m:r>
                                  <w:rPr>
                                    <w:rFonts w:ascii="Cambria Math" w:eastAsiaTheme="minorEastAsia" w:hAnsi="Cambria Math"/>
                                    <w:sz w:val="20"/>
                                  </w:rPr>
                                  <m:t>NB</m:t>
                                </m:r>
                                <m:d>
                                  <m:dPr>
                                    <m:ctrlPr>
                                      <w:rPr>
                                        <w:rFonts w:ascii="Cambria Math" w:eastAsiaTheme="minorEastAsia" w:hAnsi="Cambria Math"/>
                                        <w:i/>
                                        <w:sz w:val="20"/>
                                      </w:rPr>
                                    </m:ctrlPr>
                                  </m:dPr>
                                  <m:e>
                                    <m:r>
                                      <w:rPr>
                                        <w:rFonts w:ascii="Cambria Math" w:eastAsiaTheme="minorEastAsia" w:hAnsi="Cambria Math"/>
                                        <w:sz w:val="20"/>
                                      </w:rPr>
                                      <m:t>D,</m:t>
                                    </m:r>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i</m:t>
                                        </m:r>
                                      </m:sub>
                                      <m:sup>
                                        <m:r>
                                          <w:rPr>
                                            <w:rFonts w:ascii="Cambria Math" w:eastAsiaTheme="minorEastAsia" w:hAnsi="Cambria Math"/>
                                            <w:sz w:val="20"/>
                                          </w:rPr>
                                          <m:t>-</m:t>
                                        </m:r>
                                      </m:sup>
                                    </m:sSubSup>
                                  </m:e>
                                </m:d>
                                <m:r>
                                  <w:rPr>
                                    <w:rFonts w:ascii="Cambria Math" w:eastAsiaTheme="minorEastAsia" w:hAnsi="Cambria Math"/>
                                    <w:sz w:val="20"/>
                                  </w:rPr>
                                  <m:t>+</m:t>
                                </m:r>
                                <m:sSubSup>
                                  <m:sSubSupPr>
                                    <m:ctrlPr>
                                      <w:rPr>
                                        <w:rFonts w:ascii="Cambria Math" w:eastAsiaTheme="minorEastAsia" w:hAnsi="Cambria Math"/>
                                        <w:i/>
                                        <w:sz w:val="20"/>
                                      </w:rPr>
                                    </m:ctrlPr>
                                  </m:sSubSupPr>
                                  <m:e>
                                    <m:r>
                                      <w:rPr>
                                        <w:rFonts w:ascii="Cambria Math" w:eastAsiaTheme="minorEastAsia" w:hAnsi="Cambria Math"/>
                                        <w:sz w:val="20"/>
                                      </w:rPr>
                                      <m:t>α</m:t>
                                    </m:r>
                                  </m:e>
                                  <m:sub>
                                    <m:r>
                                      <w:rPr>
                                        <w:rFonts w:ascii="Cambria Math" w:eastAsiaTheme="minorEastAsia" w:hAnsi="Cambria Math"/>
                                        <w:sz w:val="20"/>
                                      </w:rPr>
                                      <m:t>i</m:t>
                                    </m:r>
                                  </m:sub>
                                  <m:sup>
                                    <m:r>
                                      <w:rPr>
                                        <w:rFonts w:ascii="Cambria Math" w:eastAsiaTheme="minorEastAsia" w:hAnsi="Cambria Math"/>
                                        <w:sz w:val="20"/>
                                      </w:rPr>
                                      <m:t>+</m:t>
                                    </m:r>
                                  </m:sup>
                                </m:sSubSup>
                                <m:r>
                                  <w:rPr>
                                    <w:rFonts w:ascii="Cambria Math" w:eastAsiaTheme="minorEastAsia" w:hAnsi="Cambria Math"/>
                                    <w:sz w:val="20"/>
                                  </w:rPr>
                                  <m:t>N</m:t>
                                </m:r>
                                <m:r>
                                  <w:rPr>
                                    <w:rFonts w:ascii="Cambria Math" w:eastAsiaTheme="minorEastAsia" w:hAnsi="Cambria Math"/>
                                    <w:sz w:val="20"/>
                                  </w:rPr>
                                  <m:t>B</m:t>
                                </m:r>
                                <m:d>
                                  <m:dPr>
                                    <m:ctrlPr>
                                      <w:rPr>
                                        <w:rFonts w:ascii="Cambria Math" w:eastAsiaTheme="minorEastAsia" w:hAnsi="Cambria Math"/>
                                        <w:i/>
                                        <w:sz w:val="20"/>
                                      </w:rPr>
                                    </m:ctrlPr>
                                  </m:dPr>
                                  <m:e>
                                    <m:r>
                                      <w:rPr>
                                        <w:rFonts w:ascii="Cambria Math" w:eastAsiaTheme="minorEastAsia" w:hAnsi="Cambria Math"/>
                                        <w:sz w:val="20"/>
                                      </w:rPr>
                                      <m:t>D,</m:t>
                                    </m:r>
                                    <m:sSubSup>
                                      <m:sSubSupPr>
                                        <m:ctrlPr>
                                          <w:rPr>
                                            <w:rFonts w:ascii="Cambria Math" w:eastAsiaTheme="minorEastAsia" w:hAnsi="Cambria Math"/>
                                            <w:i/>
                                            <w:sz w:val="20"/>
                                          </w:rPr>
                                        </m:ctrlPr>
                                      </m:sSubSupPr>
                                      <m:e>
                                        <m:r>
                                          <w:rPr>
                                            <w:rFonts w:ascii="Cambria Math" w:eastAsiaTheme="minorEastAsia" w:hAnsi="Cambria Math"/>
                                            <w:sz w:val="20"/>
                                          </w:rPr>
                                          <m:t>θ</m:t>
                                        </m:r>
                                      </m:e>
                                      <m:sub>
                                        <m:r>
                                          <w:rPr>
                                            <w:rFonts w:ascii="Cambria Math" w:eastAsiaTheme="minorEastAsia" w:hAnsi="Cambria Math"/>
                                            <w:sz w:val="20"/>
                                          </w:rPr>
                                          <m:t>i</m:t>
                                        </m:r>
                                      </m:sub>
                                      <m:sup>
                                        <m:r>
                                          <w:rPr>
                                            <w:rFonts w:ascii="Cambria Math" w:eastAsiaTheme="minorEastAsia" w:hAnsi="Cambria Math"/>
                                            <w:sz w:val="20"/>
                                          </w:rPr>
                                          <m:t>+</m:t>
                                        </m:r>
                                      </m:sup>
                                    </m:sSubSup>
                                  </m:e>
                                </m:d>
                                <m:r>
                                  <w:rPr>
                                    <w:rFonts w:ascii="Cambria Math" w:eastAsiaTheme="minorEastAsia" w:hAnsi="Cambria Math"/>
                                    <w:sz w:val="20"/>
                                  </w:rPr>
                                  <m:t>-NB</m:t>
                                </m:r>
                                <m:d>
                                  <m:dPr>
                                    <m:ctrlPr>
                                      <w:rPr>
                                        <w:rFonts w:ascii="Cambria Math" w:eastAsiaTheme="minorEastAsia" w:hAnsi="Cambria Math"/>
                                        <w:i/>
                                        <w:sz w:val="20"/>
                                      </w:rPr>
                                    </m:ctrlPr>
                                  </m:dPr>
                                  <m:e>
                                    <m:r>
                                      <w:rPr>
                                        <w:rFonts w:ascii="Cambria Math" w:eastAsiaTheme="minorEastAsia" w:hAnsi="Cambria Math"/>
                                        <w:sz w:val="20"/>
                                      </w:rPr>
                                      <m:t>D,</m:t>
                                    </m:r>
                                    <m:acc>
                                      <m:accPr>
                                        <m:ctrlPr>
                                          <w:rPr>
                                            <w:rFonts w:ascii="Cambria Math" w:eastAsiaTheme="minorEastAsia" w:hAnsi="Cambria Math"/>
                                            <w:i/>
                                            <w:sz w:val="20"/>
                                          </w:rPr>
                                        </m:ctrlPr>
                                      </m:accPr>
                                      <m:e>
                                        <m:r>
                                          <w:rPr>
                                            <w:rFonts w:ascii="Cambria Math" w:eastAsiaTheme="minorEastAsia" w:hAnsi="Cambria Math"/>
                                            <w:sz w:val="20"/>
                                          </w:rPr>
                                          <m:t>θ</m:t>
                                        </m:r>
                                      </m:e>
                                    </m:acc>
                                  </m:e>
                                </m:d>
                              </m:e>
                            </m:d>
                          </m:e>
                        </m:nary>
                        <m:r>
                          <w:rPr>
                            <w:rFonts w:ascii="Cambria Math" w:eastAsiaTheme="minorEastAsia" w:hAnsi="Cambria Math"/>
                            <w:sz w:val="20"/>
                          </w:rPr>
                          <m:t>-</m:t>
                        </m:r>
                        <m:func>
                          <m:funcPr>
                            <m:ctrlPr>
                              <w:rPr>
                                <w:rFonts w:ascii="Cambria Math" w:eastAsiaTheme="minorEastAsia" w:hAnsi="Cambria Math"/>
                                <w:i/>
                                <w:sz w:val="20"/>
                              </w:rPr>
                            </m:ctrlPr>
                          </m:funcPr>
                          <m:fName>
                            <m:limLow>
                              <m:limLowPr>
                                <m:ctrlPr>
                                  <w:rPr>
                                    <w:rFonts w:ascii="Cambria Math" w:eastAsiaTheme="minorEastAsia" w:hAnsi="Cambria Math"/>
                                    <w:i/>
                                    <w:sz w:val="20"/>
                                  </w:rPr>
                                </m:ctrlPr>
                              </m:limLowPr>
                              <m:e>
                                <m:r>
                                  <m:rPr>
                                    <m:sty m:val="p"/>
                                  </m:rPr>
                                  <w:rPr>
                                    <w:rFonts w:ascii="Cambria Math" w:hAnsi="Cambria Math"/>
                                    <w:sz w:val="20"/>
                                  </w:rPr>
                                  <m:t>max</m:t>
                                </m:r>
                              </m:e>
                              <m:lim>
                                <m:r>
                                  <w:rPr>
                                    <w:rFonts w:ascii="Cambria Math" w:eastAsiaTheme="minorEastAsia" w:hAnsi="Cambria Math"/>
                                    <w:sz w:val="20"/>
                                  </w:rPr>
                                  <m:t>t</m:t>
                                </m:r>
                              </m:lim>
                            </m:limLow>
                          </m:fName>
                          <m:e>
                            <m:sSub>
                              <m:sSubPr>
                                <m:ctrlPr>
                                  <w:rPr>
                                    <w:rFonts w:ascii="Cambria Math" w:eastAsiaTheme="minorEastAsia" w:hAnsi="Cambria Math"/>
                                    <w:i/>
                                    <w:sz w:val="20"/>
                                  </w:rPr>
                                </m:ctrlPr>
                              </m:sSubPr>
                              <m:e>
                                <m:r>
                                  <w:rPr>
                                    <w:rFonts w:ascii="Cambria Math" w:eastAsiaTheme="minorEastAsia" w:hAnsi="Cambria Math"/>
                                    <w:sz w:val="20"/>
                                  </w:rPr>
                                  <m:t>E</m:t>
                                </m:r>
                              </m:e>
                              <m:sub>
                                <m:r>
                                  <w:rPr>
                                    <w:rFonts w:ascii="Cambria Math" w:eastAsiaTheme="minorEastAsia" w:hAnsi="Cambria Math"/>
                                    <w:sz w:val="20"/>
                                  </w:rPr>
                                  <m:t>θ</m:t>
                                </m:r>
                              </m:sub>
                            </m:sSub>
                            <m:r>
                              <w:rPr>
                                <w:rFonts w:ascii="Cambria Math" w:eastAsiaTheme="minorEastAsia" w:hAnsi="Cambria Math"/>
                                <w:sz w:val="20"/>
                              </w:rPr>
                              <m:t>NB(D,θ)</m:t>
                            </m:r>
                          </m:e>
                        </m:func>
                      </m:e>
                    </m:d>
                  </m:e>
                </m:func>
              </m:oMath>
            </m:oMathPara>
          </w:p>
        </w:tc>
        <w:tc>
          <w:tcPr>
            <w:tcW w:w="674" w:type="dxa"/>
          </w:tcPr>
          <w:p w:rsidR="007568A9" w:rsidRDefault="007568A9" w:rsidP="00597CF5">
            <w:pPr>
              <w:pStyle w:val="ListParagraph"/>
              <w:numPr>
                <w:ilvl w:val="1"/>
                <w:numId w:val="30"/>
              </w:numPr>
              <w:bidi/>
              <w:ind w:right="220"/>
              <w:jc w:val="right"/>
            </w:pPr>
          </w:p>
        </w:tc>
      </w:tr>
    </w:tbl>
    <w:p w:rsidR="009F501C" w:rsidRDefault="009F501C" w:rsidP="009F501C">
      <w:pPr>
        <w:rPr>
          <w:rFonts w:eastAsiaTheme="minorEastAsia"/>
        </w:rPr>
      </w:pPr>
      <w:r>
        <w:rPr>
          <w:rFonts w:eastAsiaTheme="minorEastAsia"/>
        </w:rPr>
        <w:t>Brennan and Karroubi test the feasibility and accuracy of the approach has been demonstrated with two case studies. The case studies illustrate that the method can be used with a conjugate multivariate normal distribution and a non-conjugate Weibull distribution for survival data.</w:t>
      </w:r>
    </w:p>
    <w:p w:rsidR="009F501C" w:rsidRDefault="009F501C" w:rsidP="009F501C">
      <w:pPr>
        <w:pStyle w:val="Heading4"/>
      </w:pPr>
      <w:r>
        <w:t>Application of the B&amp;K Method to the SLE study</w:t>
      </w:r>
    </w:p>
    <w:p w:rsidR="00523422" w:rsidRDefault="009F501C" w:rsidP="00AA6784">
      <w:pPr>
        <w:rPr>
          <w:rFonts w:eastAsiaTheme="minorEastAsia"/>
        </w:rPr>
      </w:pPr>
      <w:r>
        <w:rPr>
          <w:rFonts w:eastAsiaTheme="minorEastAsia"/>
        </w:rPr>
        <w:t xml:space="preserve">I adopted the second-order B&amp;K method to approximate posterior </w:t>
      </w:r>
      <w:r w:rsidR="00FC2A86">
        <w:rPr>
          <w:rFonts w:eastAsiaTheme="minorEastAsia"/>
        </w:rPr>
        <w:t>CE model</w:t>
      </w:r>
      <w:r>
        <w:rPr>
          <w:rFonts w:eastAsiaTheme="minorEastAsia"/>
        </w:rPr>
        <w:t xml:space="preserve"> outcomes for SLE clinical trials to reduce the computational burden of the MCMC method. The SLE VOI analysis provided a case study to evaluate and help to progress methods for future applications of B&amp;K in E</w:t>
      </w:r>
      <w:r w:rsidR="00FC2A86">
        <w:rPr>
          <w:rFonts w:eastAsiaTheme="minorEastAsia"/>
        </w:rPr>
        <w:t>NBS</w:t>
      </w:r>
      <w:r>
        <w:rPr>
          <w:rFonts w:eastAsiaTheme="minorEastAsia"/>
        </w:rPr>
        <w:t xml:space="preserve"> studies. The SLE case study is very complex and applies the B&amp;K method </w:t>
      </w:r>
      <w:r w:rsidR="00AA6784">
        <w:rPr>
          <w:rFonts w:eastAsiaTheme="minorEastAsia"/>
        </w:rPr>
        <w:t>in an individual patient simulation with a large number of input parameters</w:t>
      </w:r>
      <w:r>
        <w:rPr>
          <w:rFonts w:eastAsiaTheme="minorEastAsia"/>
        </w:rPr>
        <w:t xml:space="preserve">. </w:t>
      </w:r>
      <w:r w:rsidR="00AA6784">
        <w:rPr>
          <w:rFonts w:eastAsiaTheme="minorEastAsia"/>
        </w:rPr>
        <w:t xml:space="preserve">The method would be faster and more straightforward if applied to a cohort model with fewer parameters. </w:t>
      </w:r>
      <w:r>
        <w:rPr>
          <w:rFonts w:eastAsiaTheme="minorEastAsia"/>
        </w:rPr>
        <w:t xml:space="preserve">The CE model includes 144 parameters, of which 82 would be updated with trial information. The CE model includes exponential, Gompertz, </w:t>
      </w:r>
      <w:r w:rsidR="00167AA5">
        <w:rPr>
          <w:rFonts w:eastAsiaTheme="minorEastAsia"/>
        </w:rPr>
        <w:t>L</w:t>
      </w:r>
      <w:r>
        <w:rPr>
          <w:rFonts w:eastAsiaTheme="minorEastAsia"/>
        </w:rPr>
        <w:t xml:space="preserve">og-logistic and linear regression which have not previously been used in the B&amp;K method. </w:t>
      </w:r>
      <w:r w:rsidR="00FC2A86">
        <w:rPr>
          <w:rFonts w:eastAsiaTheme="minorEastAsia"/>
        </w:rPr>
        <w:t>The log-likelihoods can be found in Appendix</w:t>
      </w:r>
      <w:r w:rsidR="007F49FE">
        <w:rPr>
          <w:rFonts w:eastAsiaTheme="minorEastAsia"/>
        </w:rPr>
        <w:t xml:space="preserve"> 18</w:t>
      </w:r>
      <w:r w:rsidR="00FC2A86">
        <w:rPr>
          <w:rFonts w:eastAsiaTheme="minorEastAsia"/>
        </w:rPr>
        <w:t xml:space="preserve">. </w:t>
      </w:r>
      <w:r>
        <w:rPr>
          <w:rFonts w:eastAsiaTheme="minorEastAsia"/>
        </w:rPr>
        <w:t xml:space="preserve">The SLE </w:t>
      </w:r>
      <w:r w:rsidR="001A1797">
        <w:rPr>
          <w:rFonts w:eastAsiaTheme="minorEastAsia"/>
        </w:rPr>
        <w:t>VOI analysis</w:t>
      </w:r>
      <w:r>
        <w:rPr>
          <w:rFonts w:eastAsiaTheme="minorEastAsia"/>
        </w:rPr>
        <w:t xml:space="preserve"> raised several challenges to implement the process. As a consequence, adaptations </w:t>
      </w:r>
      <w:r w:rsidR="00FC2A86">
        <w:rPr>
          <w:rFonts w:eastAsiaTheme="minorEastAsia"/>
        </w:rPr>
        <w:t xml:space="preserve">to the original R code used in the B&amp;K Weibull case study were made </w:t>
      </w:r>
      <w:r w:rsidR="00E729BA">
        <w:rPr>
          <w:rFonts w:eastAsiaTheme="minorEastAsia"/>
        </w:rPr>
        <w:fldChar w:fldCharType="begin"/>
      </w:r>
      <w:r w:rsidR="00FC61FD">
        <w:rPr>
          <w:rFonts w:eastAsiaTheme="minorEastAsia"/>
        </w:rPr>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rPr>
          <w:rFonts w:eastAsiaTheme="minorEastAsia"/>
        </w:rPr>
        <w:fldChar w:fldCharType="separate"/>
      </w:r>
      <w:r w:rsidR="0081424E">
        <w:rPr>
          <w:rFonts w:eastAsiaTheme="minorEastAsia"/>
        </w:rPr>
        <w:t>(115)</w:t>
      </w:r>
      <w:r w:rsidR="00E729BA">
        <w:rPr>
          <w:rFonts w:eastAsiaTheme="minorEastAsia"/>
        </w:rPr>
        <w:fldChar w:fldCharType="end"/>
      </w:r>
      <w:r>
        <w:rPr>
          <w:rFonts w:eastAsiaTheme="minorEastAsia"/>
        </w:rPr>
        <w:t>. In the following sections I describe four critical issues that were raised with the SLE case study and what measures were taken to overcome them.</w:t>
      </w:r>
    </w:p>
    <w:p w:rsidR="009F501C" w:rsidRDefault="009F501C" w:rsidP="009F501C">
      <w:pPr>
        <w:pStyle w:val="Heading5"/>
        <w:shd w:val="clear" w:color="auto" w:fill="FFFFFF" w:themeFill="background1"/>
        <w:spacing w:before="240" w:after="240" w:afterAutospacing="0" w:line="240" w:lineRule="auto"/>
        <w:ind w:left="1009" w:hanging="1009"/>
      </w:pPr>
      <w:r>
        <w:t>Excluding CE model parameters</w:t>
      </w:r>
    </w:p>
    <w:p w:rsidR="009F501C" w:rsidRPr="00F0036C" w:rsidRDefault="009F501C" w:rsidP="00A8172A">
      <w:pPr>
        <w:tabs>
          <w:tab w:val="left" w:pos="5222"/>
        </w:tabs>
        <w:rPr>
          <w:rFonts w:eastAsiaTheme="minorEastAsia"/>
        </w:rPr>
      </w:pPr>
      <w:r>
        <w:rPr>
          <w:rFonts w:eastAsiaTheme="minorEastAsia"/>
        </w:rPr>
        <w:t xml:space="preserve">I decided to include a subset of the CE model parameters in the </w:t>
      </w:r>
      <w:r w:rsidR="00A8172A">
        <w:rPr>
          <w:rFonts w:eastAsiaTheme="minorEastAsia"/>
        </w:rPr>
        <w:t>B&amp;K approximation</w:t>
      </w:r>
      <w:r>
        <w:rPr>
          <w:rFonts w:eastAsiaTheme="minorEastAsia"/>
        </w:rPr>
        <w:t>. This differs from the previous B&amp;K approaches in which</w:t>
      </w:r>
      <w:r w:rsidR="001A1797">
        <w:rPr>
          <w:rFonts w:eastAsiaTheme="minorEastAsia"/>
        </w:rPr>
        <w:t xml:space="preserve"> all</w:t>
      </w:r>
      <w:r>
        <w:rPr>
          <w:rFonts w:eastAsiaTheme="minorEastAsia"/>
        </w:rPr>
        <w:t xml:space="preserve"> </w:t>
      </w:r>
      <w:r w:rsidR="001A1797">
        <w:rPr>
          <w:rFonts w:eastAsiaTheme="minorEastAsia"/>
        </w:rPr>
        <w:t xml:space="preserve">CE </w:t>
      </w:r>
      <w:r>
        <w:rPr>
          <w:rFonts w:eastAsiaTheme="minorEastAsia"/>
        </w:rPr>
        <w:t xml:space="preserve">model parameters were included whether they were updated or not. The SLE CE model included three linear regression models, four Weibull survival models, five exponential survival models, two Gompertz survival models, three log-logistic survival models, and forty eight single parameters for costs and utilities. The </w:t>
      </w:r>
      <w:r w:rsidR="00A8172A">
        <w:rPr>
          <w:rFonts w:eastAsiaTheme="minorEastAsia"/>
        </w:rPr>
        <w:t>CE model parameters can be combined</w:t>
      </w:r>
      <w:r>
        <w:rPr>
          <w:rFonts w:eastAsiaTheme="minorEastAsia"/>
        </w:rPr>
        <w:t xml:space="preserve"> into a single multivariate normal prior distribution. However, only a sub-set of these parameters will be updated with data from the clinical trial. The speed of the approximation is conditional on the number of parameters in the prior </w:t>
      </w:r>
      <m:oMath>
        <m:r>
          <w:rPr>
            <w:rFonts w:ascii="Cambria Math" w:eastAsiaTheme="minorEastAsia" w:hAnsi="Cambria Math"/>
          </w:rPr>
          <m:t>(2d+1)</m:t>
        </m:r>
      </m:oMath>
      <w:r>
        <w:rPr>
          <w:rFonts w:eastAsiaTheme="minorEastAsia"/>
        </w:rPr>
        <w:t xml:space="preserve">, because this determines the number of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that are calculated to make the second-order approximation. There were substantial efficiency benefits to be gained from excluding those parameters for which data would not be collected in the clinical trial. In the final specification of the B&amp;K approximation it was estimated that each parameter contributed approximately 68 seconds to the process. Therefore, including the 63 parameters of the CE model that were not updated with trial data </w:t>
      </w:r>
      <w:r w:rsidR="00A8172A">
        <w:rPr>
          <w:rFonts w:eastAsiaTheme="minorEastAsia"/>
        </w:rPr>
        <w:t>would add at least</w:t>
      </w:r>
      <w:r>
        <w:rPr>
          <w:rFonts w:eastAsiaTheme="minorEastAsia"/>
        </w:rPr>
        <w:t xml:space="preserve"> an hour to the calculation time of each B&amp;K </w:t>
      </w:r>
      <w:r w:rsidR="00A8172A">
        <w:rPr>
          <w:rFonts w:eastAsiaTheme="minorEastAsia"/>
        </w:rPr>
        <w:t>approximation</w:t>
      </w:r>
      <w:r>
        <w:rPr>
          <w:rFonts w:eastAsiaTheme="minorEastAsia"/>
        </w:rPr>
        <w:t xml:space="preserve">.  </w:t>
      </w:r>
    </w:p>
    <w:p w:rsidR="009F501C" w:rsidRDefault="009F501C" w:rsidP="001A23A1">
      <w:pPr>
        <w:tabs>
          <w:tab w:val="left" w:pos="5222"/>
        </w:tabs>
        <w:rPr>
          <w:rFonts w:eastAsiaTheme="minorEastAsia"/>
        </w:rPr>
      </w:pPr>
      <w:r>
        <w:rPr>
          <w:rFonts w:eastAsiaTheme="minorEastAsia"/>
        </w:rPr>
        <w:t>The mean values for the prior distributions of the excluded parameters were used to calculate the posterior health economic outcomes from the CE model. This was equivalent to assuming that they are</w:t>
      </w:r>
      <w:r w:rsidR="00A8172A">
        <w:rPr>
          <w:rFonts w:eastAsiaTheme="minorEastAsia"/>
        </w:rPr>
        <w:t xml:space="preserve"> uncorrelated with other parameters and have</w:t>
      </w:r>
      <w:r>
        <w:rPr>
          <w:rFonts w:eastAsiaTheme="minorEastAsia"/>
        </w:rPr>
        <w:t xml:space="preserve"> symmetrical </w:t>
      </w:r>
      <w:r w:rsidR="00F331D3">
        <w:rPr>
          <w:rFonts w:eastAsiaTheme="minorEastAsia"/>
        </w:rPr>
        <w:t>distribution</w:t>
      </w:r>
      <w:r w:rsidR="00A8172A">
        <w:rPr>
          <w:rFonts w:eastAsiaTheme="minorEastAsia"/>
        </w:rPr>
        <w:t>. Whilst this may</w:t>
      </w:r>
      <w:r>
        <w:rPr>
          <w:rFonts w:eastAsiaTheme="minorEastAsia"/>
        </w:rPr>
        <w:t xml:space="preserve"> not </w:t>
      </w:r>
      <w:r w:rsidR="00A8172A">
        <w:rPr>
          <w:rFonts w:eastAsiaTheme="minorEastAsia"/>
        </w:rPr>
        <w:t>be a</w:t>
      </w:r>
      <w:r>
        <w:rPr>
          <w:rFonts w:eastAsiaTheme="minorEastAsia"/>
        </w:rPr>
        <w:t xml:space="preserve"> true reflection of the prior information on parameters it is justifiable if the parameter</w:t>
      </w:r>
      <w:r w:rsidR="0004687B">
        <w:rPr>
          <w:rFonts w:eastAsiaTheme="minorEastAsia"/>
        </w:rPr>
        <w:t>s</w:t>
      </w:r>
      <w:r>
        <w:rPr>
          <w:rFonts w:eastAsiaTheme="minorEastAsia"/>
        </w:rPr>
        <w:t xml:space="preserve"> have a linear relationship with the health economic outcomes of the </w:t>
      </w:r>
      <w:r w:rsidR="001A1797">
        <w:rPr>
          <w:rFonts w:eastAsiaTheme="minorEastAsia"/>
        </w:rPr>
        <w:t xml:space="preserve">CE </w:t>
      </w:r>
      <w:r>
        <w:rPr>
          <w:rFonts w:eastAsiaTheme="minorEastAsia"/>
        </w:rPr>
        <w:t xml:space="preserve">model. The ANCOVA investigation of the CE model described in section </w:t>
      </w:r>
      <w:r w:rsidR="00E729BA">
        <w:rPr>
          <w:rFonts w:eastAsiaTheme="minorEastAsia"/>
        </w:rPr>
        <w:fldChar w:fldCharType="begin"/>
      </w:r>
      <w:r w:rsidR="00A8172A">
        <w:rPr>
          <w:rFonts w:eastAsiaTheme="minorEastAsia"/>
        </w:rPr>
        <w:instrText xml:space="preserve"> REF _Ref355270964 \n \h </w:instrText>
      </w:r>
      <w:r w:rsidR="00E729BA">
        <w:rPr>
          <w:rFonts w:eastAsiaTheme="minorEastAsia"/>
        </w:rPr>
      </w:r>
      <w:r w:rsidR="00E729BA">
        <w:rPr>
          <w:rFonts w:eastAsiaTheme="minorEastAsia"/>
        </w:rPr>
        <w:fldChar w:fldCharType="separate"/>
      </w:r>
      <w:r w:rsidR="004911B7">
        <w:rPr>
          <w:rFonts w:eastAsiaTheme="minorEastAsia"/>
          <w:cs/>
        </w:rPr>
        <w:t>‎</w:t>
      </w:r>
      <w:r w:rsidR="004911B7">
        <w:rPr>
          <w:rFonts w:eastAsiaTheme="minorEastAsia"/>
        </w:rPr>
        <w:t>7.4.3</w:t>
      </w:r>
      <w:r w:rsidR="00E729BA">
        <w:rPr>
          <w:rFonts w:eastAsiaTheme="minorEastAsia"/>
        </w:rPr>
        <w:fldChar w:fldCharType="end"/>
      </w:r>
      <w:r w:rsidR="00A8172A">
        <w:rPr>
          <w:rFonts w:eastAsiaTheme="minorEastAsia"/>
        </w:rPr>
        <w:t xml:space="preserve"> </w:t>
      </w:r>
      <w:r>
        <w:rPr>
          <w:rFonts w:eastAsiaTheme="minorEastAsia"/>
        </w:rPr>
        <w:t xml:space="preserve">showed that the parameters contribute a small amount to the variation in </w:t>
      </w:r>
      <w:r w:rsidR="00FE7941">
        <w:rPr>
          <w:rFonts w:eastAsiaTheme="minorEastAsia"/>
        </w:rPr>
        <w:t>value-based price</w:t>
      </w:r>
      <w:r>
        <w:rPr>
          <w:rFonts w:eastAsiaTheme="minorEastAsia"/>
        </w:rPr>
        <w:t xml:space="preserve"> and Net Benefit. </w:t>
      </w:r>
    </w:p>
    <w:p w:rsidR="009F501C" w:rsidRDefault="009F501C" w:rsidP="009F501C">
      <w:pPr>
        <w:tabs>
          <w:tab w:val="left" w:pos="5222"/>
        </w:tabs>
        <w:rPr>
          <w:rFonts w:eastAsiaTheme="minorEastAsia"/>
        </w:rPr>
      </w:pPr>
      <w:r>
        <w:rPr>
          <w:rFonts w:eastAsiaTheme="minorEastAsia"/>
        </w:rPr>
        <w:t xml:space="preserve">After the 63 parameters were excluded from the approximation the remaining prior consisted of a multivariate normal distribution with </w:t>
      </w:r>
      <m:oMath>
        <m:r>
          <w:rPr>
            <w:rFonts w:ascii="Cambria Math" w:eastAsiaTheme="minorEastAsia" w:hAnsi="Cambria Math"/>
          </w:rPr>
          <m:t>d=82</m:t>
        </m:r>
      </m:oMath>
      <w:r>
        <w:rPr>
          <w:rFonts w:eastAsiaTheme="minorEastAsia"/>
        </w:rPr>
        <w:t xml:space="preserve"> dimensions</w:t>
      </w:r>
      <m:oMath>
        <m:r>
          <w:rPr>
            <w:rFonts w:ascii="Cambria Math" w:eastAsiaTheme="minorEastAsia" w:hAnsi="Cambria Math"/>
          </w:rPr>
          <m:t xml:space="preserve"> θ</m:t>
        </m:r>
      </m:oMath>
      <w:r>
        <w:rPr>
          <w:rFonts w:eastAsiaTheme="minorEastAsia"/>
        </w:rPr>
        <w:t xml:space="preserve">, mean </w:t>
      </w:r>
      <m:oMath>
        <m:r>
          <w:rPr>
            <w:rFonts w:ascii="Cambria Math" w:eastAsiaTheme="minorEastAsia" w:hAnsi="Cambria Math"/>
          </w:rPr>
          <m:t>μ</m:t>
        </m:r>
      </m:oMath>
      <w:r>
        <w:rPr>
          <w:rFonts w:eastAsiaTheme="minorEastAsia"/>
        </w:rPr>
        <w:t xml:space="preserve"> and variance matrix</w:t>
      </w:r>
      <m:oMath>
        <m:r>
          <w:rPr>
            <w:rFonts w:ascii="Cambria Math" w:eastAsiaTheme="minorEastAsia" w:hAnsi="Cambria Math"/>
          </w:rPr>
          <m:t xml:space="preserve"> ΣƩ</m:t>
        </m:r>
      </m:oMath>
      <w:r>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
        <w:gridCol w:w="7099"/>
        <w:gridCol w:w="1114"/>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eastAsiaTheme="minorEastAsia" w:hAnsi="Cambria Math"/>
                  </w:rPr>
                  <m:t>Prior p</m:t>
                </m:r>
                <m:d>
                  <m:dPr>
                    <m:ctrlPr>
                      <w:rPr>
                        <w:rFonts w:ascii="Cambria Math" w:eastAsiaTheme="minorEastAsia" w:hAnsi="Cambria Math"/>
                        <w:i/>
                      </w:rPr>
                    </m:ctrlPr>
                  </m:dPr>
                  <m:e>
                    <m:r>
                      <w:rPr>
                        <w:rFonts w:ascii="Cambria Math" w:eastAsiaTheme="minorEastAsia" w:hAnsi="Cambria Math"/>
                      </w:rPr>
                      <m:t>θ</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on"/>
                        <m:ctrlPr>
                          <w:rPr>
                            <w:rFonts w:ascii="Cambria Math" w:eastAsiaTheme="minorEastAsia" w:hAnsi="Cambria Math"/>
                            <w:i/>
                          </w:rPr>
                        </m:ctrlPr>
                      </m:radPr>
                      <m:deg/>
                      <m:e>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2π</m:t>
                                </m:r>
                              </m:e>
                            </m:d>
                          </m:e>
                          <m:sup>
                            <m:r>
                              <w:rPr>
                                <w:rFonts w:ascii="Cambria Math" w:eastAsiaTheme="minorEastAsia" w:hAnsi="Cambria Math"/>
                              </w:rPr>
                              <m:t>d</m:t>
                            </m:r>
                          </m:sup>
                        </m:sSup>
                        <m:d>
                          <m:dPr>
                            <m:begChr m:val="|"/>
                            <m:endChr m:val="|"/>
                            <m:ctrlPr>
                              <w:rPr>
                                <w:rFonts w:ascii="Cambria Math" w:eastAsiaTheme="minorEastAsia" w:hAnsi="Cambria Math"/>
                                <w:i/>
                              </w:rPr>
                            </m:ctrlPr>
                          </m:dPr>
                          <m:e>
                            <m:r>
                              <w:rPr>
                                <w:rFonts w:ascii="Cambria Math" w:eastAsiaTheme="minorEastAsia" w:hAnsi="Cambria Math"/>
                              </w:rPr>
                              <m:t>Σ</m:t>
                            </m:r>
                          </m:e>
                        </m:d>
                      </m:e>
                    </m:rad>
                  </m:den>
                </m:f>
                <m:r>
                  <m:rPr>
                    <m:sty m:val="p"/>
                  </m:rPr>
                  <w:rPr>
                    <w:rFonts w:ascii="Cambria Math" w:eastAsiaTheme="minorEastAsia" w:hAnsi="Cambria Math"/>
                  </w:rPr>
                  <m:t>exp⁡</m:t>
                </m:r>
                <m:r>
                  <w:rPr>
                    <w:rFonts w:ascii="Cambria Math" w:eastAsiaTheme="minorEastAsia" w:hAnsi="Cambria Math"/>
                  </w:rPr>
                  <m:t>(-0.5</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θ-µ</m:t>
                        </m:r>
                      </m:e>
                    </m:d>
                  </m:e>
                  <m:sup>
                    <m:r>
                      <w:rPr>
                        <w:rFonts w:ascii="Cambria Math" w:eastAsiaTheme="minorEastAsia" w:hAnsi="Cambria Math"/>
                      </w:rPr>
                      <m:t>T</m:t>
                    </m:r>
                  </m:sup>
                </m:sSup>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-1</m:t>
                    </m:r>
                  </m:sup>
                </m:sSup>
                <m:d>
                  <m:dPr>
                    <m:ctrlPr>
                      <w:rPr>
                        <w:rFonts w:ascii="Cambria Math" w:eastAsiaTheme="minorEastAsia" w:hAnsi="Cambria Math"/>
                        <w:i/>
                      </w:rPr>
                    </m:ctrlPr>
                  </m:dPr>
                  <m:e>
                    <m:r>
                      <w:rPr>
                        <w:rFonts w:ascii="Cambria Math" w:eastAsiaTheme="minorEastAsia" w:hAnsi="Cambria Math"/>
                      </w:rPr>
                      <m:t>θ-µ</m:t>
                    </m:r>
                  </m:e>
                </m:d>
                <m:r>
                  <w:rPr>
                    <w:rFonts w:ascii="Cambria Math" w:eastAsiaTheme="minorEastAsia" w:hAnsi="Cambria Math"/>
                  </w:rPr>
                  <m:t>)</m:t>
                </m:r>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pPr>
        <w:pStyle w:val="Heading5"/>
        <w:shd w:val="clear" w:color="auto" w:fill="FFFFFF" w:themeFill="background1"/>
        <w:spacing w:before="240" w:after="240" w:afterAutospacing="0" w:line="240" w:lineRule="auto"/>
        <w:ind w:left="1009" w:hanging="1009"/>
      </w:pPr>
      <w:r>
        <w:t>Bayesian Updating Regression Models Independently</w:t>
      </w:r>
    </w:p>
    <w:p w:rsidR="009F501C" w:rsidRDefault="00A8172A" w:rsidP="0004687B">
      <w:pPr>
        <w:tabs>
          <w:tab w:val="left" w:pos="5222"/>
        </w:tabs>
        <w:rPr>
          <w:rFonts w:eastAsiaTheme="minorEastAsia"/>
        </w:rPr>
      </w:pPr>
      <w:r>
        <w:rPr>
          <w:rFonts w:eastAsiaTheme="minorEastAsia"/>
        </w:rPr>
        <w:t xml:space="preserve">The log-likelihood for the data is very complex because it is the sum of individual likelihood functions for the regression models of the natural history model. </w:t>
      </w:r>
      <w:r w:rsidR="009F501C" w:rsidRPr="00FC01D9">
        <w:rPr>
          <w:rFonts w:eastAsiaTheme="minorEastAsia"/>
        </w:rPr>
        <w:t xml:space="preserve">The maximisation process on the log-posterior density was problematic using R </w:t>
      </w:r>
      <w:r w:rsidR="009F501C" w:rsidRPr="00FC01D9">
        <w:rPr>
          <w:rFonts w:eastAsiaTheme="minorEastAsia"/>
          <w:i/>
          <w:iCs/>
        </w:rPr>
        <w:t>optim</w:t>
      </w:r>
      <w:r w:rsidR="009F501C" w:rsidRPr="00FC01D9">
        <w:rPr>
          <w:rFonts w:eastAsiaTheme="minorEastAsia"/>
        </w:rPr>
        <w:t xml:space="preserve"> function</w:t>
      </w:r>
      <w:r>
        <w:rPr>
          <w:rFonts w:eastAsiaTheme="minorEastAsia"/>
        </w:rPr>
        <w:t xml:space="preserve"> from the standard </w:t>
      </w:r>
      <w:r w:rsidRPr="00A8172A">
        <w:rPr>
          <w:rFonts w:eastAsiaTheme="minorEastAsia"/>
          <w:i/>
          <w:iCs/>
        </w:rPr>
        <w:t>stats</w:t>
      </w:r>
      <w:r>
        <w:rPr>
          <w:rFonts w:eastAsiaTheme="minorEastAsia"/>
        </w:rPr>
        <w:t xml:space="preserve"> package</w:t>
      </w:r>
      <w:r w:rsidR="009F501C" w:rsidRPr="00FC01D9">
        <w:rPr>
          <w:rFonts w:eastAsiaTheme="minorEastAsia"/>
        </w:rPr>
        <w:t xml:space="preserve">. The function required </w:t>
      </w:r>
      <w:r w:rsidR="0004687B">
        <w:rPr>
          <w:rFonts w:eastAsiaTheme="minorEastAsia"/>
        </w:rPr>
        <w:t>more than 100,000</w:t>
      </w:r>
      <w:r w:rsidR="009F501C" w:rsidRPr="00FC01D9">
        <w:rPr>
          <w:rFonts w:eastAsiaTheme="minorEastAsia"/>
        </w:rPr>
        <w:t xml:space="preserve"> iterations to complete the process correctly, with very small values for the step and gradient tolerance (0.00001).  The</w:t>
      </w:r>
      <w:r w:rsidR="009F501C">
        <w:rPr>
          <w:rFonts w:eastAsiaTheme="minorEastAsia"/>
        </w:rPr>
        <w:t xml:space="preserve"> process was run for 20 minutes and had not achieved convergence. Appendix </w:t>
      </w:r>
      <w:r w:rsidR="007F49FE">
        <w:rPr>
          <w:rFonts w:eastAsiaTheme="minorEastAsia"/>
        </w:rPr>
        <w:t>20</w:t>
      </w:r>
      <w:r w:rsidR="009F501C">
        <w:rPr>
          <w:rFonts w:eastAsiaTheme="minorEastAsia"/>
        </w:rPr>
        <w:t xml:space="preserve"> reports results of the </w:t>
      </w:r>
      <w:r w:rsidR="009F501C" w:rsidRPr="00B13CE2">
        <w:rPr>
          <w:rFonts w:eastAsiaTheme="minorEastAsia"/>
          <w:i/>
          <w:iCs/>
        </w:rPr>
        <w:t>optim</w:t>
      </w:r>
      <w:r w:rsidR="009F501C">
        <w:rPr>
          <w:rFonts w:eastAsiaTheme="minorEastAsia"/>
        </w:rPr>
        <w:t xml:space="preserve"> maximisation with only five regression models. When the process is repeated with eight regression models the function does not identify a suitable solution within the number of iterations permitted (max iterations=10000). It was impractical to increase the number of iterations further to allow maximisation to occur, as a consequence an alternative method was sought. </w:t>
      </w:r>
    </w:p>
    <w:p w:rsidR="009F501C" w:rsidRDefault="0004687B" w:rsidP="005D7ACB">
      <w:pPr>
        <w:rPr>
          <w:rFonts w:eastAsiaTheme="minorEastAsia"/>
        </w:rPr>
      </w:pPr>
      <w:r>
        <w:rPr>
          <w:rFonts w:eastAsiaTheme="minorEastAsia"/>
        </w:rPr>
        <w:t>The alternative method developed took advantage of the</w:t>
      </w:r>
      <w:r w:rsidR="009F501C">
        <w:rPr>
          <w:rFonts w:eastAsiaTheme="minorEastAsia"/>
        </w:rPr>
        <w:t xml:space="preserve"> considerable computational efficiencies gained from segmenting the maximisation processes by regression model. The 14 statistical models were assumed to be</w:t>
      </w:r>
      <w:r w:rsidR="001A1797">
        <w:rPr>
          <w:rFonts w:eastAsiaTheme="minorEastAsia"/>
        </w:rPr>
        <w:t xml:space="preserve"> independent in the natural h</w:t>
      </w:r>
      <w:r w:rsidR="009F501C">
        <w:rPr>
          <w:rFonts w:eastAsiaTheme="minorEastAsia"/>
        </w:rPr>
        <w:t xml:space="preserve">istory model. This assumption is carried forward in the B&amp;K approximation. Each group of parameters </w:t>
      </w:r>
      <w:r w:rsidR="005D7ACB">
        <w:rPr>
          <w:rFonts w:eastAsiaTheme="minorEastAsia"/>
        </w:rPr>
        <w:t>is</w:t>
      </w:r>
      <w:r w:rsidR="009F501C">
        <w:rPr>
          <w:rFonts w:eastAsiaTheme="minorEastAsia"/>
        </w:rPr>
        <w:t xml:space="preserve"> part of a single statistical model, and do</w:t>
      </w:r>
      <w:r w:rsidR="005D7ACB">
        <w:rPr>
          <w:rFonts w:eastAsiaTheme="minorEastAsia"/>
        </w:rPr>
        <w:t>es</w:t>
      </w:r>
      <w:r w:rsidR="009F501C">
        <w:rPr>
          <w:rFonts w:eastAsiaTheme="minorEastAsia"/>
        </w:rPr>
        <w:t xml:space="preserve"> not appear in the likelihood function for any other statistical model. Consequently, the analytical specification </w:t>
      </w:r>
      <w:r w:rsidR="005D7ACB">
        <w:rPr>
          <w:rFonts w:eastAsiaTheme="minorEastAsia"/>
        </w:rPr>
        <w:t xml:space="preserve">of the </w:t>
      </w:r>
      <w:r w:rsidR="009F501C">
        <w:rPr>
          <w:rFonts w:eastAsiaTheme="minorEastAsia"/>
        </w:rPr>
        <w:t xml:space="preserve">log-posterior density, its partial derivatives and second order derivatives, could be broken down into component parts because parameters from one </w:t>
      </w:r>
      <w:r w:rsidR="001A1797">
        <w:rPr>
          <w:rFonts w:eastAsiaTheme="minorEastAsia"/>
        </w:rPr>
        <w:t xml:space="preserve">regression </w:t>
      </w:r>
      <w:r w:rsidR="009F501C">
        <w:rPr>
          <w:rFonts w:eastAsiaTheme="minorEastAsia"/>
        </w:rPr>
        <w:t xml:space="preserve">model </w:t>
      </w:r>
      <w:r w:rsidR="001A1797">
        <w:rPr>
          <w:rFonts w:eastAsiaTheme="minorEastAsia"/>
        </w:rPr>
        <w:t>are independent of other regression</w:t>
      </w:r>
      <w:r w:rsidR="009F501C">
        <w:rPr>
          <w:rFonts w:eastAsiaTheme="minorEastAsia"/>
        </w:rPr>
        <w:t xml:space="preserve"> model</w:t>
      </w:r>
      <w:r w:rsidR="001A1797">
        <w:rPr>
          <w:rFonts w:eastAsiaTheme="minorEastAsia"/>
        </w:rPr>
        <w:t>s</w:t>
      </w:r>
      <w:r w:rsidR="009F501C">
        <w:rPr>
          <w:rFonts w:eastAsiaTheme="minorEastAsia"/>
        </w:rPr>
        <w:t xml:space="preserve">. The tests are reported in Appendix </w:t>
      </w:r>
      <w:r w:rsidR="007F49FE">
        <w:rPr>
          <w:rFonts w:eastAsiaTheme="minorEastAsia"/>
        </w:rPr>
        <w:t>20</w:t>
      </w:r>
      <w:r w:rsidR="009F501C">
        <w:rPr>
          <w:rFonts w:eastAsiaTheme="minorEastAsia"/>
        </w:rPr>
        <w:t xml:space="preserve"> and illustrate that the assumption of independence between the natural history statistical models does not impact on the estimation of the B&amp;K approximation.</w:t>
      </w:r>
    </w:p>
    <w:p w:rsidR="00004149" w:rsidRDefault="00004149" w:rsidP="00AC3CB4">
      <w:pPr>
        <w:tabs>
          <w:tab w:val="left" w:pos="0"/>
        </w:tabs>
        <w:spacing w:after="0"/>
        <w:rPr>
          <w:rFonts w:eastAsiaTheme="minorEastAsia"/>
        </w:rPr>
      </w:pPr>
      <w:r>
        <w:rPr>
          <w:rFonts w:eastAsiaTheme="minorEastAsia"/>
        </w:rPr>
        <w:t xml:space="preserve">In summary, the maximisation of the log-posterior density function </w:t>
      </w:r>
      <w:r w:rsidR="00AC3CB4">
        <w:rPr>
          <w:rFonts w:eastAsiaTheme="minorEastAsia"/>
        </w:rPr>
        <w:t>was</w:t>
      </w:r>
      <w:r>
        <w:rPr>
          <w:rFonts w:eastAsiaTheme="minorEastAsia"/>
        </w:rPr>
        <w:t xml:space="preserve"> simplified to enable maximisation of a large log-likelihood function and reduce computation time. It has been demonstrated that there are considerable difficulties in maximising a large log-posterior density function using </w:t>
      </w:r>
      <w:r w:rsidRPr="00C212EC">
        <w:rPr>
          <w:rFonts w:eastAsiaTheme="minorEastAsia"/>
          <w:i/>
          <w:iCs/>
        </w:rPr>
        <w:t>optim</w:t>
      </w:r>
      <w:r>
        <w:rPr>
          <w:rFonts w:eastAsiaTheme="minorEastAsia"/>
        </w:rPr>
        <w:t xml:space="preserve"> in R. However, segmenting the calculation into individual maximisation process for each statistical model</w:t>
      </w:r>
      <w:r w:rsidR="005D7ACB">
        <w:rPr>
          <w:rFonts w:eastAsiaTheme="minorEastAsia"/>
        </w:rPr>
        <w:t xml:space="preserve"> using </w:t>
      </w:r>
      <w:r w:rsidR="005D7ACB" w:rsidRPr="005D7ACB">
        <w:rPr>
          <w:rFonts w:eastAsiaTheme="minorEastAsia"/>
          <w:i/>
          <w:iCs/>
        </w:rPr>
        <w:t>optim</w:t>
      </w:r>
      <w:r>
        <w:rPr>
          <w:rFonts w:eastAsiaTheme="minorEastAsia"/>
        </w:rPr>
        <w:t xml:space="preserve"> is efficient and reliable in producing estimates.</w:t>
      </w:r>
    </w:p>
    <w:p w:rsidR="004911B7" w:rsidRPr="00004149" w:rsidRDefault="004911B7" w:rsidP="00AC3CB4">
      <w:pPr>
        <w:tabs>
          <w:tab w:val="left" w:pos="0"/>
        </w:tabs>
        <w:spacing w:after="0"/>
        <w:rPr>
          <w:rFonts w:ascii="Calibri" w:hAnsi="Calibri"/>
          <w:sz w:val="18"/>
        </w:rPr>
      </w:pPr>
    </w:p>
    <w:p w:rsidR="009F501C" w:rsidRDefault="009F501C" w:rsidP="009F501C">
      <w:pPr>
        <w:pStyle w:val="Heading5"/>
        <w:shd w:val="clear" w:color="auto" w:fill="FFFFFF" w:themeFill="background1"/>
        <w:spacing w:before="240" w:after="240" w:afterAutospacing="0" w:line="240" w:lineRule="auto"/>
        <w:ind w:left="1009" w:hanging="1009"/>
      </w:pPr>
      <w:r>
        <w:t>Computational estimation of Partial Differentiation</w:t>
      </w:r>
    </w:p>
    <w:p w:rsidR="009F501C" w:rsidRDefault="00AC3CB4" w:rsidP="00AC3CB4">
      <w:pPr>
        <w:rPr>
          <w:rFonts w:eastAsiaTheme="minorEastAsia"/>
        </w:rPr>
      </w:pPr>
      <w:r>
        <w:rPr>
          <w:rFonts w:eastAsiaTheme="minorEastAsia"/>
        </w:rPr>
        <w:t>A</w:t>
      </w:r>
      <w:r w:rsidR="009F501C">
        <w:rPr>
          <w:rFonts w:eastAsiaTheme="minorEastAsia"/>
        </w:rPr>
        <w:t xml:space="preserve"> modification of the B&amp;K method aimed to make the method more accessible to non-mathematicians. In the estimation of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r w:rsidR="009F501C">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r w:rsidR="009F501C">
        <w:rPr>
          <w:rFonts w:eastAsiaTheme="minorEastAsia"/>
        </w:rPr>
        <w:t xml:space="preserve"> it is necessary to calculate the partial differential and second order differential. Brennan and Karroubi (2007) use analytical methods to estimate the partial differential and numerical methods to estimate the second-order differentiation. Analytical methods are quicker to compute than the numerical methods; however they require the analyst to be confident and competent in partial differentiation. In the SLE case study we use the Gompertz and Log-logistic functions, which were more challenging to differentiate. I do not have a strong background in mathematics and it was time consuming to complete. Many checks needed to be made on the calculations because there was a risk that small errors could have be made. It was felt that this approach was onerous and that the method would be more accessible to non-statisticians if it were possible to use numerical methods to estimate both the first order and second order differentials. This would mean that the modeller would only need to specify </w:t>
      </w:r>
      <w:r>
        <w:rPr>
          <w:rFonts w:eastAsiaTheme="minorEastAsia"/>
        </w:rPr>
        <w:t>an equation</w:t>
      </w:r>
      <w:r w:rsidR="009F501C">
        <w:rPr>
          <w:rFonts w:eastAsiaTheme="minorEastAsia"/>
        </w:rPr>
        <w:t xml:space="preserve"> for the log-posterior density. </w:t>
      </w:r>
    </w:p>
    <w:p w:rsidR="009F501C" w:rsidRDefault="009F501C" w:rsidP="005D7ACB">
      <w:pPr>
        <w:rPr>
          <w:rFonts w:eastAsiaTheme="minorEastAsia"/>
        </w:rPr>
      </w:pPr>
      <w:r>
        <w:rPr>
          <w:rFonts w:eastAsiaTheme="minorEastAsia"/>
        </w:rPr>
        <w:t xml:space="preserve">The </w:t>
      </w:r>
      <w:r w:rsidRPr="00E70B90">
        <w:rPr>
          <w:rFonts w:eastAsiaTheme="minorEastAsia"/>
          <w:i/>
          <w:iCs/>
        </w:rPr>
        <w:t>numDeriv</w:t>
      </w:r>
      <w:r>
        <w:rPr>
          <w:rFonts w:eastAsiaTheme="minorEastAsia"/>
        </w:rPr>
        <w:t xml:space="preserve"> package in R was identified, with methods to numerically estimate the first derivative and second derivative for a given function</w:t>
      </w:r>
      <w:r w:rsidR="00AC3CB4">
        <w:rPr>
          <w:rFonts w:eastAsiaTheme="minorEastAsia"/>
        </w:rPr>
        <w:t xml:space="preserve"> </w:t>
      </w:r>
      <w:r w:rsidR="00E729BA">
        <w:rPr>
          <w:rFonts w:eastAsiaTheme="minorEastAsia"/>
        </w:rPr>
        <w:fldChar w:fldCharType="begin"/>
      </w:r>
      <w:r w:rsidR="00FC61FD">
        <w:rPr>
          <w:rFonts w:eastAsiaTheme="minorEastAsia"/>
        </w:rPr>
        <w:instrText xml:space="preserve"> ADDIN REFMGR.CITE &lt;Refman&gt;&lt;Cite&gt;&lt;Author&gt;Gilbert&lt;/Author&gt;&lt;Year&gt;2013&lt;/Year&gt;&lt;RecNum&gt;1649&lt;/RecNum&gt;&lt;IDText&gt;numDeriv: accurate numerical derivatives&lt;/IDText&gt;&lt;MDL Ref_Type="Electronic Citation"&gt;&lt;Ref_Type&gt;Electronic Citation&lt;/Ref_Type&gt;&lt;Ref_ID&gt;1649&lt;/Ref_ID&gt;&lt;Title_Primary&gt;numDeriv: accurate numerical derivatives&lt;/Title_Primary&gt;&lt;Authors_Primary&gt;Gilbert,P&lt;/Authors_Primary&gt;&lt;Authors_Primary&gt;Varadhan,R&lt;/Authors_Primary&gt;&lt;Date_Primary&gt;2013&lt;/Date_Primary&gt;&lt;Reprint&gt;In File&lt;/Reprint&gt;&lt;Periodical&gt;CRAN.R project.&lt;/Periodical&gt;&lt;Web_URL&gt;&lt;u&gt;http://cran.r-project.org/web/packages/numDeriv/index.html&lt;/u&gt;&lt;/Web_URL&gt;&lt;ZZ_JournalStdAbbrev&gt;&lt;f name="System"&gt;CRAN.R project.&lt;/f&gt;&lt;/ZZ_JournalStdAbbrev&gt;&lt;ZZ_WorkformID&gt;34&lt;/ZZ_WorkformID&gt;&lt;/MDL&gt;&lt;/Cite&gt;&lt;/Refman&gt;</w:instrText>
      </w:r>
      <w:r w:rsidR="00E729BA">
        <w:rPr>
          <w:rFonts w:eastAsiaTheme="minorEastAsia"/>
        </w:rPr>
        <w:fldChar w:fldCharType="separate"/>
      </w:r>
      <w:r w:rsidR="00DF14BD">
        <w:rPr>
          <w:rFonts w:eastAsiaTheme="minorEastAsia"/>
        </w:rPr>
        <w:t>(239)</w:t>
      </w:r>
      <w:r w:rsidR="00E729BA">
        <w:rPr>
          <w:rFonts w:eastAsiaTheme="minorEastAsia"/>
        </w:rPr>
        <w:fldChar w:fldCharType="end"/>
      </w:r>
      <w:r>
        <w:rPr>
          <w:rFonts w:eastAsiaTheme="minorEastAsia"/>
        </w:rPr>
        <w:t xml:space="preserve">. The function </w:t>
      </w:r>
      <w:r w:rsidRPr="00E70B90">
        <w:rPr>
          <w:rFonts w:eastAsiaTheme="minorEastAsia"/>
          <w:i/>
          <w:iCs/>
        </w:rPr>
        <w:t>grad</w:t>
      </w:r>
      <w:r>
        <w:rPr>
          <w:rFonts w:eastAsiaTheme="minorEastAsia"/>
        </w:rPr>
        <w:t xml:space="preserve"> was used to calculate a numerical approximation of the first derivative of the log-posterior density for each row of  </w:t>
      </w:r>
      <m:oMath>
        <m:sSubSup>
          <m:sSubSupPr>
            <m:ctrlPr>
              <w:rPr>
                <w:rFonts w:ascii="Cambria Math" w:eastAsiaTheme="minorEastAsia" w:hAnsi="Cambria Math"/>
                <w:i/>
              </w:rPr>
            </m:ctrlPr>
          </m:sSubSupPr>
          <m:e>
            <m:r>
              <w:rPr>
                <w:rFonts w:ascii="Cambria Math" w:eastAsiaTheme="minorEastAsia" w:hAnsi="Cambria Math"/>
              </w:rPr>
              <m:t>θ</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and</w:t>
      </w:r>
      <m:oMath>
        <m:sSubSup>
          <m:sSubSupPr>
            <m:ctrlPr>
              <w:rPr>
                <w:rFonts w:ascii="Cambria Math" w:eastAsiaTheme="minorEastAsia" w:hAnsi="Cambria Math"/>
                <w:i/>
              </w:rPr>
            </m:ctrlPr>
          </m:sSubSupPr>
          <m:e>
            <m:r>
              <w:rPr>
                <w:rFonts w:ascii="Cambria Math" w:eastAsiaTheme="minorEastAsia" w:hAnsi="Cambria Math"/>
              </w:rPr>
              <m:t xml:space="preserve"> θ</m:t>
            </m:r>
          </m:e>
          <m:sub>
            <m:r>
              <w:rPr>
                <w:rFonts w:ascii="Cambria Math" w:eastAsiaTheme="minorEastAsia" w:hAnsi="Cambria Math"/>
              </w:rPr>
              <m:t>i</m:t>
            </m:r>
          </m:sub>
          <m:sup>
            <m:r>
              <w:rPr>
                <w:rFonts w:ascii="Cambria Math" w:eastAsiaTheme="minorEastAsia" w:hAnsi="Cambria Math"/>
              </w:rPr>
              <m:t>+</m:t>
            </m:r>
          </m:sup>
        </m:sSubSup>
      </m:oMath>
      <w:r>
        <w:rPr>
          <w:rFonts w:eastAsiaTheme="minorEastAsia"/>
        </w:rPr>
        <w:t xml:space="preserve">. The calculation is done using a simple epsilon difference. The function </w:t>
      </w:r>
      <w:r w:rsidRPr="00E70B90">
        <w:rPr>
          <w:rFonts w:eastAsiaTheme="minorEastAsia"/>
          <w:i/>
          <w:iCs/>
        </w:rPr>
        <w:t>hessian</w:t>
      </w:r>
      <w:r>
        <w:rPr>
          <w:rFonts w:eastAsiaTheme="minorEastAsia"/>
        </w:rPr>
        <w:t xml:space="preserve"> was used to calculate a numerical approximation of the </w:t>
      </w:r>
      <w:r>
        <w:rPr>
          <w:rFonts w:eastAsiaTheme="minorEastAsia"/>
          <w:i/>
          <w:iCs/>
        </w:rPr>
        <w:t>d</w:t>
      </w:r>
      <w:r w:rsidRPr="00D62385">
        <w:rPr>
          <w:rFonts w:eastAsiaTheme="minorEastAsia"/>
        </w:rPr>
        <w:t>x</w:t>
      </w:r>
      <w:r w:rsidRPr="00D62385">
        <w:rPr>
          <w:rFonts w:eastAsiaTheme="minorEastAsia"/>
          <w:i/>
          <w:iCs/>
        </w:rPr>
        <w:t>d</w:t>
      </w:r>
      <w:r>
        <w:rPr>
          <w:rFonts w:eastAsiaTheme="minorEastAsia"/>
        </w:rPr>
        <w:t xml:space="preserve"> matrix of second derivatives of the log-posterior density.</w:t>
      </w:r>
      <w:r w:rsidR="00AC3CB4">
        <w:rPr>
          <w:rFonts w:eastAsiaTheme="minorEastAsia"/>
        </w:rPr>
        <w:t xml:space="preserve"> The utilisation of these functions has simplified the method and made i</w:t>
      </w:r>
      <w:r w:rsidR="005D7ACB">
        <w:rPr>
          <w:rFonts w:eastAsiaTheme="minorEastAsia"/>
        </w:rPr>
        <w:t>t</w:t>
      </w:r>
      <w:r w:rsidR="00AC3CB4">
        <w:rPr>
          <w:rFonts w:eastAsiaTheme="minorEastAsia"/>
        </w:rPr>
        <w:t xml:space="preserve"> more accessible to health economists.</w:t>
      </w:r>
    </w:p>
    <w:p w:rsidR="009F501C" w:rsidRDefault="009F501C" w:rsidP="005D7ACB">
      <w:pPr>
        <w:pStyle w:val="Heading5"/>
        <w:shd w:val="clear" w:color="auto" w:fill="FFFFFF" w:themeFill="background1"/>
        <w:spacing w:before="240" w:after="240" w:afterAutospacing="0" w:line="240" w:lineRule="auto"/>
        <w:ind w:left="1009" w:hanging="1009"/>
      </w:pPr>
      <w:r>
        <w:t xml:space="preserve">Selection of </w:t>
      </w:r>
      <w:r w:rsidR="005D7ACB">
        <w:t xml:space="preserve">Number of Patients to Run Through the Individual Level Simulation </w:t>
      </w:r>
      <w:r>
        <w:t>for CE model</w:t>
      </w:r>
    </w:p>
    <w:p w:rsidR="009F501C" w:rsidRDefault="009F501C" w:rsidP="005D7ACB">
      <w:r>
        <w:t xml:space="preserve">Simulation error describes the random variation in the results from </w:t>
      </w:r>
      <w:r w:rsidR="000338D8">
        <w:t xml:space="preserve">individual level simulation type </w:t>
      </w:r>
      <w:r w:rsidR="001A1797">
        <w:t>CE</w:t>
      </w:r>
      <w:r>
        <w:t xml:space="preserve"> models, and is analogous to sampling error in statistics. Each time the </w:t>
      </w:r>
      <w:r w:rsidR="005D7ACB">
        <w:t xml:space="preserve">individual level </w:t>
      </w:r>
      <w:r>
        <w:t xml:space="preserve">CE model </w:t>
      </w:r>
      <w:r w:rsidR="005D7ACB">
        <w:t xml:space="preserve">is </w:t>
      </w:r>
      <w:r>
        <w:t>run, patient outcomes vary slightly, which creates “noise” in the</w:t>
      </w:r>
      <w:r w:rsidR="005D7ACB">
        <w:t xml:space="preserve"> Monte Carlo</w:t>
      </w:r>
      <w:r>
        <w:t xml:space="preserve"> estimate of the true mean. Increasing the number of patients in the individual patient simulation reduces the simulation error and </w:t>
      </w:r>
      <w:r w:rsidR="00AC3CB4">
        <w:t xml:space="preserve">increases </w:t>
      </w:r>
      <w:r>
        <w:t>the accuracy of the outcomes</w:t>
      </w:r>
      <w:r w:rsidR="005D7ACB">
        <w:t xml:space="preserve"> estimated</w:t>
      </w:r>
      <w:r>
        <w:t xml:space="preserve">. </w:t>
      </w:r>
    </w:p>
    <w:p w:rsidR="009F501C" w:rsidRPr="008E7D9E" w:rsidRDefault="009F501C" w:rsidP="008E7D9E">
      <w:pPr>
        <w:rPr>
          <w:rFonts w:eastAsiaTheme="minorEastAsia"/>
        </w:rPr>
      </w:pPr>
      <w:r>
        <w:t>The B&amp;K method evaluates the health economic outcomes of the SLE CE model at the posterior mode of the input parameters</w:t>
      </w:r>
      <w:r w:rsidR="005D7ACB">
        <w:t xml:space="preserve">, i.e. the patient level simulation is run with </w:t>
      </w:r>
      <m:oMath>
        <m:acc>
          <m:accPr>
            <m:ctrlPr>
              <w:rPr>
                <w:rFonts w:ascii="Cambria Math" w:eastAsiaTheme="minorEastAsia" w:hAnsi="Cambria Math"/>
                <w:i/>
              </w:rPr>
            </m:ctrlPr>
          </m:accPr>
          <m:e>
            <m:r>
              <w:rPr>
                <w:rFonts w:ascii="Cambria Math" w:eastAsiaTheme="minorEastAsia" w:hAnsi="Cambria Math"/>
              </w:rPr>
              <m:t>θ</m:t>
            </m:r>
          </m:e>
        </m:acc>
      </m:oMath>
      <w:r>
        <w:t>. The second order estimate evaluates the health economic outcomes of the SLE CE model at values of each of the parameters above and below the posterior mode</w:t>
      </w:r>
      <w:r w:rsidR="005D7ACB">
        <w:t xml:space="preserve">, i.e. the patient level simulation is run with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rsidR="005D7ACB">
        <w:t xml:space="preserve"> and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t>. The precision of each evaluation of the CE model is critical in determining the</w:t>
      </w:r>
      <w:r w:rsidR="00AC3CB4">
        <w:t xml:space="preserve"> overall</w:t>
      </w:r>
      <w:r>
        <w:t xml:space="preserve"> accuracy of the </w:t>
      </w:r>
      <w:r w:rsidR="00AC3CB4">
        <w:t>B&amp;K approximation</w:t>
      </w:r>
      <w:r>
        <w:t xml:space="preserve">. Analysis has shown that in this case study the method was very sensitive to the effects of simulation error. The B&amp;K method identifies the posterior mode for the density of </w:t>
      </w:r>
      <m:oMath>
        <m:acc>
          <m:accPr>
            <m:ctrlPr>
              <w:rPr>
                <w:rFonts w:ascii="Cambria Math" w:eastAsiaTheme="minorEastAsia" w:hAnsi="Cambria Math"/>
                <w:i/>
              </w:rPr>
            </m:ctrlPr>
          </m:accPr>
          <m:e>
            <m:r>
              <w:rPr>
                <w:rFonts w:ascii="Cambria Math" w:eastAsiaTheme="minorEastAsia" w:hAnsi="Cambria Math"/>
              </w:rPr>
              <m:t>θ</m:t>
            </m:r>
          </m:e>
        </m:acc>
      </m:oMath>
      <w:r>
        <w:t xml:space="preserve">, and the upper and lower estimate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t xml:space="preserve">,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t xml:space="preserve">. The </w:t>
      </w:r>
      <w:r w:rsidR="0017698C">
        <w:t>value-based price</w:t>
      </w:r>
      <w:r>
        <w:t xml:space="preserve"> is evaluated at these three values for </w:t>
      </w:r>
      <m:oMath>
        <m:r>
          <w:rPr>
            <w:rFonts w:ascii="Cambria Math" w:eastAsiaTheme="minorEastAsia" w:hAnsi="Cambria Math"/>
          </w:rPr>
          <m:t>θ</m:t>
        </m:r>
      </m:oMath>
      <w:r>
        <w:t xml:space="preserve"> and these estimates are used to estimate the posterior treatment </w:t>
      </w:r>
      <w:r w:rsidR="0017698C">
        <w:t>value-based price</w:t>
      </w:r>
      <w:r>
        <w:t xml:space="preserve"> using the equation below</w:t>
      </w:r>
      <w:r w:rsidR="00AC3CB4">
        <w:t>.</w:t>
      </w:r>
      <w:r w:rsidR="00AC3CB4" w:rsidRPr="00AC3CB4">
        <w:rPr>
          <w:rFonts w:eastAsiaTheme="minorEastAsia"/>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7090"/>
        <w:gridCol w:w="1120"/>
      </w:tblGrid>
      <w:tr w:rsidR="007568A9" w:rsidTr="000E0AEC">
        <w:trPr>
          <w:cantSplit/>
          <w:trHeight w:val="435"/>
        </w:trPr>
        <w:tc>
          <w:tcPr>
            <w:tcW w:w="534" w:type="dxa"/>
          </w:tcPr>
          <w:p w:rsidR="007568A9" w:rsidRDefault="007568A9" w:rsidP="007568A9"/>
        </w:tc>
        <w:tc>
          <w:tcPr>
            <w:tcW w:w="7512" w:type="dxa"/>
          </w:tcPr>
          <w:p w:rsidR="007568A9" w:rsidRPr="007568A9" w:rsidRDefault="007568A9" w:rsidP="005D7ACB">
            <w:pPr>
              <w:rPr>
                <w:rFonts w:eastAsiaTheme="minorEastAsia"/>
              </w:rPr>
            </w:pPr>
            <m:oMathPara>
              <m:oMath>
                <m:r>
                  <w:rPr>
                    <w:rFonts w:ascii="Cambria Math" w:eastAsiaTheme="minorEastAsia" w:hAnsi="Cambria Math"/>
                  </w:rPr>
                  <m:t>VBP</m:t>
                </m:r>
                <m:d>
                  <m:dPr>
                    <m:ctrlPr>
                      <w:rPr>
                        <w:rFonts w:ascii="Cambria Math" w:eastAsiaTheme="minorEastAsia" w:hAnsi="Cambria Math"/>
                        <w:i/>
                      </w:rPr>
                    </m:ctrlPr>
                  </m:dPr>
                  <m:e>
                    <m:r>
                      <w:rPr>
                        <w:rFonts w:ascii="Cambria Math" w:eastAsiaTheme="minorEastAsia" w:hAnsi="Cambria Math"/>
                      </w:rPr>
                      <m:t>t,</m:t>
                    </m:r>
                    <m:acc>
                      <m:accPr>
                        <m:ctrlPr>
                          <w:rPr>
                            <w:rFonts w:ascii="Cambria Math" w:eastAsiaTheme="minorEastAsia" w:hAnsi="Cambria Math"/>
                            <w:i/>
                          </w:rPr>
                        </m:ctrlPr>
                      </m:accPr>
                      <m:e>
                        <m:r>
                          <w:rPr>
                            <w:rFonts w:ascii="Cambria Math" w:eastAsiaTheme="minorEastAsia" w:hAnsi="Cambria Math"/>
                          </w:rPr>
                          <m:t>θ</m:t>
                        </m:r>
                      </m:e>
                    </m:acc>
                  </m:e>
                </m:d>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d</m:t>
                    </m:r>
                  </m:sup>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VBP</m:t>
                        </m:r>
                        <m:d>
                          <m:dPr>
                            <m:ctrlPr>
                              <w:rPr>
                                <w:rFonts w:ascii="Cambria Math" w:eastAsiaTheme="minorEastAsia" w:hAnsi="Cambria Math"/>
                                <w:i/>
                              </w:rPr>
                            </m:ctrlPr>
                          </m:dPr>
                          <m:e>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VBP</m:t>
                        </m:r>
                        <m:d>
                          <m:dPr>
                            <m:ctrlPr>
                              <w:rPr>
                                <w:rFonts w:ascii="Cambria Math" w:eastAsiaTheme="minorEastAsia" w:hAnsi="Cambria Math"/>
                                <w:i/>
                              </w:rPr>
                            </m:ctrlPr>
                          </m:dPr>
                          <m:e>
                            <m:r>
                              <w:rPr>
                                <w:rFonts w:ascii="Cambria Math" w:eastAsiaTheme="minorEastAsia" w:hAnsi="Cambria Math"/>
                              </w:rPr>
                              <m:t>t,</m:t>
                            </m:r>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e>
                        </m:d>
                        <m:r>
                          <w:rPr>
                            <w:rFonts w:ascii="Cambria Math" w:eastAsiaTheme="minorEastAsia" w:hAnsi="Cambria Math"/>
                          </w:rPr>
                          <m:t>-VBP</m:t>
                        </m:r>
                        <m:d>
                          <m:dPr>
                            <m:ctrlPr>
                              <w:rPr>
                                <w:rFonts w:ascii="Cambria Math" w:eastAsiaTheme="minorEastAsia" w:hAnsi="Cambria Math"/>
                                <w:i/>
                              </w:rPr>
                            </m:ctrlPr>
                          </m:dPr>
                          <m:e>
                            <m:r>
                              <w:rPr>
                                <w:rFonts w:ascii="Cambria Math" w:eastAsiaTheme="minorEastAsia" w:hAnsi="Cambria Math"/>
                              </w:rPr>
                              <m:t>t,</m:t>
                            </m:r>
                            <m:acc>
                              <m:accPr>
                                <m:ctrlPr>
                                  <w:rPr>
                                    <w:rFonts w:ascii="Cambria Math" w:eastAsiaTheme="minorEastAsia" w:hAnsi="Cambria Math"/>
                                    <w:i/>
                                  </w:rPr>
                                </m:ctrlPr>
                              </m:accPr>
                              <m:e>
                                <m:r>
                                  <w:rPr>
                                    <w:rFonts w:ascii="Cambria Math" w:eastAsiaTheme="minorEastAsia" w:hAnsi="Cambria Math"/>
                                  </w:rPr>
                                  <m:t>θ</m:t>
                                </m:r>
                              </m:e>
                            </m:acc>
                          </m:e>
                        </m:d>
                      </m:e>
                    </m:d>
                  </m:e>
                </m:nary>
              </m:oMath>
            </m:oMathPara>
          </w:p>
        </w:tc>
        <w:tc>
          <w:tcPr>
            <w:tcW w:w="1196" w:type="dxa"/>
          </w:tcPr>
          <w:p w:rsidR="007568A9" w:rsidRDefault="007568A9" w:rsidP="00597CF5">
            <w:pPr>
              <w:pStyle w:val="ListParagraph"/>
              <w:numPr>
                <w:ilvl w:val="1"/>
                <w:numId w:val="30"/>
              </w:numPr>
              <w:bidi/>
              <w:ind w:right="220"/>
              <w:jc w:val="right"/>
            </w:pPr>
          </w:p>
        </w:tc>
      </w:tr>
    </w:tbl>
    <w:p w:rsidR="009F501C" w:rsidRDefault="00E729BA" w:rsidP="001A23A1">
      <w:r>
        <w:fldChar w:fldCharType="begin"/>
      </w:r>
      <w:r w:rsidR="00AC3CB4">
        <w:instrText xml:space="preserve"> REF _Ref340846965 \h </w:instrText>
      </w:r>
      <w:r>
        <w:fldChar w:fldCharType="separate"/>
      </w:r>
      <w:r w:rsidR="004911B7">
        <w:t xml:space="preserve">Figure </w:t>
      </w:r>
      <w:r w:rsidR="004911B7">
        <w:rPr>
          <w:noProof/>
        </w:rPr>
        <w:t>30</w:t>
      </w:r>
      <w:r>
        <w:fldChar w:fldCharType="end"/>
      </w:r>
      <w:r w:rsidR="00AC3CB4">
        <w:t xml:space="preserve"> illustrates how the B&amp;K method estimates posterior health economic outcomes in a simple one parameter CE model. The dotted line represents the posterior density of </w:t>
      </w:r>
      <m:oMath>
        <m:r>
          <w:rPr>
            <w:rFonts w:ascii="Cambria Math" w:eastAsiaTheme="minorEastAsia" w:hAnsi="Cambria Math"/>
          </w:rPr>
          <m:t>θ</m:t>
        </m:r>
      </m:oMath>
      <w:r w:rsidR="00AC3CB4">
        <w:t xml:space="preserve">, and the linear line describes the relationship between </w:t>
      </w:r>
      <m:oMath>
        <m:r>
          <w:rPr>
            <w:rFonts w:ascii="Cambria Math" w:eastAsiaTheme="minorEastAsia" w:hAnsi="Cambria Math"/>
          </w:rPr>
          <m:t>θ</m:t>
        </m:r>
      </m:oMath>
      <w:r w:rsidR="00AC3CB4">
        <w:t xml:space="preserve"> and treatment value-based price, </w:t>
      </w:r>
      <m:oMath>
        <m:r>
          <w:rPr>
            <w:rFonts w:ascii="Cambria Math" w:hAnsi="Cambria Math"/>
          </w:rPr>
          <m:t>VBP</m:t>
        </m:r>
        <m:r>
          <w:rPr>
            <w:rFonts w:ascii="Cambria Math" w:eastAsiaTheme="minorEastAsia" w:hAnsi="Cambria Math"/>
          </w:rPr>
          <m:t>(t,θ)</m:t>
        </m:r>
      </m:oMath>
      <w:r w:rsidR="00AC3CB4">
        <w:t>.</w:t>
      </w:r>
      <w:r w:rsidR="009F501C">
        <w:t xml:space="preserve">The simulation error is depicted in the graph as error bars around the three estimated </w:t>
      </w:r>
      <w:r w:rsidR="0017698C">
        <w:t>value-based price</w:t>
      </w:r>
      <w:r w:rsidR="009F501C">
        <w:t xml:space="preserve">. If the simulation error is large the posterior </w:t>
      </w:r>
      <w:r w:rsidR="0017698C">
        <w:t>value-based price</w:t>
      </w:r>
      <w:r w:rsidR="009F501C">
        <w:t xml:space="preserve"> </w:t>
      </w:r>
      <w:r w:rsidR="005D7ACB">
        <w:t>which is a weighted average of the three simulation model runs could be</w:t>
      </w:r>
      <w:r w:rsidR="009F501C">
        <w:t xml:space="preserve"> inaccurate. </w:t>
      </w:r>
      <w:r w:rsidR="009F501C">
        <w:rPr>
          <w:rFonts w:eastAsiaTheme="minorEastAsia"/>
        </w:rPr>
        <w:t xml:space="preserve">This will impact on the second order correction term. This is most likely to occur in the SLE CE model for parameters that have very little impact on the Health Economic outcomes because the gradient of the slope depicted in </w:t>
      </w:r>
      <w:r>
        <w:rPr>
          <w:rFonts w:eastAsiaTheme="minorEastAsia"/>
        </w:rPr>
        <w:fldChar w:fldCharType="begin"/>
      </w:r>
      <w:r w:rsidR="009F501C">
        <w:rPr>
          <w:rFonts w:eastAsiaTheme="minorEastAsia"/>
        </w:rPr>
        <w:instrText xml:space="preserve"> REF _Ref340846965 \h </w:instrText>
      </w:r>
      <w:r>
        <w:rPr>
          <w:rFonts w:eastAsiaTheme="minorEastAsia"/>
        </w:rPr>
      </w:r>
      <w:r>
        <w:rPr>
          <w:rFonts w:eastAsiaTheme="minorEastAsia"/>
        </w:rPr>
        <w:fldChar w:fldCharType="separate"/>
      </w:r>
      <w:r w:rsidR="004911B7">
        <w:t xml:space="preserve">Figure </w:t>
      </w:r>
      <w:r w:rsidR="004911B7">
        <w:rPr>
          <w:noProof/>
        </w:rPr>
        <w:t>30</w:t>
      </w:r>
      <w:r>
        <w:rPr>
          <w:rFonts w:eastAsiaTheme="minorEastAsia"/>
        </w:rPr>
        <w:fldChar w:fldCharType="end"/>
      </w:r>
      <w:r w:rsidR="009F501C">
        <w:rPr>
          <w:rFonts w:eastAsiaTheme="minorEastAsia"/>
        </w:rPr>
        <w:t xml:space="preserve"> will be shallow, and those with very precise estimates. </w:t>
      </w:r>
      <w:r w:rsidR="000338D8">
        <w:rPr>
          <w:rFonts w:eastAsiaTheme="minorEastAsia"/>
        </w:rPr>
        <w:t xml:space="preserve">It turns out in </w:t>
      </w:r>
      <w:r w:rsidR="001A23A1">
        <w:rPr>
          <w:rFonts w:eastAsiaTheme="minorEastAsia"/>
        </w:rPr>
        <w:t xml:space="preserve">practice </w:t>
      </w:r>
      <w:r w:rsidR="000338D8">
        <w:rPr>
          <w:rFonts w:eastAsiaTheme="minorEastAsia"/>
        </w:rPr>
        <w:t>that b</w:t>
      </w:r>
      <w:r w:rsidR="009F501C">
        <w:rPr>
          <w:rFonts w:eastAsiaTheme="minorEastAsia"/>
        </w:rPr>
        <w:t>oth of these characteristics are observed for many of the CE model prior parameters</w:t>
      </w:r>
      <w:r w:rsidR="000338D8">
        <w:rPr>
          <w:rFonts w:eastAsiaTheme="minorEastAsia"/>
        </w:rPr>
        <w:t xml:space="preserve"> for this case study</w:t>
      </w:r>
      <w:r w:rsidR="009F501C">
        <w:rPr>
          <w:rFonts w:eastAsiaTheme="minorEastAsia"/>
        </w:rPr>
        <w:t xml:space="preserve">. </w:t>
      </w:r>
    </w:p>
    <w:p w:rsidR="009F501C" w:rsidRDefault="009F501C" w:rsidP="00234693">
      <w:pPr>
        <w:pStyle w:val="Caption"/>
      </w:pPr>
      <w:bookmarkStart w:id="596" w:name="_Ref340846965"/>
      <w:r>
        <w:t xml:space="preserve">Figure </w:t>
      </w:r>
      <w:r w:rsidR="00E729BA">
        <w:fldChar w:fldCharType="begin"/>
      </w:r>
      <w:r w:rsidR="000B0EDB">
        <w:instrText xml:space="preserve"> SEQ Figure \* ARABIC </w:instrText>
      </w:r>
      <w:r w:rsidR="00E729BA">
        <w:fldChar w:fldCharType="separate"/>
      </w:r>
      <w:r w:rsidR="004911B7">
        <w:rPr>
          <w:noProof/>
        </w:rPr>
        <w:t>30</w:t>
      </w:r>
      <w:r w:rsidR="00E729BA">
        <w:fldChar w:fldCharType="end"/>
      </w:r>
      <w:bookmarkEnd w:id="596"/>
      <w:r>
        <w:t>: An illustration of the B&amp;K method to estimate Health Economic outcomes in a simple one parameter model</w:t>
      </w:r>
    </w:p>
    <w:p w:rsidR="009F501C" w:rsidRDefault="009F501C" w:rsidP="009F501C">
      <w:r w:rsidRPr="003B6305">
        <w:rPr>
          <w:noProof/>
          <w:lang w:eastAsia="zh-CN" w:bidi="ar-SA"/>
        </w:rPr>
        <w:drawing>
          <wp:inline distT="0" distB="0" distL="0" distR="0">
            <wp:extent cx="5491815" cy="360000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srcRect/>
                    <a:stretch>
                      <a:fillRect/>
                    </a:stretch>
                  </pic:blipFill>
                  <pic:spPr bwMode="auto">
                    <a:xfrm>
                      <a:off x="0" y="0"/>
                      <a:ext cx="5491815" cy="3600000"/>
                    </a:xfrm>
                    <a:prstGeom prst="rect">
                      <a:avLst/>
                    </a:prstGeom>
                    <a:noFill/>
                    <a:ln w="9525">
                      <a:noFill/>
                      <a:miter lim="800000"/>
                      <a:headEnd/>
                      <a:tailEnd/>
                    </a:ln>
                  </pic:spPr>
                </pic:pic>
              </a:graphicData>
            </a:graphic>
          </wp:inline>
        </w:drawing>
      </w:r>
    </w:p>
    <w:p w:rsidR="009F501C" w:rsidRDefault="009F501C" w:rsidP="000338D8">
      <w:r>
        <w:t xml:space="preserve">Simulation error can be reduced by increasing the number of patients included in the simulation. </w:t>
      </w:r>
      <w:r w:rsidR="00E729BA">
        <w:fldChar w:fldCharType="begin"/>
      </w:r>
      <w:r>
        <w:instrText xml:space="preserve"> REF _Ref342049618 \h </w:instrText>
      </w:r>
      <w:r w:rsidR="00E729BA">
        <w:fldChar w:fldCharType="separate"/>
      </w:r>
      <w:r w:rsidR="004911B7">
        <w:t xml:space="preserve">Figure </w:t>
      </w:r>
      <w:r w:rsidR="004911B7">
        <w:rPr>
          <w:noProof/>
        </w:rPr>
        <w:t>31</w:t>
      </w:r>
      <w:r w:rsidR="00E729BA">
        <w:fldChar w:fldCharType="end"/>
      </w:r>
      <w:r>
        <w:t xml:space="preserve"> illustrates how simulation error in expected QALYs for treatment vary with sample size. </w:t>
      </w:r>
    </w:p>
    <w:p w:rsidR="009F501C" w:rsidRDefault="009F501C" w:rsidP="00234693">
      <w:pPr>
        <w:pStyle w:val="Caption"/>
      </w:pPr>
      <w:bookmarkStart w:id="597" w:name="_Ref342049618"/>
      <w:r>
        <w:t xml:space="preserve">Figure </w:t>
      </w:r>
      <w:r w:rsidR="00E729BA">
        <w:fldChar w:fldCharType="begin"/>
      </w:r>
      <w:r w:rsidR="000B0EDB">
        <w:instrText xml:space="preserve"> SEQ Figure \* ARABIC </w:instrText>
      </w:r>
      <w:r w:rsidR="00E729BA">
        <w:fldChar w:fldCharType="separate"/>
      </w:r>
      <w:r w:rsidR="004911B7">
        <w:rPr>
          <w:noProof/>
        </w:rPr>
        <w:t>31</w:t>
      </w:r>
      <w:r w:rsidR="00E729BA">
        <w:fldChar w:fldCharType="end"/>
      </w:r>
      <w:bookmarkEnd w:id="597"/>
      <w:r>
        <w:t>: An illustration of simulation error at increasing individual patient sizes</w:t>
      </w:r>
    </w:p>
    <w:p w:rsidR="009F501C" w:rsidRDefault="009F501C" w:rsidP="009F501C">
      <w:r w:rsidRPr="0016282B">
        <w:rPr>
          <w:noProof/>
          <w:lang w:eastAsia="zh-CN" w:bidi="ar-SA"/>
        </w:rPr>
        <w:drawing>
          <wp:inline distT="0" distB="0" distL="0" distR="0">
            <wp:extent cx="5503062" cy="3600000"/>
            <wp:effectExtent l="19050" t="0" r="2388"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5503062" cy="3600000"/>
                    </a:xfrm>
                    <a:prstGeom prst="rect">
                      <a:avLst/>
                    </a:prstGeom>
                    <a:noFill/>
                    <a:ln w="9525">
                      <a:noFill/>
                      <a:miter lim="800000"/>
                      <a:headEnd/>
                      <a:tailEnd/>
                    </a:ln>
                  </pic:spPr>
                </pic:pic>
              </a:graphicData>
            </a:graphic>
          </wp:inline>
        </w:drawing>
      </w:r>
    </w:p>
    <w:p w:rsidR="009F501C" w:rsidRDefault="009F501C" w:rsidP="000338D8">
      <w:r>
        <w:t>This shows that there is only a small reduction in simulation error between sample sizes of 10,000 and 20,000. The analysis where n=10,000 took 81 minutes to run, whereas n=20,000 takes 198 minutes. There are clear diminishing returns from larger sample sizes. The MC error where n=10,000 was 0.057 and n=20,000 was 0.039. In order to ensure that the MC error was less than 0.05</w:t>
      </w:r>
      <w:r w:rsidR="000338D8">
        <w:t xml:space="preserve"> QALYs</w:t>
      </w:r>
      <w:r>
        <w:t xml:space="preserve"> in the final analysis the sample was fixed at 15,000 patients. </w:t>
      </w:r>
      <w:r w:rsidR="00516DF4">
        <w:t xml:space="preserve">A similar finding was observed for other model outcomes such as the Incremental Net Benefit. </w:t>
      </w:r>
      <w:r>
        <w:t xml:space="preserve">Greater accuracy in B&amp;K estimates from large CE model samples sizes would come at a substantial computational cost.  </w:t>
      </w:r>
    </w:p>
    <w:p w:rsidR="009F501C" w:rsidRDefault="009F501C" w:rsidP="009F501C">
      <w:pPr>
        <w:pStyle w:val="Heading4"/>
      </w:pPr>
      <w:r>
        <w:t>Computation Time for B&amp;K Method</w:t>
      </w:r>
    </w:p>
    <w:p w:rsidR="009F501C" w:rsidRDefault="009F501C" w:rsidP="008731E8">
      <w:r>
        <w:t xml:space="preserve">Although considerable efforts were made to reduce the computation time of the B&amp;K analysis, </w:t>
      </w:r>
      <w:r w:rsidR="0017698C">
        <w:t xml:space="preserve">VOI </w:t>
      </w:r>
      <w:r>
        <w:t>analysis of the SLE CE model remains a very time consuming process. Each stage of the simulation is detailed in</w:t>
      </w:r>
      <w:r w:rsidR="008731E8">
        <w:t xml:space="preserve"> </w:t>
      </w:r>
      <w:r w:rsidR="00E729BA">
        <w:fldChar w:fldCharType="begin"/>
      </w:r>
      <w:r w:rsidR="008731E8">
        <w:instrText xml:space="preserve"> REF _Ref364922489 \h </w:instrText>
      </w:r>
      <w:r w:rsidR="00E729BA">
        <w:fldChar w:fldCharType="separate"/>
      </w:r>
      <w:r w:rsidR="004911B7">
        <w:t xml:space="preserve">Table </w:t>
      </w:r>
      <w:r w:rsidR="004911B7">
        <w:rPr>
          <w:noProof/>
        </w:rPr>
        <w:t>50</w:t>
      </w:r>
      <w:r w:rsidR="00E729BA">
        <w:fldChar w:fldCharType="end"/>
      </w:r>
      <w:r>
        <w:t xml:space="preserve">. The most time-consuming stage of the process occurs when the weights for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r>
        <w:t xml:space="preserve">and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r>
        <w:t xml:space="preserve"> are calculated. </w:t>
      </w:r>
      <w:r w:rsidR="000338D8">
        <w:t>T</w:t>
      </w:r>
      <w:r>
        <w:t xml:space="preserve">he simulation process in which </w:t>
      </w:r>
      <w:r w:rsidR="00AC3CB4">
        <w:t>e</w:t>
      </w:r>
      <w:r>
        <w:t xml:space="preserve">xpected CE outcomes were generated for </w:t>
      </w:r>
      <w:r w:rsidR="000338D8">
        <w:t xml:space="preserve">all </w:t>
      </w:r>
      <w:r>
        <w:t xml:space="preserve">six trial designs took 5 days to calculate. </w:t>
      </w:r>
    </w:p>
    <w:p w:rsidR="004911B7" w:rsidRDefault="004911B7" w:rsidP="008731E8"/>
    <w:p w:rsidR="00073A10" w:rsidRDefault="00073A10">
      <w:pPr>
        <w:spacing w:after="0" w:afterAutospacing="0" w:line="240" w:lineRule="auto"/>
        <w:rPr>
          <w:b/>
          <w:bCs/>
          <w:sz w:val="18"/>
          <w:szCs w:val="16"/>
        </w:rPr>
      </w:pPr>
      <w:bookmarkStart w:id="598" w:name="_Ref350093020"/>
    </w:p>
    <w:p w:rsidR="009F501C" w:rsidRDefault="009F501C" w:rsidP="00234693">
      <w:pPr>
        <w:pStyle w:val="Caption"/>
      </w:pPr>
      <w:bookmarkStart w:id="599" w:name="_Ref364922489"/>
      <w:r>
        <w:t xml:space="preserve">Table </w:t>
      </w:r>
      <w:fldSimple w:instr=" SEQ Table \* ARABIC ">
        <w:r w:rsidR="004911B7">
          <w:rPr>
            <w:noProof/>
          </w:rPr>
          <w:t>50</w:t>
        </w:r>
      </w:fldSimple>
      <w:bookmarkEnd w:id="598"/>
      <w:bookmarkEnd w:id="599"/>
      <w:r>
        <w:t>: Simulation processes and estimated computation times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CellMar>
          <w:left w:w="57" w:type="dxa"/>
          <w:right w:w="57" w:type="dxa"/>
        </w:tblCellMar>
        <w:tblLook w:val="04A0"/>
      </w:tblPr>
      <w:tblGrid>
        <w:gridCol w:w="2277"/>
        <w:gridCol w:w="3224"/>
        <w:gridCol w:w="3117"/>
      </w:tblGrid>
      <w:tr w:rsidR="009F501C" w:rsidTr="00073A10">
        <w:tc>
          <w:tcPr>
            <w:tcW w:w="2352" w:type="dxa"/>
            <w:tcBorders>
              <w:top w:val="single" w:sz="12" w:space="0" w:color="auto"/>
              <w:bottom w:val="single" w:sz="8" w:space="0" w:color="auto"/>
            </w:tcBorders>
          </w:tcPr>
          <w:p w:rsidR="009F501C" w:rsidRDefault="009F501C" w:rsidP="00FD3A92">
            <w:pPr>
              <w:spacing w:line="276" w:lineRule="auto"/>
            </w:pPr>
            <w:r>
              <w:t>Simulation process</w:t>
            </w:r>
          </w:p>
        </w:tc>
        <w:tc>
          <w:tcPr>
            <w:tcW w:w="6636" w:type="dxa"/>
            <w:gridSpan w:val="2"/>
            <w:tcBorders>
              <w:top w:val="single" w:sz="12" w:space="0" w:color="auto"/>
              <w:bottom w:val="single" w:sz="8" w:space="0" w:color="auto"/>
            </w:tcBorders>
          </w:tcPr>
          <w:p w:rsidR="009F501C" w:rsidRDefault="009F501C" w:rsidP="00FD3A92">
            <w:pPr>
              <w:spacing w:line="276" w:lineRule="auto"/>
            </w:pPr>
            <w:r>
              <w:t>Computation time (minutes)</w:t>
            </w:r>
          </w:p>
        </w:tc>
      </w:tr>
      <w:tr w:rsidR="009F501C" w:rsidTr="00073A10">
        <w:tc>
          <w:tcPr>
            <w:tcW w:w="2352" w:type="dxa"/>
            <w:tcBorders>
              <w:top w:val="single" w:sz="8" w:space="0" w:color="auto"/>
            </w:tcBorders>
          </w:tcPr>
          <w:p w:rsidR="009F501C" w:rsidRDefault="009F501C" w:rsidP="00FD3A92">
            <w:pPr>
              <w:spacing w:line="276" w:lineRule="auto"/>
            </w:pPr>
            <w:r>
              <w:t>Simulate trial data</w:t>
            </w:r>
          </w:p>
        </w:tc>
        <w:tc>
          <w:tcPr>
            <w:tcW w:w="6636" w:type="dxa"/>
            <w:gridSpan w:val="2"/>
            <w:tcBorders>
              <w:top w:val="single" w:sz="8" w:space="0" w:color="auto"/>
            </w:tcBorders>
          </w:tcPr>
          <w:p w:rsidR="009F501C" w:rsidRDefault="009F501C" w:rsidP="00FD3A92">
            <w:pPr>
              <w:spacing w:line="276" w:lineRule="auto"/>
            </w:pPr>
            <w:r>
              <w:t>0.444</w:t>
            </w:r>
          </w:p>
        </w:tc>
      </w:tr>
      <w:tr w:rsidR="009F501C" w:rsidTr="00073A10">
        <w:tc>
          <w:tcPr>
            <w:tcW w:w="2352" w:type="dxa"/>
          </w:tcPr>
          <w:p w:rsidR="009F501C" w:rsidRDefault="009F501C" w:rsidP="00FD3A92">
            <w:pPr>
              <w:spacing w:line="276" w:lineRule="auto"/>
            </w:pPr>
          </w:p>
        </w:tc>
        <w:tc>
          <w:tcPr>
            <w:tcW w:w="3375" w:type="dxa"/>
          </w:tcPr>
          <w:p w:rsidR="009F501C" w:rsidRDefault="009F501C" w:rsidP="00FD3A92">
            <w:pPr>
              <w:spacing w:line="276" w:lineRule="auto"/>
            </w:pPr>
            <w:r>
              <w:t>Small sample (529)</w:t>
            </w:r>
          </w:p>
        </w:tc>
        <w:tc>
          <w:tcPr>
            <w:tcW w:w="3261" w:type="dxa"/>
          </w:tcPr>
          <w:p w:rsidR="009F501C" w:rsidRDefault="009F501C" w:rsidP="00FD3A92">
            <w:pPr>
              <w:spacing w:line="276" w:lineRule="auto"/>
            </w:pPr>
            <w:r>
              <w:t>Large sample (6350)</w:t>
            </w:r>
          </w:p>
        </w:tc>
      </w:tr>
      <w:tr w:rsidR="009F501C" w:rsidTr="00073A10">
        <w:tc>
          <w:tcPr>
            <w:tcW w:w="2352" w:type="dxa"/>
          </w:tcPr>
          <w:p w:rsidR="009F501C" w:rsidRDefault="009F501C" w:rsidP="00FD3A92">
            <w:pPr>
              <w:spacing w:line="276" w:lineRule="auto"/>
            </w:pPr>
            <w:r>
              <w:t xml:space="preserve">Estimate </w:t>
            </w:r>
            <m:oMath>
              <m:acc>
                <m:accPr>
                  <m:ctrlPr>
                    <w:rPr>
                      <w:rFonts w:ascii="Cambria Math" w:eastAsiaTheme="minorEastAsia" w:hAnsi="Cambria Math"/>
                      <w:i/>
                    </w:rPr>
                  </m:ctrlPr>
                </m:accPr>
                <m:e>
                  <m:r>
                    <w:rPr>
                      <w:rFonts w:ascii="Cambria Math" w:eastAsiaTheme="minorEastAsia" w:hAnsi="Cambria Math"/>
                    </w:rPr>
                    <m:t>θ</m:t>
                  </m:r>
                </m:e>
              </m:acc>
            </m:oMath>
          </w:p>
        </w:tc>
        <w:tc>
          <w:tcPr>
            <w:tcW w:w="3375" w:type="dxa"/>
          </w:tcPr>
          <w:p w:rsidR="009F501C" w:rsidRDefault="009F501C" w:rsidP="00FD3A92">
            <w:pPr>
              <w:spacing w:line="276" w:lineRule="auto"/>
            </w:pPr>
            <w:r>
              <w:t>1.00 minute</w:t>
            </w:r>
          </w:p>
        </w:tc>
        <w:tc>
          <w:tcPr>
            <w:tcW w:w="3261" w:type="dxa"/>
          </w:tcPr>
          <w:p w:rsidR="009F501C" w:rsidRDefault="009F501C" w:rsidP="00FD3A92">
            <w:pPr>
              <w:spacing w:line="276" w:lineRule="auto"/>
            </w:pPr>
            <w:r>
              <w:t>2.5 minutes</w:t>
            </w:r>
          </w:p>
        </w:tc>
      </w:tr>
      <w:tr w:rsidR="009F501C" w:rsidTr="00073A10">
        <w:tc>
          <w:tcPr>
            <w:tcW w:w="2352" w:type="dxa"/>
          </w:tcPr>
          <w:p w:rsidR="009F501C" w:rsidRDefault="009F501C" w:rsidP="00FD3A92">
            <w:pPr>
              <w:spacing w:line="276" w:lineRule="auto"/>
            </w:pPr>
            <w:r>
              <w:t xml:space="preserve">Estimate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r>
              <w:t xml:space="preserve"> and </w:t>
            </w:r>
            <m:oMath>
              <m:sSup>
                <m:sSupPr>
                  <m:ctrlPr>
                    <w:rPr>
                      <w:rFonts w:ascii="Cambria Math" w:eastAsiaTheme="minorEastAsia" w:hAnsi="Cambria Math"/>
                      <w:i/>
                    </w:rPr>
                  </m:ctrlPr>
                </m:sSupPr>
                <m:e>
                  <m:r>
                    <w:rPr>
                      <w:rFonts w:ascii="Cambria Math" w:eastAsiaTheme="minorEastAsia" w:hAnsi="Cambria Math"/>
                    </w:rPr>
                    <m:t>θ</m:t>
                  </m:r>
                </m:e>
                <m:sup>
                  <m:r>
                    <w:rPr>
                      <w:rFonts w:ascii="Cambria Math" w:eastAsiaTheme="minorEastAsia" w:hAnsi="Cambria Math"/>
                    </w:rPr>
                    <m:t>+</m:t>
                  </m:r>
                </m:sup>
              </m:sSup>
            </m:oMath>
          </w:p>
        </w:tc>
        <w:tc>
          <w:tcPr>
            <w:tcW w:w="3375" w:type="dxa"/>
          </w:tcPr>
          <w:p w:rsidR="009F501C" w:rsidRDefault="009F501C" w:rsidP="00FD3A92">
            <w:pPr>
              <w:spacing w:line="276" w:lineRule="auto"/>
            </w:pPr>
            <w:r>
              <w:t>2.88 minutes</w:t>
            </w:r>
          </w:p>
        </w:tc>
        <w:tc>
          <w:tcPr>
            <w:tcW w:w="3261" w:type="dxa"/>
          </w:tcPr>
          <w:p w:rsidR="009F501C" w:rsidRDefault="009F501C" w:rsidP="00FD3A92">
            <w:pPr>
              <w:spacing w:line="276" w:lineRule="auto"/>
            </w:pPr>
            <w:r>
              <w:t>38.22 minutes</w:t>
            </w:r>
          </w:p>
        </w:tc>
      </w:tr>
      <w:tr w:rsidR="009F501C" w:rsidTr="00073A10">
        <w:tc>
          <w:tcPr>
            <w:tcW w:w="2352" w:type="dxa"/>
          </w:tcPr>
          <w:p w:rsidR="009F501C" w:rsidRDefault="009F501C" w:rsidP="00FD3A92">
            <w:pPr>
              <w:spacing w:line="276" w:lineRule="auto"/>
            </w:pPr>
            <w:r>
              <w:t xml:space="preserve">Estimate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r>
              <w:t xml:space="preserve">and </w:t>
            </w:r>
            <m:oMath>
              <m:sSubSup>
                <m:sSubSupPr>
                  <m:ctrlPr>
                    <w:rPr>
                      <w:rFonts w:ascii="Cambria Math" w:eastAsiaTheme="minorEastAsia" w:hAnsi="Cambria Math"/>
                      <w:i/>
                    </w:rPr>
                  </m:ctrlPr>
                </m:sSubSupPr>
                <m:e>
                  <m:r>
                    <w:rPr>
                      <w:rFonts w:ascii="Cambria Math" w:eastAsiaTheme="minorEastAsia" w:hAnsi="Cambria Math"/>
                    </w:rPr>
                    <m:t>α</m:t>
                  </m:r>
                </m:e>
                <m:sub>
                  <m:r>
                    <w:rPr>
                      <w:rFonts w:ascii="Cambria Math" w:eastAsiaTheme="minorEastAsia" w:hAnsi="Cambria Math"/>
                    </w:rPr>
                    <m:t>i</m:t>
                  </m:r>
                </m:sub>
                <m:sup>
                  <m:r>
                    <w:rPr>
                      <w:rFonts w:ascii="Cambria Math" w:eastAsiaTheme="minorEastAsia" w:hAnsi="Cambria Math"/>
                    </w:rPr>
                    <m:t>+</m:t>
                  </m:r>
                </m:sup>
              </m:sSubSup>
            </m:oMath>
          </w:p>
        </w:tc>
        <w:tc>
          <w:tcPr>
            <w:tcW w:w="3375" w:type="dxa"/>
          </w:tcPr>
          <w:p w:rsidR="009F501C" w:rsidRDefault="009F501C" w:rsidP="00FD3A92">
            <w:pPr>
              <w:spacing w:line="276" w:lineRule="auto"/>
            </w:pPr>
            <w:r>
              <w:t>76.99 minutes</w:t>
            </w:r>
          </w:p>
        </w:tc>
        <w:tc>
          <w:tcPr>
            <w:tcW w:w="3261" w:type="dxa"/>
          </w:tcPr>
          <w:p w:rsidR="009F501C" w:rsidRDefault="009F501C" w:rsidP="00FD3A92">
            <w:pPr>
              <w:spacing w:line="276" w:lineRule="auto"/>
            </w:pPr>
            <w:r>
              <w:t>934.8 minutes</w:t>
            </w:r>
          </w:p>
        </w:tc>
      </w:tr>
      <w:tr w:rsidR="009F501C" w:rsidTr="00073A10">
        <w:tc>
          <w:tcPr>
            <w:tcW w:w="2352" w:type="dxa"/>
          </w:tcPr>
          <w:p w:rsidR="009F501C" w:rsidRDefault="009F501C" w:rsidP="00FD3A92">
            <w:pPr>
              <w:spacing w:line="276" w:lineRule="auto"/>
            </w:pPr>
            <w:r>
              <w:t xml:space="preserve">Evaluate </w:t>
            </w:r>
            <m:oMath>
              <m:r>
                <w:rPr>
                  <w:rFonts w:ascii="Cambria Math" w:hAnsi="Cambria Math"/>
                </w:rPr>
                <m:t>E</m:t>
              </m:r>
              <m:d>
                <m:dPr>
                  <m:begChr m:val="{"/>
                  <m:endChr m:val="}"/>
                  <m:ctrlPr>
                    <w:rPr>
                      <w:rFonts w:ascii="Cambria Math" w:hAnsi="Cambria Math"/>
                      <w:i/>
                    </w:rPr>
                  </m:ctrlPr>
                </m:dPr>
                <m:e>
                  <m:r>
                    <w:rPr>
                      <w:rFonts w:ascii="Cambria Math" w:hAnsi="Cambria Math"/>
                    </w:rPr>
                    <m:t>v</m:t>
                  </m:r>
                  <m:d>
                    <m:dPr>
                      <m:ctrlPr>
                        <w:rPr>
                          <w:rFonts w:ascii="Cambria Math" w:hAnsi="Cambria Math"/>
                          <w:i/>
                        </w:rPr>
                      </m:ctrlPr>
                    </m:dPr>
                    <m:e>
                      <m:r>
                        <w:rPr>
                          <w:rFonts w:ascii="Cambria Math" w:hAnsi="Cambria Math"/>
                        </w:rPr>
                        <m:t>θ</m:t>
                      </m:r>
                    </m:e>
                  </m:d>
                </m:e>
                <m:e>
                  <m:r>
                    <w:rPr>
                      <w:rFonts w:ascii="Cambria Math" w:hAnsi="Cambria Math"/>
                    </w:rPr>
                    <m:t>X</m:t>
                  </m:r>
                </m:e>
              </m:d>
            </m:oMath>
          </w:p>
        </w:tc>
        <w:tc>
          <w:tcPr>
            <w:tcW w:w="3375" w:type="dxa"/>
          </w:tcPr>
          <w:p w:rsidR="009F501C" w:rsidRDefault="009F501C" w:rsidP="00FD3A92">
            <w:pPr>
              <w:spacing w:line="276" w:lineRule="auto"/>
            </w:pPr>
            <w:r>
              <w:t>130.00 minutes</w:t>
            </w:r>
          </w:p>
        </w:tc>
        <w:tc>
          <w:tcPr>
            <w:tcW w:w="3261" w:type="dxa"/>
          </w:tcPr>
          <w:p w:rsidR="009F501C" w:rsidRDefault="009F501C" w:rsidP="00FD3A92">
            <w:pPr>
              <w:spacing w:line="276" w:lineRule="auto"/>
            </w:pPr>
            <w:r>
              <w:t>135.2 minutes</w:t>
            </w:r>
          </w:p>
        </w:tc>
      </w:tr>
      <w:tr w:rsidR="009F501C" w:rsidTr="00073A10">
        <w:tc>
          <w:tcPr>
            <w:tcW w:w="2352" w:type="dxa"/>
          </w:tcPr>
          <w:p w:rsidR="009F501C" w:rsidRDefault="009F501C" w:rsidP="00FD3A92">
            <w:pPr>
              <w:spacing w:line="276" w:lineRule="auto"/>
            </w:pPr>
            <w:r>
              <w:t xml:space="preserve">Total </w:t>
            </w:r>
          </w:p>
        </w:tc>
        <w:tc>
          <w:tcPr>
            <w:tcW w:w="3375" w:type="dxa"/>
          </w:tcPr>
          <w:p w:rsidR="009F501C" w:rsidRDefault="009F501C" w:rsidP="00FD3A92">
            <w:pPr>
              <w:spacing w:line="276" w:lineRule="auto"/>
            </w:pPr>
            <w:r>
              <w:t>3.5 hours</w:t>
            </w:r>
          </w:p>
        </w:tc>
        <w:tc>
          <w:tcPr>
            <w:tcW w:w="3261" w:type="dxa"/>
          </w:tcPr>
          <w:p w:rsidR="009F501C" w:rsidRDefault="009F501C" w:rsidP="00FD3A92">
            <w:pPr>
              <w:spacing w:line="276" w:lineRule="auto"/>
            </w:pPr>
            <w:r>
              <w:t>18.5 hours</w:t>
            </w:r>
          </w:p>
        </w:tc>
      </w:tr>
    </w:tbl>
    <w:p w:rsidR="009F501C" w:rsidRPr="00A93A30" w:rsidRDefault="009F501C" w:rsidP="009F501C"/>
    <w:p w:rsidR="009F501C" w:rsidRDefault="009F501C" w:rsidP="009F501C">
      <w:pPr>
        <w:pStyle w:val="Heading2"/>
      </w:pPr>
      <w:bookmarkStart w:id="600" w:name="_Toc345584695"/>
      <w:bookmarkStart w:id="601" w:name="_Ref354932193"/>
      <w:bookmarkStart w:id="602" w:name="_Toc379467679"/>
      <w:r>
        <w:t>Valuation of Clinical Trials In Industry</w:t>
      </w:r>
      <w:bookmarkEnd w:id="600"/>
      <w:bookmarkEnd w:id="601"/>
      <w:bookmarkEnd w:id="602"/>
    </w:p>
    <w:p w:rsidR="009F501C" w:rsidRDefault="009F501C" w:rsidP="006A3B1E">
      <w:r>
        <w:t xml:space="preserve">The EVSI for each trial design would be estimated as the difference </w:t>
      </w:r>
      <w:r w:rsidR="006A3B1E">
        <w:t>between</w:t>
      </w:r>
      <w:r>
        <w:t xml:space="preserve"> the expected value of a decision </w:t>
      </w:r>
      <w:r w:rsidR="006A3B1E">
        <w:t>from</w:t>
      </w:r>
      <w:r>
        <w:t xml:space="preserve"> the trial and the current expected value of the decision.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
        <w:gridCol w:w="7132"/>
        <w:gridCol w:w="1089"/>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hAnsi="Cambria Math"/>
                  </w:rPr>
                  <m:t>EVSI=</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sub>
                </m:sSub>
                <m:d>
                  <m:dPr>
                    <m:begChr m:val="["/>
                    <m:endChr m:val="]"/>
                    <m:ctrlPr>
                      <w:rPr>
                        <w:rFonts w:ascii="Cambria Math" w:hAnsi="Cambria Math"/>
                        <w:i/>
                      </w:rPr>
                    </m:ctrlPr>
                  </m:dPr>
                  <m:e>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D</m:t>
                            </m:r>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r>
                                  <w:rPr>
                                    <w:rFonts w:ascii="Cambria Math" w:hAnsi="Cambria Math"/>
                                  </w:rPr>
                                  <m:t>)</m:t>
                                </m:r>
                              </m:sub>
                            </m:sSub>
                            <m:d>
                              <m:dPr>
                                <m:begChr m:val="["/>
                                <m:endChr m:val="]"/>
                                <m:ctrlPr>
                                  <w:rPr>
                                    <w:rFonts w:ascii="Cambria Math" w:hAnsi="Cambria Math"/>
                                    <w:i/>
                                  </w:rPr>
                                </m:ctrlPr>
                              </m:dPr>
                              <m:e>
                                <m:r>
                                  <w:rPr>
                                    <w:rFonts w:ascii="Cambria Math" w:hAnsi="Cambria Math"/>
                                  </w:rPr>
                                  <m:t>NB(D,</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r>
                                  <w:rPr>
                                    <w:rFonts w:ascii="Cambria Math" w:hAnsi="Cambria Math"/>
                                  </w:rPr>
                                  <m:t>)</m:t>
                                </m:r>
                              </m:e>
                            </m:d>
                          </m:e>
                        </m:d>
                      </m:e>
                    </m:func>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D</m:t>
                        </m:r>
                      </m:lim>
                    </m:limLow>
                  </m:fName>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θ</m:t>
                            </m:r>
                          </m:sub>
                        </m:sSub>
                        <m:d>
                          <m:dPr>
                            <m:begChr m:val="["/>
                            <m:endChr m:val="]"/>
                            <m:ctrlPr>
                              <w:rPr>
                                <w:rFonts w:ascii="Cambria Math" w:hAnsi="Cambria Math"/>
                                <w:i/>
                              </w:rPr>
                            </m:ctrlPr>
                          </m:dPr>
                          <m:e>
                            <m:r>
                              <w:rPr>
                                <w:rFonts w:ascii="Cambria Math" w:hAnsi="Cambria Math"/>
                              </w:rPr>
                              <m:t>NB(D,θ)</m:t>
                            </m:r>
                          </m:e>
                        </m:d>
                      </m:e>
                    </m:d>
                  </m:e>
                </m:func>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r>
        <w:t xml:space="preserve">where </w:t>
      </w:r>
      <m:oMath>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oMath>
      <w:r>
        <w:t xml:space="preserve"> is the complement set of parameters of θ that are not collected in the clinical trial.</w:t>
      </w:r>
    </w:p>
    <w:p w:rsidR="009F501C" w:rsidRDefault="009F501C" w:rsidP="00CC17B0">
      <w:r>
        <w:t xml:space="preserve">However, traditional EVSI methods are not compatible with the decision problem facing </w:t>
      </w:r>
      <w:r w:rsidR="00CC17B0">
        <w:t>p</w:t>
      </w:r>
      <w:r>
        <w:t xml:space="preserve">harmaceutical </w:t>
      </w:r>
      <w:r w:rsidR="00CC17B0">
        <w:t>c</w:t>
      </w:r>
      <w:r>
        <w:t>ompanies designing their Phase III trials for three reasons:</w:t>
      </w:r>
    </w:p>
    <w:p w:rsidR="009F501C" w:rsidRDefault="009F501C" w:rsidP="00CC17B0">
      <w:pPr>
        <w:pStyle w:val="ListParagraph"/>
        <w:numPr>
          <w:ilvl w:val="0"/>
          <w:numId w:val="27"/>
        </w:numPr>
      </w:pPr>
      <w:r>
        <w:t xml:space="preserve">The </w:t>
      </w:r>
      <w:r w:rsidR="00CC17B0">
        <w:t>p</w:t>
      </w:r>
      <w:r>
        <w:t xml:space="preserve">harmaceutical </w:t>
      </w:r>
      <w:r w:rsidR="00CC17B0">
        <w:t>c</w:t>
      </w:r>
      <w:r>
        <w:t xml:space="preserve">ompany do not </w:t>
      </w:r>
      <w:r w:rsidR="00FD3A92">
        <w:t xml:space="preserve">directly </w:t>
      </w:r>
      <w:r>
        <w:t>seek to maximise the health benefits of the population subject to resource constraints.</w:t>
      </w:r>
    </w:p>
    <w:p w:rsidR="009F501C" w:rsidRDefault="009F501C" w:rsidP="00516DF4">
      <w:pPr>
        <w:pStyle w:val="ListParagraph"/>
        <w:numPr>
          <w:ilvl w:val="0"/>
          <w:numId w:val="27"/>
        </w:numPr>
      </w:pPr>
      <w:r>
        <w:t xml:space="preserve">The </w:t>
      </w:r>
      <w:r w:rsidR="00CC17B0">
        <w:t>p</w:t>
      </w:r>
      <w:r>
        <w:t xml:space="preserve">harmaceutical </w:t>
      </w:r>
      <w:r w:rsidR="00CC17B0">
        <w:t>c</w:t>
      </w:r>
      <w:r>
        <w:t xml:space="preserve">ompany </w:t>
      </w:r>
      <w:r w:rsidR="00516DF4">
        <w:t xml:space="preserve">are very unlikely to </w:t>
      </w:r>
      <w:r w:rsidR="00F331D3">
        <w:t xml:space="preserve">get regulatory approval </w:t>
      </w:r>
      <w:r>
        <w:t>based on their Phase II data</w:t>
      </w:r>
      <w:r w:rsidR="00AC3CB4">
        <w:t xml:space="preserve"> so the expected value </w:t>
      </w:r>
      <w:r w:rsidR="00FD3A92">
        <w:t xml:space="preserve">to the company </w:t>
      </w:r>
      <w:r w:rsidR="00AC3CB4">
        <w:t>of current information is zero</w:t>
      </w:r>
      <w:r>
        <w:t>.</w:t>
      </w:r>
      <w:r w:rsidRPr="007F2994">
        <w:t xml:space="preserve"> </w:t>
      </w:r>
    </w:p>
    <w:p w:rsidR="009F501C" w:rsidRDefault="009F501C" w:rsidP="00CC17B0">
      <w:pPr>
        <w:pStyle w:val="ListParagraph"/>
        <w:numPr>
          <w:ilvl w:val="0"/>
          <w:numId w:val="27"/>
        </w:numPr>
      </w:pPr>
      <w:r>
        <w:t xml:space="preserve">The </w:t>
      </w:r>
      <w:r w:rsidR="00CC17B0">
        <w:t>p</w:t>
      </w:r>
      <w:r>
        <w:t xml:space="preserve">harmaceutical </w:t>
      </w:r>
      <w:r w:rsidR="00CC17B0">
        <w:t>c</w:t>
      </w:r>
      <w:r>
        <w:t>ompany do not have a fixed price for the new treatment.</w:t>
      </w:r>
    </w:p>
    <w:p w:rsidR="009F501C" w:rsidRPr="007F2994" w:rsidRDefault="009F501C" w:rsidP="00AC3CB4">
      <w:r>
        <w:t>In the following section</w:t>
      </w:r>
      <w:r w:rsidR="00AC3CB4">
        <w:t>s I describe an alternative method</w:t>
      </w:r>
      <w:r>
        <w:t xml:space="preserve"> that </w:t>
      </w:r>
      <w:r w:rsidR="00FD3A92">
        <w:t xml:space="preserve">I have adapted from considering how Commercial Net Benefit and value-based pricing </w:t>
      </w:r>
      <w:r>
        <w:t xml:space="preserve">can be used to compare and value clinical trials from a pharmaceutical perspective. </w:t>
      </w:r>
      <w:r w:rsidR="00516DF4">
        <w:t>I have applied this new method to the SLE case study to demonstrate how a pharmaceutical company might use the analysis to maximise expected profits conditional on trial design.</w:t>
      </w:r>
    </w:p>
    <w:p w:rsidR="009F501C" w:rsidRDefault="009F501C" w:rsidP="009F501C">
      <w:pPr>
        <w:pStyle w:val="Heading3"/>
      </w:pPr>
      <w:bookmarkStart w:id="603" w:name="_Toc345584696"/>
      <w:bookmarkStart w:id="604" w:name="_Toc379467680"/>
      <w:r>
        <w:t>Assurance Based Valuation of Trials</w:t>
      </w:r>
      <w:bookmarkEnd w:id="603"/>
      <w:bookmarkEnd w:id="604"/>
    </w:p>
    <w:p w:rsidR="009F501C" w:rsidRDefault="009F501C" w:rsidP="006A3B1E">
      <w:r>
        <w:t>Willan (2008) formulated a function for Expected Profit</w:t>
      </w:r>
      <w:r w:rsidR="00FD3A92">
        <w:t xml:space="preserve"> for a pharmaceutical compan</w:t>
      </w:r>
      <w:r w:rsidR="006A3B1E">
        <w:t>y’s</w:t>
      </w:r>
      <w:r w:rsidR="00FD3A92">
        <w:t xml:space="preserve"> product</w:t>
      </w:r>
      <w:r>
        <w:t xml:space="preserve">. This is renamed in this thesis to be the Profit Forecast (PF).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7083"/>
        <w:gridCol w:w="1126"/>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hAnsi="Cambria Math"/>
                  </w:rPr>
                  <m:t>PF=π k h s g(z)</m:t>
                </m:r>
              </m:oMath>
            </m:oMathPara>
          </w:p>
        </w:tc>
        <w:tc>
          <w:tcPr>
            <w:tcW w:w="1196" w:type="dxa"/>
          </w:tcPr>
          <w:p w:rsidR="007568A9" w:rsidRDefault="007568A9" w:rsidP="007F5C69">
            <w:pPr>
              <w:pStyle w:val="ListParagraph"/>
              <w:numPr>
                <w:ilvl w:val="1"/>
                <w:numId w:val="30"/>
              </w:numPr>
              <w:ind w:right="220"/>
              <w:jc w:val="right"/>
            </w:pPr>
            <w:bookmarkStart w:id="605" w:name="willan_8"/>
            <w:bookmarkEnd w:id="605"/>
          </w:p>
        </w:tc>
      </w:tr>
    </w:tbl>
    <w:p w:rsidR="009F501C" w:rsidRDefault="009F501C" w:rsidP="00516DF4">
      <w:r>
        <w:t xml:space="preserve">where </w:t>
      </w:r>
      <w:r>
        <w:rPr>
          <w:i/>
          <w:iCs/>
        </w:rPr>
        <w:t>π</w:t>
      </w:r>
      <w:r>
        <w:t xml:space="preserve"> is the profit per treated patient, </w:t>
      </w:r>
      <w:r w:rsidRPr="00CC442A">
        <w:rPr>
          <w:i/>
          <w:iCs/>
        </w:rPr>
        <w:t>k</w:t>
      </w:r>
      <w:r>
        <w:t xml:space="preserve"> is the annual</w:t>
      </w:r>
      <w:r w:rsidR="00FD3A92">
        <w:t xml:space="preserve"> disease </w:t>
      </w:r>
      <w:r>
        <w:t xml:space="preserve">incidence </w:t>
      </w:r>
      <w:r w:rsidR="00FD3A92">
        <w:t>in</w:t>
      </w:r>
      <w:r>
        <w:t xml:space="preserve"> SLE, </w:t>
      </w:r>
      <w:r w:rsidRPr="00CC442A">
        <w:rPr>
          <w:i/>
          <w:iCs/>
        </w:rPr>
        <w:t>h</w:t>
      </w:r>
      <w:r>
        <w:t xml:space="preserve"> is the time horizon of </w:t>
      </w:r>
      <w:r w:rsidR="00FD3A92">
        <w:t>sales for the new</w:t>
      </w:r>
      <w:r>
        <w:t xml:space="preserve"> treatment. The market share of the new treatment is given by </w:t>
      </w:r>
      <w:r w:rsidRPr="00CC442A">
        <w:rPr>
          <w:i/>
          <w:iCs/>
        </w:rPr>
        <w:t>s</w:t>
      </w:r>
      <w:r>
        <w:t xml:space="preserve"> and the probability of </w:t>
      </w:r>
      <w:r w:rsidR="002C404F">
        <w:t>reimbursement</w:t>
      </w:r>
      <w:r>
        <w:t xml:space="preserve"> approval</w:t>
      </w:r>
      <m:oMath>
        <m:r>
          <w:rPr>
            <w:rFonts w:ascii="Cambria Math" w:hAnsi="Cambria Math"/>
          </w:rPr>
          <m:t xml:space="preserve"> g</m:t>
        </m:r>
        <m:d>
          <m:dPr>
            <m:ctrlPr>
              <w:rPr>
                <w:rFonts w:ascii="Cambria Math" w:hAnsi="Cambria Math"/>
                <w:i/>
              </w:rPr>
            </m:ctrlPr>
          </m:dPr>
          <m:e>
            <m:r>
              <w:rPr>
                <w:rFonts w:ascii="Cambria Math" w:hAnsi="Cambria Math"/>
              </w:rPr>
              <m:t>z</m:t>
            </m:r>
          </m:e>
        </m:d>
        <m:r>
          <w:rPr>
            <w:rFonts w:ascii="Cambria Math" w:hAnsi="Cambria Math"/>
          </w:rPr>
          <m:t xml:space="preserve"> </m:t>
        </m:r>
      </m:oMath>
      <w:r>
        <w:t xml:space="preserve"> conditional on the strength of evidence from the trial </w:t>
      </w:r>
      <w:r w:rsidRPr="00CC442A">
        <w:rPr>
          <w:i/>
          <w:iCs/>
        </w:rPr>
        <w:t>z</w:t>
      </w:r>
      <w:r>
        <w:t xml:space="preserve">. The estimate for </w:t>
      </w:r>
      <m:oMath>
        <m:r>
          <w:rPr>
            <w:rFonts w:ascii="Cambria Math" w:hAnsi="Cambria Math"/>
          </w:rPr>
          <m:t>g</m:t>
        </m:r>
        <m:d>
          <m:dPr>
            <m:ctrlPr>
              <w:rPr>
                <w:rFonts w:ascii="Cambria Math" w:hAnsi="Cambria Math"/>
                <w:i/>
              </w:rPr>
            </m:ctrlPr>
          </m:dPr>
          <m:e>
            <m:r>
              <w:rPr>
                <w:rFonts w:ascii="Cambria Math" w:hAnsi="Cambria Math"/>
              </w:rPr>
              <m:t>z</m:t>
            </m:r>
          </m:e>
        </m:d>
      </m:oMath>
      <w:r>
        <w:t xml:space="preserve"> is analog</w:t>
      </w:r>
      <w:r w:rsidR="00AC3CB4">
        <w:t>ous to an assurance calculation</w:t>
      </w:r>
      <w:r>
        <w:t xml:space="preserve">. I </w:t>
      </w:r>
      <w:r w:rsidR="00AC3CB4">
        <w:t>generated</w:t>
      </w:r>
      <w:r>
        <w:t xml:space="preserve"> assurance </w:t>
      </w:r>
      <w:r w:rsidR="00AC3CB4">
        <w:t xml:space="preserve">calculations </w:t>
      </w:r>
      <w:r>
        <w:t>for multiple endpoints of a trial</w:t>
      </w:r>
      <w:r w:rsidR="00AC3CB4">
        <w:t xml:space="preserve"> to describe different strengths of evidence</w:t>
      </w:r>
      <w:r>
        <w:t xml:space="preserve">. </w:t>
      </w:r>
    </w:p>
    <w:p w:rsidR="009F501C" w:rsidRDefault="009F501C" w:rsidP="006A3B1E">
      <w:r>
        <w:t>Firstly, the BCTS reported the assurance</w:t>
      </w:r>
      <w:r w:rsidR="006A3B1E">
        <w:t xml:space="preserve"> calculations</w:t>
      </w:r>
      <w:r>
        <w:t xml:space="preserve"> for the Efficacy Trial endpoint</w:t>
      </w:r>
      <w:r w:rsidR="006A3B1E">
        <w:t xml:space="preserve">, </w:t>
      </w:r>
      <w:r>
        <w:t xml:space="preserve"> the </w:t>
      </w:r>
      <w:r w:rsidR="006A3B1E">
        <w:t>Disease Activity Trial endpoint, and</w:t>
      </w:r>
      <w:r>
        <w:t xml:space="preserve"> Organ Damage Trial endpoint. </w:t>
      </w:r>
    </w:p>
    <w:p w:rsidR="008E7316" w:rsidRDefault="009F501C" w:rsidP="00FD3A92">
      <w:r>
        <w:t>The assurance calculation for a successful CE model outcome, with a positive incremental net benefit is more challenging to estimate. CE model success can only be estimated if the price of the new treatment were known. Within this framework it would be necessary to assume a target price for the treatment and calculate the Profit Forecast. It may be useful to evaluate Profit Forecasts for a range of prices to observe the trade-off between</w:t>
      </w:r>
      <w:r w:rsidR="00FD3A92">
        <w:t xml:space="preserve"> increasing</w:t>
      </w:r>
      <w:r>
        <w:t xml:space="preserve"> profit per patient treated</w:t>
      </w:r>
      <w:r w:rsidR="00FD3A92">
        <w:t xml:space="preserve"> as price increasing</w:t>
      </w:r>
      <w:r>
        <w:t xml:space="preserve"> and </w:t>
      </w:r>
      <w:r w:rsidR="00FD3A92">
        <w:t>decreasing</w:t>
      </w:r>
      <w:r>
        <w:t xml:space="preserve"> the probability that the treatment will be approved. However, </w:t>
      </w:r>
      <w:r w:rsidR="00FD3A92">
        <w:t xml:space="preserve">the </w:t>
      </w:r>
      <w:r w:rsidR="00AC3CB4">
        <w:t>pharmaceutical c</w:t>
      </w:r>
      <w:r>
        <w:t xml:space="preserve">ompany will not have to make a decision about the price at this stage in the drug development and the final decision for price will be conditional on trial results. </w:t>
      </w:r>
      <w:r w:rsidR="00AC3CB4">
        <w:t>Price scenario analyses may be difficult to interpret for decision-making for trial designs.</w:t>
      </w:r>
      <w:r>
        <w:t xml:space="preserve"> I considered how the method proposed by Willan (2008) could be adapted to account for a</w:t>
      </w:r>
      <w:r w:rsidR="00FD3A92">
        <w:t>n</w:t>
      </w:r>
      <w:r>
        <w:t xml:space="preserve"> </w:t>
      </w:r>
      <w:r w:rsidR="00AC3CB4">
        <w:t>evaluation of trial designs with variable price</w:t>
      </w:r>
      <w:r>
        <w:t>.</w:t>
      </w:r>
    </w:p>
    <w:p w:rsidR="009F501C" w:rsidRPr="00C335DD" w:rsidRDefault="009F501C" w:rsidP="009F501C">
      <w:pPr>
        <w:pStyle w:val="Heading3"/>
      </w:pPr>
      <w:bookmarkStart w:id="606" w:name="_Toc345584697"/>
      <w:bookmarkStart w:id="607" w:name="_Toc379467681"/>
      <w:r>
        <w:t>Value Based Pricing Valuation of Trials</w:t>
      </w:r>
      <w:bookmarkEnd w:id="606"/>
      <w:bookmarkEnd w:id="607"/>
    </w:p>
    <w:p w:rsidR="009F501C" w:rsidRDefault="009F501C" w:rsidP="00AC3CB4">
      <w:r>
        <w:t xml:space="preserve">I proposed that Willan’s formula should be revised so that the probability of </w:t>
      </w:r>
      <w:r w:rsidR="002C404F">
        <w:t>reimbursement</w:t>
      </w:r>
      <w:r>
        <w:t xml:space="preserve"> approval was removed from the equation and the profit per patient </w:t>
      </w:r>
      <w:r w:rsidR="00AC3CB4">
        <w:t>was</w:t>
      </w:r>
      <w:r>
        <w:t xml:space="preserve"> variable and conditional on the CE outcomes after data collection. Equation </w:t>
      </w:r>
      <w:r w:rsidR="00E729BA">
        <w:fldChar w:fldCharType="begin"/>
      </w:r>
      <w:r w:rsidR="007F5C69">
        <w:instrText xml:space="preserve"> REF willan_8 \w \h </w:instrText>
      </w:r>
      <w:r w:rsidR="00E729BA">
        <w:fldChar w:fldCharType="separate"/>
      </w:r>
      <w:r w:rsidR="004911B7">
        <w:rPr>
          <w:cs/>
        </w:rPr>
        <w:t>‎</w:t>
      </w:r>
      <w:r w:rsidR="004911B7">
        <w:t>(8.13)</w:t>
      </w:r>
      <w:r w:rsidR="00E729BA">
        <w:fldChar w:fldCharType="end"/>
      </w:r>
      <w:r>
        <w:t xml:space="preserve"> has been modified to account for the variable profit per patient</w:t>
      </w:r>
      <w:r w:rsidR="00F331D3">
        <w:t xml:space="preserve">, </w:t>
      </w:r>
      <m:oMath>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e>
        </m:d>
        <m:r>
          <w:rPr>
            <w:rFonts w:ascii="Cambria Math" w:hAnsi="Cambria Math"/>
          </w:rPr>
          <m:t>.</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
        <w:gridCol w:w="7085"/>
        <w:gridCol w:w="395"/>
        <w:gridCol w:w="729"/>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7568A9">
            <m:oMathPara>
              <m:oMath>
                <m:r>
                  <w:rPr>
                    <w:rFonts w:ascii="Cambria Math" w:hAnsi="Cambria Math"/>
                  </w:rPr>
                  <m:t>PF=π</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e>
                </m:d>
                <m:r>
                  <w:rPr>
                    <w:rFonts w:ascii="Cambria Math" w:hAnsi="Cambria Math"/>
                  </w:rPr>
                  <m:t>k h s-c</m:t>
                </m:r>
              </m:oMath>
            </m:oMathPara>
          </w:p>
        </w:tc>
        <w:tc>
          <w:tcPr>
            <w:tcW w:w="1196" w:type="dxa"/>
            <w:gridSpan w:val="2"/>
          </w:tcPr>
          <w:p w:rsidR="007568A9" w:rsidRDefault="007568A9" w:rsidP="00597CF5">
            <w:pPr>
              <w:pStyle w:val="ListParagraph"/>
              <w:numPr>
                <w:ilvl w:val="1"/>
                <w:numId w:val="30"/>
              </w:numPr>
              <w:bidi/>
              <w:ind w:right="220"/>
              <w:jc w:val="right"/>
            </w:pPr>
          </w:p>
        </w:tc>
      </w:tr>
      <w:tr w:rsidR="009F501C" w:rsidTr="000E0AEC">
        <w:tc>
          <w:tcPr>
            <w:tcW w:w="8472" w:type="dxa"/>
            <w:gridSpan w:val="3"/>
          </w:tcPr>
          <w:p w:rsidR="009F501C" w:rsidRDefault="009F501C" w:rsidP="00AD3583"/>
        </w:tc>
        <w:tc>
          <w:tcPr>
            <w:tcW w:w="770" w:type="dxa"/>
          </w:tcPr>
          <w:p w:rsidR="009F501C" w:rsidRDefault="009F501C" w:rsidP="00AD3583"/>
        </w:tc>
      </w:tr>
    </w:tbl>
    <w:p w:rsidR="009F501C" w:rsidRDefault="00EE1982" w:rsidP="00F331D3">
      <w:r>
        <w:t xml:space="preserve">where </w:t>
      </w:r>
      <w:r>
        <w:rPr>
          <w:i/>
          <w:iCs/>
        </w:rPr>
        <w:t xml:space="preserve">c </w:t>
      </w:r>
      <w:r>
        <w:t xml:space="preserve">is the cost of production, </w:t>
      </w:r>
      <w:r w:rsidRPr="00CC442A">
        <w:rPr>
          <w:i/>
          <w:iCs/>
        </w:rPr>
        <w:t>k</w:t>
      </w:r>
      <w:r>
        <w:t xml:space="preserve"> is the annual disease incidence in SLE, </w:t>
      </w:r>
      <w:r w:rsidRPr="00CC442A">
        <w:rPr>
          <w:i/>
          <w:iCs/>
        </w:rPr>
        <w:t>h</w:t>
      </w:r>
      <w:r>
        <w:t xml:space="preserve"> is the time horizon of sales for the new treatment. </w:t>
      </w:r>
      <w:r w:rsidR="009F501C">
        <w:t>The profit per patient</w:t>
      </w:r>
      <w:r w:rsidR="002E1550">
        <w:t xml:space="preserve"> </w:t>
      </w:r>
      <w:r w:rsidR="009F501C">
        <w:t xml:space="preserve">can be estimated from the CE outcomes assuming that the drug company are willing to set their price according to the willingness to pay threshold of the reimbursement authority. The </w:t>
      </w:r>
      <w:r w:rsidR="0017698C">
        <w:t>value-based price</w:t>
      </w:r>
      <w:r w:rsidR="009F501C">
        <w:t xml:space="preserve"> of the new treatment can be expressed as an outcome of the CE model. It describes the maximum price that the drug company can charge given the decision criteria of the reimbursement authority. A simple example would be the willingness to pay per QALY threshold. </w:t>
      </w:r>
      <w:r w:rsidR="00C26CB4">
        <w:t>Prior to the Phase III trial, t</w:t>
      </w:r>
      <w:r w:rsidR="009F501C">
        <w:t xml:space="preserve">he </w:t>
      </w:r>
      <w:r w:rsidR="00C26CB4">
        <w:t xml:space="preserve">expected </w:t>
      </w:r>
      <w:r w:rsidR="0017698C">
        <w:t>value-based price</w:t>
      </w:r>
      <w:r w:rsidR="00C26CB4">
        <w:t xml:space="preserve"> for the treatment conditional on new data </w:t>
      </w:r>
      <w:r w:rsidR="009F501C">
        <w:t xml:space="preserve">will be uncertain due to the variability in </w:t>
      </w:r>
      <w:r w:rsidR="00C26CB4">
        <w:t xml:space="preserve">possible </w:t>
      </w:r>
      <w:r w:rsidR="009F501C">
        <w:t xml:space="preserve">data outcomes from the trial. </w:t>
      </w:r>
      <w:r w:rsidR="00C26CB4">
        <w:t>In designing the Phase III trial p</w:t>
      </w:r>
      <w:r w:rsidR="009F501C">
        <w:t xml:space="preserve">harmaceutical companies will want to maximise the </w:t>
      </w:r>
      <w:r w:rsidR="00C26CB4">
        <w:t xml:space="preserve">expected </w:t>
      </w:r>
      <w:r w:rsidR="0017698C">
        <w:t>value-based price</w:t>
      </w:r>
      <w:r w:rsidR="009F501C">
        <w:t xml:space="preserve"> and reduce the risk that the treatment fails to reach the market.</w:t>
      </w:r>
      <w:r w:rsidR="00AC3CB4">
        <w:t xml:space="preserve"> Different trial designs will have a differential effect on </w:t>
      </w:r>
      <w:r w:rsidR="00C26CB4">
        <w:t>the expected value-based price and trial assurance</w:t>
      </w:r>
      <w:r w:rsidR="00AC3CB4">
        <w:t>.</w:t>
      </w:r>
      <w:r w:rsidR="009F501C">
        <w:t xml:space="preserve"> </w:t>
      </w:r>
    </w:p>
    <w:p w:rsidR="009F501C" w:rsidRDefault="009F501C" w:rsidP="00CC17B0">
      <w:r>
        <w:t>I specified an alternative formula for dete</w:t>
      </w:r>
      <w:r w:rsidR="007F5C69">
        <w:t>rmining profit per patient. In S</w:t>
      </w:r>
      <w:r>
        <w:t xml:space="preserve">ection </w:t>
      </w:r>
      <w:r w:rsidR="00E729BA">
        <w:fldChar w:fldCharType="begin"/>
      </w:r>
      <w:r w:rsidR="007F5C69">
        <w:instrText xml:space="preserve"> REF _Ref355023608 \n \h </w:instrText>
      </w:r>
      <w:r w:rsidR="00E729BA">
        <w:fldChar w:fldCharType="separate"/>
      </w:r>
      <w:r w:rsidR="004911B7">
        <w:rPr>
          <w:cs/>
        </w:rPr>
        <w:t>‎</w:t>
      </w:r>
      <w:r w:rsidR="004911B7">
        <w:t>1.1</w:t>
      </w:r>
      <w:r w:rsidR="00E729BA">
        <w:fldChar w:fldCharType="end"/>
      </w:r>
      <w:r w:rsidR="007F5C69">
        <w:t xml:space="preserve"> </w:t>
      </w:r>
      <w:r>
        <w:t xml:space="preserve">of </w:t>
      </w:r>
      <w:r w:rsidR="007F5C69">
        <w:t>Chapter 1</w:t>
      </w:r>
      <w:r>
        <w:t xml:space="preserve"> I propose</w:t>
      </w:r>
      <w:r w:rsidR="00516DF4">
        <w:t>d</w:t>
      </w:r>
      <w:r>
        <w:t xml:space="preserve"> that drug succ</w:t>
      </w:r>
      <w:r w:rsidR="006A3B1E">
        <w:t>ess is defined by two factors: a</w:t>
      </w:r>
      <w:r>
        <w:t xml:space="preserve"> successful licence application and a successful reimbursement application. These two conditions are required in order to achieve profits for the new treatment. The treatment license is granted if the primary endpoint of the trial is statistically significant. The primary endpoint of the trial is expressed by Δ and the significance test </w:t>
      </w:r>
      <m:oMath>
        <m:r>
          <w:rPr>
            <w:rFonts w:ascii="Cambria Math" w:hAnsi="Cambria Math"/>
          </w:rPr>
          <m:t>z</m:t>
        </m:r>
        <m:d>
          <m:dPr>
            <m:ctrlPr>
              <w:rPr>
                <w:rFonts w:ascii="Cambria Math" w:hAnsi="Cambria Math"/>
                <w:i/>
              </w:rPr>
            </m:ctrlPr>
          </m:dPr>
          <m:e>
            <m:r>
              <w:rPr>
                <w:rFonts w:ascii="Cambria Math" w:hAnsi="Cambria Math"/>
              </w:rPr>
              <m:t>Δ</m:t>
            </m:r>
          </m:e>
        </m:d>
      </m:oMath>
      <w:r>
        <w:t xml:space="preserve">. Reimbursement is granted if the annual price of treatment is less than or equal to the </w:t>
      </w:r>
      <w:r w:rsidR="00FE7941">
        <w:t>value-based price</w:t>
      </w:r>
      <w:r>
        <w:t xml:space="preserve">. It assumed that the </w:t>
      </w:r>
      <w:r w:rsidR="00CC17B0">
        <w:t>p</w:t>
      </w:r>
      <w:r>
        <w:t xml:space="preserve">harmaceutical </w:t>
      </w:r>
      <w:r w:rsidR="00CC17B0">
        <w:t xml:space="preserve">company </w:t>
      </w:r>
      <w:r>
        <w:t xml:space="preserve">have a minimum price </w:t>
      </w:r>
      <m:oMath>
        <m:r>
          <w:rPr>
            <w:rFonts w:ascii="Cambria Math" w:hAnsi="Cambria Math"/>
          </w:rPr>
          <m:t>m</m:t>
        </m:r>
      </m:oMath>
      <w:r>
        <w:t xml:space="preserve"> at which they would agree to market the treatment, this may be related to the cost of producing the drug </w:t>
      </w:r>
      <m:oMath>
        <m:r>
          <w:rPr>
            <w:rFonts w:ascii="Cambria Math" w:hAnsi="Cambria Math"/>
          </w:rPr>
          <m:t>c</m:t>
        </m:r>
      </m:oMath>
      <w:r>
        <w:t xml:space="preserve">, but may be influenced by other factors. For example, price expectations may vary if the </w:t>
      </w:r>
      <w:r w:rsidR="00CC17B0">
        <w:t>p</w:t>
      </w:r>
      <w:r>
        <w:t xml:space="preserve">harmaceutical </w:t>
      </w:r>
      <w:r w:rsidR="00CC17B0">
        <w:t>c</w:t>
      </w:r>
      <w:r>
        <w:t>ompany knows of, or anticipate, other drug indications. In the formulation of expected profits</w:t>
      </w:r>
      <w:r w:rsidR="005C1747">
        <w:t>,</w:t>
      </w:r>
      <w:r>
        <w:t xml:space="preserve"> patients are assumed to receive treatment for </w:t>
      </w:r>
      <m:oMath>
        <m:r>
          <w:rPr>
            <w:rFonts w:ascii="Cambria Math" w:hAnsi="Cambria Math"/>
          </w:rPr>
          <m:t>t</m:t>
        </m:r>
      </m:oMath>
      <w:r>
        <w:t xml:space="preserve"> years, which can be estimated from the mean treatment years across all BCTS evaluations.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
        <w:gridCol w:w="7173"/>
        <w:gridCol w:w="1057"/>
      </w:tblGrid>
      <w:tr w:rsidR="007568A9" w:rsidTr="000E0AEC">
        <w:trPr>
          <w:cantSplit/>
          <w:trHeight w:val="435"/>
        </w:trPr>
        <w:tc>
          <w:tcPr>
            <w:tcW w:w="534" w:type="dxa"/>
          </w:tcPr>
          <w:p w:rsidR="007568A9" w:rsidRDefault="007568A9" w:rsidP="007568A9"/>
        </w:tc>
        <w:tc>
          <w:tcPr>
            <w:tcW w:w="7512" w:type="dxa"/>
          </w:tcPr>
          <w:p w:rsidR="007568A9" w:rsidRPr="002367E4" w:rsidRDefault="007568A9" w:rsidP="005C1747">
            <m:oMathPara>
              <m:oMath>
                <m:r>
                  <w:rPr>
                    <w:rFonts w:ascii="Cambria Math" w:hAnsi="Cambria Math"/>
                  </w:rPr>
                  <m:t>π</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X</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(VBP&lt;Pmin OR z</m:t>
                          </m:r>
                          <m:d>
                            <m:dPr>
                              <m:ctrlPr>
                                <w:rPr>
                                  <w:rFonts w:ascii="Cambria Math" w:hAnsi="Cambria Math"/>
                                  <w:i/>
                                </w:rPr>
                              </m:ctrlPr>
                            </m:dPr>
                            <m:e>
                              <m:r>
                                <w:rPr>
                                  <w:rFonts w:ascii="Cambria Math" w:hAnsi="Cambria Math"/>
                                </w:rPr>
                                <m:t>Δ</m:t>
                              </m:r>
                            </m:e>
                          </m:d>
                          <m:r>
                            <w:rPr>
                              <w:rFonts w:ascii="Cambria Math" w:hAnsi="Cambria Math"/>
                            </w:rPr>
                            <m:t>&lt;1.96)</m:t>
                          </m:r>
                        </m:e>
                      </m:mr>
                      <m:mr>
                        <m:e>
                          <m:r>
                            <w:rPr>
                              <w:rFonts w:ascii="Cambria Math" w:hAnsi="Cambria Math"/>
                            </w:rPr>
                            <m:t>VBP(</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)t</m:t>
                          </m:r>
                        </m:e>
                        <m:e>
                          <m:r>
                            <w:rPr>
                              <w:rFonts w:ascii="Cambria Math" w:hAnsi="Cambria Math"/>
                            </w:rPr>
                            <m:t>(VBP≥Pmin AND z</m:t>
                          </m:r>
                          <m:d>
                            <m:dPr>
                              <m:ctrlPr>
                                <w:rPr>
                                  <w:rFonts w:ascii="Cambria Math" w:hAnsi="Cambria Math"/>
                                  <w:i/>
                                </w:rPr>
                              </m:ctrlPr>
                            </m:dPr>
                            <m:e>
                              <m:r>
                                <w:rPr>
                                  <w:rFonts w:ascii="Cambria Math" w:hAnsi="Cambria Math"/>
                                </w:rPr>
                                <m:t>Δ</m:t>
                              </m:r>
                            </m:e>
                          </m:d>
                          <m:r>
                            <w:rPr>
                              <w:rFonts w:ascii="Cambria Math" w:hAnsi="Cambria Math"/>
                            </w:rPr>
                            <m:t>&gt;1.96)</m:t>
                          </m:r>
                        </m:e>
                      </m:mr>
                    </m:m>
                  </m:e>
                </m:d>
              </m:oMath>
            </m:oMathPara>
          </w:p>
        </w:tc>
        <w:tc>
          <w:tcPr>
            <w:tcW w:w="1196" w:type="dxa"/>
          </w:tcPr>
          <w:p w:rsidR="007568A9" w:rsidRDefault="007568A9" w:rsidP="007F5C69">
            <w:pPr>
              <w:pStyle w:val="ListParagraph"/>
              <w:numPr>
                <w:ilvl w:val="1"/>
                <w:numId w:val="30"/>
              </w:numPr>
              <w:ind w:right="220"/>
              <w:jc w:val="right"/>
            </w:pPr>
            <w:bookmarkStart w:id="608" w:name="simpleppp_8"/>
            <w:bookmarkStart w:id="609" w:name="Expectprofit"/>
            <w:bookmarkEnd w:id="608"/>
            <w:bookmarkEnd w:id="609"/>
          </w:p>
        </w:tc>
      </w:tr>
    </w:tbl>
    <w:p w:rsidR="009F501C" w:rsidRDefault="009F501C" w:rsidP="00C055E3">
      <w:r>
        <w:t xml:space="preserve">If the new treatment </w:t>
      </w:r>
      <w:r w:rsidR="00D75B60">
        <w:t>has generate</w:t>
      </w:r>
      <w:r w:rsidR="00516DF4">
        <w:t>d</w:t>
      </w:r>
      <w:r w:rsidR="00D75B60">
        <w:t xml:space="preserve"> a value-based price less than the minimum, </w:t>
      </w:r>
      <m:oMath>
        <m:r>
          <w:rPr>
            <w:rFonts w:ascii="Cambria Math" w:hAnsi="Cambria Math"/>
          </w:rPr>
          <m:t>Pmin,</m:t>
        </m:r>
      </m:oMath>
      <w:r w:rsidR="00D75B60">
        <w:t xml:space="preserve"> or, if the efficacy of the treatment is not statistically significant then the </w:t>
      </w:r>
      <w:r>
        <w:t xml:space="preserve">profit per patient is zero. </w:t>
      </w:r>
      <w:r w:rsidR="00D75B60">
        <w:t>However, i</w:t>
      </w:r>
      <w:r>
        <w:t xml:space="preserve">f the </w:t>
      </w:r>
      <w:r w:rsidR="0017698C">
        <w:t>value-based price</w:t>
      </w:r>
      <w:r>
        <w:t xml:space="preserve"> is greater than the </w:t>
      </w:r>
      <w:r w:rsidR="00CC17B0">
        <w:t>p</w:t>
      </w:r>
      <w:r>
        <w:t xml:space="preserve">harmaceutical </w:t>
      </w:r>
      <w:r w:rsidR="00CC17B0">
        <w:t>c</w:t>
      </w:r>
      <w:r>
        <w:t xml:space="preserve">ompanies minimum price </w:t>
      </w:r>
      <m:oMath>
        <m:r>
          <w:rPr>
            <w:rFonts w:ascii="Cambria Math" w:hAnsi="Cambria Math"/>
          </w:rPr>
          <m:t>Pmin</m:t>
        </m:r>
      </m:oMath>
      <w:r>
        <w:t xml:space="preserve">, </w:t>
      </w:r>
      <w:r w:rsidR="00D75B60">
        <w:t xml:space="preserve">and efficacy is statistically significant, </w:t>
      </w:r>
      <w:r>
        <w:t xml:space="preserve">the </w:t>
      </w:r>
      <w:r w:rsidR="00CC17B0">
        <w:t>p</w:t>
      </w:r>
      <w:r>
        <w:t xml:space="preserve">harmaceutical </w:t>
      </w:r>
      <w:r w:rsidR="00CC17B0">
        <w:t>c</w:t>
      </w:r>
      <w:r>
        <w:t xml:space="preserve">ompany will adopt the </w:t>
      </w:r>
      <w:r w:rsidR="0017698C">
        <w:t>value-based price</w:t>
      </w:r>
      <w:r>
        <w:t xml:space="preserve"> and profit per patient will equal </w:t>
      </w:r>
      <w:r w:rsidR="0017698C">
        <w:t>value-based price</w:t>
      </w:r>
      <w:r>
        <w:t xml:space="preserve"> minus the cost of treatment production. </w:t>
      </w:r>
    </w:p>
    <w:p w:rsidR="009F501C" w:rsidRDefault="009F501C" w:rsidP="008731E8">
      <w:pPr>
        <w:pStyle w:val="Heading3"/>
      </w:pPr>
      <w:bookmarkStart w:id="610" w:name="_Toc345584698"/>
      <w:bookmarkStart w:id="611" w:name="_Toc379467682"/>
      <w:r>
        <w:t xml:space="preserve">Expected </w:t>
      </w:r>
      <w:r w:rsidR="008731E8">
        <w:t xml:space="preserve">Commercial </w:t>
      </w:r>
      <w:r>
        <w:t xml:space="preserve">Net </w:t>
      </w:r>
      <w:r w:rsidR="008731E8">
        <w:t>Benefit</w:t>
      </w:r>
      <w:r>
        <w:t xml:space="preserve"> of Sampling (E</w:t>
      </w:r>
      <w:r w:rsidR="008731E8">
        <w:t>C</w:t>
      </w:r>
      <w:r>
        <w:t>N</w:t>
      </w:r>
      <w:r w:rsidR="008731E8">
        <w:t>B</w:t>
      </w:r>
      <w:r>
        <w:t>S)</w:t>
      </w:r>
      <w:bookmarkEnd w:id="610"/>
      <w:bookmarkEnd w:id="611"/>
    </w:p>
    <w:p w:rsidR="009F501C" w:rsidRDefault="009F501C" w:rsidP="009F501C">
      <w:r>
        <w:t>The Expected Profit for each trial design was estimated from the expectation over all iterations of the Profit Forecasts.</w:t>
      </w:r>
      <w:r w:rsidR="005C1747">
        <w:t xml:space="preserve"> A profit forecast was ma</w:t>
      </w:r>
      <w:r w:rsidR="00D75B60">
        <w:t>de for each simulated dataset. With some trial results having zero profit implication and others achieving regulatory approval, reimbursement at the value-based price</w:t>
      </w:r>
      <w:r w:rsidR="00516DF4">
        <w:t>, t</w:t>
      </w:r>
      <w:r w:rsidR="00D75B60">
        <w:t xml:space="preserve">he expected profit forecast is simply the average of all these.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7091"/>
        <w:gridCol w:w="1119"/>
      </w:tblGrid>
      <w:tr w:rsidR="007568A9" w:rsidTr="000E0AEC">
        <w:trPr>
          <w:cantSplit/>
          <w:trHeight w:val="435"/>
        </w:trPr>
        <w:tc>
          <w:tcPr>
            <w:tcW w:w="534" w:type="dxa"/>
          </w:tcPr>
          <w:p w:rsidR="007568A9" w:rsidRDefault="007568A9" w:rsidP="007568A9"/>
        </w:tc>
        <w:tc>
          <w:tcPr>
            <w:tcW w:w="7512" w:type="dxa"/>
          </w:tcPr>
          <w:p w:rsidR="007568A9" w:rsidRPr="002367E4" w:rsidRDefault="00E729BA" w:rsidP="007568A9">
            <m:oMathPara>
              <m:oMath>
                <m:sSub>
                  <m:sSubPr>
                    <m:ctrlPr>
                      <w:rPr>
                        <w:rFonts w:ascii="Cambria Math" w:hAnsi="Cambria Math"/>
                        <w:i/>
                      </w:rPr>
                    </m:ctrlPr>
                  </m:sSubPr>
                  <m:e>
                    <m:r>
                      <w:rPr>
                        <w:rFonts w:ascii="Cambria Math" w:hAnsi="Cambria Math"/>
                      </w:rPr>
                      <m:t>EPF</m:t>
                    </m:r>
                  </m:e>
                  <m:sub>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sub>
                </m:sSub>
                <m:r>
                  <w:rPr>
                    <w:rFonts w:ascii="Cambria Math" w:hAnsi="Cambria Math"/>
                  </w:rPr>
                  <m:t>=</m:t>
                </m:r>
                <m:sSub>
                  <m:sSubPr>
                    <m:ctrlPr>
                      <w:rPr>
                        <w:rFonts w:ascii="Cambria Math" w:hAnsi="Cambria Math"/>
                        <w:i/>
                      </w:rPr>
                    </m:ctrlPr>
                  </m:sSubPr>
                  <m:e>
                    <m:r>
                      <w:rPr>
                        <w:rFonts w:ascii="Cambria Math" w:hAnsi="Cambria Math"/>
                      </w:rPr>
                      <m:t>E</m:t>
                    </m:r>
                  </m:e>
                  <m:sub>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sub>
                </m:sSub>
                <m:d>
                  <m:dPr>
                    <m:begChr m:val="["/>
                    <m:endChr m:val="]"/>
                    <m:ctrlPr>
                      <w:rPr>
                        <w:rFonts w:ascii="Cambria Math" w:hAnsi="Cambria Math"/>
                        <w:i/>
                      </w:rPr>
                    </m:ctrlPr>
                  </m:dPr>
                  <m:e>
                    <m:r>
                      <w:rPr>
                        <w:rFonts w:ascii="Cambria Math" w:hAnsi="Cambria Math"/>
                      </w:rPr>
                      <m:t>PF(</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|X,</m:t>
                    </m:r>
                    <m:sSub>
                      <m:sSubPr>
                        <m:ctrlPr>
                          <w:rPr>
                            <w:rFonts w:ascii="Cambria Math" w:hAnsi="Cambria Math"/>
                            <w:i/>
                          </w:rPr>
                        </m:ctrlPr>
                      </m:sSubPr>
                      <m:e>
                        <m:r>
                          <w:rPr>
                            <w:rFonts w:ascii="Cambria Math" w:hAnsi="Cambria Math"/>
                          </w:rPr>
                          <m:t>θ</m:t>
                        </m:r>
                      </m:e>
                      <m:sub>
                        <m:r>
                          <w:rPr>
                            <w:rFonts w:ascii="Cambria Math" w:hAnsi="Cambria Math"/>
                          </w:rPr>
                          <m:t>C</m:t>
                        </m:r>
                      </m:sub>
                    </m:sSub>
                    <m:r>
                      <w:rPr>
                        <w:rFonts w:ascii="Cambria Math" w:hAnsi="Cambria Math"/>
                      </w:rPr>
                      <m:t>)</m:t>
                    </m:r>
                  </m:e>
                </m:d>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2623ED">
      <w:r>
        <w:t xml:space="preserve">The decision criteria for selecting the optimal trial design required the specification of the maximum Expected </w:t>
      </w:r>
      <w:r w:rsidR="002623ED">
        <w:t xml:space="preserve">Commercial </w:t>
      </w:r>
      <w:r>
        <w:t xml:space="preserve">Net </w:t>
      </w:r>
      <w:r w:rsidR="002623ED">
        <w:t>Benefit</w:t>
      </w:r>
      <w:r>
        <w:t xml:space="preserve"> of Sampling (E</w:t>
      </w:r>
      <w:r w:rsidR="00AE3D16">
        <w:t>C</w:t>
      </w:r>
      <w:r>
        <w:t>N</w:t>
      </w:r>
      <w:r w:rsidR="002623ED">
        <w:t>B</w:t>
      </w:r>
      <w:r>
        <w:t>S). E</w:t>
      </w:r>
      <w:r w:rsidR="002623ED">
        <w:t>C</w:t>
      </w:r>
      <w:r>
        <w:t>N</w:t>
      </w:r>
      <w:r w:rsidR="002623ED">
        <w:t>B</w:t>
      </w:r>
      <w:r>
        <w:t xml:space="preserve">S expressed the difference in the </w:t>
      </w:r>
      <w:r w:rsidR="00284F2E">
        <w:t>total</w:t>
      </w:r>
      <w:r>
        <w:t xml:space="preserve"> value of the trial design and the cost of the trial design.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2"/>
        <w:gridCol w:w="7079"/>
        <w:gridCol w:w="1129"/>
      </w:tblGrid>
      <w:tr w:rsidR="007568A9" w:rsidTr="000E0AEC">
        <w:trPr>
          <w:cantSplit/>
          <w:trHeight w:val="435"/>
        </w:trPr>
        <w:tc>
          <w:tcPr>
            <w:tcW w:w="534" w:type="dxa"/>
          </w:tcPr>
          <w:p w:rsidR="007568A9" w:rsidRDefault="007568A9" w:rsidP="007568A9"/>
        </w:tc>
        <w:tc>
          <w:tcPr>
            <w:tcW w:w="7512" w:type="dxa"/>
          </w:tcPr>
          <w:p w:rsidR="007568A9" w:rsidRPr="002367E4" w:rsidRDefault="00E729BA" w:rsidP="002623ED">
            <m:oMathPara>
              <m:oMath>
                <m:sSub>
                  <m:sSubPr>
                    <m:ctrlPr>
                      <w:rPr>
                        <w:rFonts w:ascii="Cambria Math" w:hAnsi="Cambria Math"/>
                        <w:i/>
                      </w:rPr>
                    </m:ctrlPr>
                  </m:sSubPr>
                  <m:e>
                    <m:r>
                      <w:rPr>
                        <w:rFonts w:ascii="Cambria Math" w:hAnsi="Cambria Math"/>
                      </w:rPr>
                      <m:t>ECNBS</m:t>
                    </m:r>
                  </m:e>
                  <m:sub>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sub>
                </m:sSub>
                <m:r>
                  <w:rPr>
                    <w:rFonts w:ascii="Cambria Math" w:hAnsi="Cambria Math"/>
                  </w:rPr>
                  <m:t>=</m:t>
                </m:r>
                <m:sSub>
                  <m:sSubPr>
                    <m:ctrlPr>
                      <w:rPr>
                        <w:rFonts w:ascii="Cambria Math" w:hAnsi="Cambria Math"/>
                        <w:i/>
                      </w:rPr>
                    </m:ctrlPr>
                  </m:sSubPr>
                  <m:e>
                    <m:r>
                      <w:rPr>
                        <w:rFonts w:ascii="Cambria Math" w:hAnsi="Cambria Math"/>
                      </w:rPr>
                      <m:t>EPF</m:t>
                    </m:r>
                  </m:e>
                  <m:sub>
                    <m:sSub>
                      <m:sSubPr>
                        <m:ctrlPr>
                          <w:rPr>
                            <w:rFonts w:ascii="Cambria Math" w:hAnsi="Cambria Math"/>
                            <w:i/>
                          </w:rPr>
                        </m:ctrlPr>
                      </m:sSubPr>
                      <m:e>
                        <m:r>
                          <w:rPr>
                            <w:rFonts w:ascii="Cambria Math" w:hAnsi="Cambria Math"/>
                          </w:rPr>
                          <m:t>X</m:t>
                        </m:r>
                      </m:e>
                      <m:sub>
                        <m:sSub>
                          <m:sSubPr>
                            <m:ctrlPr>
                              <w:rPr>
                                <w:rFonts w:ascii="Cambria Math" w:hAnsi="Cambria Math"/>
                                <w:i/>
                              </w:rPr>
                            </m:ctrlPr>
                          </m:sSubPr>
                          <m:e>
                            <m:r>
                              <w:rPr>
                                <w:rFonts w:ascii="Cambria Math" w:hAnsi="Cambria Math"/>
                              </w:rPr>
                              <m:t>θ</m:t>
                            </m:r>
                          </m:e>
                          <m:sub>
                            <m:r>
                              <w:rPr>
                                <w:rFonts w:ascii="Cambria Math" w:hAnsi="Cambria Math"/>
                              </w:rPr>
                              <m:t>I</m:t>
                            </m:r>
                          </m:sub>
                        </m:sSub>
                      </m:sub>
                    </m:sSub>
                  </m:sub>
                </m:sSub>
                <m:r>
                  <w:rPr>
                    <w:rFonts w:ascii="Cambria Math" w:hAnsi="Cambria Math"/>
                  </w:rPr>
                  <m:t>-cost|n,d</m:t>
                </m:r>
              </m:oMath>
            </m:oMathPara>
          </w:p>
        </w:tc>
        <w:tc>
          <w:tcPr>
            <w:tcW w:w="1196" w:type="dxa"/>
          </w:tcPr>
          <w:p w:rsidR="007568A9" w:rsidRDefault="007568A9" w:rsidP="00597CF5">
            <w:pPr>
              <w:pStyle w:val="ListParagraph"/>
              <w:numPr>
                <w:ilvl w:val="1"/>
                <w:numId w:val="30"/>
              </w:numPr>
              <w:bidi/>
              <w:ind w:right="220"/>
              <w:jc w:val="right"/>
            </w:pPr>
          </w:p>
        </w:tc>
      </w:tr>
    </w:tbl>
    <w:p w:rsidR="009F501C" w:rsidRDefault="009F501C" w:rsidP="009F501C">
      <w:r>
        <w:t xml:space="preserve">The costs of the clinical trial depend on the specification of the trial design because increased sample size, </w:t>
      </w:r>
      <w:r w:rsidRPr="002F2568">
        <w:rPr>
          <w:i/>
          <w:iCs/>
        </w:rPr>
        <w:t>n</w:t>
      </w:r>
      <w:r>
        <w:t xml:space="preserve">, and duration of follow-up, </w:t>
      </w:r>
      <w:r w:rsidRPr="002F2568">
        <w:rPr>
          <w:i/>
          <w:iCs/>
        </w:rPr>
        <w:t>d</w:t>
      </w:r>
      <w:r>
        <w:t>, will increase the cost of the trial. Consequently, the E</w:t>
      </w:r>
      <w:r w:rsidR="002623ED">
        <w:t>C</w:t>
      </w:r>
      <w:r>
        <w:t xml:space="preserve">NBS will weigh up whether the increased benefit of a longer trial is justified by the increased cost of data collection. </w:t>
      </w:r>
    </w:p>
    <w:p w:rsidR="00410700" w:rsidRDefault="009F501C" w:rsidP="006A3B1E">
      <w:r>
        <w:t xml:space="preserve">The literature view of previous Bayesian </w:t>
      </w:r>
      <w:r w:rsidR="00AC3CB4">
        <w:t>a</w:t>
      </w:r>
      <w:r>
        <w:t xml:space="preserve">nalyses of trial design identified that most studies used a fixed and variable cost of the clinical trials in their evaluations. In most cases the estimation of trial cost was crude and very few studies conducted a detailed analysis of clinical trial costs to justify their choice. </w:t>
      </w:r>
      <w:r w:rsidR="00284F2E">
        <w:t>Since this case study concerns a hypothetical new drug, and in the absence of a detailed specification of the clinical research a</w:t>
      </w:r>
      <w:r>
        <w:t xml:space="preserve"> similar approach to estimate the costs of the clinical trial w</w:t>
      </w:r>
      <w:r w:rsidR="00284F2E">
        <w:t>as</w:t>
      </w:r>
      <w:r>
        <w:t xml:space="preserve"> adopted. A fixed cost of £1,000,000 is assumed with a variable cost of £1,000 per patient in the first year of observation and £500 for subsequent years. The additional costs of monitoring patients in subsequent years are incurred, even if they have withdrawn from the study. This is a simplifying assumption and may over-estimate the cost of longer trials, but this may be </w:t>
      </w:r>
      <w:r w:rsidR="00D93CAA">
        <w:t>justified</w:t>
      </w:r>
      <w:r>
        <w:t xml:space="preserve"> by the costs of chasing up patients who are lost to follow-up. </w:t>
      </w:r>
      <w:r w:rsidR="00410700">
        <w:t xml:space="preserve">The cost of producing the drug was assumed to be £200 per patient treated. </w:t>
      </w:r>
      <w:r w:rsidR="00516DF4">
        <w:t xml:space="preserve">No costing studies for SLE trials were identified in the literature. </w:t>
      </w:r>
    </w:p>
    <w:p w:rsidR="009F501C" w:rsidRDefault="009F501C" w:rsidP="009F501C">
      <w:pPr>
        <w:pStyle w:val="Heading3"/>
      </w:pPr>
      <w:bookmarkStart w:id="612" w:name="_Toc345584699"/>
      <w:bookmarkStart w:id="613" w:name="_Toc379467683"/>
      <w:r>
        <w:t>Number of Patients Who Will Benefit From Treatment</w:t>
      </w:r>
      <w:bookmarkEnd w:id="612"/>
      <w:bookmarkEnd w:id="613"/>
    </w:p>
    <w:p w:rsidR="009F501C" w:rsidRDefault="00D93CAA" w:rsidP="00D93CAA">
      <w:r>
        <w:t>Estimation</w:t>
      </w:r>
      <w:r w:rsidR="009F501C">
        <w:t xml:space="preserve"> of the Profit Forecast </w:t>
      </w:r>
      <w:r w:rsidR="00073426">
        <w:t>relies</w:t>
      </w:r>
      <w:r w:rsidR="009F501C">
        <w:t xml:space="preserve"> on an estimation of the number of patients who will receive treatment. The estimate is determined by the annual incidence of SLE </w:t>
      </w:r>
      <w:r w:rsidR="009F501C" w:rsidRPr="00833F7E">
        <w:rPr>
          <w:i/>
          <w:iCs/>
        </w:rPr>
        <w:t>k</w:t>
      </w:r>
      <w:r w:rsidR="009F501C">
        <w:t>, the current time horizon of the treatment</w:t>
      </w:r>
      <w:r w:rsidR="009F501C" w:rsidRPr="00833F7E">
        <w:rPr>
          <w:i/>
          <w:iCs/>
        </w:rPr>
        <w:t xml:space="preserve"> </w:t>
      </w:r>
      <w:r w:rsidR="009F501C" w:rsidRPr="00CC442A">
        <w:rPr>
          <w:i/>
          <w:iCs/>
        </w:rPr>
        <w:t>h</w:t>
      </w:r>
      <w:r w:rsidR="009F501C">
        <w:rPr>
          <w:i/>
          <w:iCs/>
        </w:rPr>
        <w:t xml:space="preserve">, </w:t>
      </w:r>
      <w:r w:rsidR="009F501C">
        <w:t xml:space="preserve">and the market share of the new treatment </w:t>
      </w:r>
      <w:r w:rsidR="009F501C" w:rsidRPr="00CC442A">
        <w:rPr>
          <w:i/>
          <w:iCs/>
        </w:rPr>
        <w:t>s</w:t>
      </w:r>
      <w:r w:rsidR="009F501C">
        <w:rPr>
          <w:i/>
          <w:iCs/>
        </w:rPr>
        <w:t>.</w:t>
      </w:r>
      <w:r w:rsidR="009F501C">
        <w:t xml:space="preserve"> These three parameters can be challenging to estimate, particularly for a hypothetical new treatment. </w:t>
      </w:r>
      <w:r w:rsidR="00AE3D16">
        <w:t xml:space="preserve">Given the complexity of the Bayesian updating it was necessary to adopted relatively simple assumptions regarding these parameters. However, in a real-life case study it would be necessary to refine these estimates or to conduct sensitivity analyses to test the impact of the assumptions. </w:t>
      </w:r>
    </w:p>
    <w:p w:rsidR="009F501C" w:rsidRDefault="00284F2E" w:rsidP="00236FFC">
      <w:r>
        <w:t xml:space="preserve">I used published literature to generate an estimate of </w:t>
      </w:r>
      <w:r w:rsidR="009F501C">
        <w:t xml:space="preserve">the incidence </w:t>
      </w:r>
      <w:r>
        <w:t xml:space="preserve">of SLE </w:t>
      </w:r>
      <w:r w:rsidR="009F501C">
        <w:t xml:space="preserve">over an annual period </w:t>
      </w:r>
      <w:r>
        <w:t xml:space="preserve">from </w:t>
      </w:r>
      <w:r w:rsidR="009F501C">
        <w:t xml:space="preserve">Birmingham, UK to reflect a population with a broad ethnic mix. The study reports a point estimate of the incidence to be 3.8/100,000/year </w:t>
      </w:r>
      <w:r w:rsidR="00E729BA">
        <w:fldChar w:fldCharType="begin"/>
      </w:r>
      <w:r w:rsidR="00FC61FD">
        <w:instrText xml:space="preserve"> ADDIN REFMGR.CITE &lt;Refman&gt;&lt;Cite&gt;&lt;Author&gt;Johnson&lt;/Author&gt;&lt;Year&gt;1995&lt;/Year&gt;&lt;RecNum&gt;1441&lt;/RecNum&gt;&lt;IDText&gt;The prevalence and incidence of systemic lupus erythematosus in Birmingham, England. Relationship to ethnicity and country of birth&lt;/IDText&gt;&lt;MDL Ref_Type="Journal"&gt;&lt;Ref_Type&gt;Journal&lt;/Ref_Type&gt;&lt;Ref_ID&gt;1441&lt;/Ref_ID&gt;&lt;Title_Primary&gt;The prevalence and incidence of systemic lupus erythematosus in Birmingham, England. Relationship to ethnicity and country of birth&lt;/Title_Primary&gt;&lt;Authors_Primary&gt;Johnson,A.E.&lt;/Authors_Primary&gt;&lt;Authors_Primary&gt;Gordon,C.&lt;/Authors_Primary&gt;&lt;Authors_Primary&gt;Palmer,R.G.&lt;/Authors_Primary&gt;&lt;Authors_Primary&gt;Bacon,P.A.&lt;/Authors_Primary&gt;&lt;Date_Primary&gt;1995/4&lt;/Date_Primary&gt;&lt;Keywords&gt;Adolescent&lt;/Keywords&gt;&lt;Keywords&gt;Adult&lt;/Keywords&gt;&lt;Keywords&gt;Africa&lt;/Keywords&gt;&lt;Keywords&gt;African Americans&lt;/Keywords&gt;&lt;Keywords&gt;African Continental Ancestry Group&lt;/Keywords&gt;&lt;Keywords&gt;Age Factors&lt;/Keywords&gt;&lt;Keywords&gt;Aged&lt;/Keywords&gt;&lt;Keywords&gt;Caribbean Region&lt;/Keywords&gt;&lt;Keywords&gt;confidence interval&lt;/Keywords&gt;&lt;Keywords&gt;England&lt;/Keywords&gt;&lt;Keywords&gt;epidemiology&lt;/Keywords&gt;&lt;Keywords&gt;erythematosus&lt;/Keywords&gt;&lt;Keywords&gt;Ethnic Groups&lt;/Keywords&gt;&lt;Keywords&gt;ethnology&lt;/Keywords&gt;&lt;Keywords&gt;European Continental Ancestry Group&lt;/Keywords&gt;&lt;Keywords&gt;Female&lt;/Keywords&gt;&lt;Keywords&gt;hospital&lt;/Keywords&gt;&lt;Keywords&gt;Humans&lt;/Keywords&gt;&lt;Keywords&gt;Incidence&lt;/Keywords&gt;&lt;Keywords&gt;lupus erythematosus&lt;/Keywords&gt;&lt;Keywords&gt;Lupus Erythematosus,Systemic&lt;/Keywords&gt;&lt;Keywords&gt;Male&lt;/Keywords&gt;&lt;Keywords&gt;methods&lt;/Keywords&gt;&lt;Keywords&gt;Middle Aged&lt;/Keywords&gt;&lt;Keywords&gt;patient&lt;/Keywords&gt;&lt;Keywords&gt;Patients&lt;/Keywords&gt;&lt;Keywords&gt;population&lt;/Keywords&gt;&lt;Keywords&gt;Prevalence&lt;/Keywords&gt;&lt;Keywords&gt;Rheumatology&lt;/Keywords&gt;&lt;Keywords&gt;Sex Factors&lt;/Keywords&gt;&lt;Keywords&gt;systemic lupus erythematosus&lt;/Keywords&gt;&lt;Reprint&gt;Not in File&lt;/Reprint&gt;&lt;Start_Page&gt;551&lt;/Start_Page&gt;&lt;End_Page&gt;558&lt;/End_Page&gt;&lt;Periodical&gt;Arthritis Rheum.&lt;/Periodical&gt;&lt;Volume&gt;38&lt;/Volume&gt;&lt;Issue&gt;4&lt;/Issue&gt;&lt;ZZ_JournalStdAbbrev&gt;&lt;f name="System"&gt;Arthritis Rheum.&lt;/f&gt;&lt;/ZZ_JournalStdAbbrev&gt;&lt;ZZ_WorkformID&gt;1&lt;/ZZ_WorkformID&gt;&lt;/MDL&gt;&lt;/Cite&gt;&lt;/Refman&gt;</w:instrText>
      </w:r>
      <w:r w:rsidR="00E729BA">
        <w:fldChar w:fldCharType="separate"/>
      </w:r>
      <w:r w:rsidR="0081424E">
        <w:t>(39)</w:t>
      </w:r>
      <w:r w:rsidR="00E729BA">
        <w:fldChar w:fldCharType="end"/>
      </w:r>
      <w:r w:rsidR="009F501C">
        <w:t xml:space="preserve">. The analysis described above has been presented </w:t>
      </w:r>
      <w:r w:rsidR="002C404F">
        <w:t xml:space="preserve">using a simple </w:t>
      </w:r>
      <w:r w:rsidR="001A1797">
        <w:t xml:space="preserve">description of </w:t>
      </w:r>
      <w:r w:rsidR="002C404F">
        <w:t>UK regulation and reimbursement</w:t>
      </w:r>
      <w:r w:rsidR="009F501C">
        <w:t xml:space="preserve">. However, the value of the Phase III trial is not restricted to the projected sales in the UK market. Therefore, the incidence rate was applied to the current population statistics for the OECD countries. The most recent population statistics were from 2009 and reported a total population of 1,221,410,000. In line with the methods used in the Birmingham study children aged less than 18 were excluded from the population base. The OECD reported a population of 309,388,240 who were less than 19 years of age </w:t>
      </w:r>
      <w:r w:rsidR="00E729BA">
        <w:fldChar w:fldCharType="begin"/>
      </w:r>
      <w:r w:rsidR="00FC61FD">
        <w:instrText xml:space="preserve"> ADDIN REFMGR.CITE &lt;Refman&gt;&lt;Cite&gt;&lt;Year&gt;2012&lt;/Year&gt;&lt;RecNum&gt;1624&lt;/RecNum&gt;&lt;IDText&gt;OECD population statistics&lt;/IDText&gt;&lt;MDL Ref_Type="Internet Communication"&gt;&lt;Ref_Type&gt;Internet Communication&lt;/Ref_Type&gt;&lt;Ref_ID&gt;1624&lt;/Ref_ID&gt;&lt;Title_Primary&gt;OECD population statistics&lt;/Title_Primary&gt;&lt;Date_Primary&gt;2012&lt;/Date_Primary&gt;&lt;Keywords&gt;population&lt;/Keywords&gt;&lt;Keywords&gt;statistics&lt;/Keywords&gt;&lt;Reprint&gt;In File&lt;/Reprint&gt;&lt;Web_URL&gt;&lt;u&gt;http://stats.oecd.org/Index.aspx?DatasetCode=MIG#&lt;/u&gt;&lt;/Web_URL&gt;&lt;ZZ_WorkformID&gt;35&lt;/ZZ_WorkformID&gt;&lt;/MDL&gt;&lt;/Cite&gt;&lt;/Refman&gt;</w:instrText>
      </w:r>
      <w:r w:rsidR="00E729BA">
        <w:fldChar w:fldCharType="separate"/>
      </w:r>
      <w:r w:rsidR="00DF14BD">
        <w:t>(240)</w:t>
      </w:r>
      <w:r w:rsidR="00E729BA">
        <w:fldChar w:fldCharType="end"/>
      </w:r>
      <w:r w:rsidR="009F501C">
        <w:t xml:space="preserve">. This estimate was considered sufficient to exclude juveniles from the population base despite the small discrepancy between the use of 18 and 19 years of age. This gave a final population base of 912,021,760, and an annual incidence of 34,657 diagnoses of SLE per year. </w:t>
      </w:r>
      <w:r w:rsidR="005954F6">
        <w:t>By estimating an incidence for the OECD countries it is implicitly assumed that the £30,000 cost-effectiveness threshold is used to set prices across all multiple national markets. Whilst this is not a realistic assumption the t</w:t>
      </w:r>
      <w:r w:rsidR="00E75CE9">
        <w:t xml:space="preserve">hreshold can be used to approximate prices in other jurisdictions and is sufficient to demonstrate the method </w:t>
      </w:r>
      <w:r w:rsidR="00236FFC">
        <w:t>and meet the objectives of this study</w:t>
      </w:r>
      <w:r w:rsidR="00E75CE9">
        <w:t>. Further adaptations of the method to incorporate multiple market settings are explored further in Chapter 9.</w:t>
      </w:r>
    </w:p>
    <w:p w:rsidR="009F501C" w:rsidRDefault="009F501C" w:rsidP="00284F2E">
      <w:r>
        <w:t xml:space="preserve">The time horizon of the treatment </w:t>
      </w:r>
      <w:r w:rsidR="00284F2E">
        <w:t>was assumed to be 10 years.</w:t>
      </w:r>
      <w:r>
        <w:t xml:space="preserve"> </w:t>
      </w:r>
      <w:r w:rsidR="00AE3D16">
        <w:t xml:space="preserve">This describes the time until the treatment would be replaced by more effective alternatives. The value is relatively arbitrary but is consistent with estimates from other ENBS studies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Making&lt;/f&gt;&lt;/ZZ_JournalFull&gt;&lt;ZZ_WorkformID&gt;1&lt;/ZZ_WorkformID&gt;&lt;/MDL&gt;&lt;/Cite&gt;&lt;/Refman&gt;</w:instrText>
      </w:r>
      <w:r w:rsidR="00E729BA">
        <w:fldChar w:fldCharType="separate"/>
      </w:r>
      <w:r w:rsidR="00AE3D16">
        <w:t>(111)</w:t>
      </w:r>
      <w:r w:rsidR="00E729BA">
        <w:fldChar w:fldCharType="end"/>
      </w:r>
      <w:r w:rsidR="00AE3D16">
        <w:t>.</w:t>
      </w:r>
    </w:p>
    <w:p w:rsidR="009F501C" w:rsidRDefault="009F501C" w:rsidP="00C419FD">
      <w:r>
        <w:t xml:space="preserve">It has been stated earlier in the thesis that there are very few licensed treatments available for SLE, which would indicate a potential for a large market share to be exploited. However, given the heterogeneous nature of the disease it is likely that a percentage of patients with an SLE diagnosis would not require a new biologic treatment because their symptoms can be managed with cheaper and </w:t>
      </w:r>
      <w:r w:rsidR="002F5523">
        <w:t>less intensive</w:t>
      </w:r>
      <w:r>
        <w:t xml:space="preserve"> treatments. </w:t>
      </w:r>
      <w:r w:rsidR="002F5523">
        <w:t>T</w:t>
      </w:r>
      <w:r>
        <w:t xml:space="preserve">he market share parameter in this analysis was used to moderate the proportion of SLE patients who would be considered eligible to receive a new treatment. It is assumed that the market share for a new treatment is 43.2% of SLE patients, which </w:t>
      </w:r>
      <w:r w:rsidR="00BA1B0C">
        <w:t>was</w:t>
      </w:r>
      <w:r>
        <w:t xml:space="preserve"> estimated </w:t>
      </w:r>
      <w:r w:rsidR="00BA1B0C">
        <w:t xml:space="preserve">from the </w:t>
      </w:r>
      <w:r>
        <w:t xml:space="preserve">proportion of patients </w:t>
      </w:r>
      <w:r w:rsidR="00BA1B0C">
        <w:t>in</w:t>
      </w:r>
      <w:r>
        <w:t xml:space="preserve"> the Hopkins Lupus Cohort who had a history of immunosuppressant treatment, </w:t>
      </w:r>
      <w:r w:rsidR="002F5523">
        <w:t xml:space="preserve">in </w:t>
      </w:r>
      <w:fldSimple w:instr=" REF _Ref379468393 \h  \* MERGEFORMAT ">
        <w:r w:rsidR="004911B7">
          <w:t xml:space="preserve">Table </w:t>
        </w:r>
        <w:r w:rsidR="004911B7">
          <w:rPr>
            <w:noProof/>
          </w:rPr>
          <w:t>23</w:t>
        </w:r>
      </w:fldSimple>
      <w:r w:rsidR="00C419FD">
        <w:t xml:space="preserve"> </w:t>
      </w:r>
      <w:r w:rsidR="002F5523">
        <w:t>of</w:t>
      </w:r>
      <w:r>
        <w:t xml:space="preserve"> Chapter 6. Initiation of immunosuppressants is indicative of a severe flare in the disease.</w:t>
      </w:r>
    </w:p>
    <w:p w:rsidR="002B5C9D" w:rsidRDefault="002B5C9D" w:rsidP="006A3B1E"/>
    <w:p w:rsidR="002B5C9D" w:rsidRDefault="002B5C9D" w:rsidP="006A3B1E"/>
    <w:p w:rsidR="002B5C9D" w:rsidRDefault="002B5C9D" w:rsidP="006A3B1E"/>
    <w:p w:rsidR="009F501C" w:rsidRDefault="009F501C" w:rsidP="009F501C">
      <w:pPr>
        <w:pStyle w:val="Heading2"/>
      </w:pPr>
      <w:bookmarkStart w:id="614" w:name="_Ref354932271"/>
      <w:bookmarkStart w:id="615" w:name="_Toc379467684"/>
      <w:r>
        <w:t>Results</w:t>
      </w:r>
      <w:bookmarkEnd w:id="614"/>
      <w:bookmarkEnd w:id="615"/>
    </w:p>
    <w:p w:rsidR="009F501C" w:rsidRPr="006B761D" w:rsidRDefault="009F501C" w:rsidP="009F501C">
      <w:pPr>
        <w:pStyle w:val="Heading3"/>
      </w:pPr>
      <w:bookmarkStart w:id="616" w:name="_Toc379467685"/>
      <w:r>
        <w:t>Assurance</w:t>
      </w:r>
      <w:bookmarkEnd w:id="616"/>
    </w:p>
    <w:p w:rsidR="009F501C" w:rsidRDefault="00A332E0" w:rsidP="00284F2E">
      <w:r>
        <w:t>The analysis identified that</w:t>
      </w:r>
      <w:r w:rsidR="009F501C">
        <w:t xml:space="preserve"> sample size an</w:t>
      </w:r>
      <w:r w:rsidR="007B7460">
        <w:t>d duration of follow-up impact</w:t>
      </w:r>
      <w:r w:rsidR="009F501C">
        <w:t xml:space="preserve"> on the assurance for the three endpoints of the trials. </w:t>
      </w:r>
      <w:r w:rsidR="00E729BA">
        <w:fldChar w:fldCharType="begin"/>
      </w:r>
      <w:r w:rsidR="00284F2E">
        <w:instrText xml:space="preserve"> REF _Ref363486660 \h </w:instrText>
      </w:r>
      <w:r w:rsidR="00E729BA">
        <w:fldChar w:fldCharType="separate"/>
      </w:r>
      <w:r w:rsidR="004911B7">
        <w:t xml:space="preserve">Table </w:t>
      </w:r>
      <w:r w:rsidR="004911B7">
        <w:rPr>
          <w:noProof/>
        </w:rPr>
        <w:t>51</w:t>
      </w:r>
      <w:r w:rsidR="00E729BA">
        <w:fldChar w:fldCharType="end"/>
      </w:r>
      <w:r w:rsidR="00284F2E">
        <w:t xml:space="preserve"> </w:t>
      </w:r>
      <w:r w:rsidR="009F501C">
        <w:t xml:space="preserve">reports the proportion of simulation runs in which the simulated trial results produced a statistically significant difference between the treatment arms for each of the three trial endpoints. The efficacy endpoint describes the responder index, the disease activity endpoint describes the difference in average SLEDAI score, and the organ damage endpoint described the difference in SLICC/ACR Damage Index. </w:t>
      </w:r>
      <w:r w:rsidR="007B7460">
        <w:t>L</w:t>
      </w:r>
      <w:r w:rsidR="009F501C">
        <w:t>arger datasets increase</w:t>
      </w:r>
      <w:r w:rsidR="007B7460">
        <w:t>d</w:t>
      </w:r>
      <w:r w:rsidR="009F501C">
        <w:t xml:space="preserve"> the likelihood that the effect size will be significant because the standard errors </w:t>
      </w:r>
      <w:r w:rsidR="00E9543F">
        <w:t xml:space="preserve">for the difference between arms </w:t>
      </w:r>
      <w:r w:rsidR="009F501C">
        <w:t xml:space="preserve">are decreased. </w:t>
      </w:r>
    </w:p>
    <w:p w:rsidR="009F501C" w:rsidRDefault="009F501C" w:rsidP="006A3B1E">
      <w:r>
        <w:t xml:space="preserve">The efficacy endpoint reports </w:t>
      </w:r>
      <w:r w:rsidR="00284F2E">
        <w:t>the highest</w:t>
      </w:r>
      <w:r>
        <w:t xml:space="preserve"> probabilities</w:t>
      </w:r>
      <w:r w:rsidR="00E9543F">
        <w:t xml:space="preserve"> for</w:t>
      </w:r>
      <w:r>
        <w:t xml:space="preserve"> a successful trial. </w:t>
      </w:r>
      <w:r w:rsidR="00E9543F">
        <w:t>P</w:t>
      </w:r>
      <w:r>
        <w:t>robabilities</w:t>
      </w:r>
      <w:r w:rsidR="00E9543F">
        <w:t xml:space="preserve"> fall</w:t>
      </w:r>
      <w:r>
        <w:t xml:space="preserve"> in the range 0.74-0.92 for all trial designs. This indicates that there is a strong likelihood of achieving this endpoint for all trial designs. The assurance can be used to represent the power of a trial. RCT power calculations are often based on estimates of between 80-90%. In this respect the simulated trials have reasonable power, with slight under-powering observed in the small</w:t>
      </w:r>
      <w:r w:rsidR="00E9543F">
        <w:t xml:space="preserve"> sample size trial</w:t>
      </w:r>
      <w:r>
        <w:t xml:space="preserve">. </w:t>
      </w:r>
      <w:r w:rsidR="00A332E0">
        <w:t>Increasing the duration of follow-up does not impact on the responder index because it records the difference in the proportion of responders after 52 weeks of treatment.</w:t>
      </w:r>
    </w:p>
    <w:p w:rsidR="009F501C" w:rsidRDefault="00E729BA" w:rsidP="00A332E0">
      <w:r>
        <w:fldChar w:fldCharType="begin"/>
      </w:r>
      <w:r w:rsidR="00284F2E">
        <w:instrText xml:space="preserve"> REF _Ref363486660 \h </w:instrText>
      </w:r>
      <w:r>
        <w:fldChar w:fldCharType="separate"/>
      </w:r>
      <w:r w:rsidR="004911B7">
        <w:t xml:space="preserve">Table </w:t>
      </w:r>
      <w:r w:rsidR="004911B7">
        <w:rPr>
          <w:noProof/>
        </w:rPr>
        <w:t>51</w:t>
      </w:r>
      <w:r>
        <w:fldChar w:fldCharType="end"/>
      </w:r>
      <w:r w:rsidR="009F501C">
        <w:t xml:space="preserve"> demonstrates that sample size improves the likelihood of success on the efficacy endpoint. However, modest gains in the probability of success are achieved for relatively large increases in sample size. It is also shown that the gains are diminishing with larger sample sizes. An increase in sample size of approximately 1800 subjects, from 529 subjects, increased the probability by a factor of 1</w:t>
      </w:r>
      <w:r w:rsidR="00A332E0">
        <w:t>4</w:t>
      </w:r>
      <w:r w:rsidR="009F501C">
        <w:t>%. Whereas increasing the sample size by 3937</w:t>
      </w:r>
      <w:r w:rsidR="00A332E0">
        <w:t>, to 6350,</w:t>
      </w:r>
      <w:r w:rsidR="009F501C">
        <w:t xml:space="preserve"> subjects increased the probability by a factor of only </w:t>
      </w:r>
      <w:r w:rsidR="00A332E0">
        <w:t>8</w:t>
      </w:r>
      <w:r w:rsidR="009F501C">
        <w:t xml:space="preserve">%. </w:t>
      </w:r>
    </w:p>
    <w:p w:rsidR="009F501C" w:rsidRDefault="00284F2E" w:rsidP="00065519">
      <w:r>
        <w:t xml:space="preserve">The assurance for the disease activity endpoint is lower than the responder index efficacy endpoint. </w:t>
      </w:r>
      <w:r w:rsidR="009F501C">
        <w:t xml:space="preserve">The </w:t>
      </w:r>
      <w:r w:rsidR="007B7460">
        <w:t>disease activity</w:t>
      </w:r>
      <w:r w:rsidR="009F501C">
        <w:t xml:space="preserve"> endpoint reports the largest variation in probabilities across the trial designs. A small trial with short follow-up has a less than 50% probability of meeting the primary endpoint. Whereas, increasing the sample s</w:t>
      </w:r>
      <w:r w:rsidR="007B7460">
        <w:t>ize or duration of follow-up will</w:t>
      </w:r>
      <w:r w:rsidR="009F501C">
        <w:t xml:space="preserve"> tip the likelihood over this threshold. The greatest gains in the probability of meeting the </w:t>
      </w:r>
      <w:r w:rsidR="00A332E0">
        <w:t>disease activity</w:t>
      </w:r>
      <w:r w:rsidR="009F501C">
        <w:t xml:space="preserve"> endpoint were </w:t>
      </w:r>
      <w:r w:rsidR="00A332E0">
        <w:t>for sample size increases</w:t>
      </w:r>
      <w:r w:rsidR="009F501C">
        <w:t>, rather than duration of follow-up.</w:t>
      </w:r>
      <w:r w:rsidR="00A332E0">
        <w:t xml:space="preserve"> However, a combined increase in both produces favourable results.</w:t>
      </w:r>
    </w:p>
    <w:p w:rsidR="009F501C" w:rsidRDefault="009F501C" w:rsidP="006A3B1E">
      <w:r>
        <w:t xml:space="preserve">The organ damage endpoint has the lowest probability of success of the three endpoints. None of the trials exceeded a probability of success greater than 50%. Increasing the sample size of a 1 year trial has a very modest impact on the probability of success. Increasing the duration of follow-up to 2 years is a much more effective strategy to increase the likelihood that the endpoint is met. </w:t>
      </w:r>
      <w:r w:rsidR="006A3B1E">
        <w:t>On the other hand</w:t>
      </w:r>
      <w:r>
        <w:t>, increasing the duration of follow-up to 5 years has almost no effect on the probability of success. This is most likely due to the high rates of withdrawal from the trials</w:t>
      </w:r>
      <w:r w:rsidR="001F746E">
        <w:t xml:space="preserve"> (approximately 25% in the first year)</w:t>
      </w:r>
      <w:r>
        <w:t xml:space="preserve">, which substantially reduces the amount of data collected in the later stages of the trial. </w:t>
      </w:r>
    </w:p>
    <w:p w:rsidR="00E9543F" w:rsidRDefault="00E9543F" w:rsidP="00234693">
      <w:pPr>
        <w:pStyle w:val="Caption"/>
      </w:pPr>
      <w:bookmarkStart w:id="617" w:name="_Ref363486660"/>
      <w:r>
        <w:t xml:space="preserve">Table </w:t>
      </w:r>
      <w:fldSimple w:instr=" SEQ Table \* ARABIC ">
        <w:r w:rsidR="004911B7">
          <w:rPr>
            <w:noProof/>
          </w:rPr>
          <w:t>51</w:t>
        </w:r>
      </w:fldSimple>
      <w:bookmarkEnd w:id="617"/>
      <w:r>
        <w:t>: Probability that the clinical trials will demonstrate a statistically significant effect size</w:t>
      </w:r>
    </w:p>
    <w:tbl>
      <w:tblPr>
        <w:tblStyle w:val="TableGrid"/>
        <w:tblW w:w="867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737"/>
        <w:gridCol w:w="882"/>
        <w:gridCol w:w="882"/>
        <w:gridCol w:w="882"/>
        <w:gridCol w:w="882"/>
        <w:gridCol w:w="882"/>
        <w:gridCol w:w="882"/>
        <w:gridCol w:w="882"/>
        <w:gridCol w:w="882"/>
        <w:gridCol w:w="882"/>
      </w:tblGrid>
      <w:tr w:rsidR="00E9543F" w:rsidRPr="00EB5408" w:rsidTr="008731E8">
        <w:tc>
          <w:tcPr>
            <w:tcW w:w="737" w:type="dxa"/>
            <w:vMerge w:val="restart"/>
          </w:tcPr>
          <w:p w:rsidR="00E9543F" w:rsidRPr="00EB5408" w:rsidRDefault="00E9543F" w:rsidP="00E9543F">
            <w:pPr>
              <w:rPr>
                <w:sz w:val="18"/>
                <w:szCs w:val="18"/>
              </w:rPr>
            </w:pPr>
          </w:p>
        </w:tc>
        <w:tc>
          <w:tcPr>
            <w:tcW w:w="2646" w:type="dxa"/>
            <w:gridSpan w:val="3"/>
          </w:tcPr>
          <w:p w:rsidR="00E9543F" w:rsidRPr="00EB5408" w:rsidRDefault="00E9543F" w:rsidP="00E9543F">
            <w:pPr>
              <w:rPr>
                <w:sz w:val="18"/>
                <w:szCs w:val="18"/>
              </w:rPr>
            </w:pPr>
            <w:r>
              <w:rPr>
                <w:sz w:val="18"/>
                <w:szCs w:val="18"/>
              </w:rPr>
              <w:t>Efficacy endpoint</w:t>
            </w:r>
            <w:r w:rsidR="008731E8">
              <w:rPr>
                <w:sz w:val="18"/>
                <w:szCs w:val="18"/>
              </w:rPr>
              <w:t xml:space="preserve"> (SLEDAI)</w:t>
            </w:r>
          </w:p>
        </w:tc>
        <w:tc>
          <w:tcPr>
            <w:tcW w:w="2646" w:type="dxa"/>
            <w:gridSpan w:val="3"/>
          </w:tcPr>
          <w:p w:rsidR="00E9543F" w:rsidRPr="00EB5408" w:rsidRDefault="00E9543F" w:rsidP="00E9543F">
            <w:pPr>
              <w:rPr>
                <w:sz w:val="18"/>
                <w:szCs w:val="18"/>
              </w:rPr>
            </w:pPr>
            <w:r>
              <w:rPr>
                <w:sz w:val="18"/>
                <w:szCs w:val="18"/>
              </w:rPr>
              <w:t>Disease Activity</w:t>
            </w:r>
            <w:r w:rsidR="008731E8">
              <w:rPr>
                <w:sz w:val="18"/>
                <w:szCs w:val="18"/>
              </w:rPr>
              <w:t xml:space="preserve"> (SLEDAI)</w:t>
            </w:r>
          </w:p>
        </w:tc>
        <w:tc>
          <w:tcPr>
            <w:tcW w:w="2646" w:type="dxa"/>
            <w:gridSpan w:val="3"/>
          </w:tcPr>
          <w:p w:rsidR="00E9543F" w:rsidRPr="00EB5408" w:rsidRDefault="00E9543F" w:rsidP="00E9543F">
            <w:pPr>
              <w:rPr>
                <w:sz w:val="18"/>
                <w:szCs w:val="18"/>
              </w:rPr>
            </w:pPr>
            <w:r w:rsidRPr="00FB74B6">
              <w:rPr>
                <w:sz w:val="18"/>
                <w:szCs w:val="18"/>
              </w:rPr>
              <w:t>Organ damage</w:t>
            </w:r>
            <w:r w:rsidR="008731E8">
              <w:rPr>
                <w:sz w:val="18"/>
                <w:szCs w:val="18"/>
              </w:rPr>
              <w:t xml:space="preserve"> (SLICC/ACR DI)</w:t>
            </w:r>
          </w:p>
        </w:tc>
      </w:tr>
      <w:tr w:rsidR="00E9543F" w:rsidRPr="00EB5408" w:rsidTr="008731E8">
        <w:tc>
          <w:tcPr>
            <w:tcW w:w="737" w:type="dxa"/>
            <w:vMerge/>
            <w:tcBorders>
              <w:bottom w:val="single" w:sz="8" w:space="0" w:color="auto"/>
            </w:tcBorders>
          </w:tcPr>
          <w:p w:rsidR="00E9543F" w:rsidRPr="00EB5408" w:rsidRDefault="00E9543F" w:rsidP="00E9543F">
            <w:pPr>
              <w:rPr>
                <w:sz w:val="18"/>
                <w:szCs w:val="18"/>
              </w:rPr>
            </w:pP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1 year</w:t>
            </w: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2 years</w:t>
            </w:r>
          </w:p>
        </w:tc>
        <w:tc>
          <w:tcPr>
            <w:tcW w:w="882" w:type="dxa"/>
            <w:tcBorders>
              <w:bottom w:val="single" w:sz="8" w:space="0" w:color="auto"/>
            </w:tcBorders>
          </w:tcPr>
          <w:p w:rsidR="00E9543F" w:rsidRPr="00FB74B6" w:rsidRDefault="00E9543F" w:rsidP="00E9543F">
            <w:pPr>
              <w:jc w:val="center"/>
              <w:rPr>
                <w:sz w:val="18"/>
                <w:szCs w:val="18"/>
              </w:rPr>
            </w:pPr>
            <w:r w:rsidRPr="00EB5408">
              <w:rPr>
                <w:sz w:val="18"/>
                <w:szCs w:val="18"/>
              </w:rPr>
              <w:t>5 years</w:t>
            </w: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1 year</w:t>
            </w: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2 years</w:t>
            </w:r>
          </w:p>
        </w:tc>
        <w:tc>
          <w:tcPr>
            <w:tcW w:w="882" w:type="dxa"/>
            <w:tcBorders>
              <w:bottom w:val="single" w:sz="8" w:space="0" w:color="auto"/>
            </w:tcBorders>
          </w:tcPr>
          <w:p w:rsidR="00E9543F" w:rsidRPr="00FB74B6" w:rsidRDefault="00E9543F" w:rsidP="00E9543F">
            <w:pPr>
              <w:jc w:val="center"/>
              <w:rPr>
                <w:sz w:val="18"/>
                <w:szCs w:val="18"/>
              </w:rPr>
            </w:pPr>
            <w:r w:rsidRPr="00EB5408">
              <w:rPr>
                <w:sz w:val="18"/>
                <w:szCs w:val="18"/>
              </w:rPr>
              <w:t>5 years</w:t>
            </w: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1 year</w:t>
            </w:r>
          </w:p>
        </w:tc>
        <w:tc>
          <w:tcPr>
            <w:tcW w:w="882" w:type="dxa"/>
            <w:tcBorders>
              <w:bottom w:val="single" w:sz="8" w:space="0" w:color="auto"/>
            </w:tcBorders>
          </w:tcPr>
          <w:p w:rsidR="00E9543F" w:rsidRPr="00EB5408" w:rsidRDefault="00E9543F" w:rsidP="00E9543F">
            <w:pPr>
              <w:jc w:val="center"/>
              <w:rPr>
                <w:sz w:val="18"/>
                <w:szCs w:val="18"/>
              </w:rPr>
            </w:pPr>
            <w:r w:rsidRPr="00EB5408">
              <w:rPr>
                <w:sz w:val="18"/>
                <w:szCs w:val="18"/>
              </w:rPr>
              <w:t>2 years</w:t>
            </w:r>
          </w:p>
        </w:tc>
        <w:tc>
          <w:tcPr>
            <w:tcW w:w="882" w:type="dxa"/>
            <w:tcBorders>
              <w:bottom w:val="single" w:sz="8" w:space="0" w:color="auto"/>
            </w:tcBorders>
          </w:tcPr>
          <w:p w:rsidR="00E9543F" w:rsidRPr="00FB74B6" w:rsidRDefault="00E9543F" w:rsidP="00E9543F">
            <w:pPr>
              <w:jc w:val="center"/>
              <w:rPr>
                <w:sz w:val="18"/>
                <w:szCs w:val="18"/>
              </w:rPr>
            </w:pPr>
            <w:r w:rsidRPr="00EB5408">
              <w:rPr>
                <w:sz w:val="18"/>
                <w:szCs w:val="18"/>
              </w:rPr>
              <w:t>5 years</w:t>
            </w:r>
          </w:p>
        </w:tc>
      </w:tr>
      <w:tr w:rsidR="00E9543F" w:rsidRPr="00EB5408" w:rsidTr="008731E8">
        <w:tc>
          <w:tcPr>
            <w:tcW w:w="737" w:type="dxa"/>
            <w:tcBorders>
              <w:top w:val="single" w:sz="8" w:space="0" w:color="auto"/>
              <w:bottom w:val="nil"/>
            </w:tcBorders>
          </w:tcPr>
          <w:p w:rsidR="00E9543F" w:rsidRPr="00EB5408" w:rsidRDefault="00E9543F" w:rsidP="00E9543F">
            <w:pPr>
              <w:rPr>
                <w:sz w:val="18"/>
                <w:szCs w:val="18"/>
              </w:rPr>
            </w:pPr>
            <w:r w:rsidRPr="00EB5408">
              <w:rPr>
                <w:sz w:val="18"/>
                <w:szCs w:val="18"/>
              </w:rPr>
              <w:t>n= 529</w:t>
            </w:r>
          </w:p>
        </w:tc>
        <w:tc>
          <w:tcPr>
            <w:tcW w:w="882" w:type="dxa"/>
            <w:tcBorders>
              <w:top w:val="single" w:sz="8" w:space="0" w:color="auto"/>
              <w:bottom w:val="nil"/>
            </w:tcBorders>
          </w:tcPr>
          <w:p w:rsidR="00E9543F" w:rsidRPr="00EB5408" w:rsidRDefault="00316EDF" w:rsidP="00E9543F">
            <w:pPr>
              <w:jc w:val="center"/>
              <w:rPr>
                <w:sz w:val="18"/>
                <w:szCs w:val="18"/>
              </w:rPr>
            </w:pPr>
            <w:r>
              <w:rPr>
                <w:sz w:val="18"/>
                <w:szCs w:val="18"/>
              </w:rPr>
              <w:t>0.743</w:t>
            </w:r>
          </w:p>
        </w:tc>
        <w:tc>
          <w:tcPr>
            <w:tcW w:w="882" w:type="dxa"/>
            <w:tcBorders>
              <w:top w:val="single" w:sz="8" w:space="0" w:color="auto"/>
              <w:bottom w:val="nil"/>
            </w:tcBorders>
          </w:tcPr>
          <w:p w:rsidR="00E9543F" w:rsidRPr="00EB5408" w:rsidRDefault="00316EDF" w:rsidP="001F746E">
            <w:pPr>
              <w:jc w:val="center"/>
              <w:rPr>
                <w:sz w:val="18"/>
                <w:szCs w:val="18"/>
              </w:rPr>
            </w:pPr>
            <w:r>
              <w:rPr>
                <w:sz w:val="18"/>
                <w:szCs w:val="18"/>
              </w:rPr>
              <w:t>0.</w:t>
            </w:r>
            <w:r w:rsidR="001F746E">
              <w:rPr>
                <w:sz w:val="18"/>
                <w:szCs w:val="18"/>
              </w:rPr>
              <w:t>743</w:t>
            </w:r>
          </w:p>
        </w:tc>
        <w:tc>
          <w:tcPr>
            <w:tcW w:w="882" w:type="dxa"/>
            <w:tcBorders>
              <w:top w:val="single" w:sz="8" w:space="0" w:color="auto"/>
              <w:bottom w:val="nil"/>
            </w:tcBorders>
          </w:tcPr>
          <w:p w:rsidR="00E9543F" w:rsidRPr="00EB5408" w:rsidRDefault="00316EDF" w:rsidP="001F746E">
            <w:pPr>
              <w:jc w:val="center"/>
              <w:rPr>
                <w:sz w:val="18"/>
                <w:szCs w:val="18"/>
              </w:rPr>
            </w:pPr>
            <w:r>
              <w:rPr>
                <w:sz w:val="18"/>
                <w:szCs w:val="18"/>
              </w:rPr>
              <w:t>0.</w:t>
            </w:r>
            <w:r w:rsidR="001F746E">
              <w:rPr>
                <w:sz w:val="18"/>
                <w:szCs w:val="18"/>
              </w:rPr>
              <w:t>743</w:t>
            </w:r>
          </w:p>
        </w:tc>
        <w:tc>
          <w:tcPr>
            <w:tcW w:w="882" w:type="dxa"/>
            <w:tcBorders>
              <w:top w:val="single" w:sz="8" w:space="0" w:color="auto"/>
              <w:bottom w:val="nil"/>
            </w:tcBorders>
          </w:tcPr>
          <w:p w:rsidR="00E9543F" w:rsidRPr="00EB5408" w:rsidRDefault="001F746E" w:rsidP="00E9543F">
            <w:pPr>
              <w:jc w:val="center"/>
              <w:rPr>
                <w:sz w:val="18"/>
                <w:szCs w:val="18"/>
              </w:rPr>
            </w:pPr>
            <w:r>
              <w:rPr>
                <w:sz w:val="18"/>
                <w:szCs w:val="18"/>
              </w:rPr>
              <w:t>0.431</w:t>
            </w:r>
          </w:p>
        </w:tc>
        <w:tc>
          <w:tcPr>
            <w:tcW w:w="882" w:type="dxa"/>
            <w:tcBorders>
              <w:top w:val="single" w:sz="8" w:space="0" w:color="auto"/>
              <w:bottom w:val="nil"/>
            </w:tcBorders>
          </w:tcPr>
          <w:p w:rsidR="00E9543F" w:rsidRPr="00EB5408" w:rsidRDefault="001F746E" w:rsidP="00E9543F">
            <w:pPr>
              <w:jc w:val="center"/>
              <w:rPr>
                <w:sz w:val="18"/>
                <w:szCs w:val="18"/>
              </w:rPr>
            </w:pPr>
            <w:r>
              <w:rPr>
                <w:sz w:val="18"/>
                <w:szCs w:val="18"/>
              </w:rPr>
              <w:t>0.596</w:t>
            </w:r>
          </w:p>
        </w:tc>
        <w:tc>
          <w:tcPr>
            <w:tcW w:w="882" w:type="dxa"/>
            <w:tcBorders>
              <w:top w:val="single" w:sz="8" w:space="0" w:color="auto"/>
              <w:bottom w:val="nil"/>
            </w:tcBorders>
          </w:tcPr>
          <w:p w:rsidR="00E9543F" w:rsidRPr="00EB5408" w:rsidRDefault="001F746E" w:rsidP="001F746E">
            <w:pPr>
              <w:jc w:val="center"/>
              <w:rPr>
                <w:sz w:val="18"/>
                <w:szCs w:val="18"/>
              </w:rPr>
            </w:pPr>
            <w:r>
              <w:rPr>
                <w:sz w:val="18"/>
                <w:szCs w:val="18"/>
              </w:rPr>
              <w:t>0.695</w:t>
            </w:r>
          </w:p>
        </w:tc>
        <w:tc>
          <w:tcPr>
            <w:tcW w:w="882" w:type="dxa"/>
            <w:tcBorders>
              <w:top w:val="single" w:sz="8" w:space="0" w:color="auto"/>
              <w:bottom w:val="nil"/>
            </w:tcBorders>
          </w:tcPr>
          <w:p w:rsidR="00E9543F" w:rsidRPr="00EB5408" w:rsidRDefault="001F746E" w:rsidP="00E9543F">
            <w:pPr>
              <w:jc w:val="center"/>
              <w:rPr>
                <w:sz w:val="18"/>
                <w:szCs w:val="18"/>
              </w:rPr>
            </w:pPr>
            <w:r>
              <w:rPr>
                <w:sz w:val="18"/>
                <w:szCs w:val="18"/>
              </w:rPr>
              <w:t>0.069</w:t>
            </w:r>
          </w:p>
        </w:tc>
        <w:tc>
          <w:tcPr>
            <w:tcW w:w="882" w:type="dxa"/>
            <w:tcBorders>
              <w:top w:val="single" w:sz="8" w:space="0" w:color="auto"/>
              <w:bottom w:val="nil"/>
            </w:tcBorders>
          </w:tcPr>
          <w:p w:rsidR="00E9543F" w:rsidRPr="00EB5408" w:rsidRDefault="001F746E" w:rsidP="00E9543F">
            <w:pPr>
              <w:jc w:val="center"/>
              <w:rPr>
                <w:sz w:val="18"/>
                <w:szCs w:val="18"/>
              </w:rPr>
            </w:pPr>
            <w:r>
              <w:rPr>
                <w:sz w:val="18"/>
                <w:szCs w:val="18"/>
              </w:rPr>
              <w:t>0.138</w:t>
            </w:r>
          </w:p>
        </w:tc>
        <w:tc>
          <w:tcPr>
            <w:tcW w:w="882" w:type="dxa"/>
            <w:tcBorders>
              <w:top w:val="single" w:sz="8" w:space="0" w:color="auto"/>
              <w:bottom w:val="nil"/>
            </w:tcBorders>
          </w:tcPr>
          <w:p w:rsidR="00E9543F" w:rsidRPr="00EB5408" w:rsidRDefault="001F746E" w:rsidP="00E9543F">
            <w:pPr>
              <w:jc w:val="center"/>
              <w:rPr>
                <w:sz w:val="18"/>
                <w:szCs w:val="18"/>
              </w:rPr>
            </w:pPr>
            <w:r>
              <w:rPr>
                <w:sz w:val="18"/>
                <w:szCs w:val="18"/>
              </w:rPr>
              <w:t>0.135</w:t>
            </w:r>
          </w:p>
        </w:tc>
      </w:tr>
      <w:tr w:rsidR="00E9543F" w:rsidRPr="00EB5408" w:rsidTr="008731E8">
        <w:tc>
          <w:tcPr>
            <w:tcW w:w="737" w:type="dxa"/>
            <w:tcBorders>
              <w:top w:val="nil"/>
              <w:bottom w:val="nil"/>
            </w:tcBorders>
          </w:tcPr>
          <w:p w:rsidR="00E9543F" w:rsidRPr="00EB5408" w:rsidRDefault="00E9543F" w:rsidP="00E9543F">
            <w:pPr>
              <w:rPr>
                <w:sz w:val="18"/>
                <w:szCs w:val="18"/>
              </w:rPr>
            </w:pPr>
            <w:r w:rsidRPr="00EB5408">
              <w:rPr>
                <w:sz w:val="18"/>
                <w:szCs w:val="18"/>
              </w:rPr>
              <w:t>n=2413</w:t>
            </w:r>
          </w:p>
        </w:tc>
        <w:tc>
          <w:tcPr>
            <w:tcW w:w="882" w:type="dxa"/>
            <w:tcBorders>
              <w:top w:val="nil"/>
              <w:bottom w:val="nil"/>
            </w:tcBorders>
          </w:tcPr>
          <w:p w:rsidR="00E9543F" w:rsidRPr="00EB5408" w:rsidRDefault="00A332E0" w:rsidP="001F746E">
            <w:pPr>
              <w:jc w:val="center"/>
              <w:rPr>
                <w:sz w:val="18"/>
                <w:szCs w:val="18"/>
              </w:rPr>
            </w:pPr>
            <w:r>
              <w:rPr>
                <w:sz w:val="18"/>
                <w:szCs w:val="18"/>
              </w:rPr>
              <w:t>0.</w:t>
            </w:r>
            <w:r w:rsidR="001F746E">
              <w:rPr>
                <w:sz w:val="18"/>
                <w:szCs w:val="18"/>
              </w:rPr>
              <w:t>884</w:t>
            </w:r>
          </w:p>
        </w:tc>
        <w:tc>
          <w:tcPr>
            <w:tcW w:w="882" w:type="dxa"/>
            <w:tcBorders>
              <w:top w:val="nil"/>
              <w:bottom w:val="nil"/>
            </w:tcBorders>
          </w:tcPr>
          <w:p w:rsidR="00E9543F" w:rsidRPr="00EB5408" w:rsidRDefault="00A332E0" w:rsidP="00E9543F">
            <w:pPr>
              <w:jc w:val="center"/>
              <w:rPr>
                <w:sz w:val="18"/>
                <w:szCs w:val="18"/>
              </w:rPr>
            </w:pPr>
            <w:r>
              <w:rPr>
                <w:sz w:val="18"/>
                <w:szCs w:val="18"/>
              </w:rPr>
              <w:t>0.884</w:t>
            </w:r>
          </w:p>
        </w:tc>
        <w:tc>
          <w:tcPr>
            <w:tcW w:w="882" w:type="dxa"/>
            <w:tcBorders>
              <w:top w:val="nil"/>
              <w:bottom w:val="nil"/>
            </w:tcBorders>
            <w:shd w:val="pct5" w:color="auto" w:fill="auto"/>
          </w:tcPr>
          <w:p w:rsidR="00E9543F" w:rsidRPr="00EB5408" w:rsidRDefault="00E9543F" w:rsidP="00E9543F">
            <w:pPr>
              <w:jc w:val="center"/>
              <w:rPr>
                <w:sz w:val="18"/>
                <w:szCs w:val="18"/>
              </w:rPr>
            </w:pPr>
          </w:p>
        </w:tc>
        <w:tc>
          <w:tcPr>
            <w:tcW w:w="882" w:type="dxa"/>
            <w:tcBorders>
              <w:top w:val="nil"/>
              <w:bottom w:val="nil"/>
            </w:tcBorders>
            <w:shd w:val="clear" w:color="auto" w:fill="auto"/>
          </w:tcPr>
          <w:p w:rsidR="00E9543F" w:rsidRPr="00EB5408" w:rsidRDefault="001F746E" w:rsidP="00E9543F">
            <w:pPr>
              <w:jc w:val="center"/>
              <w:rPr>
                <w:sz w:val="18"/>
                <w:szCs w:val="18"/>
              </w:rPr>
            </w:pPr>
            <w:r>
              <w:rPr>
                <w:sz w:val="18"/>
                <w:szCs w:val="18"/>
              </w:rPr>
              <w:t>0.777</w:t>
            </w:r>
          </w:p>
        </w:tc>
        <w:tc>
          <w:tcPr>
            <w:tcW w:w="882" w:type="dxa"/>
            <w:tcBorders>
              <w:top w:val="nil"/>
              <w:bottom w:val="nil"/>
            </w:tcBorders>
            <w:shd w:val="clear" w:color="auto" w:fill="auto"/>
          </w:tcPr>
          <w:p w:rsidR="00E9543F" w:rsidRPr="00EB5408" w:rsidRDefault="001F746E" w:rsidP="001F746E">
            <w:pPr>
              <w:jc w:val="center"/>
              <w:rPr>
                <w:sz w:val="18"/>
                <w:szCs w:val="18"/>
              </w:rPr>
            </w:pPr>
            <w:r>
              <w:rPr>
                <w:sz w:val="18"/>
                <w:szCs w:val="18"/>
              </w:rPr>
              <w:t>0.809</w:t>
            </w:r>
          </w:p>
        </w:tc>
        <w:tc>
          <w:tcPr>
            <w:tcW w:w="882" w:type="dxa"/>
            <w:tcBorders>
              <w:top w:val="nil"/>
              <w:bottom w:val="nil"/>
            </w:tcBorders>
            <w:shd w:val="pct5" w:color="auto" w:fill="auto"/>
          </w:tcPr>
          <w:p w:rsidR="00E9543F" w:rsidRPr="00EB5408" w:rsidRDefault="00E9543F" w:rsidP="00E9543F">
            <w:pPr>
              <w:jc w:val="center"/>
              <w:rPr>
                <w:sz w:val="18"/>
                <w:szCs w:val="18"/>
              </w:rPr>
            </w:pPr>
          </w:p>
        </w:tc>
        <w:tc>
          <w:tcPr>
            <w:tcW w:w="882" w:type="dxa"/>
            <w:tcBorders>
              <w:top w:val="nil"/>
              <w:bottom w:val="nil"/>
            </w:tcBorders>
            <w:shd w:val="clear" w:color="auto" w:fill="auto"/>
          </w:tcPr>
          <w:p w:rsidR="00E9543F" w:rsidRPr="00EB5408" w:rsidRDefault="001F746E" w:rsidP="00E9543F">
            <w:pPr>
              <w:jc w:val="center"/>
              <w:rPr>
                <w:sz w:val="18"/>
                <w:szCs w:val="18"/>
              </w:rPr>
            </w:pPr>
            <w:r>
              <w:rPr>
                <w:sz w:val="18"/>
                <w:szCs w:val="18"/>
              </w:rPr>
              <w:t>0.070</w:t>
            </w:r>
          </w:p>
        </w:tc>
        <w:tc>
          <w:tcPr>
            <w:tcW w:w="882" w:type="dxa"/>
            <w:tcBorders>
              <w:top w:val="nil"/>
              <w:bottom w:val="nil"/>
            </w:tcBorders>
            <w:shd w:val="clear" w:color="auto" w:fill="auto"/>
          </w:tcPr>
          <w:p w:rsidR="00E9543F" w:rsidRPr="00EB5408" w:rsidRDefault="001F746E" w:rsidP="00E9543F">
            <w:pPr>
              <w:jc w:val="center"/>
              <w:rPr>
                <w:sz w:val="18"/>
                <w:szCs w:val="18"/>
              </w:rPr>
            </w:pPr>
            <w:r>
              <w:rPr>
                <w:sz w:val="18"/>
                <w:szCs w:val="18"/>
              </w:rPr>
              <w:t>0.201</w:t>
            </w:r>
          </w:p>
        </w:tc>
        <w:tc>
          <w:tcPr>
            <w:tcW w:w="882" w:type="dxa"/>
            <w:tcBorders>
              <w:top w:val="nil"/>
              <w:bottom w:val="nil"/>
            </w:tcBorders>
            <w:shd w:val="pct5" w:color="auto" w:fill="auto"/>
          </w:tcPr>
          <w:p w:rsidR="00E9543F" w:rsidRPr="00EB5408" w:rsidRDefault="00E9543F" w:rsidP="00E9543F">
            <w:pPr>
              <w:jc w:val="center"/>
              <w:rPr>
                <w:sz w:val="18"/>
                <w:szCs w:val="18"/>
              </w:rPr>
            </w:pPr>
          </w:p>
        </w:tc>
      </w:tr>
      <w:tr w:rsidR="00E9543F" w:rsidRPr="00EB5408" w:rsidTr="008731E8">
        <w:tc>
          <w:tcPr>
            <w:tcW w:w="737" w:type="dxa"/>
            <w:tcBorders>
              <w:top w:val="nil"/>
              <w:bottom w:val="single" w:sz="8" w:space="0" w:color="auto"/>
            </w:tcBorders>
          </w:tcPr>
          <w:p w:rsidR="00E9543F" w:rsidRPr="00EB5408" w:rsidRDefault="00E9543F" w:rsidP="00E9543F">
            <w:pPr>
              <w:rPr>
                <w:sz w:val="18"/>
                <w:szCs w:val="18"/>
              </w:rPr>
            </w:pPr>
            <w:r w:rsidRPr="00EB5408">
              <w:rPr>
                <w:sz w:val="18"/>
                <w:szCs w:val="18"/>
              </w:rPr>
              <w:t xml:space="preserve">n=6350 </w:t>
            </w:r>
          </w:p>
        </w:tc>
        <w:tc>
          <w:tcPr>
            <w:tcW w:w="882" w:type="dxa"/>
            <w:tcBorders>
              <w:top w:val="nil"/>
              <w:bottom w:val="single" w:sz="8" w:space="0" w:color="auto"/>
            </w:tcBorders>
          </w:tcPr>
          <w:p w:rsidR="00E9543F" w:rsidRPr="00EB5408" w:rsidRDefault="00A332E0" w:rsidP="001F746E">
            <w:pPr>
              <w:jc w:val="center"/>
              <w:rPr>
                <w:sz w:val="18"/>
                <w:szCs w:val="18"/>
              </w:rPr>
            </w:pPr>
            <w:r>
              <w:rPr>
                <w:sz w:val="18"/>
                <w:szCs w:val="18"/>
              </w:rPr>
              <w:t>0.</w:t>
            </w:r>
            <w:r w:rsidR="001F746E">
              <w:rPr>
                <w:sz w:val="18"/>
                <w:szCs w:val="18"/>
              </w:rPr>
              <w:t>921</w:t>
            </w: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rPr>
            </w:pP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rPr>
            </w:pPr>
          </w:p>
        </w:tc>
        <w:tc>
          <w:tcPr>
            <w:tcW w:w="882" w:type="dxa"/>
            <w:tcBorders>
              <w:top w:val="nil"/>
              <w:bottom w:val="single" w:sz="8" w:space="0" w:color="auto"/>
            </w:tcBorders>
            <w:shd w:val="clear" w:color="auto" w:fill="auto"/>
          </w:tcPr>
          <w:p w:rsidR="00E9543F" w:rsidRPr="00EB5408" w:rsidRDefault="001F746E" w:rsidP="00E9543F">
            <w:pPr>
              <w:jc w:val="center"/>
              <w:rPr>
                <w:sz w:val="18"/>
                <w:szCs w:val="18"/>
              </w:rPr>
            </w:pPr>
            <w:r>
              <w:rPr>
                <w:sz w:val="18"/>
                <w:szCs w:val="18"/>
              </w:rPr>
              <w:t>0.882</w:t>
            </w: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highlight w:val="lightGray"/>
              </w:rPr>
            </w:pP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highlight w:val="lightGray"/>
              </w:rPr>
            </w:pPr>
          </w:p>
        </w:tc>
        <w:tc>
          <w:tcPr>
            <w:tcW w:w="882" w:type="dxa"/>
            <w:tcBorders>
              <w:top w:val="nil"/>
              <w:bottom w:val="single" w:sz="8" w:space="0" w:color="auto"/>
            </w:tcBorders>
            <w:shd w:val="clear" w:color="auto" w:fill="auto"/>
          </w:tcPr>
          <w:p w:rsidR="00E9543F" w:rsidRPr="00EB5408" w:rsidRDefault="001F746E" w:rsidP="00A332E0">
            <w:pPr>
              <w:jc w:val="center"/>
              <w:rPr>
                <w:sz w:val="18"/>
                <w:szCs w:val="18"/>
              </w:rPr>
            </w:pPr>
            <w:r>
              <w:rPr>
                <w:sz w:val="18"/>
                <w:szCs w:val="18"/>
              </w:rPr>
              <w:t>0.081</w:t>
            </w: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highlight w:val="lightGray"/>
              </w:rPr>
            </w:pPr>
          </w:p>
        </w:tc>
        <w:tc>
          <w:tcPr>
            <w:tcW w:w="882" w:type="dxa"/>
            <w:tcBorders>
              <w:top w:val="nil"/>
              <w:bottom w:val="single" w:sz="8" w:space="0" w:color="auto"/>
            </w:tcBorders>
            <w:shd w:val="pct5" w:color="auto" w:fill="auto"/>
          </w:tcPr>
          <w:p w:rsidR="00E9543F" w:rsidRPr="00EB5408" w:rsidRDefault="00E9543F" w:rsidP="00E9543F">
            <w:pPr>
              <w:jc w:val="center"/>
              <w:rPr>
                <w:sz w:val="18"/>
                <w:szCs w:val="18"/>
                <w:highlight w:val="lightGray"/>
              </w:rPr>
            </w:pPr>
          </w:p>
        </w:tc>
      </w:tr>
      <w:tr w:rsidR="00E9543F" w:rsidRPr="00EB5408" w:rsidTr="008731E8">
        <w:tc>
          <w:tcPr>
            <w:tcW w:w="8675" w:type="dxa"/>
            <w:gridSpan w:val="10"/>
            <w:tcBorders>
              <w:top w:val="single" w:sz="8" w:space="0" w:color="auto"/>
            </w:tcBorders>
          </w:tcPr>
          <w:p w:rsidR="00E9543F" w:rsidRPr="00EB5408" w:rsidRDefault="00E9543F" w:rsidP="00E9543F">
            <w:pPr>
              <w:rPr>
                <w:sz w:val="18"/>
                <w:szCs w:val="18"/>
                <w:highlight w:val="lightGray"/>
              </w:rPr>
            </w:pPr>
            <w:r w:rsidRPr="00EB5408">
              <w:rPr>
                <w:sz w:val="18"/>
                <w:szCs w:val="18"/>
              </w:rPr>
              <w:t>SLEDAI = SLE Disease Activity Index; SLICC/ACR DI = SLICC/ACR Damage Index</w:t>
            </w:r>
          </w:p>
        </w:tc>
      </w:tr>
    </w:tbl>
    <w:p w:rsidR="00E9543F" w:rsidRDefault="00E9543F" w:rsidP="00E9543F"/>
    <w:p w:rsidR="009F501C" w:rsidRDefault="001F746E" w:rsidP="002623ED">
      <w:pPr>
        <w:pStyle w:val="Heading3"/>
      </w:pPr>
      <w:bookmarkStart w:id="618" w:name="_Toc379467686"/>
      <w:r>
        <w:t xml:space="preserve">Expected Value-Based Price and Expected </w:t>
      </w:r>
      <w:r w:rsidR="002623ED">
        <w:t xml:space="preserve">Commercial </w:t>
      </w:r>
      <w:r>
        <w:t xml:space="preserve">Net </w:t>
      </w:r>
      <w:r w:rsidR="002623ED">
        <w:t>Benefit</w:t>
      </w:r>
      <w:r>
        <w:t xml:space="preserve"> of Sampling Results</w:t>
      </w:r>
      <w:bookmarkEnd w:id="618"/>
    </w:p>
    <w:p w:rsidR="00EA743C" w:rsidRPr="00EA743C" w:rsidRDefault="00E729BA" w:rsidP="00065519">
      <w:r>
        <w:fldChar w:fldCharType="begin"/>
      </w:r>
      <w:r w:rsidR="00EA743C">
        <w:instrText xml:space="preserve"> REF _Ref363560398 \h </w:instrText>
      </w:r>
      <w:r>
        <w:fldChar w:fldCharType="separate"/>
      </w:r>
      <w:r w:rsidR="004911B7">
        <w:t xml:space="preserve">Figure </w:t>
      </w:r>
      <w:r w:rsidR="004911B7">
        <w:rPr>
          <w:noProof/>
        </w:rPr>
        <w:t>32</w:t>
      </w:r>
      <w:r>
        <w:fldChar w:fldCharType="end"/>
      </w:r>
      <w:r w:rsidR="00EA743C">
        <w:t xml:space="preserve"> illustrates the proportion of simulated trials for each trial design that met the reimbursement criteria. In some trial designs the most likely reason for not achieving reimbursement was due to the low proportion of trials meeting the primary endpoint, as observed for the trials with lower sample size. Whereas the larger sample size trials </w:t>
      </w:r>
      <w:r w:rsidR="00065519">
        <w:t>tended</w:t>
      </w:r>
      <w:r w:rsidR="00EA743C">
        <w:t xml:space="preserve"> not</w:t>
      </w:r>
      <w:r w:rsidR="00065519">
        <w:t xml:space="preserve"> to</w:t>
      </w:r>
      <w:r w:rsidR="00EA743C">
        <w:t xml:space="preserve"> achieve reimbursement because the value-based price was lower than</w:t>
      </w:r>
      <w:r w:rsidR="001B76D2">
        <w:t xml:space="preserve"> the minimum price.</w:t>
      </w:r>
    </w:p>
    <w:p w:rsidR="00744055" w:rsidRDefault="00744055" w:rsidP="00234693">
      <w:pPr>
        <w:pStyle w:val="Caption"/>
      </w:pPr>
      <w:bookmarkStart w:id="619" w:name="_Ref363560398"/>
      <w:r>
        <w:t xml:space="preserve">Figure </w:t>
      </w:r>
      <w:r w:rsidR="00E729BA">
        <w:fldChar w:fldCharType="begin"/>
      </w:r>
      <w:r w:rsidR="000B0EDB">
        <w:instrText xml:space="preserve"> SEQ Figure \* ARABIC </w:instrText>
      </w:r>
      <w:r w:rsidR="00E729BA">
        <w:fldChar w:fldCharType="separate"/>
      </w:r>
      <w:r w:rsidR="004911B7">
        <w:rPr>
          <w:noProof/>
        </w:rPr>
        <w:t>32</w:t>
      </w:r>
      <w:r w:rsidR="00E729BA">
        <w:fldChar w:fldCharType="end"/>
      </w:r>
      <w:bookmarkEnd w:id="619"/>
      <w:r>
        <w:t>: Proportion of simulated trials with meeting the criteria for success from 1,600 simulations for six trial designs</w:t>
      </w:r>
    </w:p>
    <w:p w:rsidR="00744055" w:rsidRDefault="00744055" w:rsidP="002623ED">
      <w:r w:rsidRPr="00744055">
        <w:rPr>
          <w:noProof/>
          <w:lang w:eastAsia="zh-CN" w:bidi="ar-SA"/>
        </w:rPr>
        <w:drawing>
          <wp:inline distT="0" distB="0" distL="0" distR="0">
            <wp:extent cx="5407268" cy="540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407268" cy="5400000"/>
                    </a:xfrm>
                    <a:prstGeom prst="rect">
                      <a:avLst/>
                    </a:prstGeom>
                    <a:noFill/>
                    <a:ln w="9525">
                      <a:noFill/>
                      <a:miter lim="800000"/>
                      <a:headEnd/>
                      <a:tailEnd/>
                    </a:ln>
                  </pic:spPr>
                </pic:pic>
              </a:graphicData>
            </a:graphic>
          </wp:inline>
        </w:drawing>
      </w:r>
    </w:p>
    <w:p w:rsidR="00011785" w:rsidRDefault="00E729BA" w:rsidP="002623ED">
      <w:r>
        <w:fldChar w:fldCharType="begin"/>
      </w:r>
      <w:r w:rsidR="009F501C">
        <w:instrText xml:space="preserve"> REF _Ref354317720 \h </w:instrText>
      </w:r>
      <w:r>
        <w:fldChar w:fldCharType="separate"/>
      </w:r>
      <w:r w:rsidR="004911B7">
        <w:t xml:space="preserve">Table </w:t>
      </w:r>
      <w:r w:rsidR="004911B7">
        <w:rPr>
          <w:noProof/>
        </w:rPr>
        <w:t>52</w:t>
      </w:r>
      <w:r>
        <w:fldChar w:fldCharType="end"/>
      </w:r>
      <w:r w:rsidR="00FE7941">
        <w:t xml:space="preserve"> reports the expected </w:t>
      </w:r>
      <w:r w:rsidR="00A332E0">
        <w:t>financial outcomes of the trial after regulatory approval and reimbursement</w:t>
      </w:r>
      <w:r w:rsidR="002623ED">
        <w:t xml:space="preserve"> for each of the </w:t>
      </w:r>
      <w:r w:rsidR="009F501C">
        <w:t xml:space="preserve">simulated trial designs. </w:t>
      </w:r>
      <w:r w:rsidR="002623ED">
        <w:t xml:space="preserve">The results are based on 1,600 simulated datasets for each trial design generated from the BCTS. Each simulated dataset was used to update the CE model parameters to estimate value-based price, and averaged over all simulations to estimated expected Commercial Net Benefit of Sampling. </w:t>
      </w:r>
    </w:p>
    <w:p w:rsidR="00121186" w:rsidRDefault="00121186" w:rsidP="00234693">
      <w:pPr>
        <w:pStyle w:val="Caption"/>
      </w:pPr>
      <w:bookmarkStart w:id="620" w:name="_Ref346892150"/>
      <w:bookmarkStart w:id="621" w:name="_Ref354317720"/>
      <w:r>
        <w:t xml:space="preserve">Table </w:t>
      </w:r>
      <w:bookmarkEnd w:id="620"/>
      <w:r w:rsidR="00E729BA">
        <w:fldChar w:fldCharType="begin"/>
      </w:r>
      <w:r>
        <w:instrText xml:space="preserve"> SEQ Table \*ARABIC </w:instrText>
      </w:r>
      <w:r w:rsidR="00E729BA">
        <w:fldChar w:fldCharType="separate"/>
      </w:r>
      <w:r w:rsidR="004911B7">
        <w:rPr>
          <w:noProof/>
        </w:rPr>
        <w:t>52</w:t>
      </w:r>
      <w:r w:rsidR="00E729BA">
        <w:fldChar w:fldCharType="end"/>
      </w:r>
      <w:bookmarkEnd w:id="621"/>
      <w:r>
        <w:t>: Probability of reimbursement, expected value-based price, expected sales volume, expected costs and expected Net profits from sampling</w:t>
      </w:r>
    </w:p>
    <w:tbl>
      <w:tblPr>
        <w:tblStyle w:val="TableGrid"/>
        <w:tblW w:w="8613" w:type="dxa"/>
        <w:tblInd w:w="-8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817"/>
        <w:gridCol w:w="1276"/>
        <w:gridCol w:w="1276"/>
        <w:gridCol w:w="992"/>
        <w:gridCol w:w="992"/>
        <w:gridCol w:w="1134"/>
        <w:gridCol w:w="941"/>
        <w:gridCol w:w="1185"/>
      </w:tblGrid>
      <w:tr w:rsidR="00121186" w:rsidRPr="00011785" w:rsidTr="00073A10">
        <w:trPr>
          <w:trHeight w:val="113"/>
        </w:trPr>
        <w:tc>
          <w:tcPr>
            <w:tcW w:w="817"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p>
        </w:tc>
        <w:tc>
          <w:tcPr>
            <w:tcW w:w="1276" w:type="dxa"/>
            <w:tcBorders>
              <w:top w:val="single" w:sz="12" w:space="0" w:color="auto"/>
              <w:bottom w:val="single" w:sz="8" w:space="0" w:color="auto"/>
            </w:tcBorders>
          </w:tcPr>
          <w:p w:rsidR="00121186" w:rsidRPr="00011785" w:rsidRDefault="00121186" w:rsidP="00121186">
            <w:pPr>
              <w:spacing w:after="0" w:afterAutospacing="0"/>
              <w:jc w:val="center"/>
              <w:rPr>
                <w:sz w:val="18"/>
                <w:szCs w:val="18"/>
              </w:rPr>
            </w:pPr>
            <w:r w:rsidRPr="00011785">
              <w:rPr>
                <w:sz w:val="18"/>
                <w:szCs w:val="18"/>
              </w:rPr>
              <w:t>Probability of reimbursement</w:t>
            </w:r>
          </w:p>
        </w:tc>
        <w:tc>
          <w:tcPr>
            <w:tcW w:w="1276"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r w:rsidRPr="00011785">
              <w:rPr>
                <w:sz w:val="18"/>
                <w:szCs w:val="18"/>
              </w:rPr>
              <w:t>Expected revenue per patient</w:t>
            </w:r>
            <w:r w:rsidR="00057E07">
              <w:rPr>
                <w:sz w:val="18"/>
                <w:szCs w:val="18"/>
              </w:rPr>
              <w:t xml:space="preserve"> year</w:t>
            </w:r>
            <w:r w:rsidRPr="00011785">
              <w:rPr>
                <w:sz w:val="18"/>
                <w:szCs w:val="18"/>
              </w:rPr>
              <w:t xml:space="preserve"> for trials meeting reimbursement criteria</w:t>
            </w:r>
          </w:p>
        </w:tc>
        <w:tc>
          <w:tcPr>
            <w:tcW w:w="992" w:type="dxa"/>
            <w:tcBorders>
              <w:top w:val="single" w:sz="12" w:space="0" w:color="auto"/>
              <w:bottom w:val="single" w:sz="8" w:space="0" w:color="auto"/>
            </w:tcBorders>
          </w:tcPr>
          <w:p w:rsidR="00121186" w:rsidRPr="00011785" w:rsidRDefault="00121186" w:rsidP="00121186">
            <w:pPr>
              <w:spacing w:after="0" w:afterAutospacing="0"/>
              <w:jc w:val="center"/>
              <w:rPr>
                <w:sz w:val="18"/>
                <w:szCs w:val="18"/>
              </w:rPr>
            </w:pPr>
            <w:r>
              <w:rPr>
                <w:sz w:val="18"/>
                <w:szCs w:val="18"/>
              </w:rPr>
              <w:t>Expected Profit per Patient</w:t>
            </w:r>
          </w:p>
        </w:tc>
        <w:tc>
          <w:tcPr>
            <w:tcW w:w="992"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r w:rsidRPr="00011785">
              <w:rPr>
                <w:sz w:val="18"/>
                <w:szCs w:val="18"/>
              </w:rPr>
              <w:t xml:space="preserve">Expected Sales Volume </w:t>
            </w:r>
          </w:p>
        </w:tc>
        <w:tc>
          <w:tcPr>
            <w:tcW w:w="1134"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r w:rsidRPr="00011785">
              <w:rPr>
                <w:sz w:val="18"/>
                <w:szCs w:val="18"/>
              </w:rPr>
              <w:t>Expected sales value</w:t>
            </w:r>
          </w:p>
          <w:p w:rsidR="00121186" w:rsidRPr="00011785" w:rsidRDefault="00121186" w:rsidP="00121186">
            <w:pPr>
              <w:spacing w:after="0" w:afterAutospacing="0"/>
              <w:jc w:val="center"/>
              <w:rPr>
                <w:sz w:val="18"/>
                <w:szCs w:val="18"/>
              </w:rPr>
            </w:pPr>
            <w:r w:rsidRPr="00011785">
              <w:rPr>
                <w:sz w:val="18"/>
                <w:szCs w:val="18"/>
              </w:rPr>
              <w:t>(million £)</w:t>
            </w:r>
          </w:p>
        </w:tc>
        <w:tc>
          <w:tcPr>
            <w:tcW w:w="941"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r w:rsidRPr="00011785">
              <w:rPr>
                <w:sz w:val="18"/>
                <w:szCs w:val="18"/>
              </w:rPr>
              <w:t>Trial Cost (million £)</w:t>
            </w:r>
          </w:p>
        </w:tc>
        <w:tc>
          <w:tcPr>
            <w:tcW w:w="1185" w:type="dxa"/>
            <w:tcBorders>
              <w:top w:val="single" w:sz="12" w:space="0" w:color="auto"/>
              <w:bottom w:val="single" w:sz="8" w:space="0" w:color="auto"/>
            </w:tcBorders>
            <w:vAlign w:val="center"/>
          </w:tcPr>
          <w:p w:rsidR="00121186" w:rsidRPr="00011785" w:rsidRDefault="00121186" w:rsidP="00121186">
            <w:pPr>
              <w:spacing w:after="0" w:afterAutospacing="0"/>
              <w:jc w:val="center"/>
              <w:rPr>
                <w:sz w:val="18"/>
                <w:szCs w:val="18"/>
              </w:rPr>
            </w:pPr>
            <w:r w:rsidRPr="00011785">
              <w:rPr>
                <w:sz w:val="18"/>
                <w:szCs w:val="18"/>
              </w:rPr>
              <w:t xml:space="preserve">Expected </w:t>
            </w:r>
            <w:r>
              <w:rPr>
                <w:sz w:val="18"/>
                <w:szCs w:val="18"/>
              </w:rPr>
              <w:t>Commercial Net Benefit of Sampling (million £)</w:t>
            </w:r>
          </w:p>
        </w:tc>
      </w:tr>
      <w:tr w:rsidR="00121186" w:rsidRPr="00011785" w:rsidTr="00073A10">
        <w:trPr>
          <w:trHeight w:val="113"/>
        </w:trPr>
        <w:tc>
          <w:tcPr>
            <w:tcW w:w="817" w:type="dxa"/>
            <w:tcBorders>
              <w:top w:val="single" w:sz="8" w:space="0" w:color="auto"/>
            </w:tcBorders>
            <w:vAlign w:val="center"/>
          </w:tcPr>
          <w:p w:rsidR="00121186" w:rsidRDefault="00121186" w:rsidP="00121186">
            <w:pPr>
              <w:spacing w:after="0" w:afterAutospacing="0"/>
              <w:jc w:val="center"/>
              <w:rPr>
                <w:sz w:val="18"/>
                <w:szCs w:val="18"/>
              </w:rPr>
            </w:pPr>
            <w:r w:rsidRPr="00011785">
              <w:rPr>
                <w:sz w:val="18"/>
                <w:szCs w:val="18"/>
              </w:rPr>
              <w:t>n= 529</w:t>
            </w:r>
          </w:p>
          <w:p w:rsidR="00121186" w:rsidRPr="00011785" w:rsidRDefault="00121186" w:rsidP="00121186">
            <w:pPr>
              <w:spacing w:after="0" w:afterAutospacing="0"/>
              <w:jc w:val="center"/>
              <w:rPr>
                <w:sz w:val="18"/>
                <w:szCs w:val="18"/>
              </w:rPr>
            </w:pPr>
            <w:r>
              <w:rPr>
                <w:sz w:val="18"/>
                <w:szCs w:val="18"/>
              </w:rPr>
              <w:t>1 year</w:t>
            </w:r>
          </w:p>
        </w:tc>
        <w:tc>
          <w:tcPr>
            <w:tcW w:w="1276" w:type="dxa"/>
            <w:tcBorders>
              <w:top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0.692</w:t>
            </w:r>
          </w:p>
        </w:tc>
        <w:tc>
          <w:tcPr>
            <w:tcW w:w="1276" w:type="dxa"/>
            <w:tcBorders>
              <w:top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£2132</w:t>
            </w:r>
          </w:p>
          <w:p w:rsidR="00121186" w:rsidRPr="00011785" w:rsidRDefault="00121186" w:rsidP="00121186">
            <w:pPr>
              <w:spacing w:after="0" w:afterAutospacing="0"/>
              <w:jc w:val="center"/>
              <w:rPr>
                <w:sz w:val="16"/>
                <w:szCs w:val="16"/>
              </w:rPr>
            </w:pPr>
            <w:r w:rsidRPr="00011785">
              <w:rPr>
                <w:sz w:val="16"/>
                <w:szCs w:val="16"/>
              </w:rPr>
              <w:t>(891)</w:t>
            </w:r>
          </w:p>
        </w:tc>
        <w:tc>
          <w:tcPr>
            <w:tcW w:w="992" w:type="dxa"/>
            <w:tcBorders>
              <w:top w:val="single" w:sz="8" w:space="0" w:color="auto"/>
            </w:tcBorders>
            <w:vAlign w:val="center"/>
          </w:tcPr>
          <w:p w:rsidR="00121186" w:rsidRPr="00011785" w:rsidRDefault="00121186" w:rsidP="00121186">
            <w:pPr>
              <w:spacing w:after="0" w:afterAutospacing="0"/>
              <w:jc w:val="center"/>
              <w:rPr>
                <w:sz w:val="16"/>
                <w:szCs w:val="16"/>
              </w:rPr>
            </w:pPr>
            <w:r>
              <w:rPr>
                <w:sz w:val="16"/>
                <w:szCs w:val="16"/>
              </w:rPr>
              <w:t>£9774.8 (7354.2)</w:t>
            </w:r>
          </w:p>
        </w:tc>
        <w:tc>
          <w:tcPr>
            <w:tcW w:w="992" w:type="dxa"/>
            <w:tcBorders>
              <w:top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103,586 (69149)</w:t>
            </w:r>
          </w:p>
        </w:tc>
        <w:tc>
          <w:tcPr>
            <w:tcW w:w="1134" w:type="dxa"/>
            <w:tcBorders>
              <w:top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1463 (1101)</w:t>
            </w:r>
          </w:p>
        </w:tc>
        <w:tc>
          <w:tcPr>
            <w:tcW w:w="941" w:type="dxa"/>
            <w:tcBorders>
              <w:top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2.06</w:t>
            </w:r>
          </w:p>
        </w:tc>
        <w:tc>
          <w:tcPr>
            <w:tcW w:w="1185" w:type="dxa"/>
            <w:tcBorders>
              <w:top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1440 (108.8)</w:t>
            </w:r>
          </w:p>
        </w:tc>
      </w:tr>
      <w:tr w:rsidR="00121186" w:rsidRPr="00011785" w:rsidTr="00073A10">
        <w:trPr>
          <w:trHeight w:val="113"/>
        </w:trPr>
        <w:tc>
          <w:tcPr>
            <w:tcW w:w="817" w:type="dxa"/>
            <w:vAlign w:val="center"/>
          </w:tcPr>
          <w:p w:rsidR="00121186" w:rsidRDefault="00121186" w:rsidP="00121186">
            <w:pPr>
              <w:spacing w:after="0" w:afterAutospacing="0"/>
              <w:jc w:val="center"/>
              <w:rPr>
                <w:sz w:val="18"/>
                <w:szCs w:val="18"/>
              </w:rPr>
            </w:pPr>
            <w:r w:rsidRPr="00011785">
              <w:rPr>
                <w:sz w:val="18"/>
                <w:szCs w:val="18"/>
              </w:rPr>
              <w:t>n= 529</w:t>
            </w:r>
          </w:p>
          <w:p w:rsidR="00121186" w:rsidRPr="00011785" w:rsidRDefault="00121186" w:rsidP="00121186">
            <w:pPr>
              <w:spacing w:after="0" w:afterAutospacing="0"/>
              <w:jc w:val="center"/>
              <w:rPr>
                <w:sz w:val="18"/>
                <w:szCs w:val="18"/>
              </w:rPr>
            </w:pPr>
            <w:r>
              <w:rPr>
                <w:sz w:val="18"/>
                <w:szCs w:val="18"/>
              </w:rPr>
              <w:t>2 years</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0.646</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£1715 (968)</w:t>
            </w:r>
          </w:p>
        </w:tc>
        <w:tc>
          <w:tcPr>
            <w:tcW w:w="992" w:type="dxa"/>
            <w:vAlign w:val="center"/>
          </w:tcPr>
          <w:p w:rsidR="00121186" w:rsidRDefault="00121186" w:rsidP="00121186">
            <w:pPr>
              <w:spacing w:after="0" w:afterAutospacing="0"/>
              <w:jc w:val="center"/>
              <w:rPr>
                <w:sz w:val="16"/>
                <w:szCs w:val="16"/>
              </w:rPr>
            </w:pPr>
            <w:r>
              <w:rPr>
                <w:sz w:val="16"/>
                <w:szCs w:val="16"/>
              </w:rPr>
              <w:t>£7920.9</w:t>
            </w:r>
          </w:p>
          <w:p w:rsidR="00121186" w:rsidRPr="00011785" w:rsidRDefault="00121186" w:rsidP="00121186">
            <w:pPr>
              <w:spacing w:after="0" w:afterAutospacing="0"/>
              <w:jc w:val="center"/>
              <w:rPr>
                <w:sz w:val="16"/>
                <w:szCs w:val="16"/>
              </w:rPr>
            </w:pPr>
            <w:r>
              <w:rPr>
                <w:sz w:val="16"/>
                <w:szCs w:val="16"/>
              </w:rPr>
              <w:t>(6516.7)</w:t>
            </w:r>
          </w:p>
        </w:tc>
        <w:tc>
          <w:tcPr>
            <w:tcW w:w="992" w:type="dxa"/>
            <w:vAlign w:val="center"/>
          </w:tcPr>
          <w:p w:rsidR="00121186" w:rsidRPr="00011785" w:rsidRDefault="00121186" w:rsidP="00121186">
            <w:pPr>
              <w:spacing w:after="0" w:afterAutospacing="0"/>
              <w:jc w:val="center"/>
              <w:rPr>
                <w:sz w:val="16"/>
                <w:szCs w:val="16"/>
              </w:rPr>
            </w:pPr>
            <w:r w:rsidRPr="00011785">
              <w:rPr>
                <w:sz w:val="16"/>
                <w:szCs w:val="16"/>
              </w:rPr>
              <w:t>96,661 (71636)</w:t>
            </w:r>
          </w:p>
        </w:tc>
        <w:tc>
          <w:tcPr>
            <w:tcW w:w="1134"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1186 (976)</w:t>
            </w:r>
          </w:p>
        </w:tc>
        <w:tc>
          <w:tcPr>
            <w:tcW w:w="941"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2.85</w:t>
            </w:r>
          </w:p>
        </w:tc>
        <w:tc>
          <w:tcPr>
            <w:tcW w:w="1185"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1164 (96.3)</w:t>
            </w:r>
          </w:p>
        </w:tc>
      </w:tr>
      <w:tr w:rsidR="00121186" w:rsidRPr="00011785" w:rsidTr="00073A10">
        <w:trPr>
          <w:trHeight w:val="113"/>
        </w:trPr>
        <w:tc>
          <w:tcPr>
            <w:tcW w:w="817" w:type="dxa"/>
            <w:vAlign w:val="center"/>
          </w:tcPr>
          <w:p w:rsidR="00121186" w:rsidRDefault="00121186" w:rsidP="00121186">
            <w:pPr>
              <w:spacing w:after="0" w:afterAutospacing="0"/>
              <w:jc w:val="center"/>
              <w:rPr>
                <w:sz w:val="18"/>
                <w:szCs w:val="18"/>
              </w:rPr>
            </w:pPr>
            <w:r w:rsidRPr="00011785">
              <w:rPr>
                <w:sz w:val="18"/>
                <w:szCs w:val="18"/>
              </w:rPr>
              <w:t>n= 529</w:t>
            </w:r>
          </w:p>
          <w:p w:rsidR="00121186" w:rsidRPr="00011785" w:rsidRDefault="00121186" w:rsidP="00121186">
            <w:pPr>
              <w:spacing w:after="0" w:afterAutospacing="0"/>
              <w:jc w:val="center"/>
              <w:rPr>
                <w:sz w:val="18"/>
                <w:szCs w:val="18"/>
              </w:rPr>
            </w:pPr>
            <w:r>
              <w:rPr>
                <w:sz w:val="18"/>
                <w:szCs w:val="18"/>
              </w:rPr>
              <w:t>5 years</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0.669</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£821.2 (2618)</w:t>
            </w:r>
          </w:p>
        </w:tc>
        <w:tc>
          <w:tcPr>
            <w:tcW w:w="992" w:type="dxa"/>
            <w:vAlign w:val="center"/>
          </w:tcPr>
          <w:p w:rsidR="00121186" w:rsidRDefault="00121186" w:rsidP="00121186">
            <w:pPr>
              <w:spacing w:after="0" w:afterAutospacing="0"/>
              <w:jc w:val="center"/>
              <w:rPr>
                <w:sz w:val="16"/>
                <w:szCs w:val="16"/>
              </w:rPr>
            </w:pPr>
            <w:r>
              <w:rPr>
                <w:sz w:val="16"/>
                <w:szCs w:val="16"/>
              </w:rPr>
              <w:t>£8543.5</w:t>
            </w:r>
          </w:p>
          <w:p w:rsidR="00121186" w:rsidRPr="00011785" w:rsidRDefault="00121186" w:rsidP="00121186">
            <w:pPr>
              <w:spacing w:after="0" w:afterAutospacing="0"/>
              <w:jc w:val="center"/>
              <w:rPr>
                <w:sz w:val="16"/>
                <w:szCs w:val="16"/>
              </w:rPr>
            </w:pPr>
            <w:r>
              <w:rPr>
                <w:sz w:val="16"/>
                <w:szCs w:val="16"/>
              </w:rPr>
              <w:t>(6679.4)</w:t>
            </w:r>
          </w:p>
        </w:tc>
        <w:tc>
          <w:tcPr>
            <w:tcW w:w="992" w:type="dxa"/>
            <w:vAlign w:val="center"/>
          </w:tcPr>
          <w:p w:rsidR="00121186" w:rsidRPr="00011785" w:rsidRDefault="00121186" w:rsidP="00121186">
            <w:pPr>
              <w:spacing w:after="0" w:afterAutospacing="0"/>
              <w:jc w:val="center"/>
              <w:rPr>
                <w:sz w:val="16"/>
                <w:szCs w:val="16"/>
              </w:rPr>
            </w:pPr>
            <w:r w:rsidRPr="00011785">
              <w:rPr>
                <w:sz w:val="16"/>
                <w:szCs w:val="16"/>
              </w:rPr>
              <w:t>100,217 (70455)</w:t>
            </w:r>
          </w:p>
        </w:tc>
        <w:tc>
          <w:tcPr>
            <w:tcW w:w="1134"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1279 (1000)</w:t>
            </w:r>
          </w:p>
        </w:tc>
        <w:tc>
          <w:tcPr>
            <w:tcW w:w="941"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5.23</w:t>
            </w:r>
          </w:p>
        </w:tc>
        <w:tc>
          <w:tcPr>
            <w:tcW w:w="1185"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1254 (98.7)</w:t>
            </w:r>
          </w:p>
        </w:tc>
      </w:tr>
      <w:tr w:rsidR="00121186" w:rsidRPr="00011785" w:rsidTr="00073A10">
        <w:trPr>
          <w:trHeight w:val="113"/>
        </w:trPr>
        <w:tc>
          <w:tcPr>
            <w:tcW w:w="817" w:type="dxa"/>
            <w:vAlign w:val="center"/>
          </w:tcPr>
          <w:p w:rsidR="00121186" w:rsidRDefault="00121186" w:rsidP="00121186">
            <w:pPr>
              <w:spacing w:after="0" w:afterAutospacing="0"/>
              <w:jc w:val="center"/>
              <w:rPr>
                <w:sz w:val="18"/>
                <w:szCs w:val="18"/>
              </w:rPr>
            </w:pPr>
            <w:r w:rsidRPr="00011785">
              <w:rPr>
                <w:sz w:val="18"/>
                <w:szCs w:val="18"/>
              </w:rPr>
              <w:t>n= 2413</w:t>
            </w:r>
          </w:p>
          <w:p w:rsidR="00121186" w:rsidRPr="00011785" w:rsidRDefault="00121186" w:rsidP="00121186">
            <w:pPr>
              <w:spacing w:after="0" w:afterAutospacing="0"/>
              <w:jc w:val="center"/>
              <w:rPr>
                <w:sz w:val="18"/>
                <w:szCs w:val="18"/>
              </w:rPr>
            </w:pPr>
            <w:r>
              <w:rPr>
                <w:sz w:val="18"/>
                <w:szCs w:val="18"/>
              </w:rPr>
              <w:t>1 year</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0.700</w:t>
            </w:r>
          </w:p>
        </w:tc>
        <w:tc>
          <w:tcPr>
            <w:tcW w:w="1276" w:type="dxa"/>
            <w:vAlign w:val="center"/>
          </w:tcPr>
          <w:p w:rsidR="00121186" w:rsidRPr="00011785" w:rsidRDefault="00121186" w:rsidP="00121186">
            <w:pPr>
              <w:spacing w:after="0" w:afterAutospacing="0"/>
              <w:jc w:val="center"/>
              <w:rPr>
                <w:sz w:val="16"/>
                <w:szCs w:val="16"/>
              </w:rPr>
            </w:pPr>
            <w:r w:rsidRPr="00011785">
              <w:rPr>
                <w:sz w:val="16"/>
                <w:szCs w:val="16"/>
              </w:rPr>
              <w:t>£1371 (1005)</w:t>
            </w:r>
          </w:p>
        </w:tc>
        <w:tc>
          <w:tcPr>
            <w:tcW w:w="992" w:type="dxa"/>
            <w:vAlign w:val="center"/>
          </w:tcPr>
          <w:p w:rsidR="00121186" w:rsidRPr="00011785" w:rsidRDefault="00121186" w:rsidP="00121186">
            <w:pPr>
              <w:spacing w:after="0" w:afterAutospacing="0"/>
              <w:jc w:val="center"/>
              <w:rPr>
                <w:sz w:val="16"/>
                <w:szCs w:val="16"/>
              </w:rPr>
            </w:pPr>
            <w:r>
              <w:rPr>
                <w:sz w:val="16"/>
                <w:szCs w:val="16"/>
              </w:rPr>
              <w:t>£7520.4 (5549.3)</w:t>
            </w:r>
          </w:p>
        </w:tc>
        <w:tc>
          <w:tcPr>
            <w:tcW w:w="992" w:type="dxa"/>
            <w:vAlign w:val="center"/>
          </w:tcPr>
          <w:p w:rsidR="00121186" w:rsidRPr="00011785" w:rsidRDefault="00121186" w:rsidP="00121186">
            <w:pPr>
              <w:spacing w:after="0" w:afterAutospacing="0"/>
              <w:jc w:val="center"/>
              <w:rPr>
                <w:sz w:val="16"/>
                <w:szCs w:val="16"/>
              </w:rPr>
            </w:pPr>
            <w:r w:rsidRPr="00011785">
              <w:rPr>
                <w:sz w:val="16"/>
                <w:szCs w:val="16"/>
              </w:rPr>
              <w:t>104,803 (68631)</w:t>
            </w:r>
          </w:p>
        </w:tc>
        <w:tc>
          <w:tcPr>
            <w:tcW w:w="1134"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1126 (831)</w:t>
            </w:r>
          </w:p>
        </w:tc>
        <w:tc>
          <w:tcPr>
            <w:tcW w:w="941"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5.83</w:t>
            </w:r>
          </w:p>
        </w:tc>
        <w:tc>
          <w:tcPr>
            <w:tcW w:w="1185" w:type="dxa"/>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1099 (81.9)</w:t>
            </w:r>
          </w:p>
        </w:tc>
      </w:tr>
      <w:tr w:rsidR="00121186" w:rsidRPr="00011785" w:rsidTr="00073A10">
        <w:trPr>
          <w:trHeight w:val="113"/>
        </w:trPr>
        <w:tc>
          <w:tcPr>
            <w:tcW w:w="817" w:type="dxa"/>
            <w:tcBorders>
              <w:bottom w:val="nil"/>
            </w:tcBorders>
            <w:vAlign w:val="center"/>
          </w:tcPr>
          <w:p w:rsidR="00121186" w:rsidRDefault="00121186" w:rsidP="00121186">
            <w:pPr>
              <w:spacing w:after="0" w:afterAutospacing="0"/>
              <w:jc w:val="center"/>
              <w:rPr>
                <w:sz w:val="18"/>
                <w:szCs w:val="18"/>
              </w:rPr>
            </w:pPr>
            <w:r>
              <w:rPr>
                <w:sz w:val="18"/>
                <w:szCs w:val="18"/>
              </w:rPr>
              <w:t>n=2413</w:t>
            </w:r>
          </w:p>
          <w:p w:rsidR="00121186" w:rsidRPr="00011785" w:rsidRDefault="00121186" w:rsidP="00121186">
            <w:pPr>
              <w:spacing w:after="0" w:afterAutospacing="0"/>
              <w:jc w:val="center"/>
              <w:rPr>
                <w:sz w:val="18"/>
                <w:szCs w:val="18"/>
              </w:rPr>
            </w:pPr>
            <w:r>
              <w:rPr>
                <w:sz w:val="18"/>
                <w:szCs w:val="18"/>
              </w:rPr>
              <w:t>2 years</w:t>
            </w:r>
          </w:p>
        </w:tc>
        <w:tc>
          <w:tcPr>
            <w:tcW w:w="1276" w:type="dxa"/>
            <w:tcBorders>
              <w:bottom w:val="nil"/>
            </w:tcBorders>
            <w:vAlign w:val="center"/>
          </w:tcPr>
          <w:p w:rsidR="00121186" w:rsidRPr="00011785" w:rsidRDefault="00121186" w:rsidP="00121186">
            <w:pPr>
              <w:spacing w:after="0" w:afterAutospacing="0"/>
              <w:jc w:val="center"/>
              <w:rPr>
                <w:sz w:val="16"/>
                <w:szCs w:val="16"/>
              </w:rPr>
            </w:pPr>
            <w:r w:rsidRPr="00011785">
              <w:rPr>
                <w:sz w:val="16"/>
                <w:szCs w:val="16"/>
              </w:rPr>
              <w:t>0.471</w:t>
            </w:r>
          </w:p>
        </w:tc>
        <w:tc>
          <w:tcPr>
            <w:tcW w:w="1276" w:type="dxa"/>
            <w:tcBorders>
              <w:bottom w:val="nil"/>
            </w:tcBorders>
            <w:vAlign w:val="center"/>
          </w:tcPr>
          <w:p w:rsidR="00121186" w:rsidRPr="00011785" w:rsidRDefault="00121186" w:rsidP="00121186">
            <w:pPr>
              <w:spacing w:after="0" w:afterAutospacing="0"/>
              <w:jc w:val="center"/>
              <w:rPr>
                <w:sz w:val="16"/>
                <w:szCs w:val="16"/>
              </w:rPr>
            </w:pPr>
            <w:r w:rsidRPr="00011785">
              <w:rPr>
                <w:sz w:val="16"/>
                <w:szCs w:val="16"/>
              </w:rPr>
              <w:t>£1860 (903)</w:t>
            </w:r>
          </w:p>
        </w:tc>
        <w:tc>
          <w:tcPr>
            <w:tcW w:w="992" w:type="dxa"/>
            <w:tcBorders>
              <w:bottom w:val="nil"/>
            </w:tcBorders>
            <w:vAlign w:val="center"/>
          </w:tcPr>
          <w:p w:rsidR="00121186" w:rsidRPr="00011785" w:rsidRDefault="00121186" w:rsidP="00121186">
            <w:pPr>
              <w:spacing w:after="0" w:afterAutospacing="0"/>
              <w:jc w:val="center"/>
              <w:rPr>
                <w:sz w:val="16"/>
                <w:szCs w:val="16"/>
              </w:rPr>
            </w:pPr>
            <w:r>
              <w:rPr>
                <w:sz w:val="16"/>
                <w:szCs w:val="16"/>
              </w:rPr>
              <w:t>£4868.4 (13286.2)</w:t>
            </w:r>
          </w:p>
        </w:tc>
        <w:tc>
          <w:tcPr>
            <w:tcW w:w="992" w:type="dxa"/>
            <w:tcBorders>
              <w:bottom w:val="nil"/>
            </w:tcBorders>
            <w:vAlign w:val="center"/>
          </w:tcPr>
          <w:p w:rsidR="00121186" w:rsidRPr="00011785" w:rsidRDefault="00121186" w:rsidP="00121186">
            <w:pPr>
              <w:spacing w:after="0" w:afterAutospacing="0"/>
              <w:jc w:val="center"/>
              <w:rPr>
                <w:sz w:val="16"/>
                <w:szCs w:val="16"/>
              </w:rPr>
            </w:pPr>
            <w:r w:rsidRPr="00011785">
              <w:rPr>
                <w:sz w:val="16"/>
                <w:szCs w:val="16"/>
              </w:rPr>
              <w:t>70,461 (74753)</w:t>
            </w:r>
          </w:p>
        </w:tc>
        <w:tc>
          <w:tcPr>
            <w:tcW w:w="1134" w:type="dxa"/>
            <w:tcBorders>
              <w:bottom w:val="nil"/>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729 (1989)</w:t>
            </w:r>
          </w:p>
        </w:tc>
        <w:tc>
          <w:tcPr>
            <w:tcW w:w="941" w:type="dxa"/>
            <w:tcBorders>
              <w:bottom w:val="nil"/>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9.45</w:t>
            </w:r>
          </w:p>
        </w:tc>
        <w:tc>
          <w:tcPr>
            <w:tcW w:w="1185" w:type="dxa"/>
            <w:tcBorders>
              <w:bottom w:val="nil"/>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705 (198.3)</w:t>
            </w:r>
          </w:p>
        </w:tc>
      </w:tr>
      <w:tr w:rsidR="00121186" w:rsidRPr="00011785" w:rsidTr="00073A10">
        <w:trPr>
          <w:trHeight w:val="113"/>
        </w:trPr>
        <w:tc>
          <w:tcPr>
            <w:tcW w:w="817" w:type="dxa"/>
            <w:tcBorders>
              <w:top w:val="nil"/>
              <w:bottom w:val="single" w:sz="8" w:space="0" w:color="auto"/>
            </w:tcBorders>
            <w:vAlign w:val="center"/>
          </w:tcPr>
          <w:p w:rsidR="00121186" w:rsidRDefault="00121186" w:rsidP="00121186">
            <w:pPr>
              <w:spacing w:after="0" w:afterAutospacing="0"/>
              <w:jc w:val="center"/>
              <w:rPr>
                <w:sz w:val="18"/>
                <w:szCs w:val="18"/>
              </w:rPr>
            </w:pPr>
            <w:r w:rsidRPr="00011785">
              <w:rPr>
                <w:sz w:val="18"/>
                <w:szCs w:val="18"/>
              </w:rPr>
              <w:t>n= 6350</w:t>
            </w:r>
          </w:p>
          <w:p w:rsidR="00121186" w:rsidRPr="00011785" w:rsidRDefault="00121186" w:rsidP="00121186">
            <w:pPr>
              <w:spacing w:after="0" w:afterAutospacing="0"/>
              <w:jc w:val="center"/>
              <w:rPr>
                <w:sz w:val="18"/>
                <w:szCs w:val="18"/>
              </w:rPr>
            </w:pPr>
            <w:r>
              <w:rPr>
                <w:sz w:val="18"/>
                <w:szCs w:val="18"/>
              </w:rPr>
              <w:t>1 year</w:t>
            </w:r>
          </w:p>
        </w:tc>
        <w:tc>
          <w:tcPr>
            <w:tcW w:w="1276"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0.486</w:t>
            </w:r>
          </w:p>
        </w:tc>
        <w:tc>
          <w:tcPr>
            <w:tcW w:w="1276"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£731 (1979)</w:t>
            </w:r>
          </w:p>
        </w:tc>
        <w:tc>
          <w:tcPr>
            <w:tcW w:w="992"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Pr>
                <w:sz w:val="16"/>
                <w:szCs w:val="16"/>
              </w:rPr>
              <w:t>£4820.1 (8103.0)</w:t>
            </w:r>
          </w:p>
        </w:tc>
        <w:tc>
          <w:tcPr>
            <w:tcW w:w="992"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sidRPr="00011785">
              <w:rPr>
                <w:sz w:val="16"/>
                <w:szCs w:val="16"/>
              </w:rPr>
              <w:t>72,800 (74854)</w:t>
            </w:r>
          </w:p>
        </w:tc>
        <w:tc>
          <w:tcPr>
            <w:tcW w:w="1134"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722 (1213)</w:t>
            </w:r>
          </w:p>
        </w:tc>
        <w:tc>
          <w:tcPr>
            <w:tcW w:w="941"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13.70</w:t>
            </w:r>
          </w:p>
        </w:tc>
        <w:tc>
          <w:tcPr>
            <w:tcW w:w="1185" w:type="dxa"/>
            <w:tcBorders>
              <w:top w:val="nil"/>
              <w:bottom w:val="single" w:sz="8" w:space="0" w:color="auto"/>
            </w:tcBorders>
            <w:vAlign w:val="center"/>
          </w:tcPr>
          <w:p w:rsidR="00121186" w:rsidRPr="00011785" w:rsidRDefault="00121186" w:rsidP="00121186">
            <w:pPr>
              <w:spacing w:after="0" w:afterAutospacing="0"/>
              <w:jc w:val="center"/>
              <w:rPr>
                <w:sz w:val="16"/>
                <w:szCs w:val="16"/>
              </w:rPr>
            </w:pPr>
            <w:r>
              <w:rPr>
                <w:sz w:val="16"/>
                <w:szCs w:val="16"/>
              </w:rPr>
              <w:t>£</w:t>
            </w:r>
            <w:r w:rsidRPr="00011785">
              <w:rPr>
                <w:sz w:val="16"/>
                <w:szCs w:val="16"/>
              </w:rPr>
              <w:t>693 (120.4)</w:t>
            </w:r>
          </w:p>
        </w:tc>
      </w:tr>
      <w:tr w:rsidR="00121186" w:rsidRPr="00011785" w:rsidTr="00073A10">
        <w:trPr>
          <w:trHeight w:val="113"/>
        </w:trPr>
        <w:tc>
          <w:tcPr>
            <w:tcW w:w="8613" w:type="dxa"/>
            <w:gridSpan w:val="8"/>
            <w:tcBorders>
              <w:top w:val="single" w:sz="8" w:space="0" w:color="auto"/>
            </w:tcBorders>
          </w:tcPr>
          <w:p w:rsidR="00121186" w:rsidRPr="00011785" w:rsidRDefault="00121186" w:rsidP="00121186">
            <w:pPr>
              <w:spacing w:after="0" w:afterAutospacing="0"/>
              <w:rPr>
                <w:sz w:val="16"/>
                <w:szCs w:val="16"/>
              </w:rPr>
            </w:pPr>
            <w:r w:rsidRPr="00011785">
              <w:rPr>
                <w:sz w:val="16"/>
                <w:szCs w:val="16"/>
              </w:rPr>
              <w:t xml:space="preserve">Reimbursement criteria = probability of a significant reduction on SLEDAI AND estimated VBP </w:t>
            </w:r>
            <w:r>
              <w:rPr>
                <w:i/>
                <w:iCs/>
                <w:sz w:val="16"/>
                <w:szCs w:val="16"/>
              </w:rPr>
              <w:t>VBP</w:t>
            </w:r>
            <w:r w:rsidRPr="00011785">
              <w:rPr>
                <w:i/>
                <w:iCs/>
                <w:sz w:val="16"/>
                <w:szCs w:val="16"/>
              </w:rPr>
              <w:t>&gt;Pmin</w:t>
            </w:r>
            <w:r w:rsidRPr="00011785">
              <w:rPr>
                <w:sz w:val="16"/>
                <w:szCs w:val="16"/>
              </w:rPr>
              <w:t xml:space="preserve"> (minimum price acceptable to company); () standard deviation</w:t>
            </w:r>
          </w:p>
        </w:tc>
      </w:tr>
    </w:tbl>
    <w:p w:rsidR="00121186" w:rsidRDefault="00121186" w:rsidP="002623ED"/>
    <w:p w:rsidR="00011785" w:rsidRDefault="00011785" w:rsidP="00EA743C">
      <w:r>
        <w:t xml:space="preserve">In the first column </w:t>
      </w:r>
      <w:r w:rsidR="00121186">
        <w:t xml:space="preserve">of </w:t>
      </w:r>
      <w:r w:rsidR="00E729BA">
        <w:fldChar w:fldCharType="begin"/>
      </w:r>
      <w:r w:rsidR="00121186">
        <w:instrText xml:space="preserve"> REF _Ref354317720 \h </w:instrText>
      </w:r>
      <w:r w:rsidR="00E729BA">
        <w:fldChar w:fldCharType="separate"/>
      </w:r>
      <w:r w:rsidR="004911B7">
        <w:t xml:space="preserve">Table </w:t>
      </w:r>
      <w:r w:rsidR="004911B7">
        <w:rPr>
          <w:noProof/>
        </w:rPr>
        <w:t>52</w:t>
      </w:r>
      <w:r w:rsidR="00E729BA">
        <w:fldChar w:fldCharType="end"/>
      </w:r>
      <w:r w:rsidR="00AE3D16">
        <w:t xml:space="preserve"> </w:t>
      </w:r>
      <w:r>
        <w:t>the probability of reimbursement is reported for each trial design conditional on a statistically significant difference in the efficacy endpoint</w:t>
      </w:r>
      <w:r w:rsidR="00A601AD">
        <w:t xml:space="preserve"> (&gt; 4 point reduction in SLEDAI at 52 weeks)</w:t>
      </w:r>
      <w:r>
        <w:t xml:space="preserve"> and a value-based price greater than £900. </w:t>
      </w:r>
      <w:r w:rsidR="00A601AD">
        <w:t>Those trial simulation</w:t>
      </w:r>
      <w:r w:rsidR="00EA743C">
        <w:t>s</w:t>
      </w:r>
      <w:r w:rsidR="00A601AD">
        <w:t xml:space="preserve"> which achieved the reimbursement criteria used the value-based price generated from the CE model to estimate profit forecast.</w:t>
      </w:r>
    </w:p>
    <w:p w:rsidR="00011785" w:rsidRDefault="00011785" w:rsidP="00065519">
      <w:r>
        <w:t xml:space="preserve">In the second column I report the expected value-based price for trial designs with that meet the reimbursement criteria. </w:t>
      </w:r>
      <w:r w:rsidR="00A601AD">
        <w:t xml:space="preserve">The expected value-based price for trials achieving the reimbursement criteria </w:t>
      </w:r>
      <w:r w:rsidR="00C055E3">
        <w:t>were</w:t>
      </w:r>
      <w:r w:rsidR="00A601AD">
        <w:t xml:space="preserve"> variable across the trial designs. </w:t>
      </w:r>
    </w:p>
    <w:p w:rsidR="00EE1982" w:rsidRDefault="00121186" w:rsidP="00121186">
      <w:r>
        <w:t>C</w:t>
      </w:r>
      <w:r w:rsidR="00C055E3">
        <w:t>olumn</w:t>
      </w:r>
      <w:r>
        <w:t xml:space="preserve"> three contains</w:t>
      </w:r>
      <w:r w:rsidR="00C055E3">
        <w:t xml:space="preserve"> </w:t>
      </w:r>
      <w:r w:rsidR="00EE1982">
        <w:t xml:space="preserve">the expected profit per patient estimated from all trials. As described in equation </w:t>
      </w:r>
      <w:r w:rsidR="00E729BA">
        <w:fldChar w:fldCharType="begin"/>
      </w:r>
      <w:r w:rsidR="00EE1982">
        <w:instrText xml:space="preserve"> REF Expectprofit \r \h </w:instrText>
      </w:r>
      <w:r w:rsidR="00E729BA">
        <w:fldChar w:fldCharType="separate"/>
      </w:r>
      <w:r w:rsidR="004911B7">
        <w:rPr>
          <w:cs/>
        </w:rPr>
        <w:t>‎</w:t>
      </w:r>
      <w:r w:rsidR="004911B7">
        <w:t>(8.15)</w:t>
      </w:r>
      <w:r w:rsidR="00E729BA">
        <w:fldChar w:fldCharType="end"/>
      </w:r>
      <w:r w:rsidR="00EE1982">
        <w:t>, trial simulations that did not meet the reimbursement criteria were assigned a profit forecast of zero. Those that did meet the criteria were expected to achieve a profit equal to the expected value-based price multiplied by the treatment duration, minus the costs of production.</w:t>
      </w:r>
    </w:p>
    <w:p w:rsidR="00C055E3" w:rsidRDefault="002623ED" w:rsidP="00011785">
      <w:r>
        <w:t xml:space="preserve">In the fourth column </w:t>
      </w:r>
      <w:r w:rsidR="00C055E3">
        <w:t xml:space="preserve">the sales volume described the expected number of sales of the treatment given the reimbursement status, SLE incidence, market share and the time horizon of the treatment. As such the sales volumes are higher in trial designs that report a higher probability of reimbursement. </w:t>
      </w:r>
    </w:p>
    <w:p w:rsidR="00C055E3" w:rsidRDefault="00121186" w:rsidP="00121186">
      <w:r>
        <w:t>Column five shows</w:t>
      </w:r>
      <w:r w:rsidR="00C055E3">
        <w:t xml:space="preserve"> the trial costs based on the sample size and duration of follow-up of the trial.</w:t>
      </w:r>
    </w:p>
    <w:p w:rsidR="00410700" w:rsidRDefault="00410700" w:rsidP="00065519">
      <w:r>
        <w:t xml:space="preserve">In the sixth column, the overall commercial net </w:t>
      </w:r>
      <w:r w:rsidR="002623ED">
        <w:t>benefit of sampling</w:t>
      </w:r>
      <w:r>
        <w:t xml:space="preserve"> is reported. The expected profit per patient</w:t>
      </w:r>
      <w:r w:rsidR="002623ED">
        <w:t xml:space="preserve"> (column 3) </w:t>
      </w:r>
      <w:r>
        <w:t xml:space="preserve">was multiplied by the sales volume to estimate the expected total </w:t>
      </w:r>
      <w:r w:rsidR="002623ED">
        <w:t>profits</w:t>
      </w:r>
      <w:r>
        <w:t xml:space="preserve">. Expected total </w:t>
      </w:r>
      <w:r w:rsidR="002623ED">
        <w:t>profits</w:t>
      </w:r>
      <w:r>
        <w:t xml:space="preserve"> minus the trial costs gave the expected commercial net </w:t>
      </w:r>
      <w:r w:rsidR="002623ED">
        <w:t>benefit</w:t>
      </w:r>
      <w:r>
        <w:t>.</w:t>
      </w:r>
    </w:p>
    <w:p w:rsidR="00410700" w:rsidRDefault="00410700" w:rsidP="00012363">
      <w:r>
        <w:t xml:space="preserve">The results reported in </w:t>
      </w:r>
      <w:r w:rsidR="00E729BA">
        <w:fldChar w:fldCharType="begin"/>
      </w:r>
      <w:r>
        <w:instrText xml:space="preserve"> REF _Ref354317720 \h </w:instrText>
      </w:r>
      <w:r w:rsidR="00E729BA">
        <w:fldChar w:fldCharType="separate"/>
      </w:r>
      <w:r w:rsidR="004911B7">
        <w:t xml:space="preserve">Table </w:t>
      </w:r>
      <w:r w:rsidR="004911B7">
        <w:rPr>
          <w:noProof/>
        </w:rPr>
        <w:t>52</w:t>
      </w:r>
      <w:r w:rsidR="00E729BA">
        <w:fldChar w:fldCharType="end"/>
      </w:r>
      <w:r>
        <w:t xml:space="preserve"> imply that the trial design with small sample size and short follow-up has the greatest commercial net profits owing to the good probability of reimbursement, high expected value-based price and low trial costs. However,</w:t>
      </w:r>
      <w:r w:rsidR="00012363">
        <w:t xml:space="preserve"> there are strong indications from the data that these estimates are influenced by simulation error due to only 1,600 BCTS trial datasets being sampled. </w:t>
      </w:r>
    </w:p>
    <w:p w:rsidR="006211CE" w:rsidRDefault="00410700" w:rsidP="00073A10">
      <w:pPr>
        <w:sectPr w:rsidR="006211CE" w:rsidSect="00033D17">
          <w:headerReference w:type="default" r:id="rId59"/>
          <w:headerReference w:type="first" r:id="rId60"/>
          <w:pgSz w:w="11906" w:h="16838"/>
          <w:pgMar w:top="1440" w:right="1134" w:bottom="1440" w:left="2268" w:header="709" w:footer="709" w:gutter="0"/>
          <w:cols w:space="708"/>
          <w:docGrid w:linePitch="360"/>
        </w:sectPr>
      </w:pPr>
      <w:r>
        <w:t>The</w:t>
      </w:r>
      <w:r w:rsidR="009F501C">
        <w:t xml:space="preserve"> patterns in the standard deviations for </w:t>
      </w:r>
      <w:r w:rsidR="00012363">
        <w:t xml:space="preserve">reimbursement </w:t>
      </w:r>
      <w:r w:rsidR="009F501C">
        <w:t>value</w:t>
      </w:r>
      <w:r w:rsidR="0017698C">
        <w:t>-</w:t>
      </w:r>
      <w:r w:rsidR="009F501C">
        <w:t>based prices</w:t>
      </w:r>
      <w:r w:rsidR="00012363">
        <w:t>, in column 2,</w:t>
      </w:r>
      <w:r w:rsidR="009F501C">
        <w:t xml:space="preserve"> have a tendency to increase with larger sample size and duration of follow-up. This pattern is consistent with the principles of Bayesian updating. As the datasets increase in size there will be greater </w:t>
      </w:r>
      <w:r w:rsidR="0017698C">
        <w:t>variation in the expected value-</w:t>
      </w:r>
      <w:r w:rsidR="009F501C">
        <w:t xml:space="preserve">based price because the data dominates the prior in the estimation of the posterior density. Smaller datasets will tend to produce estimates closer to the prior mean, and will subsequently report less variability. </w:t>
      </w:r>
      <w:r w:rsidR="006211CE">
        <w:t xml:space="preserve"> The implication is that larger sample sizes are more likely to generate large profits when the treatment effect is sampled to be large. The prior distribution will be stronger for small sample sizes so it is less likely that the new data will yield prices greater than the price </w:t>
      </w:r>
      <w:r w:rsidR="00065519">
        <w:t>at the prior mean</w:t>
      </w:r>
      <w:r w:rsidR="006211CE">
        <w:t>.</w:t>
      </w:r>
      <w:r w:rsidR="00073A10">
        <w:t xml:space="preserve"> </w:t>
      </w:r>
    </w:p>
    <w:p w:rsidR="009F501C" w:rsidRDefault="00E729BA" w:rsidP="00516DF4">
      <w:r>
        <w:fldChar w:fldCharType="begin"/>
      </w:r>
      <w:r w:rsidR="009F501C">
        <w:instrText xml:space="preserve"> REF _Ref354764424 \h </w:instrText>
      </w:r>
      <w:r>
        <w:fldChar w:fldCharType="separate"/>
      </w:r>
      <w:r w:rsidR="004911B7">
        <w:t xml:space="preserve">Figure </w:t>
      </w:r>
      <w:r w:rsidR="004911B7">
        <w:rPr>
          <w:noProof/>
        </w:rPr>
        <w:t>33</w:t>
      </w:r>
      <w:r>
        <w:fldChar w:fldCharType="end"/>
      </w:r>
      <w:r w:rsidR="009F501C">
        <w:t xml:space="preserve"> illustrates the differences in the expected </w:t>
      </w:r>
      <w:r w:rsidR="002623ED">
        <w:t xml:space="preserve">Commercial </w:t>
      </w:r>
      <w:r w:rsidR="009F501C">
        <w:t xml:space="preserve">Net </w:t>
      </w:r>
      <w:r w:rsidR="002623ED">
        <w:t>Benefit</w:t>
      </w:r>
      <w:r w:rsidR="009F501C">
        <w:t xml:space="preserve"> for each trial design. </w:t>
      </w:r>
      <w:r w:rsidR="002623ED">
        <w:t xml:space="preserve">Commercial </w:t>
      </w:r>
      <w:r w:rsidR="009F501C">
        <w:t xml:space="preserve">Net </w:t>
      </w:r>
      <w:r w:rsidR="002623ED">
        <w:t>Benefit</w:t>
      </w:r>
      <w:r w:rsidR="009F501C">
        <w:t xml:space="preserve"> describes the difference between the expected profit forecast and the total costs of the trial. The trial design with the highest </w:t>
      </w:r>
      <w:r w:rsidR="002623ED">
        <w:t xml:space="preserve">commercial </w:t>
      </w:r>
      <w:r w:rsidR="009F501C">
        <w:t xml:space="preserve">net benefit is considered the most efficient design because it is expected to yield the highest revenue after </w:t>
      </w:r>
      <w:r w:rsidR="002623ED">
        <w:t xml:space="preserve">accounting for </w:t>
      </w:r>
      <w:r w:rsidR="009F501C">
        <w:t xml:space="preserve">the costs of the </w:t>
      </w:r>
      <w:r w:rsidR="002623ED">
        <w:t>trial</w:t>
      </w:r>
      <w:r w:rsidR="009F501C">
        <w:t xml:space="preserve">. The </w:t>
      </w:r>
      <w:r w:rsidR="00516DF4">
        <w:t>current estimated mean for 1,600 simulations</w:t>
      </w:r>
      <w:r w:rsidR="009F501C">
        <w:t xml:space="preserve"> suggest that a small trial design is optimal, and the additional costs of larger trial designs are not justified. </w:t>
      </w:r>
    </w:p>
    <w:p w:rsidR="009F501C" w:rsidRDefault="009F501C" w:rsidP="00234693">
      <w:pPr>
        <w:pStyle w:val="Caption"/>
      </w:pPr>
      <w:bookmarkStart w:id="622" w:name="_Ref354764424"/>
      <w:r>
        <w:t xml:space="preserve">Figure </w:t>
      </w:r>
      <w:r w:rsidR="00E729BA">
        <w:fldChar w:fldCharType="begin"/>
      </w:r>
      <w:r w:rsidR="000B0EDB">
        <w:instrText xml:space="preserve"> SEQ Figure \* ARABIC </w:instrText>
      </w:r>
      <w:r w:rsidR="00E729BA">
        <w:fldChar w:fldCharType="separate"/>
      </w:r>
      <w:r w:rsidR="004911B7">
        <w:rPr>
          <w:noProof/>
        </w:rPr>
        <w:t>33</w:t>
      </w:r>
      <w:r w:rsidR="00E729BA">
        <w:fldChar w:fldCharType="end"/>
      </w:r>
      <w:bookmarkEnd w:id="622"/>
      <w:r>
        <w:t>: The expected</w:t>
      </w:r>
      <w:r w:rsidR="00316EDF">
        <w:t xml:space="preserve"> </w:t>
      </w:r>
      <w:r w:rsidR="00A332E0">
        <w:t>Commercial</w:t>
      </w:r>
      <w:r>
        <w:t xml:space="preserve"> Net Benefit of six trial designs from a sample of 1,</w:t>
      </w:r>
      <w:r w:rsidR="006A73E0">
        <w:t>600</w:t>
      </w:r>
      <w:r>
        <w:t xml:space="preserve"> simulations</w:t>
      </w:r>
    </w:p>
    <w:p w:rsidR="009F501C" w:rsidRDefault="00316EDF" w:rsidP="009F501C">
      <w:r>
        <w:rPr>
          <w:noProof/>
          <w:lang w:eastAsia="zh-CN" w:bidi="ar-SA"/>
        </w:rPr>
        <w:drawing>
          <wp:inline distT="0" distB="0" distL="0" distR="0">
            <wp:extent cx="5731510" cy="5722981"/>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731510" cy="5722981"/>
                    </a:xfrm>
                    <a:prstGeom prst="rect">
                      <a:avLst/>
                    </a:prstGeom>
                    <a:noFill/>
                    <a:ln w="9525">
                      <a:noFill/>
                      <a:miter lim="800000"/>
                      <a:headEnd/>
                      <a:tailEnd/>
                    </a:ln>
                  </pic:spPr>
                </pic:pic>
              </a:graphicData>
            </a:graphic>
          </wp:inline>
        </w:drawing>
      </w:r>
    </w:p>
    <w:p w:rsidR="009F501C" w:rsidRDefault="001A1797" w:rsidP="009F501C">
      <w:pPr>
        <w:pStyle w:val="Heading3"/>
      </w:pPr>
      <w:bookmarkStart w:id="623" w:name="_Toc379467687"/>
      <w:r>
        <w:t>VOI Analysis</w:t>
      </w:r>
      <w:r w:rsidR="009F501C">
        <w:t xml:space="preserve"> Convergence</w:t>
      </w:r>
      <w:bookmarkEnd w:id="623"/>
    </w:p>
    <w:p w:rsidR="009F501C" w:rsidRDefault="009F501C" w:rsidP="00E46DAE">
      <w:r>
        <w:t>There is strong evidence from the results that there is insufficient stability in the model outcomes from 1</w:t>
      </w:r>
      <w:r w:rsidR="00316EDF">
        <w:t>6</w:t>
      </w:r>
      <w:r>
        <w:t xml:space="preserve">00 </w:t>
      </w:r>
      <w:r w:rsidR="00E46DAE">
        <w:t>trial simulations</w:t>
      </w:r>
      <w:r>
        <w:t xml:space="preserve"> to draw firm conclusion regarding the </w:t>
      </w:r>
      <w:r w:rsidR="00E46DAE">
        <w:t xml:space="preserve">Commercial </w:t>
      </w:r>
      <w:r>
        <w:t>N</w:t>
      </w:r>
      <w:r w:rsidR="00FE7941">
        <w:t>et Benefit of treatments. Value-</w:t>
      </w:r>
      <w:r>
        <w:t xml:space="preserve">based price estimates are highly variable across trial design specifications. The differences have a substantial impact on Net Benefit and it is not possible to correct for the bias in the results without running additional simulations. </w:t>
      </w:r>
    </w:p>
    <w:p w:rsidR="009F501C" w:rsidRDefault="009F501C" w:rsidP="006601D0">
      <w:r>
        <w:t>Two patterns in the expected value</w:t>
      </w:r>
      <w:r w:rsidR="00FE7941">
        <w:t>-</w:t>
      </w:r>
      <w:r>
        <w:t>based price were anticipated in the results. Firstly,</w:t>
      </w:r>
      <w:r w:rsidR="00FE7941">
        <w:t xml:space="preserve"> the mean of the expected value-</w:t>
      </w:r>
      <w:r>
        <w:t>based price should be equal across trial designs</w:t>
      </w:r>
      <w:r w:rsidR="00316EDF">
        <w:t xml:space="preserve"> of equal duration</w:t>
      </w:r>
      <w:r>
        <w:t xml:space="preserve"> because they are derived from the same prior distribution. Secondly, the standard deviation should increase for larger datasets because the data will dominate the prior distribu</w:t>
      </w:r>
      <w:r w:rsidR="00FE7941">
        <w:t>tion. Equal mean expected value-</w:t>
      </w:r>
      <w:r w:rsidR="00121186">
        <w:t>based price have</w:t>
      </w:r>
      <w:r>
        <w:t xml:space="preserve"> not been observed, which poses considerable problems. Since the appropriate pattern in standard deviations is present it is most likely that the differences in mean expected value</w:t>
      </w:r>
      <w:r w:rsidR="00FE7941">
        <w:t>-</w:t>
      </w:r>
      <w:r>
        <w:t>based price are due to insufficient simulation runs. Each simulation run represents a random draw from the</w:t>
      </w:r>
      <w:r w:rsidR="00FE7941">
        <w:t xml:space="preserve"> distribution of expected value-</w:t>
      </w:r>
      <w:r>
        <w:t xml:space="preserve">based price. </w:t>
      </w:r>
      <w:r w:rsidR="00E729BA">
        <w:fldChar w:fldCharType="begin"/>
      </w:r>
      <w:r>
        <w:instrText xml:space="preserve"> REF _Ref354768320 \h </w:instrText>
      </w:r>
      <w:r w:rsidR="00E729BA">
        <w:fldChar w:fldCharType="separate"/>
      </w:r>
      <w:r w:rsidR="004911B7">
        <w:t xml:space="preserve">Figure </w:t>
      </w:r>
      <w:r w:rsidR="004911B7">
        <w:rPr>
          <w:noProof/>
        </w:rPr>
        <w:t>34</w:t>
      </w:r>
      <w:r w:rsidR="00E729BA">
        <w:fldChar w:fldCharType="end"/>
      </w:r>
      <w:r>
        <w:t xml:space="preserve"> illustrates a boxplot diagram for the expected value</w:t>
      </w:r>
      <w:r w:rsidR="00FE7941">
        <w:t>-</w:t>
      </w:r>
      <w:r>
        <w:t xml:space="preserve">based price across the six trial designs. </w:t>
      </w:r>
      <w:r w:rsidR="00316EDF">
        <w:t xml:space="preserve">At convergence we would expect to see considerably greater alignment in the </w:t>
      </w:r>
      <w:r w:rsidR="006601D0">
        <w:t>median reported</w:t>
      </w:r>
      <w:r w:rsidR="00316EDF">
        <w:t xml:space="preserve"> in </w:t>
      </w:r>
      <w:r w:rsidR="00E729BA">
        <w:fldChar w:fldCharType="begin"/>
      </w:r>
      <w:r w:rsidR="00316EDF">
        <w:instrText xml:space="preserve"> REF _Ref354768320 \h </w:instrText>
      </w:r>
      <w:r w:rsidR="00E729BA">
        <w:fldChar w:fldCharType="separate"/>
      </w:r>
      <w:r w:rsidR="004911B7">
        <w:t xml:space="preserve">Figure </w:t>
      </w:r>
      <w:r w:rsidR="004911B7">
        <w:rPr>
          <w:noProof/>
        </w:rPr>
        <w:t>34</w:t>
      </w:r>
      <w:r w:rsidR="00E729BA">
        <w:fldChar w:fldCharType="end"/>
      </w:r>
      <w:r w:rsidR="00316EDF">
        <w:t xml:space="preserve">. </w:t>
      </w:r>
      <w:r>
        <w:t xml:space="preserve">Increasing the number of simulation runs will minimise the impact of extreme samples and the results will converge to a common mean estimate. </w:t>
      </w:r>
    </w:p>
    <w:p w:rsidR="006601D0" w:rsidRDefault="006601D0" w:rsidP="006601D0"/>
    <w:p w:rsidR="009F501C" w:rsidRDefault="009F501C" w:rsidP="00234693">
      <w:pPr>
        <w:pStyle w:val="Caption"/>
      </w:pPr>
      <w:bookmarkStart w:id="624" w:name="_Ref354768320"/>
      <w:r>
        <w:t xml:space="preserve">Figure </w:t>
      </w:r>
      <w:r w:rsidR="00E729BA">
        <w:fldChar w:fldCharType="begin"/>
      </w:r>
      <w:r w:rsidR="000B0EDB">
        <w:instrText xml:space="preserve"> SEQ Figure \* ARABIC </w:instrText>
      </w:r>
      <w:r w:rsidR="00E729BA">
        <w:fldChar w:fldCharType="separate"/>
      </w:r>
      <w:r w:rsidR="004911B7">
        <w:rPr>
          <w:noProof/>
        </w:rPr>
        <w:t>34</w:t>
      </w:r>
      <w:r w:rsidR="00E729BA">
        <w:fldChar w:fldCharType="end"/>
      </w:r>
      <w:bookmarkEnd w:id="624"/>
      <w:r>
        <w:t>: A Boxplot demonst</w:t>
      </w:r>
      <w:r w:rsidR="00FE7941">
        <w:t>rating the variability in value-</w:t>
      </w:r>
      <w:r>
        <w:t>based price across six trial designs</w:t>
      </w:r>
    </w:p>
    <w:p w:rsidR="009F501C" w:rsidRDefault="00D0049C" w:rsidP="009F501C">
      <w:r>
        <w:rPr>
          <w:noProof/>
          <w:lang w:eastAsia="zh-CN" w:bidi="ar-SA"/>
        </w:rPr>
        <w:drawing>
          <wp:inline distT="0" distB="0" distL="0" distR="0">
            <wp:extent cx="5760720" cy="575310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760720" cy="5753100"/>
                    </a:xfrm>
                    <a:prstGeom prst="rect">
                      <a:avLst/>
                    </a:prstGeom>
                    <a:noFill/>
                  </pic:spPr>
                </pic:pic>
              </a:graphicData>
            </a:graphic>
          </wp:inline>
        </w:drawing>
      </w:r>
    </w:p>
    <w:p w:rsidR="009F501C" w:rsidRDefault="00316EDF" w:rsidP="007D26CB">
      <w:r>
        <w:t>The analysis produced large variations in the expected value-based prices for each trial design. Investigation of the posterior estimates for the CE model parameters indicated that the analysis had not converged to a stable estimate with 1</w:t>
      </w:r>
      <w:r w:rsidR="006D5AC2">
        <w:t>,</w:t>
      </w:r>
      <w:r>
        <w:t>600 trial simulations</w:t>
      </w:r>
      <w:r w:rsidR="009F501C">
        <w:t xml:space="preserve">. </w:t>
      </w:r>
      <w:r w:rsidR="008E7D9E">
        <w:t xml:space="preserve">The variability in mean estimates for </w:t>
      </w:r>
      <w:r>
        <w:t>CE model parameters</w:t>
      </w:r>
      <w:r w:rsidR="008E7D9E">
        <w:t xml:space="preserve"> indicates</w:t>
      </w:r>
      <w:r w:rsidR="00E50B16">
        <w:t xml:space="preserve"> that </w:t>
      </w:r>
      <w:r w:rsidR="00065519">
        <w:t>many</w:t>
      </w:r>
      <w:r w:rsidR="009A3DF2">
        <w:t xml:space="preserve"> </w:t>
      </w:r>
      <w:r w:rsidR="00E50B16">
        <w:t xml:space="preserve">more </w:t>
      </w:r>
      <w:r>
        <w:t>trial simulations</w:t>
      </w:r>
      <w:r w:rsidR="00E50B16">
        <w:t xml:space="preserve"> were needed</w:t>
      </w:r>
      <w:r w:rsidR="009A3DF2">
        <w:t xml:space="preserve">. However, given that these 1,600 trial simulations took two months to generate </w:t>
      </w:r>
      <w:r w:rsidR="00516DF4">
        <w:t xml:space="preserve">using a High Performance Computing Cluster </w:t>
      </w:r>
      <w:r w:rsidR="009A3DF2">
        <w:t>i</w:t>
      </w:r>
      <w:r w:rsidR="00E50B16">
        <w:t>t was</w:t>
      </w:r>
      <w:r w:rsidR="009F501C">
        <w:t xml:space="preserve"> not </w:t>
      </w:r>
      <w:r w:rsidR="009A3DF2">
        <w:t>feasible</w:t>
      </w:r>
      <w:r w:rsidR="009F501C">
        <w:t xml:space="preserve"> to continue the analysis due to computation time. </w:t>
      </w:r>
    </w:p>
    <w:p w:rsidR="00073A10" w:rsidRDefault="00073A10" w:rsidP="007D26CB"/>
    <w:p w:rsidR="00073A10" w:rsidRPr="00ED1636" w:rsidRDefault="00073A10" w:rsidP="007D26CB"/>
    <w:p w:rsidR="009F501C" w:rsidRDefault="009F501C" w:rsidP="009F501C">
      <w:pPr>
        <w:pStyle w:val="Heading2"/>
      </w:pPr>
      <w:r>
        <w:t xml:space="preserve"> </w:t>
      </w:r>
      <w:bookmarkStart w:id="625" w:name="_Toc345584700"/>
      <w:bookmarkStart w:id="626" w:name="_Ref354932286"/>
      <w:bookmarkStart w:id="627" w:name="_Toc379467688"/>
      <w:r>
        <w:t>Discussion</w:t>
      </w:r>
      <w:bookmarkEnd w:id="625"/>
      <w:bookmarkEnd w:id="626"/>
      <w:bookmarkEnd w:id="627"/>
    </w:p>
    <w:p w:rsidR="009F501C" w:rsidRDefault="009F501C" w:rsidP="008E7370">
      <w:r>
        <w:t>In this chapter I have described how the SLE BCTS and CE model were combined to evaluate alternative trial designs for SLE. I have presented a method for valuing the trials from the pharmaceutical pers</w:t>
      </w:r>
      <w:r w:rsidR="00FE7941">
        <w:t>pective by evaluating the value-</w:t>
      </w:r>
      <w:r>
        <w:t xml:space="preserve">based price from the CE models assuming a threshold of £30,000. </w:t>
      </w:r>
      <w:r w:rsidR="008E7370">
        <w:t>T</w:t>
      </w:r>
      <w:r>
        <w:t xml:space="preserve">he computation time of the analyses was considerable and </w:t>
      </w:r>
      <w:r w:rsidR="008E7370">
        <w:t>several interesting findings emerged from the process of reducing computation time. The analysis time could potentially extend to 12 months using the High Performance Computer. I decided that there was only a small advantage to pursuing further simulations given the overall objectives of the PhD. Further research to test</w:t>
      </w:r>
      <w:r w:rsidR="00AE3D16">
        <w:t>,</w:t>
      </w:r>
      <w:r w:rsidR="008E7370">
        <w:t xml:space="preserve"> develop and implement further computation time saving methods would be useful and would be needed to draw a firm conclusion on the optimal trial design in this case study. </w:t>
      </w:r>
    </w:p>
    <w:p w:rsidR="008E7370" w:rsidRPr="003A0B12" w:rsidRDefault="008E7370" w:rsidP="00AA054B">
      <w:r>
        <w:t xml:space="preserve">In the discussion chapter I </w:t>
      </w:r>
      <w:r w:rsidR="00AA054B">
        <w:t>reflect</w:t>
      </w:r>
      <w:r>
        <w:t xml:space="preserve"> </w:t>
      </w:r>
      <w:r w:rsidR="00516DF4">
        <w:t xml:space="preserve">on </w:t>
      </w:r>
      <w:r w:rsidR="00AA054B">
        <w:t xml:space="preserve">some of the issues raised in this study around the potential for value-based pricing, the problems of computation time, and the balance between the number of trial datasets simulated and the accuracy of the CE model in optimising computation time.  </w:t>
      </w:r>
    </w:p>
    <w:p w:rsidR="009F501C" w:rsidRDefault="009F501C" w:rsidP="009F501C">
      <w:pPr>
        <w:pStyle w:val="Heading3"/>
      </w:pPr>
      <w:bookmarkStart w:id="628" w:name="_Toc345584701"/>
      <w:bookmarkStart w:id="629" w:name="_Toc379467689"/>
      <w:r>
        <w:t>Value-Based Pricing and the Threshold</w:t>
      </w:r>
      <w:bookmarkEnd w:id="628"/>
      <w:bookmarkEnd w:id="629"/>
    </w:p>
    <w:p w:rsidR="009F501C" w:rsidRDefault="00FE7941" w:rsidP="00FE7941">
      <w:r>
        <w:t xml:space="preserve">Value-based pricing </w:t>
      </w:r>
      <w:r w:rsidR="009F501C">
        <w:t xml:space="preserve">assumes that a threshold has been set to determine the maximum price that society is willing to pay for the benefits of the new treatment. In this study the threshold reflected the money that society is willing to pay for a QALY gain. In the UK it is often cited that the standard QALY threshold used by NICE is between £20,000-30,000 per QALY </w:t>
      </w:r>
      <w:r w:rsidR="00E729BA">
        <w:fldChar w:fldCharType="begin"/>
      </w:r>
      <w:r w:rsidR="00FC61FD">
        <w:instrText xml:space="preserve"> ADDIN REFMGR.CITE &lt;Refman&gt;&lt;Cite&gt;&lt;Author&gt;Rawlins&lt;/Author&gt;&lt;Year&gt;2004&lt;/Year&gt;&lt;RecNum&gt;1629&lt;/RecNum&gt;&lt;IDText&gt;National Institute for Clinical Excellence and its value judgments&lt;/IDText&gt;&lt;MDL Ref_Type="Journal"&gt;&lt;Ref_Type&gt;Journal&lt;/Ref_Type&gt;&lt;Ref_ID&gt;1629&lt;/Ref_ID&gt;&lt;Title_Primary&gt;National Institute for Clinical Excellence and its value judgments&lt;/Title_Primary&gt;&lt;Authors_Primary&gt;Rawlins,M.D.&lt;/Authors_Primary&gt;&lt;Authors_Primary&gt;Culyer,A.J.&lt;/Authors_Primary&gt;&lt;Date_Primary&gt;2004/7/24&lt;/Date_Primary&gt;&lt;Keywords&gt;Academies and Institutes&lt;/Keywords&gt;&lt;Keywords&gt;Decision Making,Organizational&lt;/Keywords&gt;&lt;Keywords&gt;economics&lt;/Keywords&gt;&lt;Keywords&gt;Government Agencies&lt;/Keywords&gt;&lt;Keywords&gt;Great Britain&lt;/Keywords&gt;&lt;Keywords&gt;Humans&lt;/Keywords&gt;&lt;Keywords&gt;Judgment&lt;/Keywords&gt;&lt;Keywords&gt;organization &amp;amp; administration&lt;/Keywords&gt;&lt;Keywords&gt;pharmacology&lt;/Keywords&gt;&lt;Keywords&gt;Quality Assurance,Health Care&lt;/Keywords&gt;&lt;Keywords&gt;standards&lt;/Keywords&gt;&lt;Keywords&gt;State Medicine&lt;/Keywords&gt;&lt;Keywords&gt;Technology Assessment,Biomedical&lt;/Keywords&gt;&lt;Reprint&gt;Not in File&lt;/Reprint&gt;&lt;Start_Page&gt;224&lt;/Start_Page&gt;&lt;End_Page&gt;227&lt;/End_Page&gt;&lt;Periodical&gt;BMJ.&lt;/Periodical&gt;&lt;Volume&gt;329&lt;/Volume&gt;&lt;Issue&gt;7459&lt;/Issue&gt;&lt;ZZ_JournalStdAbbrev&gt;&lt;f name="System"&gt;BMJ.&lt;/f&gt;&lt;/ZZ_JournalStdAbbrev&gt;&lt;ZZ_WorkformID&gt;1&lt;/ZZ_WorkformID&gt;&lt;/MDL&gt;&lt;/Cite&gt;&lt;/Refman&gt;</w:instrText>
      </w:r>
      <w:r w:rsidR="00E729BA">
        <w:fldChar w:fldCharType="separate"/>
      </w:r>
      <w:r w:rsidR="00DF14BD">
        <w:t>(241)</w:t>
      </w:r>
      <w:r w:rsidR="00E729BA">
        <w:fldChar w:fldCharType="end"/>
      </w:r>
      <w:r w:rsidR="009F501C">
        <w:t xml:space="preserve">. For this reason the </w:t>
      </w:r>
      <w:r>
        <w:t>value-based price</w:t>
      </w:r>
      <w:r w:rsidR="009F501C">
        <w:t xml:space="preserve"> in this study was determined assuming a threshold of £30,000 per QALY. </w:t>
      </w:r>
    </w:p>
    <w:p w:rsidR="009F501C" w:rsidRDefault="00FE7941" w:rsidP="00516DF4">
      <w:r>
        <w:t>In reality the value-</w:t>
      </w:r>
      <w:r w:rsidR="009F501C">
        <w:t>based price for new treatments is more difficult to specify. Determining the value of a QALY has been an active area of research in Health Economics</w:t>
      </w:r>
      <w:r w:rsidR="000475B3">
        <w:t xml:space="preserve"> </w:t>
      </w:r>
      <w:r w:rsidR="00E729BA">
        <w:fldChar w:fldCharType="begin"/>
      </w:r>
      <w:r w:rsidR="00FC61FD">
        <w:instrText xml:space="preserve"> ADDIN REFMGR.CITE &lt;Refman&gt;&lt;Cite&gt;&lt;Author&gt;Claxton&lt;/Author&gt;&lt;Year&gt;2013&lt;/Year&gt;&lt;RecNum&gt;1672&lt;/RecNum&gt;&lt;IDText&gt;Methods for the Estimation of the NICE Cost Effectiveness Threshold &lt;/IDText&gt;&lt;MDL Ref_Type="Journal"&gt;&lt;Ref_Type&gt;Journal&lt;/Ref_Type&gt;&lt;Ref_ID&gt;1672&lt;/Ref_ID&gt;&lt;Title_Primary&gt;Methods for the Estimation of the NICE Cost Effectiveness Threshold&lt;b&gt; &lt;/b&gt;&lt;/Title_Primary&gt;&lt;Authors_Primary&gt;Claxton,K.&lt;/Authors_Primary&gt;&lt;Authors_Primary&gt;Martin,S.&lt;/Authors_Primary&gt;&lt;Authors_Primary&gt;Soares,M.&lt;/Authors_Primary&gt;&lt;Authors_Primary&gt;Rice,N.&lt;/Authors_Primary&gt;&lt;Authors_Primary&gt;Spackman,E.&lt;/Authors_Primary&gt;&lt;Authors_Primary&gt;Hinde,S.&lt;/Authors_Primary&gt;&lt;Authors_Primary&gt;Devlin,N.&lt;/Authors_Primary&gt;&lt;Authors_Primary&gt;Smith,P.&lt;/Authors_Primary&gt;&lt;Authors_Primary&gt;Sculpher,M.&lt;/Authors_Primary&gt;&lt;Date_Primary&gt;2013&lt;/Date_Primary&gt;&lt;Keywords&gt;methods&lt;/Keywords&gt;&lt;Reprint&gt;In File&lt;/Reprint&gt;&lt;Periodical&gt;CHE Discussion Papers&lt;/Periodical&gt;&lt;Volume&gt;81&lt;/Volume&gt;&lt;Web_URL&gt;&lt;u&gt;http://www.york.ac.uk/media/che/documents/papers/researchpapers/CHERP81_methods_estimation_NICE_costeffectiveness_threshold_revised.pdf&lt;/u&gt;&lt;/Web_URL&gt;&lt;ZZ_JournalFull&gt;&lt;f name="System"&gt;CHE Discussion Papers&lt;/f&gt;&lt;/ZZ_JournalFull&gt;&lt;ZZ_WorkformID&gt;1&lt;/ZZ_WorkformID&gt;&lt;/MDL&gt;&lt;/Cite&gt;&lt;/Refman&gt;</w:instrText>
      </w:r>
      <w:r w:rsidR="00E729BA">
        <w:fldChar w:fldCharType="separate"/>
      </w:r>
      <w:r w:rsidR="00DF14BD">
        <w:t>(242)</w:t>
      </w:r>
      <w:r w:rsidR="00E729BA">
        <w:fldChar w:fldCharType="end"/>
      </w:r>
      <w:r w:rsidR="009F501C">
        <w:t>. There are ongoing debate</w:t>
      </w:r>
      <w:r w:rsidR="00AE3D16">
        <w:t>s</w:t>
      </w:r>
      <w:r w:rsidR="009F501C">
        <w:t xml:space="preserve"> whether there </w:t>
      </w:r>
      <w:r w:rsidR="00121186">
        <w:t xml:space="preserve">should be a single </w:t>
      </w:r>
      <w:r w:rsidR="009F501C">
        <w:t>QALY</w:t>
      </w:r>
      <w:r w:rsidR="00121186">
        <w:t xml:space="preserve"> value</w:t>
      </w:r>
      <w:r w:rsidR="009F501C">
        <w:t xml:space="preserve">, or whether the QALY should be weighted according to the characteristics of </w:t>
      </w:r>
      <w:r w:rsidR="00121186">
        <w:t>who</w:t>
      </w:r>
      <w:r w:rsidR="009F501C">
        <w:t xml:space="preserve"> is gaining them </w:t>
      </w:r>
      <w:r w:rsidR="00E729BA">
        <w:fldChar w:fldCharType="begin"/>
      </w:r>
      <w:r w:rsidR="00FC61FD">
        <w:instrText xml:space="preserve"> ADDIN REFMGR.CITE &lt;Refman&gt;&lt;Cite&gt;&lt;Author&gt;Baker&lt;/Author&gt;&lt;Year&gt;2010&lt;/Year&gt;&lt;RecNum&gt;1630&lt;/RecNum&gt;&lt;IDText&gt;Weighting and valuing quality-adjusted life-years using stated preference methods: preliminary results from the Social Value of a QALY Project&lt;/IDText&gt;&lt;MDL Ref_Type="Journal"&gt;&lt;Ref_Type&gt;Journal&lt;/Ref_Type&gt;&lt;Ref_ID&gt;1630&lt;/Ref_ID&gt;&lt;Title_Primary&gt;Weighting and valuing quality-adjusted life-years using stated preference methods: preliminary results from the Social Value of a QALY Project&lt;/Title_Primary&gt;&lt;Authors_Primary&gt;Baker,R.&lt;/Authors_Primary&gt;&lt;Authors_Primary&gt;Bateman,I.&lt;/Authors_Primary&gt;&lt;Authors_Primary&gt;Donaldson,C.&lt;/Authors_Primary&gt;&lt;Authors_Primary&gt;Jones-Lee,M.&lt;/Authors_Primary&gt;&lt;Authors_Primary&gt;Lancsar,E.&lt;/Authors_Primary&gt;&lt;Authors_Primary&gt;Loomes,G.&lt;/Authors_Primary&gt;&lt;Authors_Primary&gt;Mason,H.&lt;/Authors_Primary&gt;&lt;Authors_Primary&gt;Odejar,M.&lt;/Authors_Primary&gt;&lt;Authors_Primary&gt;Pinto Prades,J.L.&lt;/Authors_Primary&gt;&lt;Authors_Primary&gt;Robinson,A.&lt;/Authors_Primary&gt;&lt;Authors_Primary&gt;Ryan,M.&lt;/Authors_Primary&gt;&lt;Authors_Primary&gt;Shackley,P.&lt;/Authors_Primary&gt;&lt;Authors_Primary&gt;Smith,R.&lt;/Authors_Primary&gt;&lt;Authors_Primary&gt;Sugden,R.&lt;/Authors_Primary&gt;&lt;Authors_Primary&gt;Wildman,J.&lt;/Authors_Primary&gt;&lt;Date_Primary&gt;2010/5&lt;/Date_Primary&gt;&lt;Keywords&gt;age&lt;/Keywords&gt;&lt;Keywords&gt;Age Factors&lt;/Keywords&gt;&lt;Keywords&gt;Cost-Benefit Analysis&lt;/Keywords&gt;&lt;Keywords&gt;death&lt;/Keywords&gt;&lt;Keywords&gt;economics&lt;/Keywords&gt;&lt;Keywords&gt;England&lt;/Keywords&gt;&lt;Keywords&gt;Feasibility Studies&lt;/Keywords&gt;&lt;Keywords&gt;Financing,Personal&lt;/Keywords&gt;&lt;Keywords&gt;Great Britain&lt;/Keywords&gt;&lt;Keywords&gt;Headache&lt;/Keywords&gt;&lt;Keywords&gt;Health&lt;/Keywords&gt;&lt;Keywords&gt;Health Expenditures&lt;/Keywords&gt;&lt;Keywords&gt;Health Planning&lt;/Keywords&gt;&lt;Keywords&gt;Health Status&lt;/Keywords&gt;&lt;Keywords&gt;Humans&lt;/Keywords&gt;&lt;Keywords&gt;methods&lt;/Keywords&gt;&lt;Keywords&gt;National Health Programs&lt;/Keywords&gt;&lt;Keywords&gt;population&lt;/Keywords&gt;&lt;Keywords&gt;Quality-Adjusted Life Years&lt;/Keywords&gt;&lt;Keywords&gt;Research&lt;/Keywords&gt;&lt;Keywords&gt;sample&lt;/Keywords&gt;&lt;Keywords&gt;Severity of Illness Index&lt;/Keywords&gt;&lt;Keywords&gt;Time&lt;/Keywords&gt;&lt;Reprint&gt;Not in File&lt;/Reprint&gt;&lt;Start_Page&gt;1&lt;/Start_Page&gt;&lt;End_Page&gt;162&lt;/End_Page&gt;&lt;Periodical&gt;Health Technol.Assess.&lt;/Periodical&gt;&lt;Volume&gt;14&lt;/Volume&gt;&lt;Issue&gt;27&lt;/Issue&gt;&lt;ZZ_JournalStdAbbrev&gt;&lt;f name="System"&gt;Health Technol.Assess.&lt;/f&gt;&lt;/ZZ_JournalStdAbbrev&gt;&lt;ZZ_WorkformID&gt;1&lt;/ZZ_WorkformID&gt;&lt;/MDL&gt;&lt;/Cite&gt;&lt;/Refman&gt;</w:instrText>
      </w:r>
      <w:r w:rsidR="00E729BA">
        <w:fldChar w:fldCharType="separate"/>
      </w:r>
      <w:r w:rsidR="00DF14BD">
        <w:t>(243)</w:t>
      </w:r>
      <w:r w:rsidR="00E729BA">
        <w:fldChar w:fldCharType="end"/>
      </w:r>
      <w:r w:rsidR="009F501C">
        <w:t>. Furthermore, research has shown that decisions at NICE are influenced by the burden of disease and uncertainty</w:t>
      </w:r>
      <w:r w:rsidR="00C26CB4">
        <w:t xml:space="preserve"> in INB</w:t>
      </w:r>
      <w:r w:rsidR="009F501C">
        <w:t xml:space="preserve"> </w:t>
      </w:r>
      <w:r w:rsidR="00E729BA">
        <w:fldChar w:fldCharType="begin"/>
      </w:r>
      <w:r w:rsidR="00FC61FD">
        <w:instrText xml:space="preserve"> ADDIN REFMGR.CITE &lt;Refman&gt;&lt;Cite&gt;&lt;Author&gt;Devlin&lt;/Author&gt;&lt;Year&gt;2004&lt;/Year&gt;&lt;RecNum&gt;1632&lt;/RecNum&gt;&lt;IDText&gt;Does NICE have a cost-effectiveness threshold and what other factors influence its decisions? A binary choice analysis&lt;/IDText&gt;&lt;MDL Ref_Type="Journal"&gt;&lt;Ref_Type&gt;Journal&lt;/Ref_Type&gt;&lt;Ref_ID&gt;1636&lt;/Ref_ID&gt;&lt;Title_Primary&gt;Monte Carlo probabilistic sensitivity analysis for patient level simulation models: efficient estimation of mean and variance using ANOVA&lt;/Title_Primary&gt;&lt;Authors_Primary&gt;O&amp;apos;Hagan,A.&lt;/Authors_Primary&gt;&lt;Authors_Primary&gt;Stevenson,M.&lt;/Authors_Primary&gt;&lt;Authors_Primary&gt;Madan,J.&lt;/Authors_Primary&gt;&lt;Date_Primary&gt;2007/10&lt;/Date_Primary&gt;&lt;Keywords&gt;analysis&lt;/Keywords&gt;&lt;Keywords&gt;Analysis of Variance&lt;/Keywords&gt;&lt;Keywords&gt;Computer Simulation&lt;/Keywords&gt;&lt;Keywords&gt;Cost-Benefit Analysis&lt;/Keywords&gt;&lt;Keywords&gt;Health&lt;/Keywords&gt;&lt;Keywords&gt;Humans&lt;/Keywords&gt;&lt;Keywords&gt;methods&lt;/Keywords&gt;&lt;Keywords&gt;Models,Economic&lt;/Keywords&gt;&lt;Keywords&gt;Models,Statistical&lt;/Keywords&gt;&lt;Keywords&gt;Monte Carlo Method&lt;/Keywords&gt;&lt;Keywords&gt;patient&lt;/Keywords&gt;&lt;Keywords&gt;Patients&lt;/Keywords&gt;&lt;Keywords&gt;Probability&lt;/Keywords&gt;&lt;Keywords&gt;sample&lt;/Keywords&gt;&lt;Keywords&gt;statistics&lt;/Keywords&gt;&lt;Keywords&gt;Time&lt;/Keywords&gt;&lt;Keywords&gt;Uncertainty&lt;/Keywords&gt;&lt;Reprint&gt;Not in File&lt;/Reprint&gt;&lt;Start_Page&gt;1009&lt;/Start_Page&gt;&lt;End_Page&gt;1023&lt;/End_Page&gt;&lt;Periodical&gt;Health Econ.&lt;/Periodical&gt;&lt;Volume&gt;16&lt;/Volume&gt;&lt;Issue&gt;10&lt;/Issue&gt;&lt;ZZ_JournalStdAbbrev&gt;&lt;f name="System"&gt;Health Econ.&lt;/f&gt;&lt;/ZZ_JournalStdAbbrev&gt;&lt;ZZ_WorkformID&gt;1&lt;/ZZ_WorkformID&gt;&lt;/MDL&gt;&lt;/Cite&gt;&lt;/Refman&gt;</w:instrText>
      </w:r>
      <w:r w:rsidR="00E729BA">
        <w:fldChar w:fldCharType="separate"/>
      </w:r>
      <w:r w:rsidR="00DF14BD">
        <w:t>(244)</w:t>
      </w:r>
      <w:r w:rsidR="00E729BA">
        <w:fldChar w:fldCharType="end"/>
      </w:r>
      <w:r w:rsidR="009F501C">
        <w:t xml:space="preserve">. As a consequence, the £30,000 threshold to determine the </w:t>
      </w:r>
      <w:r>
        <w:t>value-based price</w:t>
      </w:r>
      <w:r w:rsidR="009F501C">
        <w:t xml:space="preserve"> in this analysis </w:t>
      </w:r>
      <w:r w:rsidR="000475B3">
        <w:t>may</w:t>
      </w:r>
      <w:r w:rsidR="009F501C">
        <w:t xml:space="preserve"> not incorporate other important factors that may influence reimbursement authority’s decisions. If these other factors are truly used in the reimbursement decision process it will affect the accuracy </w:t>
      </w:r>
      <w:r w:rsidR="00AE3D16">
        <w:t xml:space="preserve">by </w:t>
      </w:r>
      <w:r w:rsidR="009F501C">
        <w:t>whi</w:t>
      </w:r>
      <w:r>
        <w:t xml:space="preserve">ch the </w:t>
      </w:r>
      <w:r w:rsidR="001A1797">
        <w:t>analysis</w:t>
      </w:r>
      <w:r w:rsidR="000475B3">
        <w:t xml:space="preserve"> that I have presented here</w:t>
      </w:r>
      <w:r>
        <w:t xml:space="preserve"> predicts the </w:t>
      </w:r>
      <w:r w:rsidR="001A1797">
        <w:t xml:space="preserve">expected </w:t>
      </w:r>
      <w:r>
        <w:t>value-</w:t>
      </w:r>
      <w:r w:rsidR="009F501C">
        <w:t>based price of the new treatment. Explicit decision criteria for these multiple factors are not currently specified for the UK and other national reimbursement authorities. In order to apply this method to a real-life case study it would be necessary to make assumptions for the threshold QALY and other decision criteria. The reliability of the VOI method will depe</w:t>
      </w:r>
      <w:r>
        <w:t>nd on the validity of the value-</w:t>
      </w:r>
      <w:r w:rsidR="009F501C">
        <w:t xml:space="preserve">based pricing decision criteria assumptions. </w:t>
      </w:r>
    </w:p>
    <w:p w:rsidR="000475B3" w:rsidRDefault="009F501C" w:rsidP="00C26CB4">
      <w:r>
        <w:t xml:space="preserve">The threshold used here has the advantage that it is recognisable as a well defined threshold in health economics decision-making. It is extensively discussed in the literature and used in practice, which means that it is not an arbitrary figure. However, it is not currently used in the UK to determine prices. Future changes to UK pricing policy will clarify the mechanisms for how prices will be set using </w:t>
      </w:r>
      <w:r w:rsidR="00FE7941">
        <w:t>value-based pricing</w:t>
      </w:r>
      <w:r>
        <w:t xml:space="preserve">. These should be incorporated into the function within the </w:t>
      </w:r>
      <w:r w:rsidR="001A1797">
        <w:t xml:space="preserve">CE </w:t>
      </w:r>
      <w:r>
        <w:t xml:space="preserve">model to calculate the </w:t>
      </w:r>
      <w:r w:rsidR="00FE7941">
        <w:t>value-based price</w:t>
      </w:r>
      <w:r>
        <w:t xml:space="preserve">. </w:t>
      </w:r>
    </w:p>
    <w:p w:rsidR="009F501C" w:rsidRDefault="009F501C" w:rsidP="00236C8F">
      <w:pPr>
        <w:pStyle w:val="Heading3"/>
      </w:pPr>
      <w:bookmarkStart w:id="630" w:name="_Toc345584702"/>
      <w:bookmarkStart w:id="631" w:name="_Toc379467690"/>
      <w:r>
        <w:t xml:space="preserve">Computation </w:t>
      </w:r>
      <w:bookmarkEnd w:id="630"/>
      <w:r w:rsidR="00236C8F">
        <w:t>Burden</w:t>
      </w:r>
      <w:bookmarkEnd w:id="631"/>
    </w:p>
    <w:p w:rsidR="00E50B16" w:rsidRDefault="009F501C" w:rsidP="007B4F8E">
      <w:r>
        <w:t xml:space="preserve">The PhD study has </w:t>
      </w:r>
      <w:r w:rsidR="000475B3">
        <w:t xml:space="preserve">identified several improvements </w:t>
      </w:r>
      <w:r w:rsidR="007B4F8E">
        <w:t xml:space="preserve">in efficient computation of posterior CE outcomes </w:t>
      </w:r>
      <w:r w:rsidR="000475B3">
        <w:t>within the context of a complex individual level simulation model. However, even with those efficiency improvements the computational burden remains substantial and prohibitive.</w:t>
      </w:r>
      <w:r>
        <w:t xml:space="preserve"> </w:t>
      </w:r>
      <w:r w:rsidR="00351BBA">
        <w:t xml:space="preserve">Computation time has driven </w:t>
      </w:r>
      <w:r w:rsidR="007B4F8E">
        <w:t xml:space="preserve">many of </w:t>
      </w:r>
      <w:r w:rsidR="00351BBA">
        <w:t xml:space="preserve">the decisions that were made when implementing the analysis. The complexity of the CE model is the most important contributing factor to computation time in this analysis. The complexity of the CE model impacts on the time it takes to evaluate the impact of a simulated dataset and the number of parameters impacts on the B&amp;K process. </w:t>
      </w:r>
      <w:r w:rsidR="00E50B16">
        <w:t xml:space="preserve">The B&amp;K method was applied to reduce the computation time and was substantially quicker than MCMC updating. Within the B&amp;K method I excluded CE model parameters not updated with trial data and assumed that the regression models describing the natural history of the disease were independent. Testing of the posterior density maximum likelihood indicated that this was unlikely to impact on outcomes. </w:t>
      </w:r>
    </w:p>
    <w:p w:rsidR="009F501C" w:rsidRDefault="009F501C" w:rsidP="00351BBA">
      <w:r>
        <w:t xml:space="preserve">Despite efficiency gains from the approximation methods used, the analysis could not generate useful results within a reasonable time-frame for a </w:t>
      </w:r>
      <w:r w:rsidR="00CC17B0">
        <w:t>p</w:t>
      </w:r>
      <w:r>
        <w:t xml:space="preserve">harmaceutical </w:t>
      </w:r>
      <w:r w:rsidR="00CC17B0">
        <w:t>d</w:t>
      </w:r>
      <w:r>
        <w:t xml:space="preserve">rug </w:t>
      </w:r>
      <w:r w:rsidR="00CC17B0">
        <w:t>d</w:t>
      </w:r>
      <w:r>
        <w:t xml:space="preserve">evelopment programme. The final analysis took </w:t>
      </w:r>
      <w:r w:rsidR="007B4F8E">
        <w:t xml:space="preserve">over </w:t>
      </w:r>
      <w:r>
        <w:t xml:space="preserve">a month to compute using a </w:t>
      </w:r>
      <w:r w:rsidR="00121186">
        <w:t>High Performance Computer (</w:t>
      </w:r>
      <w:r w:rsidR="00E50B16">
        <w:t>HPC</w:t>
      </w:r>
      <w:r w:rsidR="00121186">
        <w:t>)</w:t>
      </w:r>
      <w:r>
        <w:t xml:space="preserve">, and a much longer period to develop the </w:t>
      </w:r>
      <w:r w:rsidR="001A1797">
        <w:t>BCTS and CE model</w:t>
      </w:r>
      <w:r>
        <w:t xml:space="preserve">. There are many contexts in which </w:t>
      </w:r>
      <w:r w:rsidR="00E50B16">
        <w:t>a HPC</w:t>
      </w:r>
      <w:r>
        <w:t xml:space="preserve"> facility would not be available and it </w:t>
      </w:r>
      <w:r w:rsidR="00351BBA">
        <w:t>might not</w:t>
      </w:r>
      <w:r>
        <w:t xml:space="preserve"> be feasible within the timelines of a pharmaceutical company drug development programme. A considerable proportion of time was spent on the development and modifications of the simulation structure. Once the simulation is built a large proportion of the investment of time would not have to be repeated, apart from small modifications to design specifications. However, it is unlikely that the process could be repeated in a real world setting for a disease of comparable complexity.</w:t>
      </w:r>
    </w:p>
    <w:p w:rsidR="009F501C" w:rsidRDefault="009F501C" w:rsidP="002C404F">
      <w:pPr>
        <w:pStyle w:val="Heading3"/>
      </w:pPr>
      <w:bookmarkStart w:id="632" w:name="_Toc345584703"/>
      <w:bookmarkStart w:id="633" w:name="_Toc379467691"/>
      <w:r>
        <w:t xml:space="preserve">CE model Accuracy versus number of </w:t>
      </w:r>
      <w:bookmarkEnd w:id="632"/>
      <w:r w:rsidR="002C404F">
        <w:t>BCTS iterations</w:t>
      </w:r>
      <w:bookmarkEnd w:id="633"/>
    </w:p>
    <w:p w:rsidR="00CC17B0" w:rsidRDefault="00CC17B0" w:rsidP="00AE3D16">
      <w:r>
        <w:t xml:space="preserve">In this analysis there are two sources of random error in the reported results. The first arises from the estimation of CE model outcomes in the B&amp;K approximation. </w:t>
      </w:r>
      <w:r w:rsidR="009F501C">
        <w:t xml:space="preserve">An important consequence of an individual patient simulation is that </w:t>
      </w:r>
      <w:r w:rsidR="00E50B16">
        <w:t xml:space="preserve">one must accept </w:t>
      </w:r>
      <w:r w:rsidR="007B4F8E">
        <w:t xml:space="preserve">that </w:t>
      </w:r>
      <w:r w:rsidR="00E50B16">
        <w:t xml:space="preserve">the results include some degree of </w:t>
      </w:r>
      <w:r w:rsidR="009F501C">
        <w:t xml:space="preserve">simulation error. Simulation error must be reduced by increasing </w:t>
      </w:r>
      <w:r w:rsidR="00351BBA">
        <w:t>number of individuals simulated in the CE model</w:t>
      </w:r>
      <w:r w:rsidR="009F501C">
        <w:t xml:space="preserve">, but larger </w:t>
      </w:r>
      <w:r w:rsidR="00351BBA">
        <w:t>numbers</w:t>
      </w:r>
      <w:r w:rsidR="009F501C">
        <w:t xml:space="preserve"> will increase the computation time of the analysis. </w:t>
      </w:r>
      <w:r w:rsidR="00351BBA">
        <w:t xml:space="preserve">In the final analysis the CE model sampled 15,000 patients. </w:t>
      </w:r>
      <w:r w:rsidR="009F501C">
        <w:t>The</w:t>
      </w:r>
      <w:r w:rsidR="00351BBA">
        <w:t xml:space="preserve"> </w:t>
      </w:r>
      <w:r w:rsidR="009F501C">
        <w:t xml:space="preserve">modeller must make a judgement about what level of error can be tolerated. </w:t>
      </w:r>
      <w:r>
        <w:t>The second source of random error arises from the sampling of BCTS trial data. It will take time for the outcomes of the simulation to converge to the true posterior mean, as each sample represents a single draw from the distribution. Both sources of error can be resolved by larger samples. However, larger samples will increase the computation time, so a trade-off must be made.</w:t>
      </w:r>
    </w:p>
    <w:p w:rsidR="009F501C" w:rsidRDefault="00CC17B0" w:rsidP="00351BBA">
      <w:r>
        <w:t xml:space="preserve">An analogous problem arises when </w:t>
      </w:r>
      <w:r w:rsidR="009F501C">
        <w:t xml:space="preserve">sampling multiple CE model runs in a </w:t>
      </w:r>
      <w:r>
        <w:t>PSA using an individual patient simulation</w:t>
      </w:r>
      <w:r w:rsidR="009F501C">
        <w:t>. Time constraints often mean that precision in an individual CE model run must be sacrificed to allow more PSA runs to be completed. Analytic methods</w:t>
      </w:r>
      <w:r w:rsidR="00351BBA">
        <w:t xml:space="preserve"> using analysis of variance techniques</w:t>
      </w:r>
      <w:r w:rsidR="009F501C">
        <w:t xml:space="preserve"> to balance the number of individuals in the sample and the number of PSA runs have been described </w:t>
      </w:r>
      <w:r w:rsidR="00E729BA">
        <w:fldChar w:fldCharType="begin"/>
      </w:r>
      <w:r w:rsidR="00FC61FD">
        <w:instrText xml:space="preserve"> ADDIN REFMGR.CITE &lt;Refman&gt;&lt;Cite&gt;&lt;Author&gt;O&amp;apos;Hagan&lt;/Author&gt;&lt;Year&gt;2007&lt;/Year&gt;&lt;RecNum&gt;1636&lt;/RecNum&gt;&lt;IDText&gt;Monte Carlo probabilistic sensitivity analysis for patient level simulation models: efficient estimation of mean and variance using ANOVA&lt;/IDText&gt;&lt;MDL Ref_Type="Journal"&gt;&lt;Ref_Type&gt;Journal&lt;/Ref_Type&gt;&lt;Ref_ID&gt;1636&lt;/Ref_ID&gt;&lt;Title_Primary&gt;Monte Carlo probabilistic sensitivity analysis for patient level simulation models: efficient estimation of mean and variance using ANOVA&lt;/Title_Primary&gt;&lt;Authors_Primary&gt;O&amp;apos;Hagan,A.&lt;/Authors_Primary&gt;&lt;Authors_Primary&gt;Stevenson,M.&lt;/Authors_Primary&gt;&lt;Authors_Primary&gt;Madan,J.&lt;/Authors_Primary&gt;&lt;Date_Primary&gt;2007/10&lt;/Date_Primary&gt;&lt;Keywords&gt;analysis&lt;/Keywords&gt;&lt;Keywords&gt;Analysis of Variance&lt;/Keywords&gt;&lt;Keywords&gt;Computer Simulation&lt;/Keywords&gt;&lt;Keywords&gt;Cost-Benefit Analysis&lt;/Keywords&gt;&lt;Keywords&gt;Health&lt;/Keywords&gt;&lt;Keywords&gt;Humans&lt;/Keywords&gt;&lt;Keywords&gt;methods&lt;/Keywords&gt;&lt;Keywords&gt;Models,Economic&lt;/Keywords&gt;&lt;Keywords&gt;Models,Statistical&lt;/Keywords&gt;&lt;Keywords&gt;Monte Carlo Method&lt;/Keywords&gt;&lt;Keywords&gt;patient&lt;/Keywords&gt;&lt;Keywords&gt;Patients&lt;/Keywords&gt;&lt;Keywords&gt;Probability&lt;/Keywords&gt;&lt;Keywords&gt;sample&lt;/Keywords&gt;&lt;Keywords&gt;statistics&lt;/Keywords&gt;&lt;Keywords&gt;Time&lt;/Keywords&gt;&lt;Keywords&gt;Uncertainty&lt;/Keywords&gt;&lt;Reprint&gt;Not in File&lt;/Reprint&gt;&lt;Start_Page&gt;1009&lt;/Start_Page&gt;&lt;End_Page&gt;1023&lt;/End_Page&gt;&lt;Periodical&gt;Health Econ.&lt;/Periodical&gt;&lt;Volume&gt;16&lt;/Volume&gt;&lt;Issue&gt;10&lt;/Issue&gt;&lt;ZZ_JournalStdAbbrev&gt;&lt;f name="System"&gt;Health Econ.&lt;/f&gt;&lt;/ZZ_JournalStdAbbrev&gt;&lt;ZZ_WorkformID&gt;1&lt;/ZZ_WorkformID&gt;&lt;/MDL&gt;&lt;/Cite&gt;&lt;/Refman&gt;</w:instrText>
      </w:r>
      <w:r w:rsidR="00E729BA">
        <w:fldChar w:fldCharType="separate"/>
      </w:r>
      <w:r w:rsidR="00DF14BD">
        <w:t>(245)</w:t>
      </w:r>
      <w:r w:rsidR="00E729BA">
        <w:fldChar w:fldCharType="end"/>
      </w:r>
      <w:r w:rsidR="009F501C">
        <w:t xml:space="preserve">. The method investigates the variance in individual outcomes and the variance between PSA outcomes to optimise the specification of the two sample sizes. By adopting the B&amp;K approximation it was not necessary to run PSA on the CE model, </w:t>
      </w:r>
      <w:r w:rsidR="00351BBA">
        <w:t>further research would be useful to develop these kinds of methods</w:t>
      </w:r>
      <w:r>
        <w:t xml:space="preserve"> to balance individuals in a </w:t>
      </w:r>
      <w:r w:rsidR="00351BBA">
        <w:t>CE model</w:t>
      </w:r>
      <w:r>
        <w:t xml:space="preserve"> against trial simulations.</w:t>
      </w:r>
    </w:p>
    <w:p w:rsidR="009F501C" w:rsidRDefault="009F501C" w:rsidP="00351BBA">
      <w:r>
        <w:t xml:space="preserve">A similar analysis of variance method to optimise </w:t>
      </w:r>
      <w:r w:rsidR="00516DF4">
        <w:t xml:space="preserve">the </w:t>
      </w:r>
      <w:r w:rsidR="00351BBA">
        <w:t xml:space="preserve">number </w:t>
      </w:r>
      <w:r w:rsidR="00516DF4">
        <w:t xml:space="preserve">of </w:t>
      </w:r>
      <w:r w:rsidR="00351BBA">
        <w:t xml:space="preserve">individuals and </w:t>
      </w:r>
      <w:r w:rsidR="00516DF4">
        <w:t xml:space="preserve">the </w:t>
      </w:r>
      <w:r w:rsidR="00351BBA">
        <w:t>number of runs</w:t>
      </w:r>
      <w:r>
        <w:t xml:space="preserve"> could theoretically have been applied to this decision</w:t>
      </w:r>
      <w:r w:rsidR="00516DF4">
        <w:t xml:space="preserve"> </w:t>
      </w:r>
      <w:r>
        <w:t xml:space="preserve">problem. However, the large number of </w:t>
      </w:r>
      <w:r w:rsidR="00C26CB4">
        <w:t>input</w:t>
      </w:r>
      <w:r>
        <w:t xml:space="preserve"> parameters included in both the BCTS and CE model was prohibitive in adopting this approach. As a consequence, it was necessary to use normative judgements to decide the </w:t>
      </w:r>
      <w:r w:rsidR="00351BBA">
        <w:t>two numbers</w:t>
      </w:r>
      <w:r>
        <w:t xml:space="preserve">. The sample sizes were selected by investigating the accuracy of </w:t>
      </w:r>
      <w:r w:rsidR="0002414E">
        <w:t xml:space="preserve">CE </w:t>
      </w:r>
      <w:r>
        <w:t xml:space="preserve">model </w:t>
      </w:r>
      <w:r w:rsidR="0002414E">
        <w:t>outcomes</w:t>
      </w:r>
      <w:r>
        <w:t xml:space="preserve"> rather than arbitrarily selection. I decided to adopt a two step process of investigating </w:t>
      </w:r>
      <w:r w:rsidR="00351BBA">
        <w:t xml:space="preserve">the number of individuals </w:t>
      </w:r>
      <w:r w:rsidR="00516DF4">
        <w:t xml:space="preserve">required </w:t>
      </w:r>
      <w:r w:rsidR="00351BBA">
        <w:t xml:space="preserve">to </w:t>
      </w:r>
      <w:r w:rsidR="00516DF4">
        <w:t>obtain</w:t>
      </w:r>
      <w:r w:rsidR="00351BBA">
        <w:t xml:space="preserve"> reliable CE model outcomes</w:t>
      </w:r>
      <w:r>
        <w:t xml:space="preserve">, and allow the </w:t>
      </w:r>
      <w:r w:rsidR="00351BBA">
        <w:t>number of BCTS trial simulations to vary</w:t>
      </w:r>
      <w:r>
        <w:t xml:space="preserve">. This meant that the accuracy of the </w:t>
      </w:r>
      <w:r w:rsidR="00351BBA">
        <w:t>overall analysis</w:t>
      </w:r>
      <w:r>
        <w:t xml:space="preserve"> would have to be evaluated after the analysis was completed. </w:t>
      </w:r>
    </w:p>
    <w:p w:rsidR="009F501C" w:rsidRDefault="009F501C" w:rsidP="00FA7199">
      <w:r>
        <w:t xml:space="preserve">The </w:t>
      </w:r>
      <w:r w:rsidR="00351BBA">
        <w:t>number of patients included in</w:t>
      </w:r>
      <w:r>
        <w:t xml:space="preserve"> the CE model was </w:t>
      </w:r>
      <w:r w:rsidR="00351BBA">
        <w:t>fixed for</w:t>
      </w:r>
      <w:r>
        <w:t xml:space="preserve"> two reasons. Firstly, it was much quicker to evaluate the accuracy of the CE estimates in the B&amp;K approximation. Secondly, it would be possible to increase the </w:t>
      </w:r>
      <w:r w:rsidR="007B4F8E">
        <w:t>number of</w:t>
      </w:r>
      <w:r>
        <w:t xml:space="preserve"> BCTS samples aft</w:t>
      </w:r>
      <w:r w:rsidR="007B4F8E">
        <w:t>er the analysis was completed, w</w:t>
      </w:r>
      <w:r>
        <w:t xml:space="preserve">hereas the whole analysis would need to be repeated if the CE model sample size was not sufficient. </w:t>
      </w:r>
    </w:p>
    <w:p w:rsidR="009F501C" w:rsidRDefault="009F501C" w:rsidP="00351BBA">
      <w:r>
        <w:t xml:space="preserve">Analysis of the accuracy of CE model outcomes in a B&amp;K approximation identified that there were modest gains in simulation accuracy when moving from a sample of 10,000 patients in the CE model to 20,000 patients. In contrast, the time to complete the analysis is more than doubled. The final sample size was selected so that the MC simulation error in expected QALYs was less than 0.05. </w:t>
      </w:r>
      <w:r w:rsidR="00351BBA">
        <w:t>I settled on a sample size of 15,000 for the individual level simulation CE model.</w:t>
      </w:r>
      <w:r>
        <w:t xml:space="preserve"> </w:t>
      </w:r>
    </w:p>
    <w:p w:rsidR="00D0049C" w:rsidRDefault="00516DF4">
      <w:pPr>
        <w:pStyle w:val="Heading3"/>
      </w:pPr>
      <w:bookmarkStart w:id="634" w:name="_Ref377903188"/>
      <w:bookmarkStart w:id="635" w:name="_Toc379467692"/>
      <w:r>
        <w:t>Generalisability of Computation Problems</w:t>
      </w:r>
      <w:bookmarkEnd w:id="634"/>
      <w:bookmarkEnd w:id="635"/>
    </w:p>
    <w:p w:rsidR="001F1AD6" w:rsidRDefault="00D42130">
      <w:r>
        <w:t xml:space="preserve">Although the analysis of trials in SLE was not feasible within this study the problem of computational burden would be unlikely to arise in all future applications of the method. The computational burden identified in this example arises due to three features of the model. </w:t>
      </w:r>
    </w:p>
    <w:p w:rsidR="001F1AD6" w:rsidRDefault="00D42130">
      <w:r>
        <w:t>Firstly, the model describes here is an individual patient simulation. Cohort simulation models require substantially less computation time than individual patient simulations.</w:t>
      </w:r>
      <w:r w:rsidR="00C73944">
        <w:t xml:space="preserve"> Therefore, a simple cohort model might have generated results within a shorter time-frame. Secondly, the SLE CE model included fourteen regression models to describe the treatment effect of the new treatment, and therefore 88 parameters of the CE model needed to be updated with trial information. In contrast, other CE models may only need to update one or two CE model parameters, which would substantially reduce computation time. </w:t>
      </w:r>
    </w:p>
    <w:p w:rsidR="001F1AD6" w:rsidRDefault="00C73944">
      <w:r>
        <w:t xml:space="preserve">The method for evaluating trial designs for a pharmaceutical company can be generalisable to other decision problems. However, the SLE case </w:t>
      </w:r>
      <w:r w:rsidR="0063477C">
        <w:t>study has highlighted that the method cannot be universally applied to all models, and complex CE models are more likely to pose computational challenges.</w:t>
      </w:r>
    </w:p>
    <w:p w:rsidR="009F501C" w:rsidRDefault="009F501C" w:rsidP="009F501C">
      <w:pPr>
        <w:pStyle w:val="Heading3"/>
      </w:pPr>
      <w:bookmarkStart w:id="636" w:name="_Toc345584704"/>
      <w:bookmarkStart w:id="637" w:name="_Toc379467693"/>
      <w:r>
        <w:t>Conclusions</w:t>
      </w:r>
      <w:bookmarkEnd w:id="636"/>
      <w:bookmarkEnd w:id="637"/>
    </w:p>
    <w:p w:rsidR="006E3638" w:rsidRDefault="006E3638" w:rsidP="006E3638">
      <w:pPr>
        <w:rPr>
          <w:rFonts w:eastAsiaTheme="minorEastAsia"/>
        </w:rPr>
      </w:pPr>
      <w:r>
        <w:rPr>
          <w:rFonts w:eastAsiaTheme="minorEastAsia"/>
        </w:rPr>
        <w:t>The CE model for SLE is complex and requires an individual level simulation with a substantial computation burden. I have developed a BCTS in order to simulate trial results for a Phase III trial for a hypothetical drug. I have used the BCTS to investigate assurance in terms of regulatory approval and have linked the trial outcomes to the CE model to estimate the assurance of reimbursement approval. Prior to a Phase III trial the price of the treatment has not been decided. I have developed a framework to use the ideas of value-based pricing to quantify the expected commercial Net Benefit of Sampling. This enables comparison between alternative trial design specifications.</w:t>
      </w:r>
    </w:p>
    <w:p w:rsidR="006E3638" w:rsidRDefault="006E3638" w:rsidP="0016510D">
      <w:pPr>
        <w:rPr>
          <w:rFonts w:eastAsiaTheme="minorEastAsia"/>
        </w:rPr>
      </w:pPr>
      <w:r>
        <w:rPr>
          <w:rFonts w:eastAsiaTheme="minorEastAsia"/>
        </w:rPr>
        <w:t>Substanti</w:t>
      </w:r>
      <w:r w:rsidR="00FA7199">
        <w:rPr>
          <w:rFonts w:eastAsiaTheme="minorEastAsia"/>
        </w:rPr>
        <w:t xml:space="preserve">al computation time problems </w:t>
      </w:r>
      <w:r w:rsidR="0016510D">
        <w:rPr>
          <w:rFonts w:eastAsiaTheme="minorEastAsia"/>
        </w:rPr>
        <w:t xml:space="preserve">were faced when </w:t>
      </w:r>
      <w:r>
        <w:rPr>
          <w:rFonts w:eastAsiaTheme="minorEastAsia"/>
        </w:rPr>
        <w:t xml:space="preserve">using traditional methods for Bayesian Updating in this model. I have developed and adapted the Brennan and Karroubi (2007) approximation method and show that it is possible to compare the expected value-based price and expected commercial </w:t>
      </w:r>
      <w:r w:rsidR="007B4F8E">
        <w:rPr>
          <w:rFonts w:eastAsiaTheme="minorEastAsia"/>
        </w:rPr>
        <w:t>N</w:t>
      </w:r>
      <w:r>
        <w:rPr>
          <w:rFonts w:eastAsiaTheme="minorEastAsia"/>
        </w:rPr>
        <w:t xml:space="preserve">et </w:t>
      </w:r>
      <w:r w:rsidR="007B4F8E">
        <w:rPr>
          <w:rFonts w:eastAsiaTheme="minorEastAsia"/>
        </w:rPr>
        <w:t>B</w:t>
      </w:r>
      <w:r>
        <w:rPr>
          <w:rFonts w:eastAsiaTheme="minorEastAsia"/>
        </w:rPr>
        <w:t xml:space="preserve">enefit </w:t>
      </w:r>
      <w:r w:rsidR="00AE3D16">
        <w:rPr>
          <w:rFonts w:eastAsiaTheme="minorEastAsia"/>
        </w:rPr>
        <w:t xml:space="preserve">of sampling </w:t>
      </w:r>
      <w:r>
        <w:rPr>
          <w:rFonts w:eastAsiaTheme="minorEastAsia"/>
        </w:rPr>
        <w:t>between trial designs. Whilst demonstrating that this analysis is possible in principle, the substantial computational burden means that there remain some issues with the interpretation of the results. Running more simulation</w:t>
      </w:r>
      <w:r w:rsidR="00516DF4">
        <w:rPr>
          <w:rFonts w:eastAsiaTheme="minorEastAsia"/>
        </w:rPr>
        <w:t>s</w:t>
      </w:r>
      <w:r>
        <w:rPr>
          <w:rFonts w:eastAsiaTheme="minorEastAsia"/>
        </w:rPr>
        <w:t xml:space="preserve"> would be needed to improve the accuracy of the hypothetical results presented, but are not necessary to demonstrate the theory or principles of the PhD.  The framework has been tested and developed using a very chal</w:t>
      </w:r>
      <w:r w:rsidR="00FA7199">
        <w:rPr>
          <w:rFonts w:eastAsiaTheme="minorEastAsia"/>
        </w:rPr>
        <w:t>lenging and complex disease</w:t>
      </w:r>
      <w:r>
        <w:rPr>
          <w:rFonts w:eastAsiaTheme="minorEastAsia"/>
        </w:rPr>
        <w:t xml:space="preserve">. The principles and methods should be able to be utilised in much simpler disease contexts where the computational burden is less challenging. </w:t>
      </w:r>
    </w:p>
    <w:p w:rsidR="00850AED" w:rsidRDefault="00850AED">
      <w:pPr>
        <w:spacing w:after="0" w:afterAutospacing="0" w:line="240" w:lineRule="auto"/>
        <w:rPr>
          <w:rFonts w:eastAsiaTheme="minorEastAsia"/>
        </w:rPr>
      </w:pPr>
      <w:r>
        <w:rPr>
          <w:rFonts w:eastAsiaTheme="minorEastAsia"/>
        </w:rPr>
        <w:br w:type="page"/>
      </w:r>
    </w:p>
    <w:p w:rsidR="00850AED" w:rsidRDefault="009F5DB9" w:rsidP="00850AED">
      <w:pPr>
        <w:pStyle w:val="Heading1"/>
        <w:ind w:left="431"/>
      </w:pPr>
      <w:bookmarkStart w:id="638" w:name="_Toc353377784"/>
      <w:bookmarkStart w:id="639" w:name="_Toc379467694"/>
      <w:r>
        <w:t xml:space="preserve">Chapter 9: </w:t>
      </w:r>
      <w:r w:rsidR="00850AED">
        <w:t>Discussion</w:t>
      </w:r>
      <w:bookmarkEnd w:id="638"/>
      <w:bookmarkEnd w:id="639"/>
    </w:p>
    <w:p w:rsidR="00850AED" w:rsidRPr="00422839" w:rsidRDefault="00850AED" w:rsidP="00850AED">
      <w:pPr>
        <w:pStyle w:val="Heading2"/>
      </w:pPr>
      <w:bookmarkStart w:id="640" w:name="_Toc353377785"/>
      <w:bookmarkStart w:id="641" w:name="_Toc379467695"/>
      <w:r>
        <w:t>The results of the valuation of SLE Phase III trials</w:t>
      </w:r>
      <w:bookmarkEnd w:id="640"/>
      <w:bookmarkEnd w:id="641"/>
    </w:p>
    <w:p w:rsidR="00527615" w:rsidRDefault="00527615" w:rsidP="00527615">
      <w:r>
        <w:t xml:space="preserve">I hypothesize that Health Economic analyses can improve clinical trial design in the pharmaceutical industry by prioritising trial design features that optimise future profits for the pharmaceutical company. </w:t>
      </w:r>
    </w:p>
    <w:p w:rsidR="00850AED" w:rsidRDefault="00850AED" w:rsidP="00527615">
      <w:r>
        <w:t xml:space="preserve">In this thesis I have </w:t>
      </w:r>
      <w:r w:rsidR="00527615">
        <w:t xml:space="preserve">demonstrated how </w:t>
      </w:r>
      <w:r>
        <w:t xml:space="preserve">value of information (VOI) analyses </w:t>
      </w:r>
      <w:r w:rsidR="00527615">
        <w:t xml:space="preserve">could be used to prioritise </w:t>
      </w:r>
      <w:r>
        <w:t xml:space="preserve">SLE clinical trials </w:t>
      </w:r>
      <w:r w:rsidR="00527615">
        <w:t xml:space="preserve">during </w:t>
      </w:r>
      <w:r>
        <w:t>pharmaceutical drug development programmes.</w:t>
      </w:r>
      <w:r w:rsidR="00527615">
        <w:t xml:space="preserve"> </w:t>
      </w:r>
      <w:r>
        <w:t>I have developed a conceptual model to describe the health implications of SLE and used it to develop a natural history model for SLE. The natural history model was implemented in a BCTS and CE model to describe the effectiveness and cost-effectiveness of new treatments for SLE. I have integrated the CE model and BCTS to sample clinical trial data, and evaluate clinical trials using VOI</w:t>
      </w:r>
      <w:r w:rsidR="00390DC7">
        <w:t xml:space="preserve"> methods</w:t>
      </w:r>
      <w:r>
        <w:t xml:space="preserve">. </w:t>
      </w:r>
      <w:r w:rsidR="00527615">
        <w:t>I have demonstrated that there are some limitations to applying the methods in complex diseases; therefore the method will only improve clinical trial design if the analyses can be completed within a reasonable time-frame.</w:t>
      </w:r>
    </w:p>
    <w:p w:rsidR="00850AED" w:rsidRDefault="00850AED" w:rsidP="00C26CB4">
      <w:r>
        <w:t xml:space="preserve">I was motivated to investigate whether alternative designs could be evaluated using health economic techniques. </w:t>
      </w:r>
      <w:r w:rsidR="00AD3583">
        <w:t xml:space="preserve">I identified several new biologic treatments for SLE in drug development approaching Phase III assessment so information about the optimal trial designs would have practical value. </w:t>
      </w:r>
      <w:r w:rsidR="00C26CB4">
        <w:t>V</w:t>
      </w:r>
      <w:r w:rsidR="00AD3583">
        <w:t xml:space="preserve">ery few </w:t>
      </w:r>
      <w:r w:rsidR="00C26CB4">
        <w:t xml:space="preserve">large trials in SLE </w:t>
      </w:r>
      <w:r w:rsidR="00AD3583">
        <w:t xml:space="preserve">have been </w:t>
      </w:r>
      <w:r w:rsidR="00C26CB4">
        <w:t>successful, which leaves many questions about the optimal trial design unanswered</w:t>
      </w:r>
      <w:r w:rsidR="00AD3583">
        <w:t xml:space="preserve">. </w:t>
      </w:r>
      <w:r>
        <w:t xml:space="preserve">SLE provided an interesting case study because </w:t>
      </w:r>
      <w:r w:rsidR="00C26CB4">
        <w:t>CE</w:t>
      </w:r>
      <w:r>
        <w:t xml:space="preserve"> studies in SLE were very rare at the start of this project and there would be considerable challenges in developing a conceptual model. </w:t>
      </w:r>
      <w:r w:rsidRPr="0054552F">
        <w:t>VOI has the potential to improve clinical trial design in a case study like SLE, because there is a paucity of existing data and testing alternative trial designs with real patients can be very expensive and inefficient.</w:t>
      </w:r>
      <w:r>
        <w:t xml:space="preserve"> </w:t>
      </w:r>
      <w:r w:rsidR="00AD3583">
        <w:t>I selected SLE as a case study</w:t>
      </w:r>
      <w:r w:rsidR="00AD3583" w:rsidRPr="00D73F6F">
        <w:t xml:space="preserve"> </w:t>
      </w:r>
      <w:r w:rsidR="00AD3583">
        <w:t>following a series of unsuccessful clinical trials, and reimbursement applications for new treatments.</w:t>
      </w:r>
    </w:p>
    <w:p w:rsidR="00850AED" w:rsidRDefault="00850AED" w:rsidP="00390DC7">
      <w:r>
        <w:t xml:space="preserve">The </w:t>
      </w:r>
      <w:r w:rsidR="00AD3583">
        <w:t xml:space="preserve">BCTS and CE </w:t>
      </w:r>
      <w:r>
        <w:t>model</w:t>
      </w:r>
      <w:r w:rsidR="00AD3583">
        <w:t>s were</w:t>
      </w:r>
      <w:r>
        <w:t xml:space="preserve"> complex because </w:t>
      </w:r>
      <w:r w:rsidR="00AD3583">
        <w:t>they were</w:t>
      </w:r>
      <w:r>
        <w:t xml:space="preserve"> individual patient simulation model</w:t>
      </w:r>
      <w:r w:rsidR="00AD3583">
        <w:t>s</w:t>
      </w:r>
      <w:r>
        <w:t xml:space="preserve"> with multiple disease outcomes. </w:t>
      </w:r>
      <w:r w:rsidR="00390DC7">
        <w:t>The</w:t>
      </w:r>
      <w:r w:rsidR="00AD3583">
        <w:t xml:space="preserve"> CE model </w:t>
      </w:r>
      <w:r w:rsidR="00390DC7">
        <w:t>developed here c</w:t>
      </w:r>
      <w:r w:rsidR="00AD3583">
        <w:t xml:space="preserve">ould be used in a reimbursement submission because the conceptual model and statistical analysis were developed with GlaxoSmithKline and </w:t>
      </w:r>
      <w:r w:rsidR="00390DC7">
        <w:t>were</w:t>
      </w:r>
      <w:r w:rsidR="00AD3583">
        <w:t xml:space="preserve"> subsequently submitted to NICE. </w:t>
      </w:r>
      <w:r w:rsidR="00390DC7">
        <w:t>Therefore, t</w:t>
      </w:r>
      <w:r w:rsidR="00AD3583">
        <w:t>he statistical analysis underpinning the CE model has been confirmed</w:t>
      </w:r>
      <w:r w:rsidR="00CC17B0">
        <w:t xml:space="preserve"> to meet the requirements of a pharmaceutical c</w:t>
      </w:r>
      <w:r w:rsidR="00AD3583">
        <w:t xml:space="preserve">ompany </w:t>
      </w:r>
      <w:r w:rsidR="00390DC7">
        <w:t>and the</w:t>
      </w:r>
      <w:r w:rsidR="00AD3583">
        <w:t xml:space="preserve"> NICE Evidence Review Group was happy with the statistical analyses of the Hopkins Lupus Cohort. </w:t>
      </w:r>
      <w:r>
        <w:t xml:space="preserve">I decided to </w:t>
      </w:r>
      <w:r w:rsidR="00AD3583">
        <w:t>adopt</w:t>
      </w:r>
      <w:r>
        <w:t xml:space="preserve"> </w:t>
      </w:r>
      <w:r w:rsidR="00AD3583">
        <w:t xml:space="preserve">a </w:t>
      </w:r>
      <w:r>
        <w:t>complex</w:t>
      </w:r>
      <w:r w:rsidR="00AD3583">
        <w:t xml:space="preserve"> CE</w:t>
      </w:r>
      <w:r>
        <w:t xml:space="preserve"> model in the VOI analysis because </w:t>
      </w:r>
      <w:r w:rsidR="00C26CB4">
        <w:t>it was more relevant to the decision problem of the pharmaceutical company to use the CE model that they would use for reimbursement</w:t>
      </w:r>
      <w:r>
        <w:t xml:space="preserve">. A simpler </w:t>
      </w:r>
      <w:r w:rsidR="0002414E">
        <w:t xml:space="preserve">CE </w:t>
      </w:r>
      <w:r>
        <w:t>model would have reduced the computation time</w:t>
      </w:r>
      <w:r w:rsidR="00C26CB4">
        <w:t>,</w:t>
      </w:r>
      <w:r>
        <w:t xml:space="preserve"> but would </w:t>
      </w:r>
      <w:r w:rsidR="00AD3583">
        <w:t xml:space="preserve">only approximate the impact of </w:t>
      </w:r>
      <w:r>
        <w:t xml:space="preserve">the trial on the more complex </w:t>
      </w:r>
      <w:r w:rsidR="0002414E">
        <w:t xml:space="preserve">CE </w:t>
      </w:r>
      <w:r>
        <w:t xml:space="preserve">model. </w:t>
      </w:r>
    </w:p>
    <w:p w:rsidR="00850AED" w:rsidRDefault="00850AED" w:rsidP="00AD3583">
      <w:r>
        <w:t xml:space="preserve">An elicitation study was designed to estimate log odds ratios and survival analysis parameters for the long term efficacy of treatment. This study was undertaken because some data </w:t>
      </w:r>
      <w:r w:rsidR="00AD3583">
        <w:t>w</w:t>
      </w:r>
      <w:r>
        <w:t>ould not be estimate</w:t>
      </w:r>
      <w:r w:rsidR="00AD3583">
        <w:t>d</w:t>
      </w:r>
      <w:r>
        <w:t xml:space="preserve"> from Phase I and Phase II studies. The elicitation exercise was relatively complex because it elicited </w:t>
      </w:r>
      <w:r w:rsidR="00AD3583">
        <w:t xml:space="preserve">multiple </w:t>
      </w:r>
      <w:r>
        <w:t xml:space="preserve">unobservable quantities for </w:t>
      </w:r>
      <w:r w:rsidR="00AD3583">
        <w:t>logistic</w:t>
      </w:r>
      <w:r>
        <w:t xml:space="preserve"> and survival models. The elicitation was designed within a month, each interview took 2 hours to complete, and the analysis of the results took approximately one week to generate and present in an acceptable form. I believe that this time frame could be reasonably accommodated within a pharmaceutical companies drug development programme. </w:t>
      </w:r>
    </w:p>
    <w:p w:rsidR="00850AED" w:rsidRDefault="00AD3583" w:rsidP="009F5DB9">
      <w:r>
        <w:t>I developed a VOI</w:t>
      </w:r>
      <w:r w:rsidR="00850AED">
        <w:t xml:space="preserve"> analysis to investigate whether longer follow-up or large sample size would improve the expected </w:t>
      </w:r>
      <w:r w:rsidR="00FE7941">
        <w:t>value-</w:t>
      </w:r>
      <w:r>
        <w:t>based price</w:t>
      </w:r>
      <w:r w:rsidR="00850AED">
        <w:t xml:space="preserve"> of the treatment. </w:t>
      </w:r>
      <w:r w:rsidR="00E47A32">
        <w:t>All</w:t>
      </w:r>
      <w:r w:rsidR="00850AED">
        <w:t xml:space="preserve"> strategies </w:t>
      </w:r>
      <w:r w:rsidR="003B7004">
        <w:t xml:space="preserve">would increase the amount of data </w:t>
      </w:r>
      <w:r w:rsidR="00E47A32">
        <w:t>available for the new treatment</w:t>
      </w:r>
      <w:r w:rsidR="003B7004">
        <w:t xml:space="preserve"> and </w:t>
      </w:r>
      <w:r w:rsidR="00E47A32">
        <w:t>increase precision</w:t>
      </w:r>
      <w:r w:rsidR="009F5DB9">
        <w:t xml:space="preserve"> in the CE outcomes. H</w:t>
      </w:r>
      <w:r w:rsidR="003B7004">
        <w:t>owever</w:t>
      </w:r>
      <w:r w:rsidR="009F5DB9">
        <w:t>,</w:t>
      </w:r>
      <w:r w:rsidR="003B7004">
        <w:t xml:space="preserve"> </w:t>
      </w:r>
      <w:r w:rsidR="00E47A32">
        <w:t xml:space="preserve">the VOI analysis </w:t>
      </w:r>
      <w:r w:rsidR="00390DC7">
        <w:t>could</w:t>
      </w:r>
      <w:r w:rsidR="00E47A32">
        <w:t xml:space="preserve"> determine</w:t>
      </w:r>
      <w:r w:rsidR="003B7004">
        <w:t xml:space="preserve"> whether </w:t>
      </w:r>
      <w:r w:rsidR="00E47A32">
        <w:t>more</w:t>
      </w:r>
      <w:r w:rsidR="003B7004">
        <w:t xml:space="preserve"> investment in the trial was </w:t>
      </w:r>
      <w:r w:rsidR="00E47A32">
        <w:t>a cost-effective</w:t>
      </w:r>
      <w:r w:rsidR="003B7004">
        <w:t xml:space="preserve"> design strategy</w:t>
      </w:r>
      <w:r w:rsidR="00850AED">
        <w:t xml:space="preserve">. </w:t>
      </w:r>
      <w:r w:rsidR="003B7004">
        <w:t>I have adapted the traditional method of EVSI to reflect the uncertainties and motivations of a pharmaceutical company when planning a Phase III trial. Importantly I allowed price to vary according to the outcomes of the CE model, which can</w:t>
      </w:r>
      <w:r w:rsidR="00FE7941">
        <w:t xml:space="preserve"> be used to estimate the value-</w:t>
      </w:r>
      <w:r w:rsidR="003B7004">
        <w:t>based price at a willingness to pay threshold of £30,000</w:t>
      </w:r>
      <w:r w:rsidR="009F5DB9">
        <w:t xml:space="preserve"> </w:t>
      </w:r>
      <w:r w:rsidR="00E729BA">
        <w:fldChar w:fldCharType="begin"/>
      </w:r>
      <w:r w:rsidR="00FC61FD">
        <w:instrText xml:space="preserve"> ADDIN REFMGR.CITE &lt;Refman&gt;&lt;Cite&gt;&lt;Author&gt;National Institute for Health and Care Excellence&lt;/Author&gt;&lt;Year&gt;2013&lt;/Year&gt;&lt;RecNum&gt;1647&lt;/RecNum&gt;&lt;IDText&gt;Guide to the methods of technology appraisal 2013&lt;/IDText&gt;&lt;MDL Ref_Type="Report"&gt;&lt;Ref_Type&gt;Report&lt;/Ref_Type&gt;&lt;Ref_ID&gt;1647&lt;/Ref_ID&gt;&lt;Title_Primary&gt;Guide to the methods of technology appraisal 2013&lt;/Title_Primary&gt;&lt;Authors_Primary&gt;National Institute for Health and Care Excellence&lt;/Authors_Primary&gt;&lt;Date_Primary&gt;2013&lt;/Date_Primary&gt;&lt;Keywords&gt;methods&lt;/Keywords&gt;&lt;Reprint&gt;In File&lt;/Reprint&gt;&lt;Pub_Place&gt;London&lt;/Pub_Place&gt;&lt;Publisher&gt;National Institute for Health and Care Excellence&lt;/Publisher&gt;&lt;Web_URL&gt;&lt;u&gt;http://publications.nice.org.uk/guide-to-the-methods-of-technology-appraisal-2013-pmg9&lt;/u&gt;&lt;/Web_URL&gt;&lt;ZZ_WorkformID&gt;24&lt;/ZZ_WorkformID&gt;&lt;/MDL&gt;&lt;/Cite&gt;&lt;/Refman&gt;</w:instrText>
      </w:r>
      <w:r w:rsidR="00E729BA">
        <w:fldChar w:fldCharType="separate"/>
      </w:r>
      <w:r w:rsidR="0081424E">
        <w:t>(29)</w:t>
      </w:r>
      <w:r w:rsidR="00E729BA">
        <w:fldChar w:fldCharType="end"/>
      </w:r>
      <w:r w:rsidR="003B7004">
        <w:t xml:space="preserve">.  </w:t>
      </w:r>
      <w:r w:rsidR="00850AED">
        <w:t>Each trial design was simulated 1,</w:t>
      </w:r>
      <w:r w:rsidR="00390DC7">
        <w:t>6</w:t>
      </w:r>
      <w:r w:rsidR="00850AED">
        <w:t>00 times to estimat</w:t>
      </w:r>
      <w:r>
        <w:t>e the</w:t>
      </w:r>
      <w:r w:rsidR="00FE7941">
        <w:t>ir impact on the expected value-</w:t>
      </w:r>
      <w:r>
        <w:t>base p</w:t>
      </w:r>
      <w:r w:rsidR="00850AED">
        <w:t xml:space="preserve">rice that </w:t>
      </w:r>
      <w:r w:rsidR="003B7004">
        <w:t>would be imposed by the reimbursement authority</w:t>
      </w:r>
      <w:r w:rsidR="00850AED">
        <w:t xml:space="preserve">. </w:t>
      </w:r>
    </w:p>
    <w:p w:rsidR="00850AED" w:rsidRDefault="00850AED" w:rsidP="00390DC7">
      <w:r>
        <w:t xml:space="preserve">The </w:t>
      </w:r>
      <w:r w:rsidR="003B7004">
        <w:t xml:space="preserve">VOI </w:t>
      </w:r>
      <w:r>
        <w:t xml:space="preserve">analysis did not produce conclusive results for the SLE clinical trial design. Unfortunately, one thousand </w:t>
      </w:r>
      <w:r w:rsidR="002C404F">
        <w:t>BCTS iterations</w:t>
      </w:r>
      <w:r>
        <w:t xml:space="preserve"> w</w:t>
      </w:r>
      <w:r w:rsidR="00390DC7">
        <w:t>ere</w:t>
      </w:r>
      <w:r>
        <w:t xml:space="preserve"> not sufficient for the </w:t>
      </w:r>
      <w:r w:rsidR="0002414E">
        <w:t>VOI analysis</w:t>
      </w:r>
      <w:r>
        <w:t xml:space="preserve"> to produce stable results from which it is reasonable to compare between trial designs. There remains considerable simulation </w:t>
      </w:r>
      <w:r w:rsidR="009F5DB9">
        <w:t>error that masks</w:t>
      </w:r>
      <w:r>
        <w:t xml:space="preserve"> the true benefits of the alternative treatments. I decided that it was not practical to increase the number of </w:t>
      </w:r>
      <w:r w:rsidR="002C404F">
        <w:t>BCTS iterations</w:t>
      </w:r>
      <w:r>
        <w:t xml:space="preserve"> above one thousand. The analysis is time consuming to run because the CE model is complex and includes non-conjugate distributions.  </w:t>
      </w:r>
      <w:r w:rsidR="00390DC7">
        <w:t xml:space="preserve">However, the main driver of </w:t>
      </w:r>
      <w:r>
        <w:t xml:space="preserve">computation time comes from the number of CE model parameters that needed to be updated. </w:t>
      </w:r>
    </w:p>
    <w:p w:rsidR="00850AED" w:rsidRDefault="00850AED" w:rsidP="00850AED">
      <w:pPr>
        <w:pStyle w:val="Heading2"/>
      </w:pPr>
      <w:bookmarkStart w:id="642" w:name="_Toc353377786"/>
      <w:bookmarkStart w:id="643" w:name="_Toc379467696"/>
      <w:r>
        <w:t>What is new about this research</w:t>
      </w:r>
      <w:bookmarkEnd w:id="642"/>
      <w:bookmarkEnd w:id="643"/>
    </w:p>
    <w:p w:rsidR="00850AED" w:rsidRDefault="00850AED" w:rsidP="009F5DB9">
      <w:r>
        <w:t xml:space="preserve">This PhD </w:t>
      </w:r>
      <w:r w:rsidR="009F5DB9">
        <w:t>undertook new research in three main topics</w:t>
      </w:r>
      <w:r>
        <w:t xml:space="preserve">. Firstly, </w:t>
      </w:r>
      <w:r w:rsidR="009F5DB9">
        <w:t>this study has contributed to the development of cost-effectiveness modelling in SLE to enable future economic evaluations</w:t>
      </w:r>
      <w:r>
        <w:t xml:space="preserve">. </w:t>
      </w:r>
      <w:r w:rsidR="009F5DB9">
        <w:t>This required the development of</w:t>
      </w:r>
      <w:r>
        <w:t xml:space="preserve"> conceptual and statistical modelling of SLE outcomes </w:t>
      </w:r>
      <w:r w:rsidR="009F5DB9">
        <w:t>for a</w:t>
      </w:r>
      <w:r w:rsidR="0002414E">
        <w:t xml:space="preserve"> BCTS and CE model</w:t>
      </w:r>
      <w:r w:rsidR="003B7004">
        <w:t xml:space="preserve">. </w:t>
      </w:r>
      <w:r>
        <w:t xml:space="preserve">Secondly, </w:t>
      </w:r>
      <w:r w:rsidR="009F5DB9">
        <w:t xml:space="preserve">since </w:t>
      </w:r>
      <w:r>
        <w:t xml:space="preserve">SLE is a complex disease, </w:t>
      </w:r>
      <w:r w:rsidR="003B7004">
        <w:t xml:space="preserve">a complex simulation process </w:t>
      </w:r>
      <w:r w:rsidR="009F5DB9">
        <w:t>was undertaken t</w:t>
      </w:r>
      <w:r w:rsidR="003B7004">
        <w:t>o generate VOI outcomes.</w:t>
      </w:r>
      <w:r>
        <w:t xml:space="preserve"> Thirdly, </w:t>
      </w:r>
      <w:r w:rsidR="00527615">
        <w:t>modifications of the traditional EVSI approach were</w:t>
      </w:r>
      <w:r w:rsidR="009F5DB9">
        <w:t xml:space="preserve"> studied </w:t>
      </w:r>
      <w:r>
        <w:t>to enable t</w:t>
      </w:r>
      <w:r w:rsidR="003B7004">
        <w:t>he</w:t>
      </w:r>
      <w:r>
        <w:t xml:space="preserve"> </w:t>
      </w:r>
      <w:r w:rsidR="00E47A32">
        <w:t>uncertainties</w:t>
      </w:r>
      <w:r>
        <w:t xml:space="preserve"> and </w:t>
      </w:r>
      <w:r w:rsidR="00E47A32">
        <w:t>motivations</w:t>
      </w:r>
      <w:r>
        <w:t xml:space="preserve"> of the pharmaceutical company to be integrated into the process. </w:t>
      </w:r>
    </w:p>
    <w:p w:rsidR="00850AED" w:rsidRDefault="00850AED" w:rsidP="00850AED">
      <w:pPr>
        <w:pStyle w:val="Heading3"/>
      </w:pPr>
      <w:bookmarkStart w:id="644" w:name="_Toc353377787"/>
      <w:bookmarkStart w:id="645" w:name="_Toc379467697"/>
      <w:r>
        <w:t>Systemic Lupus Erythematosus</w:t>
      </w:r>
      <w:bookmarkEnd w:id="644"/>
      <w:bookmarkEnd w:id="645"/>
    </w:p>
    <w:p w:rsidR="00850AED" w:rsidRDefault="00850AED" w:rsidP="009F5DB9">
      <w:r>
        <w:t>The analysis presented in this thesis has contributed original research to the field of SLE with substantial practic</w:t>
      </w:r>
      <w:bookmarkStart w:id="646" w:name="_GoBack"/>
      <w:bookmarkEnd w:id="646"/>
      <w:r>
        <w:t xml:space="preserve">al value. The analysis of the Hopkins Lupus Cohort presents a set of statistical models from a single, large cohort of patients that describe a broad range of outcomes of SLE. The statistical models can be </w:t>
      </w:r>
      <w:r w:rsidR="00390DC7">
        <w:t>used as</w:t>
      </w:r>
      <w:r>
        <w:t xml:space="preserve"> a natural history model for SLE to describe the disease outcomes for SLE patients that match to the characteristics of the Hopkins Lupus Cohort.</w:t>
      </w:r>
      <w:r w:rsidRPr="009D10E2">
        <w:t xml:space="preserve"> </w:t>
      </w:r>
      <w:r w:rsidR="0002414E">
        <w:t>The natural h</w:t>
      </w:r>
      <w:r>
        <w:t xml:space="preserve">istory model is structured </w:t>
      </w:r>
      <w:r w:rsidR="00D26C78">
        <w:t xml:space="preserve">to </w:t>
      </w:r>
      <w:r>
        <w:t>allow the interdependencies between the disease outcomes to be emulated in a simulation.</w:t>
      </w:r>
    </w:p>
    <w:p w:rsidR="00850AED" w:rsidRDefault="00390DC7" w:rsidP="009F5DB9">
      <w:r>
        <w:t xml:space="preserve">There were several limitation and data gaps identified from the published literature. </w:t>
      </w:r>
      <w:r w:rsidR="00850AED">
        <w:t xml:space="preserve">The review of </w:t>
      </w:r>
      <w:r>
        <w:t xml:space="preserve">SLE </w:t>
      </w:r>
      <w:r w:rsidR="00850AED">
        <w:t>epidemiology studies identified a large number of analyses that had investigated risk factors associated with mortality, organ damage and disease activity</w:t>
      </w:r>
      <w:r w:rsidR="00651F34">
        <w:t xml:space="preserve"> described in Section </w:t>
      </w:r>
      <w:r w:rsidR="00E729BA">
        <w:fldChar w:fldCharType="begin"/>
      </w:r>
      <w:r w:rsidR="00651F34">
        <w:instrText xml:space="preserve"> REF _Ref354853685 \n \h </w:instrText>
      </w:r>
      <w:r w:rsidR="00E729BA">
        <w:fldChar w:fldCharType="separate"/>
      </w:r>
      <w:r w:rsidR="004911B7">
        <w:rPr>
          <w:cs/>
        </w:rPr>
        <w:t>‎</w:t>
      </w:r>
      <w:r w:rsidR="004911B7">
        <w:t>4.2</w:t>
      </w:r>
      <w:r w:rsidR="00E729BA">
        <w:fldChar w:fldCharType="end"/>
      </w:r>
      <w:r w:rsidR="00651F34">
        <w:t>.</w:t>
      </w:r>
      <w:r w:rsidR="00290F24">
        <w:t xml:space="preserve"> </w:t>
      </w:r>
      <w:r w:rsidR="00850AED">
        <w:t>These studies predominantly used Cox-regression methods, and logistic regression</w:t>
      </w:r>
      <w:r w:rsidR="00651F34">
        <w:t>.</w:t>
      </w:r>
      <w:r w:rsidR="00290F24">
        <w:t xml:space="preserve"> </w:t>
      </w:r>
      <w:r w:rsidR="00850AED">
        <w:t>These methods are commonly used</w:t>
      </w:r>
      <w:r w:rsidR="00290F24">
        <w:t xml:space="preserve"> in epidemiology studies</w:t>
      </w:r>
      <w:r w:rsidR="00850AED">
        <w:t xml:space="preserve">, and are useful in </w:t>
      </w:r>
      <w:r w:rsidR="00651F34">
        <w:t>identifying risk factors for disease outcomes</w:t>
      </w:r>
      <w:r w:rsidR="00850AED">
        <w:t xml:space="preserve">. </w:t>
      </w:r>
      <w:r w:rsidR="00651F34" w:rsidRPr="00C938B8">
        <w:t xml:space="preserve">These </w:t>
      </w:r>
      <w:r w:rsidR="0002414E">
        <w:t xml:space="preserve">statistical </w:t>
      </w:r>
      <w:r w:rsidR="00651F34" w:rsidRPr="00C938B8">
        <w:t>models enable an understanding of which covariates such as age, sex, disease activity, affect the risk of damage or mortality.</w:t>
      </w:r>
      <w:r w:rsidR="00651F34">
        <w:t xml:space="preserve"> For example, Ibanez et al. developed the Adjusted Mean SLEDAI measure and have demonstrated that high AMS is associated with organ damage and mortality </w:t>
      </w:r>
      <w:r w:rsidR="00E729BA">
        <w:fldChar w:fldCharType="begin"/>
      </w:r>
      <w:r w:rsidR="00FC61FD">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81424E">
        <w:t>(142;176)</w:t>
      </w:r>
      <w:r w:rsidR="00E729BA">
        <w:fldChar w:fldCharType="end"/>
      </w:r>
      <w:r w:rsidR="00651F34">
        <w:t xml:space="preserve">. </w:t>
      </w:r>
      <w:r w:rsidR="00850AED" w:rsidRPr="00C938B8">
        <w:t>Cox-regression models estimate the relative effects of risk factors on survival without making assumptions regarding the shape of the survival curves and the time to an event. However, to predict organ damage and mortality</w:t>
      </w:r>
      <w:r w:rsidR="00651F34">
        <w:t xml:space="preserve"> in a simulation</w:t>
      </w:r>
      <w:r w:rsidR="00850AED" w:rsidRPr="00C938B8">
        <w:t xml:space="preserve"> it is necessary to model the</w:t>
      </w:r>
      <w:r w:rsidR="009F5DB9">
        <w:t xml:space="preserve"> shape of the survival curve. Parametric survival models overcome these limitations and can be used to predict the time and probability of events.</w:t>
      </w:r>
    </w:p>
    <w:p w:rsidR="00850AED" w:rsidRDefault="00850AED" w:rsidP="009F5DB9">
      <w:r>
        <w:t>Previous epidemiological analyses of SLE have focussed their research questions on specific aspects of the disease. Studies have investigated mortality</w:t>
      </w:r>
      <w:r w:rsidR="00651F34">
        <w:t xml:space="preserve"> </w:t>
      </w:r>
      <w:r w:rsidR="00E729BA">
        <w:fldChar w:fldCharType="begin"/>
      </w:r>
      <w:r w:rsidR="00FC61FD">
        <w:instrText xml:space="preserve"> ADDIN REFMGR.CITE &lt;Refman&gt;&lt;Cite&gt;&lt;Author&gt;Urowitz&lt;/Author&gt;&lt;Year&gt;1997&lt;/Year&gt;&lt;RecNum&gt;1298&lt;/RecNum&gt;&lt;IDText&gt;Mortality studies in systemic lupus erythematosus. Results from a single center. III. Improved survival over 24 years&lt;/IDText&gt;&lt;MDL Ref_Type="Journal"&gt;&lt;Ref_Type&gt;Journal&lt;/Ref_Type&gt;&lt;Ref_ID&gt;1298&lt;/Ref_ID&gt;&lt;Title_Primary&gt;Mortality studies in systemic lupus erythematosus. Results from a single center. III. Improved survival over 24 years&lt;/Title_Primary&gt;&lt;Authors_Primary&gt;Urowitz,M.B.&lt;/Authors_Primary&gt;&lt;Authors_Primary&gt;Gladman,D.D.&lt;/Authors_Primary&gt;&lt;Authors_Primary&gt;bu-Shakra,M.&lt;/Authors_Primary&gt;&lt;Authors_Primary&gt;Farewell,V.T.&lt;/Authors_Primary&gt;&lt;Date_Primary&gt;1997/6&lt;/Date_Primary&gt;&lt;Keywords&gt;Adolescent&lt;/Keywords&gt;&lt;Keywords&gt;Adult&lt;/Keywords&gt;&lt;Keywords&gt;Aged&lt;/Keywords&gt;&lt;Keywords&gt;Aged,80 and over&lt;/Keywords&gt;&lt;Keywords&gt;analysis&lt;/Keywords&gt;&lt;Keywords&gt;Child&lt;/Keywords&gt;&lt;Keywords&gt;Cohort Studies&lt;/Keywords&gt;&lt;Keywords&gt;Disease&lt;/Keywords&gt;&lt;Keywords&gt;Female&lt;/Keywords&gt;&lt;Keywords&gt;Health&lt;/Keywords&gt;&lt;Keywords&gt;Humans&lt;/Keywords&gt;&lt;Keywords&gt;Lupus Erythematosus,Systemic&lt;/Keywords&gt;&lt;Keywords&gt;Male&lt;/Keywords&gt;&lt;Keywords&gt;methods&lt;/Keywords&gt;&lt;Keywords&gt;Middle Aged&lt;/Keywords&gt;&lt;Keywords&gt;mortality&lt;/Keywords&gt;&lt;Keywords&gt;Prognosis&lt;/Keywords&gt;&lt;Keywords&gt;Rheumatic Diseases&lt;/Keywords&gt;&lt;Keywords&gt;Risk&lt;/Keywords&gt;&lt;Keywords&gt;Survival Analysis&lt;/Keywords&gt;&lt;Keywords&gt;Time&lt;/Keywords&gt;&lt;Keywords&gt;Vasculitis&lt;/Keywords&gt;&lt;Reprint&gt;Not in File&lt;/Reprint&gt;&lt;Start_Page&gt;1061&lt;/Start_Page&gt;&lt;End_Page&gt;1065&lt;/End_Page&gt;&lt;Periodical&gt;J.Rheumatol.&lt;/Periodical&gt;&lt;Volume&gt;24&lt;/Volume&gt;&lt;Issue&gt;6&lt;/Issue&gt;&lt;User_Def_1&gt;y&lt;/User_Def_1&gt;&lt;ZZ_JournalStdAbbrev&gt;&lt;f name="System"&gt;J.Rheumatol.&lt;/f&gt;&lt;/ZZ_JournalStdAbbrev&gt;&lt;ZZ_WorkformID&gt;1&lt;/ZZ_WorkformID&gt;&lt;/MDL&gt;&lt;/Cite&gt;&lt;/Refman&gt;</w:instrText>
      </w:r>
      <w:r w:rsidR="00E729BA">
        <w:fldChar w:fldCharType="separate"/>
      </w:r>
      <w:r w:rsidR="0081424E">
        <w:t>(150)</w:t>
      </w:r>
      <w:r w:rsidR="00E729BA">
        <w:fldChar w:fldCharType="end"/>
      </w:r>
      <w:r>
        <w:t>, organ damage</w:t>
      </w:r>
      <w:r w:rsidR="00651F34">
        <w:t xml:space="preserve"> </w:t>
      </w:r>
      <w:r w:rsidR="00E729BA">
        <w:fldChar w:fldCharType="begin"/>
      </w:r>
      <w:r w:rsidR="00FC61FD">
        <w:instrText xml:space="preserve"> ADDIN REFMGR.CITE &lt;Refman&gt;&lt;Cite&gt;&lt;Author&gt;Alarcon&lt;/Author&gt;&lt;Year&gt;2004&lt;/Year&gt;&lt;RecNum&gt;708&lt;/RecNum&gt;&lt;IDText&gt;Systemic lupus erythematosus in three ethnic groups. XX. Damage as a predictor of further damage&lt;/IDText&gt;&lt;MDL Ref_Type="Journal"&gt;&lt;Ref_Type&gt;Journal&lt;/Ref_Type&gt;&lt;Ref_ID&gt;708&lt;/Ref_ID&gt;&lt;Title_Primary&gt;Systemic lupus erythematosus in three ethnic groups. XX. Damage as a predictor of further damage&lt;/Title_Primary&gt;&lt;Authors_Primary&gt;Alarcon,G.S.&lt;/Authors_Primary&gt;&lt;Authors_Primary&gt;Roseman,J.M.&lt;/Authors_Primary&gt;&lt;Authors_Primary&gt;McGwin,G.,Jr.&lt;/Authors_Primary&gt;&lt;Authors_Primary&gt;Uribe,A.&lt;/Authors_Primary&gt;&lt;Authors_Primary&gt;Bastian,H.M.&lt;/Authors_Primary&gt;&lt;Authors_Primary&gt;Fessler,B.J.&lt;/Authors_Primary&gt;&lt;Authors_Primary&gt;Baethge,B.A.&lt;/Authors_Primary&gt;&lt;Authors_Primary&gt;Friedman,A.W.&lt;/Authors_Primary&gt;&lt;Authors_Primary&gt;Reveille,J.D.&lt;/Authors_Primary&gt;&lt;Date_Primary&gt;2004/2&lt;/Date_Primary&gt;&lt;Keywords&gt;Adult&lt;/Keywords&gt;&lt;Keywords&gt;African Americans&lt;/Keywords&gt;&lt;Keywords&gt;age&lt;/Keywords&gt;&lt;Keywords&gt;Alabama&lt;/Keywords&gt;&lt;Keywords&gt;Cohort Studies&lt;/Keywords&gt;&lt;Keywords&gt;Disease&lt;/Keywords&gt;&lt;Keywords&gt;Disease Progression&lt;/Keywords&gt;&lt;Keywords&gt;erythematosus&lt;/Keywords&gt;&lt;Keywords&gt;Ethnic Groups&lt;/Keywords&gt;&lt;Keywords&gt;ethnology&lt;/Keywords&gt;&lt;Keywords&gt;European Continental Ancestry Group&lt;/Keywords&gt;&lt;Keywords&gt;Female&lt;/Keywords&gt;&lt;Keywords&gt;Hispanic Americans&lt;/Keywords&gt;&lt;Keywords&gt;Humans&lt;/Keywords&gt;&lt;Keywords&gt;immunology&lt;/Keywords&gt;&lt;Keywords&gt;lupus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Aged&lt;/Keywords&gt;&lt;Keywords&gt;pathology&lt;/Keywords&gt;&lt;Keywords&gt;patient&lt;/Keywords&gt;&lt;Keywords&gt;Patients&lt;/Keywords&gt;&lt;Keywords&gt;population&lt;/Keywords&gt;&lt;Keywords&gt;Rheumatology&lt;/Keywords&gt;&lt;Keywords&gt;Risk Factors&lt;/Keywords&gt;&lt;Keywords&gt;Severity of Illness Index&lt;/Keywords&gt;&lt;Keywords&gt;systemic lupus erythematosus&lt;/Keywords&gt;&lt;Keywords&gt;United States&lt;/Keywords&gt;&lt;Reprint&gt;Not in File&lt;/Reprint&gt;&lt;Start_Page&gt;202&lt;/Start_Page&gt;&lt;End_Page&gt;205&lt;/End_Page&gt;&lt;Periodical&gt;Rheumatology.(Oxford).&lt;/Periodical&gt;&lt;Volume&gt;43&lt;/Volume&gt;&lt;Issue&gt;2&lt;/Issue&gt;&lt;User_Def_1&gt;y&lt;/User_Def_1&gt;&lt;ZZ_JournalStdAbbrev&gt;&lt;f name="System"&gt;Rheumatology.(Oxford).&lt;/f&gt;&lt;/ZZ_JournalStdAbbrev&gt;&lt;ZZ_WorkformID&gt;1&lt;/ZZ_WorkformID&gt;&lt;/MDL&gt;&lt;/Cite&gt;&lt;/Refman&gt;</w:instrText>
      </w:r>
      <w:r w:rsidR="00E729BA">
        <w:fldChar w:fldCharType="separate"/>
      </w:r>
      <w:r w:rsidR="0081424E">
        <w:t>(171)</w:t>
      </w:r>
      <w:r w:rsidR="00E729BA">
        <w:fldChar w:fldCharType="end"/>
      </w:r>
      <w:r>
        <w:t xml:space="preserve">, treatment </w:t>
      </w:r>
      <w:r w:rsidR="00E729BA">
        <w:fldChar w:fldCharType="begin"/>
      </w:r>
      <w:r w:rsidR="00FC61FD">
        <w:instrText xml:space="preserve"> ADDIN REFMGR.CITE &lt;Refman&gt;&lt;Cite&gt;&lt;Author&gt;Zonana-Nacach&lt;/Author&gt;&lt;Year&gt;2000&lt;/Year&gt;&lt;RecNum&gt;1034&lt;/RecNum&gt;&lt;IDText&gt;Damage in systemic lupus erythematosus and its association with corticosteroids&lt;/IDText&gt;&lt;MDL Ref_Type="Journal"&gt;&lt;Ref_Type&gt;Journal&lt;/Ref_Type&gt;&lt;Ref_ID&gt;1034&lt;/Ref_ID&gt;&lt;Title_Primary&gt;Damage in systemic lupus erythematosus and its association with corticosteroids&lt;/Title_Primary&gt;&lt;Authors_Primary&gt;Zonana-Nacach,A.&lt;/Authors_Primary&gt;&lt;Authors_Primary&gt;Barr,S.G.&lt;/Authors_Primary&gt;&lt;Authors_Primary&gt;Magder,L.S.&lt;/Authors_Primary&gt;&lt;Authors_Primary&gt;Petri,M.&lt;/Authors_Primary&gt;&lt;Date_Primary&gt;2000/8&lt;/Date_Primary&gt;&lt;Keywords&gt;administration &amp;amp; dosage&lt;/Keywords&gt;&lt;Keywords&gt;Administration,Oral&lt;/Keywords&gt;&lt;Keywords&gt;Adrenal Cortex Hormones&lt;/Keywords&gt;&lt;Keywords&gt;Adult&lt;/Keywords&gt;&lt;Keywords&gt;adverse effects&lt;/Keywords&gt;&lt;Keywords&gt;age&lt;/Keywords&gt;&lt;Keywords&gt;Arteries&lt;/Keywords&gt;&lt;Keywords&gt;Baltimore&lt;/Keywords&gt;&lt;Keywords&gt;Cardiovascular Diseases&lt;/Keywords&gt;&lt;Keywords&gt;Cataract&lt;/Keywords&gt;&lt;Keywords&gt;chemically induced&lt;/Keywords&gt;&lt;Keywords&gt;Cohort Studies&lt;/Keywords&gt;&lt;Keywords&gt;complications&lt;/Keywords&gt;&lt;Keywords&gt;confidence interval&lt;/Keywords&gt;&lt;Keywords&gt;Coronary Artery Disease&lt;/Keywords&gt;&lt;Keywords&gt;Disease&lt;/Keywords&gt;&lt;Keywords&gt;disease activity&lt;/Keywords&gt;&lt;Keywords&gt;drug effects&lt;/Keywords&gt;&lt;Keywords&gt;drug therapy&lt;/Keywords&gt;&lt;Keywords&gt;erythematosus&lt;/Keywords&gt;&lt;Keywords&gt;Female&lt;/Keywords&gt;&lt;Keywords&gt;Humans&lt;/Keywords&gt;&lt;Keywords&gt;Injections,Intravenous&lt;/Keywords&gt;&lt;Keywords&gt;Kidney&lt;/Keywords&gt;&lt;Keywords&gt;lupus erythematosus&lt;/Keywords&gt;&lt;Keywords&gt;Lupus Erythematosus,Systemic&lt;/Keywords&gt;&lt;Keywords&gt;Male&lt;/Keywords&gt;&lt;Keywords&gt;Maryland&lt;/Keywords&gt;&lt;Keywords&gt;methods&lt;/Keywords&gt;&lt;Keywords&gt;Methylprednisolone&lt;/Keywords&gt;&lt;Keywords&gt;Morbidity&lt;/Keywords&gt;&lt;Keywords&gt;Musculoskeletal System&lt;/Keywords&gt;&lt;Keywords&gt;Necrosis&lt;/Keywords&gt;&lt;Keywords&gt;Osteonecrosis&lt;/Keywords&gt;&lt;Keywords&gt;Osteoporosis&lt;/Keywords&gt;&lt;Keywords&gt;patient&lt;/Keywords&gt;&lt;Keywords&gt;Patients&lt;/Keywords&gt;&lt;Keywords&gt;Prednisone&lt;/Keywords&gt;&lt;Keywords&gt;race&lt;/Keywords&gt;&lt;Keywords&gt;Research&lt;/Keywords&gt;&lt;Keywords&gt;Rheumatology&lt;/Keywords&gt;&lt;Keywords&gt;Risk&lt;/Keywords&gt;&lt;Keywords&gt;sex&lt;/Keywords&gt;&lt;Keywords&gt;Stroke&lt;/Keywords&gt;&lt;Keywords&gt;systemic lupus erythematosus&lt;/Keywords&gt;&lt;Keywords&gt;therapeutic use&lt;/Keywords&gt;&lt;Keywords&gt;therapy&lt;/Keywords&gt;&lt;Reprint&gt;Not in File&lt;/Reprint&gt;&lt;Start_Page&gt;1801&lt;/Start_Page&gt;&lt;End_Page&gt;1808&lt;/End_Page&gt;&lt;Periodical&gt;Arthritis Rheum.&lt;/Periodical&gt;&lt;Volume&gt;43&lt;/Volume&gt;&lt;Issue&gt;8&lt;/Issue&gt;&lt;User_Def_1&gt;y&lt;/User_Def_1&gt;&lt;ZZ_JournalStdAbbrev&gt;&lt;f name="System"&gt;Arthritis Rheum.&lt;/f&gt;&lt;/ZZ_JournalStdAbbrev&gt;&lt;ZZ_WorkformID&gt;1&lt;/ZZ_WorkformID&gt;&lt;/MDL&gt;&lt;/Cite&gt;&lt;/Refman&gt;</w:instrText>
      </w:r>
      <w:r w:rsidR="00E729BA">
        <w:fldChar w:fldCharType="separate"/>
      </w:r>
      <w:r w:rsidR="0081424E">
        <w:t>(181)</w:t>
      </w:r>
      <w:r w:rsidR="00E729BA">
        <w:fldChar w:fldCharType="end"/>
      </w:r>
      <w:r w:rsidR="00651F34">
        <w:t xml:space="preserve"> </w:t>
      </w:r>
      <w:r>
        <w:t>and disease activity</w:t>
      </w:r>
      <w:r w:rsidR="00651F34">
        <w:t xml:space="preserve"> </w:t>
      </w:r>
      <w:r w:rsidR="00E729BA">
        <w:fldChar w:fldCharType="begin"/>
      </w:r>
      <w:r w:rsidR="00FC61FD">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81424E">
        <w:t>(176)</w:t>
      </w:r>
      <w:r w:rsidR="00E729BA">
        <w:fldChar w:fldCharType="end"/>
      </w:r>
      <w:r>
        <w:t xml:space="preserve"> separately. Organ damage has been modelled in various ways ranging from grouping events according to the SLICC/ACR Damage Index</w:t>
      </w:r>
      <w:r w:rsidR="00651F34">
        <w:t xml:space="preserve"> </w:t>
      </w:r>
      <w:r w:rsidR="00E729BA">
        <w:fldChar w:fldCharType="begin"/>
      </w:r>
      <w:r w:rsidR="00FC61FD">
        <w:instrText xml:space="preserve"> ADDIN REFMGR.CITE &lt;Refman&gt;&lt;Cite&gt;&lt;Author&gt;Becker-Merok&lt;/Author&gt;&lt;Year&gt;2006&lt;/Year&gt;&lt;RecNum&gt;424&lt;/RecNum&gt;&lt;IDText&gt;Damage accumulation in systemic lupus erythematosus and its relation to disease activity and mortality&lt;/IDText&gt;&lt;MDL Ref_Type="Journal"&gt;&lt;Ref_Type&gt;Journal&lt;/Ref_Type&gt;&lt;Ref_ID&gt;424&lt;/Ref_ID&gt;&lt;Title_Primary&gt;Damage accumulation in systemic lupus erythematosus and its relation to disease activity and mortality&lt;/Title_Primary&gt;&lt;Authors_Primary&gt;Becker-Merok,A.&lt;/Authors_Primary&gt;&lt;Authors_Primary&gt;Nossent,H.C.&lt;/Authors_Primary&gt;&lt;Date_Primary&gt;2006/8&lt;/Date_Primary&gt;&lt;Keywords&gt;Adolescent&lt;/Keywords&gt;&lt;Keywords&gt;Adult&lt;/Keywords&gt;&lt;Keywords&gt;Aged&lt;/Keywords&gt;&lt;Keywords&gt;analysis&lt;/Keywords&gt;&lt;Keywords&gt;Child&lt;/Keywords&gt;&lt;Keywords&gt;Comorbidity&lt;/Keywords&gt;&lt;Keywords&gt;diagnosis&lt;/Keywords&gt;&lt;Keywords&gt;Disability Evaluation&lt;/Keywords&gt;&lt;Keywords&gt;Disease&lt;/Keywords&gt;&lt;Keywords&gt;epidemiology&lt;/Keywords&gt;&lt;Keywords&gt;Female&lt;/Keywords&gt;&lt;Keywords&gt;Health Status&lt;/Keywords&gt;&lt;Keywords&gt;Humans&lt;/Keywords&gt;&lt;Keywords&gt;Longitudinal Studies&lt;/Keywords&gt;&lt;Keywords&gt;Lupus Erythematosus,Systemic&lt;/Keywords&gt;&lt;Keywords&gt;Male&lt;/Keywords&gt;&lt;Keywords&gt;methods&lt;/Keywords&gt;&lt;Keywords&gt;Middle Aged&lt;/Keywords&gt;&lt;Keywords&gt;mortality&lt;/Keywords&gt;&lt;Keywords&gt;Norway&lt;/Keywords&gt;&lt;Keywords&gt;pathology&lt;/Keywords&gt;&lt;Keywords&gt;physiopathology&lt;/Keywords&gt;&lt;Keywords&gt;Rheumatology&lt;/Keywords&gt;&lt;Keywords&gt;Risk&lt;/Keywords&gt;&lt;Keywords&gt;Severity of Illness Index&lt;/Keywords&gt;&lt;Keywords&gt;Survival Rate&lt;/Keywords&gt;&lt;Keywords&gt;Survivors&lt;/Keywords&gt;&lt;Keywords&gt;Time&lt;/Keywords&gt;&lt;Reprint&gt;Not in File&lt;/Reprint&gt;&lt;Start_Page&gt;1570&lt;/Start_Page&gt;&lt;End_Page&gt;1577&lt;/End_Page&gt;&lt;Periodical&gt;J.Rheumatol.&lt;/Periodical&gt;&lt;Volume&gt;33&lt;/Volume&gt;&lt;Issue&gt;8&lt;/Issue&gt;&lt;User_Def_1&gt;y&lt;/User_Def_1&gt;&lt;ZZ_JournalStdAbbrev&gt;&lt;f name="System"&gt;J.Rheumatol.&lt;/f&gt;&lt;/ZZ_JournalStdAbbrev&gt;&lt;ZZ_WorkformID&gt;1&lt;/ZZ_WorkformID&gt;&lt;/MDL&gt;&lt;/Cite&gt;&lt;/Refman&gt;</w:instrText>
      </w:r>
      <w:r w:rsidR="00E729BA">
        <w:fldChar w:fldCharType="separate"/>
      </w:r>
      <w:r w:rsidR="0081424E">
        <w:t>(162)</w:t>
      </w:r>
      <w:r w:rsidR="00E729BA">
        <w:fldChar w:fldCharType="end"/>
      </w:r>
      <w:r>
        <w:t xml:space="preserve"> to modelling individual events such as </w:t>
      </w:r>
      <w:r w:rsidR="00651F34">
        <w:t xml:space="preserve">seizures </w:t>
      </w:r>
      <w:r w:rsidR="00E729BA">
        <w:fldChar w:fldCharType="begin"/>
      </w:r>
      <w:r w:rsidR="00FC61FD">
        <w:instrText xml:space="preserve"> ADDIN REFMGR.CITE &lt;Refman&gt;&lt;Cite&gt;&lt;Author&gt;Mikdashi&lt;/Author&gt;&lt;Year&gt;2005&lt;/Year&gt;&lt;RecNum&gt;562&lt;/RecNum&gt;&lt;IDText&gt;Factors at diagnosis predict subsequent occurrence of seizures in systemic lupus erythematosus&lt;/IDText&gt;&lt;MDL Ref_Type="Journal"&gt;&lt;Ref_Type&gt;Journal&lt;/Ref_Type&gt;&lt;Ref_ID&gt;562&lt;/Ref_ID&gt;&lt;Title_Primary&gt;Factors at diagnosis predict subsequent occurrence of seizures in systemic lupus erythematosus&lt;/Title_Primary&gt;&lt;Authors_Primary&gt;Mikdashi,J.&lt;/Authors_Primary&gt;&lt;Authors_Primary&gt;Krumholz,A.&lt;/Authors_Primary&gt;&lt;Authors_Primary&gt;Handwerger,B.&lt;/Authors_Primary&gt;&lt;Date_Primary&gt;2005/6/28&lt;/Date_Primary&gt;&lt;Keywords&gt;Adult&lt;/Keywords&gt;&lt;Keywords&gt;Antibodies&lt;/Keywords&gt;&lt;Keywords&gt;Autoantibodies&lt;/Keywords&gt;&lt;Keywords&gt;Autoantigens&lt;/Keywords&gt;&lt;Keywords&gt;Baltimore&lt;/Keywords&gt;&lt;Keywords&gt;blood&lt;/Keywords&gt;&lt;Keywords&gt;Brain&lt;/Keywords&gt;&lt;Keywords&gt;Cardiolipins&lt;/Keywords&gt;&lt;Keywords&gt;classification&lt;/Keywords&gt;&lt;Keywords&gt;Cohort Studies&lt;/Keywords&gt;&lt;Keywords&gt;complications&lt;/Keywords&gt;&lt;Keywords&gt;diagnosis&lt;/Keywords&gt;&lt;Keywords&gt;Disease&lt;/Keywords&gt;&lt;Keywords&gt;Disease Progression&lt;/Keywords&gt;&lt;Keywords&gt;Epilepsy&lt;/Keywords&gt;&lt;Keywords&gt;erythematosus&lt;/Keywords&gt;&lt;Keywords&gt;etiology&lt;/Keywords&gt;&lt;Keywords&gt;Female&lt;/Keywords&gt;&lt;Keywords&gt;Humans&lt;/Keywords&gt;&lt;Keywords&gt;immunology&lt;/Keywords&gt;&lt;Keywords&gt;lupus erythematosus&lt;/Keywords&gt;&lt;Keywords&gt;Lupus Vasculitis,Central Nervous System&lt;/Keywords&gt;&lt;Keywords&gt;Male&lt;/Keywords&gt;&lt;Keywords&gt;Maryland&lt;/Keywords&gt;&lt;Keywords&gt;methods&lt;/Keywords&gt;&lt;Keywords&gt;Middle Aged&lt;/Keywords&gt;&lt;Keywords&gt;Multivariate Analysis&lt;/Keywords&gt;&lt;Keywords&gt;patient&lt;/Keywords&gt;&lt;Keywords&gt;Patients&lt;/Keywords&gt;&lt;Keywords&gt;physiopathology&lt;/Keywords&gt;&lt;Keywords&gt;Predictive Value of Tests&lt;/Keywords&gt;&lt;Keywords&gt;Prognosis&lt;/Keywords&gt;&lt;Keywords&gt;psychology&lt;/Keywords&gt;&lt;Keywords&gt;Psychotic Disorders&lt;/Keywords&gt;&lt;Keywords&gt;Regression Analysis&lt;/Keywords&gt;&lt;Keywords&gt;Rheumatology&lt;/Keywords&gt;&lt;Keywords&gt;Ribonucleoproteins,Small Nuclear&lt;/Keywords&gt;&lt;Keywords&gt;Risk&lt;/Keywords&gt;&lt;Keywords&gt;Risk Factors&lt;/Keywords&gt;&lt;Keywords&gt;Seizures&lt;/Keywords&gt;&lt;Keywords&gt;Serum&lt;/Keywords&gt;&lt;Keywords&gt;Sex Factors&lt;/Keywords&gt;&lt;Keywords&gt;snRNP Core Proteins&lt;/Keywords&gt;&lt;Keywords&gt;Stroke&lt;/Keywords&gt;&lt;Keywords&gt;Syndrome&lt;/Keywords&gt;&lt;Keywords&gt;systemic lupus erythematosus&lt;/Keywords&gt;&lt;Reprint&gt;Not in File&lt;/Reprint&gt;&lt;Start_Page&gt;2102&lt;/Start_Page&gt;&lt;End_Page&gt;2107&lt;/End_Page&gt;&lt;Periodical&gt;Neurology.&lt;/Periodical&gt;&lt;Volume&gt;64&lt;/Volume&gt;&lt;Issue&gt;12&lt;/Issue&gt;&lt;User_Def_1&gt;y&lt;/User_Def_1&gt;&lt;ZZ_JournalStdAbbrev&gt;&lt;f name="System"&gt;Neurology.&lt;/f&gt;&lt;/ZZ_JournalStdAbbrev&gt;&lt;ZZ_WorkformID&gt;1&lt;/ZZ_WorkformID&gt;&lt;/MDL&gt;&lt;/Cite&gt;&lt;/Refman&gt;</w:instrText>
      </w:r>
      <w:r w:rsidR="00E729BA">
        <w:fldChar w:fldCharType="separate"/>
      </w:r>
      <w:r w:rsidR="0081424E">
        <w:t>(187)</w:t>
      </w:r>
      <w:r w:rsidR="00E729BA">
        <w:fldChar w:fldCharType="end"/>
      </w:r>
      <w:r>
        <w:t xml:space="preserve">. As such, there were some organ damage events that had not been studied. </w:t>
      </w:r>
      <w:r w:rsidR="00651F34">
        <w:t>Other data gaps arose for organ systems in which disease activity and steroid exposure contribute to damage accumulation, whereas only one risk factor was included in the statistical model</w:t>
      </w:r>
      <w:r>
        <w:t>. I have developed statistical models for gastrointestinal, ocular, and skin damage</w:t>
      </w:r>
      <w:r w:rsidR="009F5DB9">
        <w:t xml:space="preserve">. This approach </w:t>
      </w:r>
      <w:r>
        <w:t>found that vasculitis and prednisone predict</w:t>
      </w:r>
      <w:r w:rsidR="009F5DB9">
        <w:t>ed</w:t>
      </w:r>
      <w:r>
        <w:t xml:space="preserve"> gastrointestinal damage, prednisone predict</w:t>
      </w:r>
      <w:r w:rsidR="009F5DB9">
        <w:t>ed</w:t>
      </w:r>
      <w:r>
        <w:t xml:space="preserve"> ocular damage, and skin involvement predict</w:t>
      </w:r>
      <w:r w:rsidR="009F5DB9">
        <w:t>ed</w:t>
      </w:r>
      <w:r>
        <w:t xml:space="preserve"> skin damage. </w:t>
      </w:r>
    </w:p>
    <w:p w:rsidR="00850AED" w:rsidRDefault="00850AED" w:rsidP="00390DC7">
      <w:r>
        <w:t xml:space="preserve">The magnitudes of the risk factors for mortality and organ damage are broadly consistent with previous studies. </w:t>
      </w:r>
      <w:r w:rsidR="00600494">
        <w:t xml:space="preserve">Comparisons with analyses of the Toronto cohort are most relevant because they are estimated from a similar size cohort, </w:t>
      </w:r>
      <w:r w:rsidR="00390DC7">
        <w:t xml:space="preserve">and </w:t>
      </w:r>
      <w:r w:rsidR="00600494">
        <w:t>collected over a similar time-horizon with Adjusted Mean SLEDAI as the measure of disease activity. A</w:t>
      </w:r>
      <w:r>
        <w:t>nalysis of the Toronto Lupus Cohort identified that a unit increase in the Adjusted Mean SLEDAI increased the risk of mortality by 20%</w:t>
      </w:r>
      <w:r w:rsidR="00600494">
        <w:t xml:space="preserve"> </w:t>
      </w:r>
      <w:r w:rsidR="00E729BA">
        <w:fldChar w:fldCharType="begin"/>
      </w:r>
      <w:r w:rsidR="00FC61FD">
        <w:instrText xml:space="preserve"> ADDIN REFMGR.CITE &lt;Refman&gt;&lt;Cite&gt;&lt;Author&gt;Ibanez&lt;/Author&gt;&lt;Year&gt;2003&lt;/Year&gt;&lt;RecNum&gt;759&lt;/RecNum&gt;&lt;IDText&gt;Summarizing disease features over time: I. Adjusted mean SLEDAI derivation and application to an index of disease activity in lupus&lt;/IDText&gt;&lt;MDL Ref_Type="Journal"&gt;&lt;Ref_Type&gt;Journal&lt;/Ref_Type&gt;&lt;Ref_ID&gt;759&lt;/Ref_ID&gt;&lt;Title_Primary&gt;Summarizing disease features over time: I. Adjusted mean SLEDAI derivation and application to an index of disease activity in lupus&lt;/Title_Primary&gt;&lt;Authors_Primary&gt;Ibanez,D.&lt;/Authors_Primary&gt;&lt;Authors_Primary&gt;Urowitz,M.B.&lt;/Authors_Primary&gt;&lt;Authors_Primary&gt;Gladman,D.D.&lt;/Authors_Primary&gt;&lt;Date_Primary&gt;2003/9&lt;/Date_Primary&gt;&lt;Keywords&gt;Adolescent&lt;/Keywords&gt;&lt;Keywords&gt;Adult&lt;/Keywords&gt;&lt;Keywords&gt;age&lt;/Keywords&gt;&lt;Keywords&gt;Age Factors&lt;/Keywords&gt;&lt;Keywords&gt;Age of Onset&lt;/Keywords&gt;&lt;Keywords&gt;Aged&lt;/Keywords&gt;&lt;Keywords&gt;Aged,80 and over&lt;/Keywords&gt;&lt;Keywords&gt;analysis&lt;/Keywords&gt;&lt;Keywords&gt;Canada&lt;/Keywords&gt;&lt;Keywords&gt;Cause of Death&lt;/Keywords&gt;&lt;Keywords&gt;Child&lt;/Keywords&gt;&lt;Keywords&gt;Child,Preschool&lt;/Keywords&gt;&lt;Keywords&gt;Cohort Studies&lt;/Keywords&gt;&lt;Keywords&gt;confidence interval&lt;/Keywords&gt;&lt;Keywords&gt;Confidence Intervals&lt;/Keywords&gt;&lt;Keywords&gt;diagnosis&lt;/Keywords&gt;&lt;Keywords&gt;Disease&lt;/Keywords&gt;&lt;Keywords&gt;Disease Progression&lt;/Keywords&gt;&lt;Keywords&gt;drug therapy&lt;/Keywords&gt;&lt;Keywords&gt;erythematosus&lt;/Keywords&gt;&lt;Keywords&gt;Female&lt;/Keywords&gt;&lt;Keywords&gt;Health Status&lt;/Keywords&gt;&lt;Keywords&gt;hospital&lt;/Keywords&gt;&lt;Keywords&gt;Humans&lt;/Keywords&gt;&lt;Keywords&gt;Life&lt;/Keywords&gt;&lt;Keywords&gt;Life Expectancy&lt;/Keywords&gt;&lt;Keywords&gt;lupus erythematosus&lt;/Keywords&gt;&lt;Keywords&gt;Lupus Erythematosus,Systemic&lt;/Keywords&gt;&lt;Keywords&gt;Male&lt;/Keywords&gt;&lt;Keywords&gt;methods&lt;/Keywords&gt;&lt;Keywords&gt;Middle Aged&lt;/Keywords&gt;&lt;Keywords&gt;mortality&lt;/Keywords&gt;&lt;Keywords&gt;Odds Ratio&lt;/Keywords&gt;&lt;Keywords&gt;Ontario&lt;/Keywords&gt;&lt;Keywords&gt;patient&lt;/Keywords&gt;&lt;Keywords&gt;Patients&lt;/Keywords&gt;&lt;Keywords&gt;Predictive Value of Tests&lt;/Keywords&gt;&lt;Keywords&gt;Prognosis&lt;/Keywords&gt;&lt;Keywords&gt;Rheumatic Diseases&lt;/Keywords&gt;&lt;Keywords&gt;Risk Assessment&lt;/Keywords&gt;&lt;Keywords&gt;Roc Curve&lt;/Keywords&gt;&lt;Keywords&gt;Severity of Illness Index&lt;/Keywords&gt;&lt;Keywords&gt;sex&lt;/Keywords&gt;&lt;Keywords&gt;Sex Factors&lt;/Keywords&gt;&lt;Keywords&gt;Sickness Impact Profile&lt;/Keywords&gt;&lt;Keywords&gt;Survival Analysis&lt;/Keywords&gt;&lt;Keywords&gt;systemic lupus erythematosus&lt;/Keywords&gt;&lt;Keywords&gt;Time&lt;/Keywords&gt;&lt;Keywords&gt;Time Factors&lt;/Keywords&gt;&lt;Reprint&gt;Not in File&lt;/Reprint&gt;&lt;Start_Page&gt;1977&lt;/Start_Page&gt;&lt;End_Page&gt;1982&lt;/End_Page&gt;&lt;Periodical&gt;J.Rheumatol.&lt;/Periodical&gt;&lt;Volume&gt;30&lt;/Volume&gt;&lt;Issue&gt;9&lt;/Issue&gt;&lt;User_Def_1&gt;y&lt;/User_Def_1&gt;&lt;ZZ_JournalStdAbbrev&gt;&lt;f name="System"&gt;J.Rheumatol.&lt;/f&gt;&lt;/ZZ_JournalStdAbbrev&gt;&lt;ZZ_WorkformID&gt;1&lt;/ZZ_WorkformID&gt;&lt;/MDL&gt;&lt;/Cite&gt;&lt;/Refman&gt;</w:instrText>
      </w:r>
      <w:r w:rsidR="00E729BA">
        <w:fldChar w:fldCharType="separate"/>
      </w:r>
      <w:r w:rsidR="0081424E">
        <w:t>(142)</w:t>
      </w:r>
      <w:r w:rsidR="00E729BA">
        <w:fldChar w:fldCharType="end"/>
      </w:r>
      <w:r>
        <w:t>, and the results from the Hopkins cohort were 23%. Analysis from the Toronto group investigated the relationship between AMS and composite organ damage and reported a hazard ratio of 1.09</w:t>
      </w:r>
      <w:r w:rsidR="00600494">
        <w:t xml:space="preserve"> </w:t>
      </w:r>
      <w:r w:rsidR="00E729BA">
        <w:fldChar w:fldCharType="begin"/>
      </w:r>
      <w:r w:rsidR="00FC61FD">
        <w:instrText xml:space="preserve"> ADDIN REFMGR.CITE &lt;Refman&gt;&lt;Cite&gt;&lt;Author&gt;Ibanez&lt;/Author&gt;&lt;Year&gt;2005&lt;/Year&gt;&lt;RecNum&gt;575&lt;/RecNum&gt;&lt;IDText&gt;Adjusted mean Systemic Lupus Erythematosus Disease Activity Index-2K is a predictor of outcome in SLE&lt;/IDText&gt;&lt;MDL Ref_Type="Journal"&gt;&lt;Ref_Type&gt;Journal&lt;/Ref_Type&gt;&lt;Ref_ID&gt;575&lt;/Ref_ID&gt;&lt;Title_Primary&gt;Adjusted mean Systemic Lupus Erythematosus Disease Activity Index-2K is a predictor of outcome in SLE&lt;/Title_Primary&gt;&lt;Authors_Primary&gt;Ibanez,D.&lt;/Authors_Primary&gt;&lt;Authors_Primary&gt;Gladman,D.D.&lt;/Authors_Primary&gt;&lt;Authors_Primary&gt;Urowitz,M.B.&lt;/Authors_Primary&gt;&lt;Date_Primary&gt;2005/5&lt;/Date_Primary&gt;&lt;Keywords&gt;Adolescent&lt;/Keywords&gt;&lt;Keywords&gt;Adult&lt;/Keywords&gt;&lt;Keywords&gt;age&lt;/Keywords&gt;&lt;Keywords&gt;Aged&lt;/Keywords&gt;&lt;Keywords&gt;Aged,80 and over&lt;/Keywords&gt;&lt;Keywords&gt;analysis&lt;/Keywords&gt;&lt;Keywords&gt;Antimalarials&lt;/Keywords&gt;&lt;Keywords&gt;Arteries&lt;/Keywords&gt;&lt;Keywords&gt;Child&lt;/Keywords&gt;&lt;Keywords&gt;Child,Preschool&lt;/Keywords&gt;&lt;Keywords&gt;Coronary Artery Disease&lt;/Keywords&gt;&lt;Keywords&gt;diagnosis&lt;/Keywords&gt;&lt;Keywords&gt;Disease&lt;/Keywords&gt;&lt;Keywords&gt;erythematosus&lt;/Keywords&gt;&lt;Keywords&gt;Female&lt;/Keywords&gt;&lt;Keywords&gt;Health&lt;/Keywords&gt;&lt;Keywords&gt;hospital&lt;/Keywords&gt;&lt;Keywords&gt;Humans&lt;/Keywords&gt;&lt;Keywords&gt;lupus erythematosus&lt;/Keywords&gt;&lt;Keywords&gt;Lupus Erythematosus,Systemic&lt;/Keywords&gt;&lt;Keywords&gt;Male&lt;/Keywords&gt;&lt;Keywords&gt;methods&lt;/Keywords&gt;&lt;Keywords&gt;Middle Aged&lt;/Keywords&gt;&lt;Keywords&gt;Models,Statistical&lt;/Keywords&gt;&lt;Keywords&gt;mortality&lt;/Keywords&gt;&lt;Keywords&gt;Necrosis&lt;/Keywords&gt;&lt;Keywords&gt;Ontario&lt;/Keywords&gt;&lt;Keywords&gt;Osteonecrosis&lt;/Keywords&gt;&lt;Keywords&gt;patient&lt;/Keywords&gt;&lt;Keywords&gt;Patients&lt;/Keywords&gt;&lt;Keywords&gt;physiopathology&lt;/Keywords&gt;&lt;Keywords&gt;Predictive Value of Tests&lt;/Keywords&gt;&lt;Keywords&gt;Prognosis&lt;/Keywords&gt;&lt;Keywords&gt;Rheumatic Diseases&lt;/Keywords&gt;&lt;Keywords&gt;Risk&lt;/Keywords&gt;&lt;Keywords&gt;Risk Factors&lt;/Keywords&gt;&lt;Keywords&gt;Severity of Illness Index&lt;/Keywords&gt;&lt;Keywords&gt;sex&lt;/Keywords&gt;&lt;Keywords&gt;Steroids&lt;/Keywords&gt;&lt;Keywords&gt;Survival Analysis&lt;/Keywords&gt;&lt;Keywords&gt;systemic lupus erythematosus&lt;/Keywords&gt;&lt;Reprint&gt;Not in File&lt;/Reprint&gt;&lt;Start_Page&gt;824&lt;/Start_Page&gt;&lt;End_Page&gt;827&lt;/End_Page&gt;&lt;Periodical&gt;J.Rheumatol.&lt;/Periodical&gt;&lt;Volume&gt;32&lt;/Volume&gt;&lt;Issue&gt;5&lt;/Issue&gt;&lt;User_Def_1&gt;y&lt;/User_Def_1&gt;&lt;ZZ_JournalStdAbbrev&gt;&lt;f name="System"&gt;J.Rheumatol.&lt;/f&gt;&lt;/ZZ_JournalStdAbbrev&gt;&lt;ZZ_WorkformID&gt;1&lt;/ZZ_WorkformID&gt;&lt;/MDL&gt;&lt;/Cite&gt;&lt;/Refman&gt;</w:instrText>
      </w:r>
      <w:r w:rsidR="00E729BA">
        <w:fldChar w:fldCharType="separate"/>
      </w:r>
      <w:r w:rsidR="0081424E">
        <w:t>(176)</w:t>
      </w:r>
      <w:r w:rsidR="00E729BA">
        <w:fldChar w:fldCharType="end"/>
      </w:r>
      <w:r>
        <w:t>. In the Hopkins analysis the SLICC/ACR Damage Index was split by organ system, and we i</w:t>
      </w:r>
      <w:r w:rsidR="00600494">
        <w:t xml:space="preserve">dentify </w:t>
      </w:r>
      <w:r w:rsidR="00390DC7">
        <w:t>larger</w:t>
      </w:r>
      <w:r w:rsidR="00600494">
        <w:t xml:space="preserve"> risk ratios but </w:t>
      </w:r>
      <w:r>
        <w:t>only</w:t>
      </w:r>
      <w:r w:rsidR="00600494">
        <w:t xml:space="preserve"> in</w:t>
      </w:r>
      <w:r>
        <w:t xml:space="preserve"> three organ systems</w:t>
      </w:r>
      <w:r w:rsidR="00600494">
        <w:t xml:space="preserve">, </w:t>
      </w:r>
      <w:r w:rsidR="00390DC7">
        <w:t>across all organ systems</w:t>
      </w:r>
      <w:r w:rsidR="00600494">
        <w:t xml:space="preserve"> the average would be much closer to 1.09</w:t>
      </w:r>
      <w:r>
        <w:t xml:space="preserve">. </w:t>
      </w:r>
    </w:p>
    <w:p w:rsidR="00600494" w:rsidRDefault="00600494" w:rsidP="00600494">
      <w:r>
        <w:t xml:space="preserve">Complex natural history models have been adopted in other disease areas such as Diabetes, in which analyses of the UKPDS trial cohort were used to generate the UKPDS Outcomes model </w:t>
      </w:r>
      <w:r w:rsidR="00E729BA">
        <w:fldChar w:fldCharType="begin"/>
      </w:r>
      <w:r w:rsidR="00FC61FD">
        <w:instrText xml:space="preserve"> ADDIN REFMGR.CITE &lt;Refman&gt;&lt;Cite&gt;&lt;Author&gt;Clarke&lt;/Author&gt;&lt;Year&gt;2004&lt;/Year&gt;&lt;RecNum&gt;1641&lt;/RecNum&gt;&lt;IDText&gt;A model to estimate the lifetime health outcomes of patients with type 2 diabetes: the United Kingdom Prospective Diabetes Study (UKPDS) Outcomes Model (UKPDS no. 68)&lt;/IDText&gt;&lt;MDL Ref_Type="Journal"&gt;&lt;Ref_Type&gt;Journal&lt;/Ref_Type&gt;&lt;Ref_ID&gt;1641&lt;/Ref_ID&gt;&lt;Title_Primary&gt;A model to estimate the lifetime health outcomes of patients with type 2 diabetes: the United Kingdom Prospective Diabetes Study (UKPDS) Outcomes Model (UKPDS no. 68)&lt;/Title_Primary&gt;&lt;Authors_Primary&gt;Clarke,P.M.&lt;/Authors_Primary&gt;&lt;Authors_Primary&gt;Gray,A.M.&lt;/Authors_Primary&gt;&lt;Authors_Primary&gt;Briggs,A.&lt;/Authors_Primary&gt;&lt;Authors_Primary&gt;Farmer,A.J.&lt;/Authors_Primary&gt;&lt;Authors_Primary&gt;Fenn,P.&lt;/Authors_Primary&gt;&lt;Authors_Primary&gt;Stevens,R.J.&lt;/Authors_Primary&gt;&lt;Authors_Primary&gt;Matthews,D.R.&lt;/Authors_Primary&gt;&lt;Authors_Primary&gt;Stratton,I.M.&lt;/Authors_Primary&gt;&lt;Authors_Primary&gt;Holman,R.R.&lt;/Authors_Primary&gt;&lt;Date_Primary&gt;2004/10&lt;/Date_Primary&gt;&lt;Keywords&gt;Amputation&lt;/Keywords&gt;&lt;Keywords&gt;blood&lt;/Keywords&gt;&lt;Keywords&gt;Blood Glucose&lt;/Keywords&gt;&lt;Keywords&gt;Cardiovascular Diseases&lt;/Keywords&gt;&lt;Keywords&gt;complications&lt;/Keywords&gt;&lt;Keywords&gt;Computer Simulation&lt;/Keywords&gt;&lt;Keywords&gt;confidence interval&lt;/Keywords&gt;&lt;Keywords&gt;death&lt;/Keywords&gt;&lt;Keywords&gt;Diabetes Mellitus,Type 2&lt;/Keywords&gt;&lt;Keywords&gt;Diabetic Angiopathies&lt;/Keywords&gt;&lt;Keywords&gt;Diabetic Retinopathy&lt;/Keywords&gt;&lt;Keywords&gt;economics&lt;/Keywords&gt;&lt;Keywords&gt;epidemiology&lt;/Keywords&gt;&lt;Keywords&gt;evaluation&lt;/Keywords&gt;&lt;Keywords&gt;Female&lt;/Keywords&gt;&lt;Keywords&gt;follow up&lt;/Keywords&gt;&lt;Keywords&gt;Forecasting&lt;/Keywords&gt;&lt;Keywords&gt;Great Britain&lt;/Keywords&gt;&lt;Keywords&gt;Health&lt;/Keywords&gt;&lt;Keywords&gt;Health Status&lt;/Keywords&gt;&lt;Keywords&gt;Humans&lt;/Keywords&gt;&lt;Keywords&gt;Life&lt;/Keywords&gt;&lt;Keywords&gt;Life Expectancy&lt;/Keywords&gt;&lt;Keywords&gt;Male&lt;/Keywords&gt;&lt;Keywords&gt;metabolism&lt;/Keywords&gt;&lt;Keywords&gt;methods&lt;/Keywords&gt;&lt;Keywords&gt;Middle Aged&lt;/Keywords&gt;&lt;Keywords&gt;Models,Biological&lt;/Keywords&gt;&lt;Keywords&gt;mortality&lt;/Keywords&gt;&lt;Keywords&gt;patient&lt;/Keywords&gt;&lt;Keywords&gt;Patients&lt;/Keywords&gt;&lt;Keywords&gt;physiopathology&lt;/Keywords&gt;&lt;Keywords&gt;Public Health&lt;/Keywords&gt;&lt;Keywords&gt;Quality of Life&lt;/Keywords&gt;&lt;Keywords&gt;Quality-Adjusted Life Years&lt;/Keywords&gt;&lt;Keywords&gt;Reproducibility of Results&lt;/Keywords&gt;&lt;Keywords&gt;Research&lt;/Keywords&gt;&lt;Keywords&gt;Risk Factors&lt;/Keywords&gt;&lt;Keywords&gt;statistics &amp;amp; numerical data&lt;/Keywords&gt;&lt;Keywords&gt;Treatment Outcome&lt;/Keywords&gt;&lt;Reprint&gt;Not in File&lt;/Reprint&gt;&lt;Start_Page&gt;1747&lt;/Start_Page&gt;&lt;End_Page&gt;1759&lt;/End_Page&gt;&lt;Periodical&gt;Diabetologia.&lt;/Periodical&gt;&lt;Volume&gt;47&lt;/Volume&gt;&lt;Issue&gt;10&lt;/Issue&gt;&lt;ZZ_JournalStdAbbrev&gt;&lt;f name="System"&gt;Diabetologia.&lt;/f&gt;&lt;/ZZ_JournalStdAbbrev&gt;&lt;ZZ_WorkformID&gt;1&lt;/ZZ_WorkformID&gt;&lt;/MDL&gt;&lt;/Cite&gt;&lt;/Refman&gt;</w:instrText>
      </w:r>
      <w:r w:rsidR="00E729BA">
        <w:fldChar w:fldCharType="separate"/>
      </w:r>
      <w:r w:rsidR="00DF14BD">
        <w:t>(246)</w:t>
      </w:r>
      <w:r w:rsidR="00E729BA">
        <w:fldChar w:fldCharType="end"/>
      </w:r>
      <w:r>
        <w:t xml:space="preserve">. The UKPDS Outcomes model is a simulation model for Type 2 diabetes that can be used to estimate the likely occurrence of major diabetes-related complications over a lifetime. The UKPDS Outcomes model comprises seven Weibull survival models for key complications, three mortality </w:t>
      </w:r>
      <w:r w:rsidR="0002414E">
        <w:t xml:space="preserve">survival </w:t>
      </w:r>
      <w:r>
        <w:t xml:space="preserve">models with logistic and gompertz functional forms, and four linear regression models to describe the long term trajectories of important risk factors. The UKPDS model has been used in Health Technology Assessment for Diabetes interventions </w:t>
      </w:r>
      <w:r w:rsidR="00E729BA">
        <w:fldChar w:fldCharType="begin"/>
      </w:r>
      <w:r w:rsidR="00FC61FD">
        <w:instrText xml:space="preserve"> ADDIN REFMGR.CITE &lt;Refman&gt;&lt;Cite&gt;&lt;Author&gt;Waugh&lt;/Author&gt;&lt;Year&gt;2010&lt;/Year&gt;&lt;RecNum&gt;1642&lt;/RecNum&gt;&lt;IDText&gt;Newer agents for blood glucose control in type 2 diabetes: systematic review and economic evaluation&lt;/IDText&gt;&lt;MDL Ref_Type="Journal"&gt;&lt;Ref_Type&gt;Journal&lt;/Ref_Type&gt;&lt;Ref_ID&gt;1642&lt;/Ref_ID&gt;&lt;Title_Primary&gt;Newer agents for blood glucose control in type 2 diabetes: systematic review and economic evaluation&lt;/Title_Primary&gt;&lt;Authors_Primary&gt;Waugh,N.&lt;/Authors_Primary&gt;&lt;Authors_Primary&gt;Cummins,E.&lt;/Authors_Primary&gt;&lt;Authors_Primary&gt;Royle,P.&lt;/Authors_Primary&gt;&lt;Authors_Primary&gt;Clar,C.&lt;/Authors_Primary&gt;&lt;Authors_Primary&gt;Marien,M.&lt;/Authors_Primary&gt;&lt;Authors_Primary&gt;Richter,B.&lt;/Authors_Primary&gt;&lt;Authors_Primary&gt;Philip,S.&lt;/Authors_Primary&gt;&lt;Date_Primary&gt;2010/7&lt;/Date_Primary&gt;&lt;Keywords&gt;Adamantane&lt;/Keywords&gt;&lt;Keywords&gt;adverse effects&lt;/Keywords&gt;&lt;Keywords&gt;analogs &amp;amp; derivatives&lt;/Keywords&gt;&lt;Keywords&gt;analysis&lt;/Keywords&gt;&lt;Keywords&gt;blood&lt;/Keywords&gt;&lt;Keywords&gt;Blood Glucose&lt;/Keywords&gt;&lt;Keywords&gt;body weight&lt;/Keywords&gt;&lt;Keywords&gt;confidence interval&lt;/Keywords&gt;&lt;Keywords&gt;Cost-Benefit Analysis&lt;/Keywords&gt;&lt;Keywords&gt;Diabetes Mellitus,Type 2&lt;/Keywords&gt;&lt;Keywords&gt;Dipeptidyl-Peptidase IV Inhibitors&lt;/Keywords&gt;&lt;Keywords&gt;drug effects&lt;/Keywords&gt;&lt;Keywords&gt;drug therapy&lt;/Keywords&gt;&lt;Keywords&gt;economics&lt;/Keywords&gt;&lt;Keywords&gt;evaluation&lt;/Keywords&gt;&lt;Keywords&gt;follow up&lt;/Keywords&gt;&lt;Keywords&gt;Follow-Up Studies&lt;/Keywords&gt;&lt;Keywords&gt;food and drug administration&lt;/Keywords&gt;&lt;Keywords&gt;Glucagon-Like Peptide 1&lt;/Keywords&gt;&lt;Keywords&gt;Great Britain&lt;/Keywords&gt;&lt;Keywords&gt;Health&lt;/Keywords&gt;&lt;Keywords&gt;Heart&lt;/Keywords&gt;&lt;Keywords&gt;Heart Failure&lt;/Keywords&gt;&lt;Keywords&gt;Hemoglobin A,Glycosylated&lt;/Keywords&gt;&lt;Keywords&gt;Humans&lt;/Keywords&gt;&lt;Keywords&gt;Hypoglycemic Agents&lt;/Keywords&gt;&lt;Keywords&gt;Insulin&lt;/Keywords&gt;&lt;Keywords&gt;Insulin,Long-Acting&lt;/Keywords&gt;&lt;Keywords&gt;Life&lt;/Keywords&gt;&lt;Keywords&gt;Medline&lt;/Keywords&gt;&lt;Keywords&gt;methods&lt;/Keywords&gt;&lt;Keywords&gt;Nitriles&lt;/Keywords&gt;&lt;Keywords&gt;patient&lt;/Keywords&gt;&lt;Keywords&gt;Peptides&lt;/Keywords&gt;&lt;Keywords&gt;Pyrazines&lt;/Keywords&gt;&lt;Keywords&gt;Pyrrolidines&lt;/Keywords&gt;&lt;Keywords&gt;Quality of Life&lt;/Keywords&gt;&lt;Keywords&gt;Randomized Controlled Trials as Topic&lt;/Keywords&gt;&lt;Keywords&gt;Risk&lt;/Keywords&gt;&lt;Keywords&gt;safety&lt;/Keywords&gt;&lt;Keywords&gt;Software&lt;/Keywords&gt;&lt;Keywords&gt;State Medicine&lt;/Keywords&gt;&lt;Keywords&gt;therapeutic use&lt;/Keywords&gt;&lt;Keywords&gt;therapy&lt;/Keywords&gt;&lt;Keywords&gt;Thiazolidinediones&lt;/Keywords&gt;&lt;Keywords&gt;Triazoles&lt;/Keywords&gt;&lt;Keywords&gt;Venoms&lt;/Keywords&gt;&lt;Reprint&gt;Not in File&lt;/Reprint&gt;&lt;Start_Page&gt;1&lt;/Start_Page&gt;&lt;End_Page&gt;248&lt;/End_Page&gt;&lt;Periodical&gt;Health Technol.Assess.&lt;/Periodical&gt;&lt;Volume&gt;14&lt;/Volume&gt;&lt;Issue&gt;36&lt;/Issue&gt;&lt;ZZ_JournalStdAbbrev&gt;&lt;f name="System"&gt;Health Technol.Assess.&lt;/f&gt;&lt;/ZZ_JournalStdAbbrev&gt;&lt;ZZ_WorkformID&gt;1&lt;/ZZ_WorkformID&gt;&lt;/MDL&gt;&lt;/Cite&gt;&lt;/Refman&gt;</w:instrText>
      </w:r>
      <w:r w:rsidR="00E729BA">
        <w:fldChar w:fldCharType="separate"/>
      </w:r>
      <w:r w:rsidR="00DF14BD">
        <w:t>(247)</w:t>
      </w:r>
      <w:r w:rsidR="00E729BA">
        <w:fldChar w:fldCharType="end"/>
      </w:r>
      <w:r>
        <w:t xml:space="preserve">. The SLE natural history model </w:t>
      </w:r>
      <w:r w:rsidR="009F5DB9">
        <w:t xml:space="preserve">developed here </w:t>
      </w:r>
      <w:r>
        <w:t>is similar in that it include</w:t>
      </w:r>
      <w:r w:rsidR="0002414E">
        <w:t>s</w:t>
      </w:r>
      <w:r>
        <w:t xml:space="preserve"> statistical models to describe linear process over time and survival analysis to predict future events. Covariates within the statistical models ensure that inter-dependencies between disease outcomes are described in the simulation.</w:t>
      </w:r>
    </w:p>
    <w:p w:rsidR="00850AED" w:rsidRDefault="009F5DB9" w:rsidP="009F5DB9">
      <w:r>
        <w:t>My</w:t>
      </w:r>
      <w:r w:rsidR="00850AED">
        <w:t xml:space="preserve"> analysis of the Hopkins Lupus Cohort has made two main contributions to the literature. Firstly, it has provided a detailed description of the longitudinal outcomes of SLE for multiple disease outcomes from a single observational cohort. Previous studies have focussed on mortality or individual organ damage outcomes, such as cardiovascular events. Therefore, we have identified risk relationships for organ damage outcomes that have not been extensively studied, such as skin, ocular and gastrointestinal damage. Secondly, </w:t>
      </w:r>
      <w:r>
        <w:t>I</w:t>
      </w:r>
      <w:r w:rsidR="00850AED">
        <w:t xml:space="preserve"> have used statistical methods that can be easily implemented in a simulation model because they assume a distribution for the survivor function.  </w:t>
      </w:r>
    </w:p>
    <w:p w:rsidR="00850AED" w:rsidRDefault="00850AED" w:rsidP="00850AED">
      <w:pPr>
        <w:pStyle w:val="Heading3"/>
      </w:pPr>
      <w:bookmarkStart w:id="647" w:name="_Toc353377788"/>
      <w:bookmarkStart w:id="648" w:name="_Toc379467698"/>
      <w:r>
        <w:t>Value of Information Analysis</w:t>
      </w:r>
      <w:bookmarkEnd w:id="647"/>
      <w:bookmarkEnd w:id="648"/>
    </w:p>
    <w:p w:rsidR="00600494" w:rsidRDefault="00850AED" w:rsidP="00390DC7">
      <w:r>
        <w:t xml:space="preserve">The </w:t>
      </w:r>
      <w:r w:rsidR="00797F2D">
        <w:t>BCTS and CE model</w:t>
      </w:r>
      <w:r>
        <w:t xml:space="preserve"> developed for VOI analysis are relatively complex compared with other EVSI studies. </w:t>
      </w:r>
      <w:r w:rsidR="00600494">
        <w:t xml:space="preserve">Many studies had assumed that Net Benefit was normally distributed, and calculated EVSI analytically </w:t>
      </w:r>
      <w:r w:rsidR="00E729BA">
        <w:fldChar w:fldCharType="begin"/>
      </w:r>
      <w:r w:rsidR="00FC61FD">
        <w:instrText xml:space="preserve"> ADDIN REFMGR.CITE &lt;Refman&gt;&lt;Cite&gt;&lt;Author&gt;Claxton&lt;/Author&gt;&lt;Year&gt;1996&lt;/Year&gt;&lt;RecNum&gt;789&lt;/RecNum&gt;&lt;IDText&gt;An economic approach to clinical trial design and research priority-setting&lt;/IDText&gt;&lt;MDL Ref_Type="Journal"&gt;&lt;Ref_Type&gt;Journal&lt;/Ref_Type&gt;&lt;Ref_ID&gt;789&lt;/Ref_ID&gt;&lt;Title_Primary&gt;An economic approach to clinical trial design and research priority-setting&lt;/Title_Primary&gt;&lt;Authors_Primary&gt;Claxton,K.&lt;/Authors_Primary&gt;&lt;Authors_Primary&gt;Posnett,J.&lt;/Authors_Primary&gt;&lt;Date_Primary&gt;1996/11&lt;/Date_Primary&gt;&lt;Keywords&gt;analysis&lt;/Keywords&gt;&lt;Keywords&gt;Bayes Theorem&lt;/Keywords&gt;&lt;Keywords&gt;Bias (Epidemiology)&lt;/Keywords&gt;&lt;Keywords&gt;Budgets&lt;/Keywords&gt;&lt;Keywords&gt;clinical trial&lt;/Keywords&gt;&lt;Keywords&gt;Clinical Trials as Topic&lt;/Keywords&gt;&lt;Keywords&gt;Cost-Benefit Analysis&lt;/Keywords&gt;&lt;Keywords&gt;Decision Trees&lt;/Keywords&gt;&lt;Keywords&gt;economics&lt;/Keywords&gt;&lt;Keywords&gt;evaluation&lt;/Keywords&gt;&lt;Keywords&gt;Health Priorities&lt;/Keywords&gt;&lt;Keywords&gt;Health Services Research&lt;/Keywords&gt;&lt;Keywords&gt;Humans&lt;/Keywords&gt;&lt;Keywords&gt;methods&lt;/Keywords&gt;&lt;Keywords&gt;Models,Econometric&lt;/Keywords&gt;&lt;Keywords&gt;Research&lt;/Keywords&gt;&lt;Keywords&gt;Research Design&lt;/Keywords&gt;&lt;Keywords&gt;sample&lt;/Keywords&gt;&lt;Keywords&gt;Sample Size&lt;/Keywords&gt;&lt;Reprint&gt;Not in File&lt;/Reprint&gt;&lt;Start_Page&gt;513&lt;/Start_Page&gt;&lt;End_Page&gt;524&lt;/End_Page&gt;&lt;Periodical&gt;Health Econ.&lt;/Periodical&gt;&lt;Volume&gt;5&lt;/Volume&gt;&lt;Issue&gt;6&lt;/Issue&gt;&lt;User_Def_1&gt;yes&lt;/User_Def_1&gt;&lt;User_Def_2&gt;yes&lt;/User_Def_2&gt;&lt;ZZ_JournalStdAbbrev&gt;&lt;f name="System"&gt;Health Econ.&lt;/f&gt;&lt;/ZZ_JournalStdAbbrev&gt;&lt;ZZ_WorkformID&gt;1&lt;/ZZ_WorkformID&gt;&lt;/MDL&gt;&lt;/Cite&gt;&lt;Cite&gt;&lt;Author&gt;Claxton&lt;/Author&gt;&lt;Year&gt;1999&lt;/Year&gt;&lt;RecNum&gt;137&lt;/RecNum&gt;&lt;IDText&gt;The irrelevance of inference: a decision-making approach to the stochastic evaluation of health care technologies&lt;/IDText&gt;&lt;MDL Ref_Type="Journal"&gt;&lt;Ref_Type&gt;Journal&lt;/Ref_Type&gt;&lt;Ref_ID&gt;137&lt;/Ref_ID&gt;&lt;Title_Primary&gt;The irrelevance of inference: a decision-making approach to the stochastic evaluation of health care technologies&lt;/Title_Primary&gt;&lt;Authors_Primary&gt;Claxton,K.&lt;/Authors_Primary&gt;&lt;Date_Primary&gt;1999&lt;/Date_Primary&gt;&lt;Keywords&gt;analysis&lt;/Keywords&gt;&lt;Keywords&gt;classification&lt;/Keywords&gt;&lt;Keywords&gt;Decision Making&lt;/Keywords&gt;&lt;Keywords&gt;evaluation&lt;/Keywords&gt;&lt;Keywords&gt;Health&lt;/Keywords&gt;&lt;Keywords&gt;Research&lt;/Keywords&gt;&lt;Reprint&gt;Not in File&lt;/Reprint&gt;&lt;Start_Page&gt;341&lt;/Start_Page&gt;&lt;End_Page&gt;364&lt;/End_Page&gt;&lt;Periodical&gt;Journal of Health Economics&lt;/Periodical&gt;&lt;Volume&gt;18&lt;/Volume&gt;&lt;Issue&gt;3&lt;/Issue&gt;&lt;User_Def_1&gt;yes&lt;/User_Def_1&gt;&lt;User_Def_2&gt;yes&lt;/User_Def_2&gt;&lt;ISSN_ISBN&gt;0167-6296&lt;/ISSN_ISBN&gt;&lt;Web_URL&gt;WOS:000080526900004&lt;/Web_URL&gt;&lt;ZZ_JournalFull&gt;&lt;f name="System"&gt;Journal of Health Economics&lt;/f&gt;&lt;/ZZ_JournalFull&gt;&lt;ZZ_WorkformID&gt;1&lt;/ZZ_WorkformID&gt;&lt;/MDL&gt;&lt;/Cite&gt;&lt;Cite&gt;&lt;Author&gt;Eckermann&lt;/Author&gt;&lt;Year&gt;2007&lt;/Year&gt;&lt;RecNum&gt;294&lt;/RecNum&gt;&lt;IDText&gt;Expected value of information and decision making in HTA&lt;/IDText&gt;&lt;MDL Ref_Type="Journal"&gt;&lt;Ref_Type&gt;Journal&lt;/Ref_Type&gt;&lt;Ref_ID&gt;294&lt;/Ref_ID&gt;&lt;Title_Primary&gt;Expected value of information and decision making in HTA&lt;/Title_Primary&gt;&lt;Authors_Primary&gt;Eckermann,Simon&lt;/Authors_Primary&gt;&lt;Authors_Primary&gt;Willan,Andrew R.&lt;/Authors_Primary&gt;&lt;Date_Primary&gt;2007&lt;/Date_Primary&gt;&lt;Keywords&gt;clinical trial&lt;/Keywords&gt;&lt;Keywords&gt;Decision Making&lt;/Keywords&gt;&lt;Keywords&gt;Health&lt;/Keywords&gt;&lt;Keywords&gt;methods&lt;/Keywords&gt;&lt;Keywords&gt;Research&lt;/Keywords&gt;&lt;Keywords&gt;sample&lt;/Keywords&gt;&lt;Reprint&gt;Not in File&lt;/Reprint&gt;&lt;Start_Page&gt;195&lt;/Start_Page&gt;&lt;End_Page&gt;209&lt;/End_Page&gt;&lt;Periodical&gt;Health Economics&lt;/Periodical&gt;&lt;Volume&gt;16&lt;/Volume&gt;&lt;Issue&gt;2&lt;/Issue&gt;&lt;User_Def_1&gt;yes&lt;/User_Def_1&gt;&lt;User_Def_2&gt;yes&lt;/User_Def_2&gt;&lt;ISSN_ISBN&gt;1057-9230&lt;/ISSN_ISBN&gt;&lt;Web_URL&gt;WOS:000244233500007&lt;/Web_URL&gt;&lt;ZZ_JournalFull&gt;&lt;f name="System"&gt;Health Economics&lt;/f&gt;&lt;/ZZ_JournalFull&gt;&lt;ZZ_WorkformID&gt;1&lt;/ZZ_WorkformID&gt;&lt;/MDL&gt;&lt;/Cite&gt;&lt;Cite&gt;&lt;Author&gt;Willan&lt;/Author&gt;&lt;Year&gt;2005&lt;/Year&gt;&lt;RecNum&gt;87&lt;/RecNum&gt;&lt;IDText&gt;The value of information and optimal clinical trial design&lt;/IDText&gt;&lt;MDL Ref_Type="Journal"&gt;&lt;Ref_Type&gt;Journal&lt;/Ref_Type&gt;&lt;Ref_ID&gt;87&lt;/Ref_ID&gt;&lt;Title_Primary&gt;The value of information and optimal clinical trial design&lt;/Title_Primary&gt;&lt;Authors_Primary&gt;Willan,A.R.&lt;/Authors_Primary&gt;&lt;Authors_Primary&gt;Pinto,E.M.&lt;/Authors_Primary&gt;&lt;Date_Primary&gt;2005&lt;/Date_Primary&gt;&lt;Keywords&gt;clinical trial&lt;/Keywords&gt;&lt;Keywords&gt;Decision Making&lt;/Keywords&gt;&lt;Keywords&gt;methods&lt;/Keywords&gt;&lt;Keywords&gt;Probability&lt;/Keywords&gt;&lt;Keywords&gt;sample&lt;/Keywords&gt;&lt;Keywords&gt;Sample Size&lt;/Keywords&gt;&lt;Keywords&gt;Time&lt;/Keywords&gt;&lt;Reprint&gt;Not in File&lt;/Reprint&gt;&lt;Start_Page&gt;1791&lt;/Start_Page&gt;&lt;End_Page&gt;1806&lt;/End_Page&gt;&lt;Periodical&gt;Statistics in Medicine&lt;/Periodical&gt;&lt;Volume&gt;24&lt;/Volume&gt;&lt;Issue&gt;12&lt;/Issue&gt;&lt;User_Def_1&gt;yes&lt;/User_Def_1&gt;&lt;User_Def_2&gt;yes&lt;/User_Def_2&gt;&lt;ISSN_ISBN&gt;0277-6715&lt;/ISSN_ISBN&gt;&lt;Web_URL&gt;WOS:000229688600002&lt;/Web_URL&gt;&lt;ZZ_JournalFull&gt;&lt;f name="System"&gt;Statistics in Medicine&lt;/f&gt;&lt;/ZZ_JournalFull&gt;&lt;ZZ_WorkformID&gt;1&lt;/ZZ_WorkformID&gt;&lt;/MDL&gt;&lt;/Cite&gt;&lt;Cite&gt;&lt;Author&gt;Willan&lt;/Author&gt;&lt;Year&gt;2012&lt;/Year&gt;&lt;RecNum&gt;1634&lt;/RecNum&gt;&lt;IDText&gt;Value of information and pricing new healthcare interventions&lt;/IDText&gt;&lt;MDL Ref_Type="Journal"&gt;&lt;Ref_Type&gt;Journal&lt;/Ref_Type&gt;&lt;Ref_ID&gt;1634&lt;/Ref_ID&gt;&lt;Title_Primary&gt;Value of information and pricing new healthcare interventions&lt;/Title_Primary&gt;&lt;Authors_Primary&gt;Willan,A.R.&lt;/Authors_Primary&gt;&lt;Authors_Primary&gt;Eckermann,S.&lt;/Authors_Primary&gt;&lt;Date_Primary&gt;2012/6/1&lt;/Date_Primary&gt;&lt;Keywords&gt;Canada&lt;/Keywords&gt;&lt;Keywords&gt;clinical trial&lt;/Keywords&gt;&lt;Keywords&gt;Clinical Trials as Topic&lt;/Keywords&gt;&lt;Keywords&gt;Costs and Cost Analysis&lt;/Keywords&gt;&lt;Keywords&gt;Decision Making&lt;/Keywords&gt;&lt;Keywords&gt;Decision Making,Organizational&lt;/Keywords&gt;&lt;Keywords&gt;Delivery of Health Care&lt;/Keywords&gt;&lt;Keywords&gt;Drug Industry&lt;/Keywords&gt;&lt;Keywords&gt;economics&lt;/Keywords&gt;&lt;Keywords&gt;Great Britain&lt;/Keywords&gt;&lt;Keywords&gt;Health&lt;/Keywords&gt;&lt;Keywords&gt;Health Care Costs&lt;/Keywords&gt;&lt;Keywords&gt;Humans&lt;/Keywords&gt;&lt;Keywords&gt;methods&lt;/Keywords&gt;&lt;Keywords&gt;Patents as Topic&lt;/Keywords&gt;&lt;Keywords&gt;Reimbursement Mechanisms&lt;/Keywords&gt;&lt;Keywords&gt;Research&lt;/Keywords&gt;&lt;Reprint&gt;Not in File&lt;/Reprint&gt;&lt;Start_Page&gt;447&lt;/Start_Page&gt;&lt;End_Page&gt;459&lt;/End_Page&gt;&lt;Periodical&gt;Pharmacoeconomics.&lt;/Periodical&gt;&lt;Volume&gt;30&lt;/Volume&gt;&lt;Issue&gt;6&lt;/Issue&gt;&lt;ZZ_JournalStdAbbrev&gt;&lt;f name="System"&gt;Pharmacoeconomics.&lt;/f&gt;&lt;/ZZ_JournalStdAbbrev&gt;&lt;ZZ_WorkformID&gt;1&lt;/ZZ_WorkformID&gt;&lt;/MDL&gt;&lt;/Cite&gt;&lt;Cite&gt;&lt;Author&gt;Willan&lt;/Author&gt;&lt;Year&gt;2007&lt;/Year&gt;&lt;RecNum&gt;59&lt;/RecNum&gt;&lt;IDText&gt;Clinical decision making and the expected value of information&lt;/IDText&gt;&lt;MDL Ref_Type="Journal"&gt;&lt;Ref_Type&gt;Journal&lt;/Ref_Type&gt;&lt;Ref_ID&gt;59&lt;/Ref_ID&gt;&lt;Title_Primary&gt;Clinical decision making and the expected value of information&lt;/Title_Primary&gt;&lt;Authors_Primary&gt;Willan,Andrew R.&lt;/Authors_Primary&gt;&lt;Date_Primary&gt;2007&lt;/Date_Primary&gt;&lt;Keywords&gt;Canada&lt;/Keywords&gt;&lt;Keywords&gt;clinical trial&lt;/Keywords&gt;&lt;Keywords&gt;death&lt;/Keywords&gt;&lt;Keywords&gt;Decision Making&lt;/Keywords&gt;&lt;Keywords&gt;Health&lt;/Keywords&gt;&lt;Keywords&gt;Infarction&lt;/Keywords&gt;&lt;Keywords&gt;methods&lt;/Keywords&gt;&lt;Keywords&gt;Myocardial Infarction&lt;/Keywords&gt;&lt;Keywords&gt;patient&lt;/Keywords&gt;&lt;Keywords&gt;Patients&lt;/Keywords&gt;&lt;Keywords&gt;Risk&lt;/Keywords&gt;&lt;Keywords&gt;sample&lt;/Keywords&gt;&lt;Keywords&gt;Sample Size&lt;/Keywords&gt;&lt;Keywords&gt;Stroke&lt;/Keywords&gt;&lt;Reprint&gt;Not in File&lt;/Reprint&gt;&lt;Start_Page&gt;279&lt;/Start_Page&gt;&lt;End_Page&gt;285&lt;/End_Page&gt;&lt;Periodical&gt;Clinical Trials&lt;/Periodical&gt;&lt;Volume&gt;4&lt;/Volume&gt;&lt;Issue&gt;3&lt;/Issue&gt;&lt;User_Def_1&gt;yes&lt;/User_Def_1&gt;&lt;User_Def_2&gt;yes&lt;/User_Def_2&gt;&lt;ISSN_ISBN&gt;1740-7745&lt;/ISSN_ISBN&gt;&lt;Web_URL&gt;WOS:000249489200013&lt;/Web_URL&gt;&lt;ZZ_JournalFull&gt;&lt;f name="System"&gt;Clinical Trials&lt;/f&gt;&lt;/ZZ_JournalFull&gt;&lt;ZZ_WorkformID&gt;1&lt;/ZZ_WorkformID&gt;&lt;/MDL&gt;&lt;/Cite&gt;&lt;/Refman&gt;</w:instrText>
      </w:r>
      <w:r w:rsidR="00E729BA">
        <w:fldChar w:fldCharType="separate"/>
      </w:r>
      <w:r w:rsidR="0081424E">
        <w:t>(33;94;100;101;106;129)</w:t>
      </w:r>
      <w:r w:rsidR="00E729BA">
        <w:fldChar w:fldCharType="end"/>
      </w:r>
      <w:r w:rsidR="00600494">
        <w:t>. Even when existing CE models have been used</w:t>
      </w:r>
      <w:r>
        <w:t xml:space="preserve"> VOI analyses have</w:t>
      </w:r>
      <w:r w:rsidRPr="009563CC">
        <w:t xml:space="preserve"> </w:t>
      </w:r>
      <w:r>
        <w:t>evaluated future trial designs whose outcomes can be sampled from a single</w:t>
      </w:r>
      <w:r w:rsidR="00390DC7">
        <w:t xml:space="preserve"> probability</w:t>
      </w:r>
      <w:r>
        <w:t xml:space="preserve"> distribution</w:t>
      </w:r>
      <w:r w:rsidR="00600494">
        <w:t xml:space="preserve">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81424E">
        <w:t>(111;113)</w:t>
      </w:r>
      <w:r w:rsidR="00E729BA">
        <w:fldChar w:fldCharType="end"/>
      </w:r>
      <w:r>
        <w:t xml:space="preserve">. </w:t>
      </w:r>
      <w:r w:rsidR="00600494">
        <w:t>This approach could not be taken because the SLE trial would update multiple CE model parameters and the correlation between these parameters was unknown</w:t>
      </w:r>
      <w:r>
        <w:t xml:space="preserve">. </w:t>
      </w:r>
      <w:r w:rsidR="007C1BE9">
        <w:t xml:space="preserve">It was not possible </w:t>
      </w:r>
      <w:r w:rsidR="00D26C78">
        <w:t xml:space="preserve">to </w:t>
      </w:r>
      <w:r w:rsidR="007C1BE9">
        <w:t xml:space="preserve">update the treatment effect parameters independent from the organ damage and mortality </w:t>
      </w:r>
      <w:r w:rsidR="00797F2D">
        <w:t xml:space="preserve">survival </w:t>
      </w:r>
      <w:r w:rsidR="007C1BE9">
        <w:t>models because the parameter is nested within the regression models. Adjusted Mean SLEDAI and cumulative average steroid dose describe some of the difference in treatment effect.  The correlation between these coefficients and the treatment coefficient was unknown.</w:t>
      </w:r>
    </w:p>
    <w:p w:rsidR="00850AED" w:rsidRDefault="00850AED" w:rsidP="007C1BE9">
      <w:r>
        <w:t xml:space="preserve">Assuming conjugate distributions for CE model parameters is an efficient method to update the prior with new data. However, many of the prior distributions of the CE model were non-conjugate. The </w:t>
      </w:r>
      <w:r w:rsidR="00797F2D">
        <w:t xml:space="preserve">survival </w:t>
      </w:r>
      <w:r>
        <w:t xml:space="preserve">models to describe the risk of organ damage and mortality have Weibull, log-logistic and Gompertz survival functions. </w:t>
      </w:r>
      <w:r w:rsidR="007C1BE9">
        <w:t>These distribution</w:t>
      </w:r>
      <w:r w:rsidR="00FE7941">
        <w:t>s</w:t>
      </w:r>
      <w:r w:rsidR="007C1BE9">
        <w:t xml:space="preserve"> do not have conjugate priors. </w:t>
      </w:r>
    </w:p>
    <w:p w:rsidR="007C1BE9" w:rsidRDefault="00850AED" w:rsidP="00DD08F2">
      <w:r>
        <w:t>In order to increase the efficiency of the EVSI I adopted the Brennan and K</w:t>
      </w:r>
      <w:r w:rsidR="00DD08F2">
        <w:t>h</w:t>
      </w:r>
      <w:r>
        <w:t>arroubi (B&amp;K) Bayesian approximation technique</w:t>
      </w:r>
      <w:r w:rsidR="007C1BE9">
        <w:t xml:space="preserve"> </w:t>
      </w:r>
      <w:r w:rsidR="00E729BA">
        <w:fldChar w:fldCharType="begin"/>
      </w:r>
      <w:r w:rsidR="00FC61FD">
        <w:instrText xml:space="preserve"> ADDIN REFMGR.CITE &lt;Refman&gt;&lt;Cite&gt;&lt;Author&gt;Brennan&lt;/Author&gt;&lt;Year&gt;2007&lt;/Year&gt;&lt;RecNum&gt;60&lt;/RecNum&gt;&lt;IDText&gt;Efficient computation of partial expected value of sample information using Bayesian approximation&lt;/IDText&gt;&lt;MDL Ref_Type="Journal"&gt;&lt;Ref_Type&gt;Journal&lt;/Ref_Type&gt;&lt;Ref_ID&gt;60&lt;/Ref_ID&gt;&lt;Title_Primary&gt;Efficient computation of partial expected value of sample information using Bayesian approximation&lt;/Title_Primary&gt;&lt;Authors_Primary&gt;Brennan,Alan&lt;/Authors_Primary&gt;&lt;Authors_Primary&gt;Kharroubi,Samer A.&lt;/Authors_Primary&gt;&lt;Date_Primary&gt;2007&lt;/Date_Primary&gt;&lt;Keywords&gt;Health&lt;/Keywords&gt;&lt;Keywords&gt;methods&lt;/Keywords&gt;&lt;Keywords&gt;sample&lt;/Keywords&gt;&lt;Keywords&gt;Sample Size&lt;/Keywords&gt;&lt;Reprint&gt;Not in File&lt;/Reprint&gt;&lt;Start_Page&gt;122&lt;/Start_Page&gt;&lt;End_Page&gt;148&lt;/End_Page&gt;&lt;Periodical&gt;Journal of Health Economics&lt;/Periodical&gt;&lt;Volume&gt;26&lt;/Volume&gt;&lt;Issue&gt;1&lt;/Issue&gt;&lt;User_Def_1&gt;yes&lt;/User_Def_1&gt;&lt;User_Def_2&gt;yes&lt;/User_Def_2&gt;&lt;ISSN_ISBN&gt;0167-6296&lt;/ISSN_ISBN&gt;&lt;Web_URL&gt;WOS:000243808700007&lt;/Web_URL&gt;&lt;ZZ_JournalFull&gt;&lt;f name="System"&gt;Journal of Health Economics&lt;/f&gt;&lt;/ZZ_JournalFull&gt;&lt;ZZ_WorkformID&gt;1&lt;/ZZ_WorkformID&gt;&lt;/MDL&gt;&lt;/Cite&gt;&lt;Cite&gt;&lt;Author&gt;Brennan&lt;/Author&gt;&lt;Year&gt;2007&lt;/Year&gt;&lt;RecNum&gt;53&lt;/RecNum&gt;&lt;IDText&gt;Expected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fldChar w:fldCharType="separate"/>
      </w:r>
      <w:r w:rsidR="0081424E">
        <w:t>(115;116)</w:t>
      </w:r>
      <w:r w:rsidR="00E729BA">
        <w:fldChar w:fldCharType="end"/>
      </w:r>
      <w:r>
        <w:t xml:space="preserve">. </w:t>
      </w:r>
      <w:r w:rsidR="007C1BE9">
        <w:t>The B&amp;K Approximation was introduced in 2007 with two case study example</w:t>
      </w:r>
      <w:r w:rsidR="00390DC7">
        <w:t>s</w:t>
      </w:r>
      <w:r w:rsidR="007C1BE9">
        <w:t xml:space="preserve">. Since then the method has been adapted to evaluate unbalanced datasets if multiple studies are planned </w:t>
      </w:r>
      <w:r w:rsidR="00E729BA">
        <w:fldChar w:fldCharType="begin"/>
      </w:r>
      <w:r w:rsidR="00FC61FD">
        <w:instrText xml:space="preserve"> ADDIN REFMGR.CITE &lt;Refman&gt;&lt;Cite&gt;&lt;Author&gt;Kharroubi&lt;/Author&gt;&lt;Year&gt;2011&lt;/Year&gt;&lt;RecNum&gt;681&lt;/RecNum&gt;&lt;IDText&gt;Estimating Expected Value of Sample Information for Incomplete Data Models Using Bayesian Approximation&lt;/IDText&gt;&lt;MDL Ref_Type="Journal"&gt;&lt;Ref_Type&gt;Journal&lt;/Ref_Type&gt;&lt;Ref_ID&gt;681&lt;/Ref_ID&gt;&lt;Title_Primary&gt;Estimating Expected Value of Sample Information for Incomplete Data Models Using Bayesian Approximation&lt;/Title_Primary&gt;&lt;Authors_Primary&gt;Kharroubi,Samer A.&lt;/Authors_Primary&gt;&lt;Authors_Primary&gt;Brennan,Alan&lt;/Authors_Primary&gt;&lt;Authors_Primary&gt;Strong,Mark&lt;/Authors_Primary&gt;&lt;Date_Primary&gt;2011&lt;/Date_Primary&gt;&lt;Keywords&gt;article&lt;/Keywords&gt;&lt;Keywords&gt;Data Collection&lt;/Keywords&gt;&lt;Keywords&gt;Health&lt;/Keywords&gt;&lt;Keywords&gt;methods&lt;/Keywords&gt;&lt;Keywords&gt;sample&lt;/Keywords&gt;&lt;Reprint&gt;Not in File&lt;/Reprint&gt;&lt;Start_Page&gt;839&lt;/Start_Page&gt;&lt;End_Page&gt;852&lt;/End_Page&gt;&lt;Periodical&gt;Medical Decision Making&lt;/Periodical&gt;&lt;Volume&gt;31&lt;/Volume&gt;&lt;Issue&gt;6&lt;/Issue&gt;&lt;User_Def_1&gt;yes&lt;/User_Def_1&gt;&lt;ISSN_ISBN&gt;0272-989X&lt;/ISSN_ISBN&gt;&lt;Web_URL&gt;WOS:000296697100011&lt;/Web_URL&gt;&lt;ZZ_JournalFull&gt;&lt;f name="System"&gt;Medical Decision Making&lt;/f&gt;&lt;/ZZ_JournalFull&gt;&lt;ZZ_WorkformID&gt;1&lt;/ZZ_WorkformID&gt;&lt;/MDL&gt;&lt;/Cite&gt;&lt;/Refman&gt;</w:instrText>
      </w:r>
      <w:r w:rsidR="00E729BA">
        <w:fldChar w:fldCharType="separate"/>
      </w:r>
      <w:r w:rsidR="0081424E">
        <w:t>(114)</w:t>
      </w:r>
      <w:r w:rsidR="00E729BA">
        <w:fldChar w:fldCharType="end"/>
      </w:r>
      <w:r w:rsidR="007C1BE9">
        <w:t xml:space="preserve">. </w:t>
      </w:r>
      <w:r w:rsidR="00DD08F2">
        <w:t xml:space="preserve">I </w:t>
      </w:r>
      <w:r w:rsidR="007C1BE9">
        <w:t>applied</w:t>
      </w:r>
      <w:r w:rsidR="00DD08F2">
        <w:t xml:space="preserve"> the method to a </w:t>
      </w:r>
      <w:r w:rsidR="007C1BE9">
        <w:t xml:space="preserve">complex reimbursement </w:t>
      </w:r>
      <w:r w:rsidR="00DD08F2">
        <w:t>individual patient simulation</w:t>
      </w:r>
      <w:r w:rsidR="007C1BE9">
        <w:t xml:space="preserve"> model with </w:t>
      </w:r>
      <w:r w:rsidR="00E47A32">
        <w:t>144 parameters</w:t>
      </w:r>
      <w:r w:rsidR="00DD08F2">
        <w:t>,</w:t>
      </w:r>
      <w:r w:rsidR="00E47A32">
        <w:t xml:space="preserve"> of which 82 </w:t>
      </w:r>
      <w:r w:rsidR="003800F9">
        <w:t>were</w:t>
      </w:r>
      <w:r w:rsidR="00E47A32">
        <w:t xml:space="preserve"> updated with trial data</w:t>
      </w:r>
      <w:r w:rsidR="007C1BE9">
        <w:t>.</w:t>
      </w:r>
      <w:r w:rsidR="00AF00AD" w:rsidRPr="00AF00AD">
        <w:t xml:space="preserve"> </w:t>
      </w:r>
      <w:r w:rsidR="00AF00AD">
        <w:t xml:space="preserve">The SLE CE model </w:t>
      </w:r>
      <w:r w:rsidR="00DD08F2">
        <w:t xml:space="preserve">I have developed </w:t>
      </w:r>
      <w:r w:rsidR="003800F9">
        <w:t>was</w:t>
      </w:r>
      <w:r w:rsidR="00AF00AD">
        <w:t xml:space="preserve"> more complex than the previous applications of B&amp;K, and </w:t>
      </w:r>
      <w:r w:rsidR="003800F9">
        <w:t>has</w:t>
      </w:r>
      <w:r w:rsidR="00AF00AD">
        <w:t xml:space="preserve"> more parameter</w:t>
      </w:r>
      <w:r w:rsidR="00DD08F2">
        <w:t>s to update than most CE models. As such,</w:t>
      </w:r>
      <w:r w:rsidR="00AF00AD">
        <w:t xml:space="preserve"> it can be viewed as an extreme test of the method. </w:t>
      </w:r>
      <w:r w:rsidR="00DD08F2">
        <w:t xml:space="preserve">Brennan and Kharroubi (2007) </w:t>
      </w:r>
      <w:r w:rsidR="00AF00AD">
        <w:t xml:space="preserve">stated that the method can be extended to more complex CE models where the greatest efficiency gains can be made </w:t>
      </w:r>
      <w:r w:rsidR="00E729BA">
        <w:fldChar w:fldCharType="begin"/>
      </w:r>
      <w:r w:rsidR="00FC61FD">
        <w:instrText xml:space="preserve"> ADDIN REFMGR.CITE &lt;Refman&gt;&lt;Cite&gt;&lt;Author&gt;Brennan&lt;/Author&gt;&lt;Year&gt;2007&lt;/Year&gt;&lt;RecNum&gt;60&lt;/RecNum&gt;&lt;IDText&gt;Efficient computation of partial expected value of sample information using Bayesian approximation&lt;/IDText&gt;&lt;MDL Ref_Type="Journal"&gt;&lt;Ref_Type&gt;Journal&lt;/Ref_Type&gt;&lt;Ref_ID&gt;60&lt;/Ref_ID&gt;&lt;Title_Primary&gt;Efficient computation of partial expected value of sample information using Bayesian approximation&lt;/Title_Primary&gt;&lt;Authors_Primary&gt;Brennan,Alan&lt;/Authors_Primary&gt;&lt;Authors_Primary&gt;Kharroubi,Samer A.&lt;/Authors_Primary&gt;&lt;Date_Primary&gt;2007&lt;/Date_Primary&gt;&lt;Keywords&gt;Health&lt;/Keywords&gt;&lt;Keywords&gt;methods&lt;/Keywords&gt;&lt;Keywords&gt;sample&lt;/Keywords&gt;&lt;Keywords&gt;Sample Size&lt;/Keywords&gt;&lt;Reprint&gt;Not in File&lt;/Reprint&gt;&lt;Start_Page&gt;122&lt;/Start_Page&gt;&lt;End_Page&gt;148&lt;/End_Page&gt;&lt;Periodical&gt;Journal of Health Economics&lt;/Periodical&gt;&lt;Volume&gt;26&lt;/Volume&gt;&lt;Issue&gt;1&lt;/Issue&gt;&lt;User_Def_1&gt;yes&lt;/User_Def_1&gt;&lt;User_Def_2&gt;yes&lt;/User_Def_2&gt;&lt;ISSN_ISBN&gt;0167-6296&lt;/ISSN_ISBN&gt;&lt;Web_URL&gt;WOS:000243808700007&lt;/Web_URL&gt;&lt;ZZ_JournalFull&gt;&lt;f name="System"&gt;Journal of Health Economics&lt;/f&gt;&lt;/ZZ_JournalFull&gt;&lt;ZZ_WorkformID&gt;1&lt;/ZZ_WorkformID&gt;&lt;/MDL&gt;&lt;/Cite&gt;&lt;/Refman&gt;</w:instrText>
      </w:r>
      <w:r w:rsidR="00E729BA">
        <w:fldChar w:fldCharType="separate"/>
      </w:r>
      <w:r w:rsidR="0081424E">
        <w:t>(116)</w:t>
      </w:r>
      <w:r w:rsidR="00E729BA">
        <w:fldChar w:fldCharType="end"/>
      </w:r>
      <w:r w:rsidR="00AF00AD">
        <w:t>. In this thesis I tested this claim and applied the method to a CE model with 144 parameters, which includes fourteen independent regression models and many costs and utility estimate</w:t>
      </w:r>
      <w:r w:rsidR="00D26C78">
        <w:t>s</w:t>
      </w:r>
      <w:r w:rsidR="00AF00AD">
        <w:t>.</w:t>
      </w:r>
      <w:r w:rsidR="00DD08F2">
        <w:t xml:space="preserve"> I found that the method can be extended to more complex CE model and has considerable efficiency savings compared with MCMC methods. </w:t>
      </w:r>
    </w:p>
    <w:p w:rsidR="00850AED" w:rsidRDefault="00850AED" w:rsidP="00DD08F2">
      <w:r>
        <w:t>Several modifications were made to the original B&amp;K code</w:t>
      </w:r>
      <w:r w:rsidR="00690E07">
        <w:t xml:space="preserve"> accompanying the Weibull example </w:t>
      </w:r>
      <w:r w:rsidR="00E729BA">
        <w:fldChar w:fldCharType="begin"/>
      </w:r>
      <w:r w:rsidR="00FC61FD">
        <w:instrText xml:space="preserve"> ADDIN REFMGR.CITE &lt;Refman&gt;&lt;Cite&gt;&lt;Author&gt;Brennan&lt;/Author&gt;&lt;Year&gt;2007&lt;/Year&gt;&lt;RecNum&gt;53&lt;/RecNum&gt;&lt;IDText&gt;Expected value of sample information for Weibull survival data&lt;/IDText&gt;&lt;MDL Ref_Type="Journal"&gt;&lt;Ref_Type&gt;Journal&lt;/Ref_Type&gt;&lt;Ref_ID&gt;53&lt;/Ref_ID&gt;&lt;Title_Primary&gt;Expected value of sample information for Weibull survival data&lt;/Title_Primary&gt;&lt;Authors_Primary&gt;Brennan,Alan&lt;/Authors_Primary&gt;&lt;Authors_Primary&gt;Kharroubi,Samer A.&lt;/Authors_Primary&gt;&lt;Date_Primary&gt;2007&lt;/Date_Primary&gt;&lt;Keywords&gt;Data Collection&lt;/Keywords&gt;&lt;Keywords&gt;methods&lt;/Keywords&gt;&lt;Keywords&gt;sample&lt;/Keywords&gt;&lt;Keywords&gt;Time&lt;/Keywords&gt;&lt;Reprint&gt;Not in File&lt;/Reprint&gt;&lt;Start_Page&gt;1205&lt;/Start_Page&gt;&lt;End_Page&gt;1225&lt;/End_Page&gt;&lt;Periodical&gt;Health Economics&lt;/Periodical&gt;&lt;Volume&gt;16&lt;/Volume&gt;&lt;Issue&gt;11&lt;/Issue&gt;&lt;User_Def_1&gt;yes&lt;/User_Def_1&gt;&lt;User_Def_2&gt;yes&lt;/User_Def_2&gt;&lt;ISSN_ISBN&gt;1057-9230&lt;/ISSN_ISBN&gt;&lt;Web_URL&gt;WOS:000250661400005&lt;/Web_URL&gt;&lt;ZZ_JournalFull&gt;&lt;f name="System"&gt;Health Economics&lt;/f&gt;&lt;/ZZ_JournalFull&gt;&lt;ZZ_WorkformID&gt;1&lt;/ZZ_WorkformID&gt;&lt;/MDL&gt;&lt;/Cite&gt;&lt;/Refman&gt;</w:instrText>
      </w:r>
      <w:r w:rsidR="00E729BA">
        <w:fldChar w:fldCharType="separate"/>
      </w:r>
      <w:r w:rsidR="0081424E">
        <w:t>(115)</w:t>
      </w:r>
      <w:r w:rsidR="00E729BA">
        <w:fldChar w:fldCharType="end"/>
      </w:r>
      <w:r>
        <w:t>, written in</w:t>
      </w:r>
      <w:r w:rsidR="00DD08F2">
        <w:t xml:space="preserve"> the programme package</w:t>
      </w:r>
      <w:r>
        <w:t xml:space="preserve"> R, to adapt the method to this case study, make the method more accessible to health economists, and decrease the </w:t>
      </w:r>
      <w:r w:rsidR="00DD08F2">
        <w:t>calculation time</w:t>
      </w:r>
      <w:r>
        <w:t>.</w:t>
      </w:r>
      <w:r w:rsidRPr="00871F7F">
        <w:t xml:space="preserve"> </w:t>
      </w:r>
      <w:r>
        <w:t xml:space="preserve">The modifications were necessary to enable me to </w:t>
      </w:r>
      <w:r w:rsidR="00390DC7">
        <w:t>reduce computation time compared with MCMC methods</w:t>
      </w:r>
      <w:r>
        <w:t xml:space="preserve">. As a consequence, it was possible </w:t>
      </w:r>
      <w:r w:rsidR="007C1BE9">
        <w:t>to ge</w:t>
      </w:r>
      <w:r w:rsidR="00FE7941">
        <w:t>nerate posterior expected value-</w:t>
      </w:r>
      <w:r>
        <w:t xml:space="preserve">based prices for six clinical trial designs using the University of Sheffield High </w:t>
      </w:r>
      <w:r w:rsidR="00D26C78">
        <w:t>P</w:t>
      </w:r>
      <w:r>
        <w:t>erformance Computer</w:t>
      </w:r>
      <w:r w:rsidR="007C1BE9">
        <w:t xml:space="preserve"> </w:t>
      </w:r>
      <w:r w:rsidR="00E729BA">
        <w:fldChar w:fldCharType="begin"/>
      </w:r>
      <w:r w:rsidR="00FC61FD">
        <w:instrText xml:space="preserve"> ADDIN REFMGR.CITE &lt;Refman&gt;&lt;Cite&gt;&lt;Author&gt;University of Sheffield&lt;/Author&gt;&lt;Year&gt;2012&lt;/Year&gt;&lt;RecNum&gt;1625&lt;/RecNum&gt;&lt;IDText&gt;Iceberg HPC Cluster&lt;/IDText&gt;&lt;MDL Ref_Type="Electronic Citation"&gt;&lt;Ref_Type&gt;Electronic Citation&lt;/Ref_Type&gt;&lt;Ref_ID&gt;1625&lt;/Ref_ID&gt;&lt;Title_Primary&gt;Iceberg HPC Cluster&lt;/Title_Primary&gt;&lt;Date_Primary&gt;2012&lt;/Date_Primary&gt;&lt;Reprint&gt;In File&lt;/Reprint&gt;&lt;Periodical&gt;University of Sheffield&lt;/Periodical&gt;&lt;Web_URL&gt;&lt;u&gt;http://www.shef.ac.uk/wrgrid/iceberg&lt;/u&gt;&lt;/Web_URL&gt;&lt;ZZ_JournalFull&gt;&lt;f name="System"&gt;University of Sheffield&lt;/f&gt;&lt;/ZZ_JournalFull&gt;&lt;ZZ_WorkformID&gt;34&lt;/ZZ_WorkformID&gt;&lt;/MDL&gt;&lt;/Cite&gt;&lt;/Refman&gt;</w:instrText>
      </w:r>
      <w:r w:rsidR="00E729BA">
        <w:fldChar w:fldCharType="separate"/>
      </w:r>
      <w:r w:rsidR="00DF14BD">
        <w:t>(237)</w:t>
      </w:r>
      <w:r w:rsidR="00E729BA">
        <w:fldChar w:fldCharType="end"/>
      </w:r>
      <w:r>
        <w:t xml:space="preserve">. However, despite many efforts to reduce computation time the method was </w:t>
      </w:r>
      <w:r w:rsidR="00DD08F2">
        <w:t xml:space="preserve">still </w:t>
      </w:r>
      <w:r>
        <w:t xml:space="preserve">very time consuming to run and would require longer analysis time, or faster computers to generate in a real-world setting. </w:t>
      </w:r>
    </w:p>
    <w:p w:rsidR="00850AED" w:rsidRDefault="00AF00AD" w:rsidP="007D26CB">
      <w:r>
        <w:t xml:space="preserve">The B&amp;K method successfully reduced computation time because it substituted the MCMC sampling with a quicker algorithm, and substituted the nested PSA to evaluate CE outcomes by approximating the expected CE outcomes. </w:t>
      </w:r>
      <w:r w:rsidR="00850AED">
        <w:t xml:space="preserve">The B&amp;K approximation requires fewer evaluations of the CE model than a PSA (165 </w:t>
      </w:r>
      <w:r w:rsidR="00527615">
        <w:t>vs.</w:t>
      </w:r>
      <w:r w:rsidR="00850AED">
        <w:t xml:space="preserve"> </w:t>
      </w:r>
      <w:r w:rsidR="00850AED">
        <w:rPr>
          <w:rFonts w:cs="Times New Roman"/>
        </w:rPr>
        <w:t>≈</w:t>
      </w:r>
      <w:r w:rsidR="00850AED">
        <w:t xml:space="preserve">5,000). As a consequence, I had not anticipated that additional simplifications </w:t>
      </w:r>
      <w:r w:rsidR="00527615">
        <w:t xml:space="preserve">would </w:t>
      </w:r>
      <w:r w:rsidR="00850AED">
        <w:t>be required. Two EVSI studies with large CE models adopted simplifying assumptions when using conjugate distributions to reduce the computation burden of the nested inner PSA evaluation</w:t>
      </w:r>
      <w:r w:rsidR="00690E07">
        <w:t xml:space="preserve">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81424E">
        <w:t>(111;113)</w:t>
      </w:r>
      <w:r w:rsidR="00E729BA">
        <w:fldChar w:fldCharType="end"/>
      </w:r>
      <w:r w:rsidR="00850AED">
        <w:t>. One study used meta-modelling to approximate the CE outcomes</w:t>
      </w:r>
      <w:r w:rsidR="00690E07">
        <w:t xml:space="preserve"> </w:t>
      </w:r>
      <w:r w:rsidR="00E729BA">
        <w:fldChar w:fldCharType="begin"/>
      </w:r>
      <w:r w:rsidR="00FC61FD">
        <w:instrText xml:space="preserve"> ADDIN REFMGR.CITE &lt;Refman&gt;&lt;Cite&gt;&lt;Author&gt;Stevenson&lt;/Author&gt;&lt;Year&gt;2011&lt;/Year&gt;&lt;RecNum&gt;1527&lt;/RecNum&gt;&lt;IDText&gt;The Cost Effectiveness of a Randomized Controlled Trial to Establish the Relative Efficacy of Vitamin K(1) Compared with Alendronate&lt;/IDText&gt;&lt;MDL Ref_Type="Journal"&gt;&lt;Ref_Type&gt;Journal&lt;/Ref_Type&gt;&lt;Ref_ID&gt;1527&lt;/Ref_ID&gt;&lt;Title_Primary&gt;The Cost Effectiveness of a Randomized Controlled Trial to Establish the Relative Efficacy of Vitamin K(1) Compared with Alendronate&lt;/Title_Primary&gt;&lt;Authors_Primary&gt;Stevenson,Matt D.&lt;/Authors_Primary&gt;&lt;Authors_Primary&gt;Jones,Myfanwy Lloyd&lt;/Authors_Primary&gt;&lt;Date_Primary&gt;2011&lt;/Date_Primary&gt;&lt;Keywords&gt;analysis&lt;/Keywords&gt;&lt;Keywords&gt;Decision Making&lt;/Keywords&gt;&lt;Keywords&gt;England&lt;/Keywords&gt;&lt;Keywords&gt;Health&lt;/Keywords&gt;&lt;Keywords&gt;Osteoporosis&lt;/Keywords&gt;&lt;Keywords&gt;randomized controlled trial&lt;/Keywords&gt;&lt;Keywords&gt;Risk&lt;/Keywords&gt;&lt;Keywords&gt;sample&lt;/Keywords&gt;&lt;Keywords&gt;Uncertainty&lt;/Keywords&gt;&lt;Keywords&gt;Women&lt;/Keywords&gt;&lt;Reprint&gt;Not in File&lt;/Reprint&gt;&lt;Start_Page&gt;43&lt;/Start_Page&gt;&lt;End_Page&gt;52&lt;/End_Page&gt;&lt;Periodical&gt;Medical Decision Making&lt;/Periodical&gt;&lt;Volume&gt;31&lt;/Volume&gt;&lt;Issue&gt;1&lt;/Issue&gt;&lt;User_Def_1&gt;yes&lt;/User_Def_1&gt;&lt;ISSN_ISBN&gt;0272-989X&lt;/ISSN_ISBN&gt;&lt;Web_URL&gt;WOS:000287021000007&lt;/Web_URL&gt;&lt;ZZ_JournalFull&gt;&lt;f name="System"&gt;Medical Decision Making&lt;/f&gt;&lt;/ZZ_JournalFull&gt;&lt;ZZ_WorkformID&gt;1&lt;/ZZ_WorkformID&gt;&lt;/MDL&gt;&lt;/Cite&gt;&lt;/Refman&gt;</w:instrText>
      </w:r>
      <w:r w:rsidR="00E729BA">
        <w:fldChar w:fldCharType="separate"/>
      </w:r>
      <w:r w:rsidR="0081424E">
        <w:t>(113)</w:t>
      </w:r>
      <w:r w:rsidR="00E729BA">
        <w:fldChar w:fldCharType="end"/>
      </w:r>
      <w:r w:rsidR="00850AED">
        <w:t xml:space="preserve">. The second developed an alternative simple </w:t>
      </w:r>
      <w:r w:rsidR="00797F2D">
        <w:t xml:space="preserve">CE </w:t>
      </w:r>
      <w:r w:rsidR="00850AED">
        <w:t>model of fewer than 20 parameters to evaluate the cost-effectiveness results</w:t>
      </w:r>
      <w:r w:rsidR="00690E07">
        <w:t xml:space="preserve">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Making&lt;/f&gt;&lt;/ZZ_JournalFull&gt;&lt;ZZ_WorkformID&gt;1&lt;/ZZ_WorkformID&gt;&lt;/MDL&gt;&lt;/Cite&gt;&lt;/Refman&gt;</w:instrText>
      </w:r>
      <w:r w:rsidR="00E729BA">
        <w:fldChar w:fldCharType="separate"/>
      </w:r>
      <w:r w:rsidR="0081424E">
        <w:t>(111)</w:t>
      </w:r>
      <w:r w:rsidR="00E729BA">
        <w:fldChar w:fldCharType="end"/>
      </w:r>
      <w:r w:rsidR="00850AED">
        <w:t xml:space="preserve">. These </w:t>
      </w:r>
      <w:r w:rsidR="00396E04">
        <w:t>approaches could be utilised</w:t>
      </w:r>
      <w:r w:rsidR="00850AED">
        <w:t xml:space="preserve"> to speed up the computation time of the SLE </w:t>
      </w:r>
      <w:r w:rsidR="00797F2D">
        <w:t xml:space="preserve">CE </w:t>
      </w:r>
      <w:r w:rsidR="00850AED">
        <w:t xml:space="preserve">model. This would enable evaluations of Phase III trial designs to be completed within a reasonable time-frame and would generate sufficient </w:t>
      </w:r>
      <w:r w:rsidR="002C404F">
        <w:t>BCTS iterations</w:t>
      </w:r>
      <w:r w:rsidR="00850AED">
        <w:t xml:space="preserve"> to generate stable results to help guide decision-making. </w:t>
      </w:r>
      <w:r w:rsidR="007D26CB">
        <w:t xml:space="preserve">Future extensions to this work, or real life application of the method would likely </w:t>
      </w:r>
      <w:r w:rsidR="00527615">
        <w:t>consider adapting</w:t>
      </w:r>
      <w:r w:rsidR="00690E07">
        <w:t xml:space="preserve"> the CE model </w:t>
      </w:r>
      <w:r w:rsidR="00850AED">
        <w:t xml:space="preserve">and </w:t>
      </w:r>
      <w:r w:rsidR="00396E04">
        <w:t>extensive analysis</w:t>
      </w:r>
      <w:r w:rsidR="00850AED">
        <w:t xml:space="preserve"> would be required to ensure that the simple </w:t>
      </w:r>
      <w:r w:rsidR="00797F2D">
        <w:t xml:space="preserve">CE </w:t>
      </w:r>
      <w:r w:rsidR="00850AED">
        <w:t xml:space="preserve">model accurately predicted the results of the larger reimbursement </w:t>
      </w:r>
      <w:r w:rsidR="00797F2D">
        <w:t xml:space="preserve">CE </w:t>
      </w:r>
      <w:r w:rsidR="00850AED">
        <w:t xml:space="preserve">model. </w:t>
      </w:r>
    </w:p>
    <w:p w:rsidR="00850AED" w:rsidRDefault="00850AED" w:rsidP="00850AED">
      <w:pPr>
        <w:pStyle w:val="Heading3"/>
      </w:pPr>
      <w:bookmarkStart w:id="649" w:name="_Toc353377789"/>
      <w:bookmarkStart w:id="650" w:name="_Toc379467699"/>
      <w:r>
        <w:t>The Pharmaceutical Perspective</w:t>
      </w:r>
      <w:bookmarkEnd w:id="649"/>
      <w:bookmarkEnd w:id="650"/>
    </w:p>
    <w:p w:rsidR="00850AED" w:rsidRDefault="00850AED" w:rsidP="00EE2E22">
      <w:r>
        <w:t xml:space="preserve">EVSI literature has focussed on decision problems within the public sector, which does not reflect the balance of investment made into clinical trials in the private sector. Drug development trials are almost exclusively designed and funded within the pharmaceutical industry, and as such the VOI must be modified to reflect their interests. I have applied VOI analyses to the design </w:t>
      </w:r>
      <w:r w:rsidR="00D26C78">
        <w:t xml:space="preserve">of </w:t>
      </w:r>
      <w:r>
        <w:t xml:space="preserve">a Phase III trial from the perspective of a pharmaceutical company. There are obvious differences between how trials are planned and designed between the public and private sector. Most importantly, the drug company </w:t>
      </w:r>
      <w:r w:rsidR="00EE2E22">
        <w:t xml:space="preserve">is </w:t>
      </w:r>
      <w:r>
        <w:t>not expected to design the trial to maximise societal health, so the way that the trial information is valued must reflect a commercial setting. However, other differences must be considered such as information available from early trials, the choice of comparator, and the choice of inclusion criteria.</w:t>
      </w:r>
    </w:p>
    <w:p w:rsidR="00850AED" w:rsidRDefault="00850AED" w:rsidP="007D26CB">
      <w:r>
        <w:t>The only published attempts of applying EVSI to private sector trials have been described in t</w:t>
      </w:r>
      <w:r w:rsidR="007D26CB">
        <w:t xml:space="preserve">wo main </w:t>
      </w:r>
      <w:r>
        <w:t>publications</w:t>
      </w:r>
      <w:r w:rsidR="007D26CB">
        <w:t xml:space="preserve"> </w:t>
      </w:r>
      <w:r w:rsidR="00E729BA">
        <w:fldChar w:fldCharType="begin"/>
      </w:r>
      <w:r w:rsidR="00FC61FD">
        <w:instrText xml:space="preserve"> ADDIN REFMGR.CITE &lt;Refman&gt;&lt;Cite&gt;&lt;Author&gt;Willan&lt;/Author&gt;&lt;Year&gt;2012&lt;/Year&gt;&lt;RecNum&gt;1634&lt;/RecNum&gt;&lt;IDText&gt;Value of information and pricing new healthcare interventions&lt;/IDText&gt;&lt;MDL Ref_Type="Journal"&gt;&lt;Ref_Type&gt;Journal&lt;/Ref_Type&gt;&lt;Ref_ID&gt;1634&lt;/Ref_ID&gt;&lt;Title_Primary&gt;Value of information and pricing new healthcare interventions&lt;/Title_Primary&gt;&lt;Authors_Primary&gt;Willan,A.R.&lt;/Authors_Primary&gt;&lt;Authors_Primary&gt;Eckermann,S.&lt;/Authors_Primary&gt;&lt;Date_Primary&gt;2012/6/1&lt;/Date_Primary&gt;&lt;Keywords&gt;Canada&lt;/Keywords&gt;&lt;Keywords&gt;clinical trial&lt;/Keywords&gt;&lt;Keywords&gt;Clinical Trials as Topic&lt;/Keywords&gt;&lt;Keywords&gt;Costs and Cost Analysis&lt;/Keywords&gt;&lt;Keywords&gt;Decision Making&lt;/Keywords&gt;&lt;Keywords&gt;Decision Making,Organizational&lt;/Keywords&gt;&lt;Keywords&gt;Delivery of Health Care&lt;/Keywords&gt;&lt;Keywords&gt;Drug Industry&lt;/Keywords&gt;&lt;Keywords&gt;economics&lt;/Keywords&gt;&lt;Keywords&gt;Great Britain&lt;/Keywords&gt;&lt;Keywords&gt;Health&lt;/Keywords&gt;&lt;Keywords&gt;Health Care Costs&lt;/Keywords&gt;&lt;Keywords&gt;Humans&lt;/Keywords&gt;&lt;Keywords&gt;methods&lt;/Keywords&gt;&lt;Keywords&gt;Patents as Topic&lt;/Keywords&gt;&lt;Keywords&gt;Reimbursement Mechanisms&lt;/Keywords&gt;&lt;Keywords&gt;Research&lt;/Keywords&gt;&lt;Reprint&gt;Not in File&lt;/Reprint&gt;&lt;Start_Page&gt;447&lt;/Start_Page&gt;&lt;End_Page&gt;459&lt;/End_Page&gt;&lt;Periodical&gt;Pharmacoeconomics.&lt;/Periodical&gt;&lt;Volume&gt;30&lt;/Volume&gt;&lt;Issue&gt;6&lt;/Issue&gt;&lt;ZZ_JournalStdAbbrev&gt;&lt;f name="System"&gt;Pharmacoeconomics.&lt;/f&gt;&lt;/ZZ_JournalStdAbbrev&gt;&lt;ZZ_WorkformID&gt;1&lt;/ZZ_WorkformID&gt;&lt;/MDL&gt;&lt;/Cite&gt;&lt;Cite&gt;&lt;Author&gt;Willan&lt;/Author&gt;&lt;Year&gt;2008&lt;/Year&gt;&lt;RecNum&gt;47&lt;/RecNum&gt;&lt;IDText&gt;Optimal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fldChar w:fldCharType="separate"/>
      </w:r>
      <w:r w:rsidR="0081424E">
        <w:t>(122;129)</w:t>
      </w:r>
      <w:r w:rsidR="00E729BA">
        <w:fldChar w:fldCharType="end"/>
      </w:r>
      <w:r>
        <w:t xml:space="preserve">. Willan (2008) introduced a formula for evaluating the benefits of trial information in terms of the probability of </w:t>
      </w:r>
      <w:r w:rsidR="002C404F">
        <w:t>reimbursement</w:t>
      </w:r>
      <w:r>
        <w:t xml:space="preserve"> approval, duration of license, market share, disease incidence and profit per patient</w:t>
      </w:r>
      <w:r w:rsidR="00396E04">
        <w:t xml:space="preserve"> </w:t>
      </w:r>
      <w:r w:rsidR="00E729BA">
        <w:fldChar w:fldCharType="begin"/>
      </w:r>
      <w:r w:rsidR="00FC61FD">
        <w:instrText xml:space="preserve"> ADDIN REFMGR.CITE &lt;Refman&gt;&lt;Cite&gt;&lt;Author&gt;Willan&lt;/Author&gt;&lt;Year&gt;2008&lt;/Year&gt;&lt;RecNum&gt;47&lt;/RecNum&gt;&lt;IDText&gt;Optimal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fldChar w:fldCharType="separate"/>
      </w:r>
      <w:r w:rsidR="0081424E">
        <w:t>(122)</w:t>
      </w:r>
      <w:r w:rsidR="00E729BA">
        <w:fldChar w:fldCharType="end"/>
      </w:r>
      <w:r>
        <w:t>. I adopted many of th</w:t>
      </w:r>
      <w:r w:rsidR="00DD08F2">
        <w:t>e principles recommended in that</w:t>
      </w:r>
      <w:r>
        <w:t xml:space="preserve"> article for evaluating the benefits of a pharmaceutical company clinical trial, but believed that the assumption that there was a fixed profit per patient known at the time of planning a clinical trial was unrealistic. Before a Phase III</w:t>
      </w:r>
      <w:r w:rsidR="00EE2E22">
        <w:t xml:space="preserve"> trial</w:t>
      </w:r>
      <w:r>
        <w:t xml:space="preserve"> the final price may not have been determined and is more likely to be conditional on the outcomes of the Phase III trial. The optimal trial design may vary according to the price chosen, creating a more complex decision-problem than that described by Willan (2008).</w:t>
      </w:r>
    </w:p>
    <w:p w:rsidR="00850AED" w:rsidRDefault="00850AED" w:rsidP="007D26CB">
      <w:r>
        <w:t>A more recent paper investigated optimal pricing behaviour of pharmaceutical companies when faced with a reimbursement threshold</w:t>
      </w:r>
      <w:r w:rsidR="00396E04">
        <w:t xml:space="preserve"> </w:t>
      </w:r>
      <w:r w:rsidR="00E729BA">
        <w:fldChar w:fldCharType="begin"/>
      </w:r>
      <w:r w:rsidR="00FC61FD">
        <w:instrText xml:space="preserve"> ADDIN REFMGR.CITE &lt;Refman&gt;&lt;Cite&gt;&lt;Author&gt;Willan&lt;/Author&gt;&lt;Year&gt;2005&lt;/Year&gt;&lt;RecNum&gt;87&lt;/RecNum&gt;&lt;IDText&gt;The value of information and optimal clinical trial design&lt;/IDText&gt;&lt;MDL Ref_Type="Journal"&gt;&lt;Ref_Type&gt;Journal&lt;/Ref_Type&gt;&lt;Ref_ID&gt;87&lt;/Ref_ID&gt;&lt;Title_Primary&gt;The value of information and optimal clinical trial design&lt;/Title_Primary&gt;&lt;Authors_Primary&gt;Willan,A.R.&lt;/Authors_Primary&gt;&lt;Authors_Primary&gt;Pinto,E.M.&lt;/Authors_Primary&gt;&lt;Date_Primary&gt;2005&lt;/Date_Primary&gt;&lt;Keywords&gt;clinical trial&lt;/Keywords&gt;&lt;Keywords&gt;Decision Making&lt;/Keywords&gt;&lt;Keywords&gt;methods&lt;/Keywords&gt;&lt;Keywords&gt;Probability&lt;/Keywords&gt;&lt;Keywords&gt;sample&lt;/Keywords&gt;&lt;Keywords&gt;Sample Size&lt;/Keywords&gt;&lt;Keywords&gt;Time&lt;/Keywords&gt;&lt;Reprint&gt;Not in File&lt;/Reprint&gt;&lt;Start_Page&gt;1791&lt;/Start_Page&gt;&lt;End_Page&gt;1806&lt;/End_Page&gt;&lt;Periodical&gt;Statistics in Medicine&lt;/Periodical&gt;&lt;Volume&gt;24&lt;/Volume&gt;&lt;Issue&gt;12&lt;/Issue&gt;&lt;User_Def_1&gt;yes&lt;/User_Def_1&gt;&lt;User_Def_2&gt;yes&lt;/User_Def_2&gt;&lt;ISSN_ISBN&gt;0277-6715&lt;/ISSN_ISBN&gt;&lt;Web_URL&gt;WOS:000229688600002&lt;/Web_URL&gt;&lt;ZZ_JournalFull&gt;&lt;f name="System"&gt;Statistics in Medicine&lt;/f&gt;&lt;/ZZ_JournalFull&gt;&lt;ZZ_WorkformID&gt;1&lt;/ZZ_WorkformID&gt;&lt;/MDL&gt;&lt;/Cite&gt;&lt;/Refman&gt;</w:instrText>
      </w:r>
      <w:r w:rsidR="00E729BA">
        <w:fldChar w:fldCharType="separate"/>
      </w:r>
      <w:r w:rsidR="0081424E">
        <w:t>(100)</w:t>
      </w:r>
      <w:r w:rsidR="00E729BA">
        <w:fldChar w:fldCharType="end"/>
      </w:r>
      <w:r>
        <w:t xml:space="preserve">. They describe the maximum threshold that the societal decision maker will accept the new treatment given current evidence. They also assume that the pharmaceutical company have a minimum threshold at which it will be worth entering the market. If the two thresholds are incompatible, the pharmaceutical company may consider it worth investing in more research if the expected net gains from the research are positive. The article provides a useful </w:t>
      </w:r>
      <w:r w:rsidR="007D26CB">
        <w:t>framework</w:t>
      </w:r>
      <w:r>
        <w:t xml:space="preserve"> to formalise decision making for a pharmaceutical company at the stage of reimbursement and I adopted the assumption that the pharmaceutical company has a minimum threshold</w:t>
      </w:r>
      <w:r w:rsidR="00396E04">
        <w:t xml:space="preserve"> for price</w:t>
      </w:r>
      <w:r>
        <w:t xml:space="preserve">. </w:t>
      </w:r>
      <w:r w:rsidR="00396E04">
        <w:t>However, these papers assumed</w:t>
      </w:r>
      <w:r>
        <w:t xml:space="preserve"> that the pharmaceutical company has sufficient evidence to apply for licensing. </w:t>
      </w:r>
      <w:r w:rsidR="007D26CB">
        <w:t>The</w:t>
      </w:r>
      <w:r>
        <w:t xml:space="preserve"> majority of trials in pharmaceutical companies are conducted before this stage. </w:t>
      </w:r>
    </w:p>
    <w:p w:rsidR="00850AED" w:rsidRDefault="00850AED" w:rsidP="00D26C78">
      <w:r>
        <w:t xml:space="preserve">I concluded that </w:t>
      </w:r>
      <w:r w:rsidR="00D26C78">
        <w:t>Willan (2008)</w:t>
      </w:r>
      <w:r>
        <w:t xml:space="preserve"> had not fully </w:t>
      </w:r>
      <w:r w:rsidR="00396E04">
        <w:t>adapted the method to</w:t>
      </w:r>
      <w:r>
        <w:t xml:space="preserve"> the requirements of</w:t>
      </w:r>
      <w:r w:rsidR="00396E04">
        <w:t xml:space="preserve"> a </w:t>
      </w:r>
      <w:r w:rsidR="00CC17B0">
        <w:t>p</w:t>
      </w:r>
      <w:r w:rsidR="00396E04">
        <w:t xml:space="preserve">harmaceutical </w:t>
      </w:r>
      <w:r w:rsidR="00CC17B0">
        <w:t>c</w:t>
      </w:r>
      <w:r w:rsidR="00396E04">
        <w:t>ompany</w:t>
      </w:r>
      <w:r w:rsidR="00D26C78">
        <w:t xml:space="preserve"> </w:t>
      </w:r>
      <w:r w:rsidR="00E729BA">
        <w:fldChar w:fldCharType="begin"/>
      </w:r>
      <w:r w:rsidR="00FC61FD">
        <w:instrText xml:space="preserve"> ADDIN REFMGR.CITE &lt;Refman&gt;&lt;Cite&gt;&lt;Author&gt;Willan&lt;/Author&gt;&lt;Year&gt;2008&lt;/Year&gt;&lt;RecNum&gt;47&lt;/RecNum&gt;&lt;IDText&gt;Optimal sample size determinations from an industry perspective based on the expected value of information&lt;/IDText&gt;&lt;MDL Ref_Type="Journal"&gt;&lt;Ref_Type&gt;Journal&lt;/Ref_Type&gt;&lt;Ref_ID&gt;47&lt;/Ref_ID&gt;&lt;Title_Primary&gt;Optimal sample size determinations from an industry perspective based on the expected value of information&lt;/Title_Primary&gt;&lt;Authors_Primary&gt;Willan,Andrew R.&lt;/Authors_Primary&gt;&lt;Date_Primary&gt;2008&lt;/Date_Primary&gt;&lt;Keywords&gt;article&lt;/Keywords&gt;&lt;Keywords&gt;clinical trial&lt;/Keywords&gt;&lt;Keywords&gt;Decision Theory&lt;/Keywords&gt;&lt;Keywords&gt;Disease&lt;/Keywords&gt;&lt;Keywords&gt;Incidence&lt;/Keywords&gt;&lt;Keywords&gt;methods&lt;/Keywords&gt;&lt;Keywords&gt;Probability&lt;/Keywords&gt;&lt;Keywords&gt;Research&lt;/Keywords&gt;&lt;Keywords&gt;sample&lt;/Keywords&gt;&lt;Keywords&gt;Sample Size&lt;/Keywords&gt;&lt;Keywords&gt;statistics&lt;/Keywords&gt;&lt;Keywords&gt;Time&lt;/Keywords&gt;&lt;Reprint&gt;Not in File&lt;/Reprint&gt;&lt;Start_Page&gt;587&lt;/Start_Page&gt;&lt;End_Page&gt;594&lt;/End_Page&gt;&lt;Periodical&gt;Clinical Trials&lt;/Periodical&gt;&lt;Volume&gt;5&lt;/Volume&gt;&lt;Issue&gt;6&lt;/Issue&gt;&lt;User_Def_1&gt;yes&lt;/User_Def_1&gt;&lt;User_Def_2&gt;yes&lt;/User_Def_2&gt;&lt;ISSN_ISBN&gt;1740-7745&lt;/ISSN_ISBN&gt;&lt;Web_URL&gt;WOS:000261811900003&lt;/Web_URL&gt;&lt;ZZ_JournalFull&gt;&lt;f name="System"&gt;Clinical Trials&lt;/f&gt;&lt;/ZZ_JournalFull&gt;&lt;ZZ_WorkformID&gt;1&lt;/ZZ_WorkformID&gt;&lt;/MDL&gt;&lt;/Cite&gt;&lt;/Refman&gt;</w:instrText>
      </w:r>
      <w:r w:rsidR="00E729BA">
        <w:fldChar w:fldCharType="separate"/>
      </w:r>
      <w:r w:rsidR="00D26C78">
        <w:t>(122)</w:t>
      </w:r>
      <w:r w:rsidR="00E729BA">
        <w:fldChar w:fldCharType="end"/>
      </w:r>
      <w:r w:rsidR="00396E04">
        <w:t xml:space="preserve">. The BeBay methodology was more aligned with the pharmaceutical perspective and </w:t>
      </w:r>
      <w:r>
        <w:t xml:space="preserve">the authors had considered a simple case where the costs and benefits to the </w:t>
      </w:r>
      <w:r w:rsidR="002C404F">
        <w:t>reimbursement</w:t>
      </w:r>
      <w:r>
        <w:t xml:space="preserve"> authority were accounted for in the decision criteria</w:t>
      </w:r>
      <w:r w:rsidR="00396E04">
        <w:t xml:space="preserve"> </w:t>
      </w:r>
      <w:r w:rsidR="00E729BA">
        <w:fldChar w:fldCharType="begin"/>
      </w:r>
      <w:r w:rsidR="00FC61FD">
        <w:instrText xml:space="preserve"> ADDIN REFMGR.CITE &lt;Refman&gt;&lt;Cite&gt;&lt;Author&gt;Kikuchi&lt;/Author&gt;&lt;Year&gt;2009&lt;/Year&gt;&lt;RecNum&gt;291&lt;/RecNum&gt;&lt;IDText&gt;A behavioral Bayes method to determine the sample size of a clinical trial considering efficacy and safety&lt;/IDText&gt;&lt;MDL Ref_Type="Journal"&gt;&lt;Ref_Type&gt;Journal&lt;/Ref_Type&gt;&lt;Ref_ID&gt;291&lt;/Ref_ID&gt;&lt;Title_Primary&gt;A behavioral Bayes method to determine the sample size of a clinical trial considering efficacy and safety&lt;/Title_Primary&gt;&lt;Authors_Primary&gt;Kikuchi,Takashi&lt;/Authors_Primary&gt;&lt;Authors_Primary&gt;Gittins,John&lt;/Authors_Primary&gt;&lt;Date_Primary&gt;2009&lt;/Date_Primary&gt;&lt;Keywords&gt;clinical trial&lt;/Keywords&gt;&lt;Keywords&gt;Health&lt;/Keywords&gt;&lt;Keywords&gt;Incidence&lt;/Keywords&gt;&lt;Keywords&gt;patient&lt;/Keywords&gt;&lt;Keywords&gt;Patients&lt;/Keywords&gt;&lt;Keywords&gt;safety&lt;/Keywords&gt;&lt;Keywords&gt;sample&lt;/Keywords&gt;&lt;Keywords&gt;Sample Size&lt;/Keywords&gt;&lt;Reprint&gt;Not in File&lt;/Reprint&gt;&lt;Start_Page&gt;2293&lt;/Start_Page&gt;&lt;End_Page&gt;2306&lt;/End_Page&gt;&lt;Periodical&gt;Statistics in Medicine&lt;/Periodical&gt;&lt;Volume&gt;28&lt;/Volume&gt;&lt;Issue&gt;18&lt;/Issue&gt;&lt;User_Def_1&gt;yes&lt;/User_Def_1&gt;&lt;ISSN_ISBN&gt;0277-6715&lt;/ISSN_ISBN&gt;&lt;Web_URL&gt;WOS:000268287000001&lt;/Web_URL&gt;&lt;ZZ_JournalFull&gt;&lt;f name="System"&gt;Statistics in Medicine&lt;/f&gt;&lt;/ZZ_JournalFull&gt;&lt;ZZ_WorkformID&gt;1&lt;/ZZ_WorkformID&gt;&lt;/MDL&gt;&lt;/Cite&gt;&lt;/Refman&gt;</w:instrText>
      </w:r>
      <w:r w:rsidR="00E729BA">
        <w:fldChar w:fldCharType="separate"/>
      </w:r>
      <w:r w:rsidR="0081424E">
        <w:t>(118)</w:t>
      </w:r>
      <w:r w:rsidR="00E729BA">
        <w:fldChar w:fldCharType="end"/>
      </w:r>
      <w:r>
        <w:t xml:space="preserve">. The methods of calculating costs and benefits were not as complex as those in most CE models. However, they identified that </w:t>
      </w:r>
      <w:r w:rsidR="00493560">
        <w:t xml:space="preserve">if </w:t>
      </w:r>
      <w:r>
        <w:t>the costs and benefits from the societal perspective could be estimated it would be possible to estimate what price the re</w:t>
      </w:r>
      <w:r w:rsidR="00493560">
        <w:t>imbursement authority</w:t>
      </w:r>
      <w:r>
        <w:t xml:space="preserve"> would be willing to pay.  In Health Economics this calculation is often referred to as the value-based price, given a willingness to pay for a QALY. </w:t>
      </w:r>
    </w:p>
    <w:p w:rsidR="00193D63" w:rsidRDefault="00850AED" w:rsidP="00EE2E22">
      <w:r>
        <w:t>Value-based pricing is implicitly stated if a reimbursement authority report a willingness to pay threshold or in the case of NICE</w:t>
      </w:r>
      <w:r w:rsidR="00EE2E22">
        <w:t xml:space="preserve"> a</w:t>
      </w:r>
      <w:r>
        <w:t xml:space="preserve"> </w:t>
      </w:r>
      <w:r w:rsidR="00193D63">
        <w:t>threshold range. I</w:t>
      </w:r>
      <w:r>
        <w:t>n the UK from January 2014 value</w:t>
      </w:r>
      <w:r w:rsidR="00493560">
        <w:t xml:space="preserve"> </w:t>
      </w:r>
      <w:r>
        <w:t xml:space="preserve">based pricing </w:t>
      </w:r>
      <w:r w:rsidR="00EE2E22">
        <w:t>is expected to</w:t>
      </w:r>
      <w:r>
        <w:t xml:space="preserve"> be explicitly incorporated into price-setting in the NHS. </w:t>
      </w:r>
      <w:r w:rsidR="00EE2E22">
        <w:t xml:space="preserve">At the time of writing details </w:t>
      </w:r>
      <w:r>
        <w:t>of how value-based pricing will be used have not been specified. However, the Department of Health have stated that it will include a wide assessment of benefit which entails: the improvement in health measured in QALYs; the burden of illness and unmet need; and wider societal benefits</w:t>
      </w:r>
      <w:r w:rsidR="00493560">
        <w:t xml:space="preserve"> </w:t>
      </w:r>
      <w:r w:rsidR="00E729BA">
        <w:fldChar w:fldCharType="begin"/>
      </w:r>
      <w:r w:rsidR="00FC61FD">
        <w:instrText xml:space="preserve"> ADDIN REFMGR.CITE &lt;Refman&gt;&lt;Cite&gt;&lt;Author&gt;Department of Health&lt;/Author&gt;&lt;Year&gt;2010&lt;/Year&gt;&lt;RecNum&gt;1643&lt;/RecNum&gt;&lt;IDText&gt;A new value-based approach to the pricing of branded medicines: a consultation&lt;/IDText&gt;&lt;MDL Ref_Type="Report"&gt;&lt;Ref_Type&gt;Report&lt;/Ref_Type&gt;&lt;Ref_ID&gt;1643&lt;/Ref_ID&gt;&lt;Title_Primary&gt;A new value-based approach to the pricing of branded medicines: a consultation&lt;/Title_Primary&gt;&lt;Authors_Primary&gt;Department of Health&lt;/Authors_Primary&gt;&lt;Date_Primary&gt;2010&lt;/Date_Primary&gt;&lt;Reprint&gt;In File&lt;/Reprint&gt;&lt;Pub_Place&gt;London&lt;/Pub_Place&gt;&lt;Publisher&gt;Department of Health&lt;/Publisher&gt;&lt;ZZ_WorkformID&gt;24&lt;/ZZ_WorkformID&gt;&lt;/MDL&gt;&lt;/Cite&gt;&lt;/Refman&gt;</w:instrText>
      </w:r>
      <w:r w:rsidR="00E729BA">
        <w:fldChar w:fldCharType="separate"/>
      </w:r>
      <w:r w:rsidR="00DF14BD">
        <w:t>(248)</w:t>
      </w:r>
      <w:r w:rsidR="00E729BA">
        <w:fldChar w:fldCharType="end"/>
      </w:r>
      <w:r>
        <w:t xml:space="preserve">. </w:t>
      </w:r>
    </w:p>
    <w:p w:rsidR="00850AED" w:rsidRDefault="00493560" w:rsidP="00D26C78">
      <w:r>
        <w:t>A recent t</w:t>
      </w:r>
      <w:r w:rsidR="00850AED">
        <w:t>axonomy of the approaches to value-based pricing identified five dimensions</w:t>
      </w:r>
      <w:r w:rsidR="007D26CB">
        <w:t xml:space="preserve"> for implementing value-based price</w:t>
      </w:r>
      <w:r w:rsidR="00850AED">
        <w:t xml:space="preserve">. First, what is identified as being of value? Second, how are the elements measured? Third, how are the elements valued? Fourth, how are the elements aggregated? Fifth, how </w:t>
      </w:r>
      <w:r w:rsidR="00D26C78">
        <w:t xml:space="preserve">to </w:t>
      </w:r>
      <w:r w:rsidR="00850AED">
        <w:t xml:space="preserve"> determine</w:t>
      </w:r>
      <w:r w:rsidR="00D26C78">
        <w:t xml:space="preserve"> the</w:t>
      </w:r>
      <w:r w:rsidR="00850AED">
        <w:t xml:space="preserve"> price?</w:t>
      </w:r>
      <w:r>
        <w:t xml:space="preserve"> </w:t>
      </w:r>
      <w:r w:rsidR="00E729BA">
        <w:fldChar w:fldCharType="begin"/>
      </w:r>
      <w:r w:rsidR="00FC61FD">
        <w:instrText xml:space="preserve"> ADDIN REFMGR.CITE &lt;Refman&gt;&lt;Cite&gt;&lt;Author&gt;Sussex&lt;/Author&gt;&lt;Year&gt;2013&lt;/Year&gt;&lt;RecNum&gt;1645&lt;/RecNum&gt;&lt;IDText&gt;Operationalizing value-based pricing of medicines : a taxonomy of approaches&lt;/IDText&gt;&lt;MDL Ref_Type="Journal"&gt;&lt;Ref_Type&gt;Journal&lt;/Ref_Type&gt;&lt;Ref_ID&gt;1645&lt;/Ref_ID&gt;&lt;Title_Primary&gt;Operationalizing value-based pricing of medicines : a taxonomy of approaches&lt;/Title_Primary&gt;&lt;Authors_Primary&gt;Sussex,J.&lt;/Authors_Primary&gt;&lt;Authors_Primary&gt;Towse,A.&lt;/Authors_Primary&gt;&lt;Authors_Primary&gt;Devlin,N.&lt;/Authors_Primary&gt;&lt;Date_Primary&gt;2013/1&lt;/Date_Primary&gt;&lt;Keywords&gt;analysis&lt;/Keywords&gt;&lt;Keywords&gt;economics&lt;/Keywords&gt;&lt;Keywords&gt;Health&lt;/Keywords&gt;&lt;Keywords&gt;London&lt;/Keywords&gt;&lt;Keywords&gt;Uncertainty&lt;/Keywords&gt;&lt;Reprint&gt;Not in File&lt;/Reprint&gt;&lt;Start_Page&gt;1&lt;/Start_Page&gt;&lt;End_Page&gt;10&lt;/End_Page&gt;&lt;Periodical&gt;Pharmacoeconomics.&lt;/Periodical&gt;&lt;Volume&gt;31&lt;/Volume&gt;&lt;Issue&gt;1&lt;/Issue&gt;&lt;ZZ_JournalStdAbbrev&gt;&lt;f name="System"&gt;Pharmacoeconomics.&lt;/f&gt;&lt;/ZZ_JournalStdAbbrev&gt;&lt;ZZ_WorkformID&gt;1&lt;/ZZ_WorkformID&gt;&lt;/MDL&gt;&lt;/Cite&gt;&lt;/Refman&gt;</w:instrText>
      </w:r>
      <w:r w:rsidR="00E729BA">
        <w:fldChar w:fldCharType="separate"/>
      </w:r>
      <w:r w:rsidR="00DF14BD">
        <w:t>(234)</w:t>
      </w:r>
      <w:r w:rsidR="00E729BA">
        <w:fldChar w:fldCharType="end"/>
      </w:r>
      <w:r>
        <w:t>. In contrast to the issues raised in the taxonomy the</w:t>
      </w:r>
      <w:r w:rsidR="00850AED">
        <w:t xml:space="preserve"> method used estimate the value-based price in this thesis is relatively crude</w:t>
      </w:r>
      <w:r>
        <w:t>. Only QALYs are values and are measured using standard preference based measures of utility such as the EQ-5D</w:t>
      </w:r>
      <w:r w:rsidR="00850AED">
        <w:t xml:space="preserve">. </w:t>
      </w:r>
      <w:r>
        <w:t xml:space="preserve">Since </w:t>
      </w:r>
      <w:r w:rsidR="00193D63">
        <w:t>I only considered QALYs</w:t>
      </w:r>
      <w:r>
        <w:t xml:space="preserve"> there were no problems with aggregating the elements and price is estimated from a single threshold value. </w:t>
      </w:r>
      <w:r w:rsidR="00850AED">
        <w:t xml:space="preserve">However, given the DoH objectives to incorporate </w:t>
      </w:r>
      <w:r w:rsidR="007D26CB">
        <w:t xml:space="preserve">wider benefits </w:t>
      </w:r>
      <w:r>
        <w:t>this approach is too simplistic and</w:t>
      </w:r>
      <w:r w:rsidR="00850AED">
        <w:t xml:space="preserve"> would need to be adapted. The taxonomy emphasises the challenges involved in using value-based pricing. </w:t>
      </w:r>
      <w:r w:rsidR="00193D63">
        <w:t>T</w:t>
      </w:r>
      <w:r w:rsidR="00850AED">
        <w:t xml:space="preserve">he SLE analysis described here could be modified to incorporate more complex criteria, such as weighted QALYs or MCDA, to determine the price. It will be important that the methods are transparent </w:t>
      </w:r>
      <w:r w:rsidR="00771F02">
        <w:t>to avoid controversy in price setting. An explicit process is needed</w:t>
      </w:r>
      <w:r w:rsidR="007D26CB">
        <w:t xml:space="preserve"> to ensure that prices are fair, </w:t>
      </w:r>
      <w:r w:rsidR="00771F02">
        <w:t>consistent</w:t>
      </w:r>
      <w:r w:rsidR="007D26CB">
        <w:t xml:space="preserve"> and</w:t>
      </w:r>
      <w:r w:rsidR="00771F02">
        <w:t xml:space="preserve"> benefit the pharmaceutical companies </w:t>
      </w:r>
      <w:r w:rsidR="007D26CB">
        <w:t>in estimating expected prices</w:t>
      </w:r>
      <w:r w:rsidR="00850AED">
        <w:t>.</w:t>
      </w:r>
      <w:r w:rsidR="00771F02">
        <w:t xml:space="preserve"> The adaptation of VOI through value-based prices will be more relevant once this policy is implemented.</w:t>
      </w:r>
      <w:r w:rsidR="00850AED">
        <w:t xml:space="preserve"> </w:t>
      </w:r>
    </w:p>
    <w:p w:rsidR="00850AED" w:rsidRDefault="007B1DCD" w:rsidP="009315DA">
      <w:r>
        <w:t>In the SLE VOI analysis</w:t>
      </w:r>
      <w:r w:rsidR="00EE2E22">
        <w:t>,</w:t>
      </w:r>
      <w:r>
        <w:t xml:space="preserve"> uncertainty in the posterior </w:t>
      </w:r>
      <w:r w:rsidR="00664E03">
        <w:t xml:space="preserve">expected incremental </w:t>
      </w:r>
      <w:r>
        <w:t xml:space="preserve">net </w:t>
      </w:r>
      <w:r w:rsidR="00664E03">
        <w:t xml:space="preserve">benefit </w:t>
      </w:r>
      <w:r>
        <w:t>was not factored into the price setting criteria</w:t>
      </w:r>
      <w:r w:rsidR="00664E03">
        <w:t xml:space="preserve">. </w:t>
      </w:r>
      <w:r>
        <w:t>It is considered that NICE currently consider uncertainty as part of the deliberation process and are less willing to accept treatments with v</w:t>
      </w:r>
      <w:r w:rsidR="00EE2E22">
        <w:t>e</w:t>
      </w:r>
      <w:r>
        <w:t xml:space="preserve">ry uncertain outcomes </w:t>
      </w:r>
      <w:r w:rsidR="00E729BA">
        <w:fldChar w:fldCharType="begin"/>
      </w:r>
      <w:r w:rsidR="00FC61FD">
        <w:instrText xml:space="preserve"> ADDIN REFMGR.CITE &lt;Refman&gt;&lt;Cite&gt;&lt;Author&gt;Devlin&lt;/Author&gt;&lt;Year&gt;2004&lt;/Year&gt;&lt;RecNum&gt;1626&lt;/RecNum&gt;&lt;IDText&gt;Does NICE have a cost-effectiveness threshold and what other factors influence its decisions? A binary choice analysis&lt;/IDText&gt;&lt;MDL Ref_Type="Journal"&gt;&lt;Ref_Type&gt;Journal&lt;/Ref_Type&gt;&lt;Ref_ID&gt;1626&lt;/Ref_ID&gt;&lt;Title_Primary&gt;Does NICE have a cost-effectiveness threshold and what other factors influence its decisions? A binary choice analysis&lt;/Title_Primary&gt;&lt;Authors_Primary&gt;Devlin,N.&lt;/Authors_Primary&gt;&lt;Authors_Primary&gt;Parkin,D.&lt;/Authors_Primary&gt;&lt;Date_Primary&gt;2004/5&lt;/Date_Primary&gt;&lt;Keywords&gt;analysis&lt;/Keywords&gt;&lt;Keywords&gt;Cost-Benefit Analysis&lt;/Keywords&gt;&lt;Keywords&gt;Decision Making&lt;/Keywords&gt;&lt;Keywords&gt;Disease&lt;/Keywords&gt;&lt;Keywords&gt;economics&lt;/Keywords&gt;&lt;Keywords&gt;Great Britain&lt;/Keywords&gt;&lt;Keywords&gt;Health&lt;/Keywords&gt;&lt;Keywords&gt;Humans&lt;/Keywords&gt;&lt;Keywords&gt;Life&lt;/Keywords&gt;&lt;Keywords&gt;methods&lt;/Keywords&gt;&lt;Keywords&gt;Probability&lt;/Keywords&gt;&lt;Keywords&gt;Quality-Adjusted Life Years&lt;/Keywords&gt;&lt;Keywords&gt;State Medicine&lt;/Keywords&gt;&lt;Keywords&gt;statistics &amp;amp; numerical data&lt;/Keywords&gt;&lt;Keywords&gt;Uncertainty&lt;/Keywords&gt;&lt;Reprint&gt;Not in File&lt;/Reprint&gt;&lt;Start_Page&gt;437&lt;/Start_Page&gt;&lt;End_Page&gt;452&lt;/End_Page&gt;&lt;Periodical&gt;Health Econ.&lt;/Periodical&gt;&lt;Volume&gt;13&lt;/Volume&gt;&lt;Issue&gt;5&lt;/Issue&gt;&lt;ZZ_JournalStdAbbrev&gt;&lt;f name="System"&gt;Health Econ.&lt;/f&gt;&lt;/ZZ_JournalStdAbbrev&gt;&lt;ZZ_WorkformID&gt;1&lt;/ZZ_WorkformID&gt;&lt;/MDL&gt;&lt;/Cite&gt;&lt;/Refman&gt;</w:instrText>
      </w:r>
      <w:r w:rsidR="00E729BA">
        <w:fldChar w:fldCharType="separate"/>
      </w:r>
      <w:r w:rsidR="0081424E">
        <w:t>(27)</w:t>
      </w:r>
      <w:r w:rsidR="00E729BA">
        <w:fldChar w:fldCharType="end"/>
      </w:r>
      <w:r>
        <w:t xml:space="preserve">. </w:t>
      </w:r>
      <w:r w:rsidR="00E47A32">
        <w:t xml:space="preserve">Reimbursement decision-making based on </w:t>
      </w:r>
      <w:r w:rsidR="00850AED">
        <w:t>point estimates</w:t>
      </w:r>
      <w:r>
        <w:t xml:space="preserve"> for net benefit</w:t>
      </w:r>
      <w:r w:rsidR="00850AED">
        <w:t xml:space="preserve"> have been criticised because they do not account for the uncertainty in the decision </w:t>
      </w:r>
      <w:r w:rsidR="00E729BA">
        <w:fldChar w:fldCharType="begin"/>
      </w:r>
      <w:r w:rsidR="00FC61FD">
        <w:instrText xml:space="preserve"> ADDIN REFMGR.CITE &lt;Refman&gt;&lt;Cite&gt;&lt;Author&gt;McKenna&lt;/Author&gt;&lt;Year&gt;2011&lt;/Year&gt;&lt;RecNum&gt;682&lt;/RecNum&gt;&lt;IDText&gt;Addressing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00E729BA">
        <w:fldChar w:fldCharType="separate"/>
      </w:r>
      <w:r w:rsidR="004D7951">
        <w:t>(112)</w:t>
      </w:r>
      <w:r w:rsidR="00E729BA">
        <w:fldChar w:fldCharType="end"/>
      </w:r>
      <w:r w:rsidR="00850AED">
        <w:t xml:space="preserve">. A treatment may fall below the reimbursement authority’s threshold, but with a large probability of error. </w:t>
      </w:r>
      <w:r w:rsidR="009315DA">
        <w:t xml:space="preserve">Even in the absence of value-based pricing it is recommended that the </w:t>
      </w:r>
      <w:r w:rsidR="00850AED">
        <w:t>reimbursement authority should consider whether it is worth collecting more evidence to reduce the decision uncertainty</w:t>
      </w:r>
      <w:r w:rsidR="00771F02">
        <w:t xml:space="preserve"> </w:t>
      </w:r>
      <w:r w:rsidR="00E729BA">
        <w:fldChar w:fldCharType="begin"/>
      </w:r>
      <w:r w:rsidR="00FC61FD">
        <w:instrText xml:space="preserve"> ADDIN REFMGR.CITE &lt;Refman&gt;&lt;Cite&gt;&lt;Author&gt;McKenna&lt;/Author&gt;&lt;Year&gt;2011&lt;/Year&gt;&lt;RecNum&gt;682&lt;/RecNum&gt;&lt;IDText&gt;Addressing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00E729BA">
        <w:fldChar w:fldCharType="separate"/>
      </w:r>
      <w:r w:rsidR="0081424E">
        <w:t>(112)</w:t>
      </w:r>
      <w:r w:rsidR="00E729BA">
        <w:fldChar w:fldCharType="end"/>
      </w:r>
      <w:r w:rsidR="00850AED">
        <w:t xml:space="preserve">. </w:t>
      </w:r>
      <w:r w:rsidR="009315DA">
        <w:t>However, these considerations could be more important within a value-based pricing system because the price is more likely to be set close to</w:t>
      </w:r>
      <w:r w:rsidR="00EE2E22">
        <w:t>, or actually at,</w:t>
      </w:r>
      <w:r w:rsidR="009315DA">
        <w:t xml:space="preserve"> the threshold. Consequently, it is recommended that uncertainty is factored into value-based price criteria. Furthermore, it has been argued in a recent report, that reimbursement decisions should maintain “only in research” and “approval with research” conditions, to ensure that irrecoverable costs of pricing and reimbursement decisions are not burdensome </w:t>
      </w:r>
      <w:r w:rsidR="00E729BA">
        <w:fldChar w:fldCharType="begin"/>
      </w:r>
      <w:r w:rsidR="00FC61FD">
        <w:instrText xml:space="preserve"> ADDIN REFMGR.CITE &lt;Refman&gt;&lt;Cite&gt;&lt;Author&gt;Claxton&lt;/Author&gt;&lt;Year&gt;2012&lt;/Year&gt;&lt;RecNum&gt;1674&lt;/RecNum&gt;&lt;IDText&gt;Informing a decision framework for when NICE should recommend the use of health technologies only in the context of an appropriately designed programme of evidence development&lt;/IDText&gt;&lt;MDL Ref_Type="Journal"&gt;&lt;Ref_Type&gt;Journal&lt;/Ref_Type&gt;&lt;Ref_ID&gt;1674&lt;/Ref_ID&gt;&lt;Title_Primary&gt;Informing a decision framework for when NICE should recommend the use of health technologies only in the context of an appropriately designed programme of evidence development&lt;/Title_Primary&gt;&lt;Authors_Primary&gt;Claxton,K.&lt;/Authors_Primary&gt;&lt;Authors_Primary&gt;Palmer,S.&lt;/Authors_Primary&gt;&lt;Authors_Primary&gt;Longworth,L.&lt;/Authors_Primary&gt;&lt;Authors_Primary&gt;Bojke,L.&lt;/Authors_Primary&gt;&lt;Authors_Primary&gt;Griffin,S.&lt;/Authors_Primary&gt;&lt;Authors_Primary&gt;McKenna,C.&lt;/Authors_Primary&gt;&lt;Authors_Primary&gt;Soares,M.&lt;/Authors_Primary&gt;&lt;Authors_Primary&gt;Spackman,E.&lt;/Authors_Primary&gt;&lt;Authors_Primary&gt;Youn,J.&lt;/Authors_Primary&gt;&lt;Date_Primary&gt;2012&lt;/Date_Primary&gt;&lt;Keywords&gt;analysis&lt;/Keywords&gt;&lt;Keywords&gt;Cost-Benefit Analysis&lt;/Keywords&gt;&lt;Keywords&gt;economics&lt;/Keywords&gt;&lt;Keywords&gt;Evidence-Based Medicine&lt;/Keywords&gt;&lt;Keywords&gt;Great Britain&lt;/Keywords&gt;&lt;Keywords&gt;Guidelines as Topic&lt;/Keywords&gt;&lt;Keywords&gt;Health&lt;/Keywords&gt;&lt;Keywords&gt;Humans&lt;/Keywords&gt;&lt;Keywords&gt;methods&lt;/Keywords&gt;&lt;Keywords&gt;organization &amp;amp; administration&lt;/Keywords&gt;&lt;Keywords&gt;patient&lt;/Keywords&gt;&lt;Keywords&gt;Policy&lt;/Keywords&gt;&lt;Keywords&gt;Research&lt;/Keywords&gt;&lt;Keywords&gt;Technology Assessment,Biomedical&lt;/Keywords&gt;&lt;Reprint&gt;Not in File&lt;/Reprint&gt;&lt;Start_Page&gt;1&lt;/Start_Page&gt;&lt;End_Page&gt;323&lt;/End_Page&gt;&lt;Periodical&gt;Health Technol.Assess.&lt;/Periodical&gt;&lt;Volume&gt;16&lt;/Volume&gt;&lt;Issue&gt;46&lt;/Issue&gt;&lt;ZZ_JournalStdAbbrev&gt;&lt;f name="System"&gt;Health Technol.Assess.&lt;/f&gt;&lt;/ZZ_JournalStdAbbrev&gt;&lt;ZZ_WorkformID&gt;1&lt;/ZZ_WorkformID&gt;&lt;/MDL&gt;&lt;/Cite&gt;&lt;/Refman&gt;</w:instrText>
      </w:r>
      <w:r w:rsidR="00E729BA">
        <w:fldChar w:fldCharType="separate"/>
      </w:r>
      <w:r w:rsidR="00DF14BD">
        <w:t>(249)</w:t>
      </w:r>
      <w:r w:rsidR="00E729BA">
        <w:fldChar w:fldCharType="end"/>
      </w:r>
      <w:r w:rsidR="009315DA">
        <w:t xml:space="preserve">. </w:t>
      </w:r>
      <w:r w:rsidR="00850AED">
        <w:t xml:space="preserve"> </w:t>
      </w:r>
      <w:r w:rsidR="009315DA">
        <w:t>Greater flexibility in the nature and timing of the value-based pricing decision will add complexity to the analysis described here.</w:t>
      </w:r>
    </w:p>
    <w:p w:rsidR="00850AED" w:rsidRDefault="00850AED" w:rsidP="003C5853">
      <w:r>
        <w:t xml:space="preserve">It is worth noting that the B&amp;K approximation demonstrated here </w:t>
      </w:r>
      <w:r w:rsidR="00E47A32">
        <w:t>approximated the expected value-based price and d</w:t>
      </w:r>
      <w:r w:rsidR="003C5853">
        <w:t>id</w:t>
      </w:r>
      <w:r w:rsidR="00E47A32">
        <w:t xml:space="preserve"> not estimate the variance of that quantity</w:t>
      </w:r>
      <w:r w:rsidR="003C5853">
        <w:t>. The B&amp;K algorithm can be used to estimate the posterior expectation of the CE model outcomes, but does not report the uncertainty in the results. It could not be used in its current form to estimate value-based price conditional on uncertainty in the costs and QALY estimates</w:t>
      </w:r>
      <w:r>
        <w:t>.</w:t>
      </w:r>
      <w:r w:rsidR="003C5853">
        <w:t xml:space="preserve"> If greater uncertainty was penalised with lower value-based price setting it would impact on which trial design was believed to be optimal. The value of larger trials is likely to be underestimated with the </w:t>
      </w:r>
      <w:r w:rsidR="00664E03">
        <w:t xml:space="preserve">current </w:t>
      </w:r>
      <w:r w:rsidR="003C5853">
        <w:t xml:space="preserve">point estimate method. Therefore, alternative methods would be required to correct for this bias.  Other methods of Bayesian updating such as conjugate distributions and MCMC simulation would not share these problems because </w:t>
      </w:r>
      <w:r w:rsidR="00797F2D">
        <w:t>CE</w:t>
      </w:r>
      <w:r w:rsidR="003C5853">
        <w:t xml:space="preserve"> model outcomes would be evaluated with a nested</w:t>
      </w:r>
      <w:r>
        <w:t xml:space="preserve"> </w:t>
      </w:r>
      <w:r w:rsidR="00771F02">
        <w:t>PSA</w:t>
      </w:r>
      <w:r>
        <w:t xml:space="preserve">. </w:t>
      </w:r>
      <w:r w:rsidR="00771F02">
        <w:t>T</w:t>
      </w:r>
      <w:r>
        <w:t>he B&amp;K is much more computationally efficient than alternative methods</w:t>
      </w:r>
      <w:r w:rsidR="003C5853">
        <w:t>,</w:t>
      </w:r>
      <w:r w:rsidR="00771F02">
        <w:t xml:space="preserve"> because it is not necessary to run PSA for every simulated trial</w:t>
      </w:r>
      <w:r>
        <w:t xml:space="preserve">. </w:t>
      </w:r>
      <w:r w:rsidR="003C5853">
        <w:t xml:space="preserve">If uncertainty were </w:t>
      </w:r>
      <w:r w:rsidR="00527615">
        <w:t>a criterion</w:t>
      </w:r>
      <w:r w:rsidR="003C5853">
        <w:t xml:space="preserve"> for setting value-based prices, this would exacerbate the need for simple CE models for trial design evaluation, because efficient computation methods could not be used. </w:t>
      </w:r>
    </w:p>
    <w:p w:rsidR="00850AED" w:rsidRDefault="00850AED" w:rsidP="00850AED">
      <w:pPr>
        <w:pStyle w:val="Heading2"/>
      </w:pPr>
      <w:bookmarkStart w:id="651" w:name="_Toc353377790"/>
      <w:bookmarkStart w:id="652" w:name="_Toc379467700"/>
      <w:r>
        <w:t>Limitations</w:t>
      </w:r>
      <w:bookmarkEnd w:id="651"/>
      <w:bookmarkEnd w:id="652"/>
      <w:r>
        <w:t xml:space="preserve"> </w:t>
      </w:r>
    </w:p>
    <w:p w:rsidR="00850AED" w:rsidRDefault="00850AED" w:rsidP="001B26F1">
      <w:r>
        <w:t xml:space="preserve">There are several limitations with the </w:t>
      </w:r>
      <w:r w:rsidR="00797F2D">
        <w:t>BCTS, CE models</w:t>
      </w:r>
      <w:r>
        <w:t xml:space="preserve"> and the VOI analysis. The most important relates the computation time taken to generate the analyses reported here. The analysis took </w:t>
      </w:r>
      <w:r w:rsidR="00664E03">
        <w:t>8</w:t>
      </w:r>
      <w:r>
        <w:t xml:space="preserve"> weeks to generate using a High Performance Cluster. </w:t>
      </w:r>
      <w:r w:rsidR="00E62AE7">
        <w:t>I</w:t>
      </w:r>
      <w:r>
        <w:t>t was not possible to draw a conclusion over which tri</w:t>
      </w:r>
      <w:r w:rsidR="00664E03">
        <w:t>al design is optimum with the 16</w:t>
      </w:r>
      <w:r>
        <w:t xml:space="preserve">00 </w:t>
      </w:r>
      <w:r w:rsidR="002C404F">
        <w:t>BCTS iterations</w:t>
      </w:r>
      <w:r>
        <w:t xml:space="preserve"> that were generated. This suggests that the analysis is not feasible even with superior computing facilities. </w:t>
      </w:r>
      <w:r w:rsidR="00E62AE7">
        <w:t xml:space="preserve">Even if the </w:t>
      </w:r>
      <w:r w:rsidR="00CC17B0">
        <w:t>p</w:t>
      </w:r>
      <w:r w:rsidR="00E62AE7">
        <w:t xml:space="preserve">harmaceutical </w:t>
      </w:r>
      <w:r w:rsidR="00CC17B0">
        <w:t>c</w:t>
      </w:r>
      <w:r w:rsidR="00E62AE7">
        <w:t xml:space="preserve">ompany had an additional 12 weeks to run analyses, it is not reasonable to assume that analysts </w:t>
      </w:r>
      <w:r w:rsidR="00664E03">
        <w:t>would</w:t>
      </w:r>
      <w:r w:rsidR="00E62AE7">
        <w:t xml:space="preserve"> have access to a </w:t>
      </w:r>
      <w:r w:rsidR="001B26F1">
        <w:t xml:space="preserve">suitable </w:t>
      </w:r>
      <w:r w:rsidR="00E62AE7">
        <w:t>computer facility. My overall conclusion is that the analyses cannot</w:t>
      </w:r>
      <w:r w:rsidR="001B26F1">
        <w:t xml:space="preserve"> currently</w:t>
      </w:r>
      <w:r w:rsidR="00E62AE7">
        <w:t xml:space="preserve"> be performed in a real-world setting. </w:t>
      </w:r>
      <w:r w:rsidR="001B26F1">
        <w:t>C</w:t>
      </w:r>
      <w:r>
        <w:t>omputer processing continues to improve and it is not implausible to look ahead to a time when these analyses will be workable within a trial development programme.</w:t>
      </w:r>
    </w:p>
    <w:p w:rsidR="00850AED" w:rsidRDefault="001B26F1" w:rsidP="001B26F1">
      <w:r>
        <w:t>S</w:t>
      </w:r>
      <w:r w:rsidR="00850AED">
        <w:t>ix designs of clinical trials in SLE</w:t>
      </w:r>
      <w:r>
        <w:t xml:space="preserve"> were simulated with </w:t>
      </w:r>
      <w:r w:rsidR="00850AED">
        <w:t>varying sample size and duration of follow-up. The six trials represent a selection of trial designs that could be tested using the BCTS described in Chapter 6. It would be advantageous if the analysis could produce a more granular evaluation of sample size, and duration of follow- up increments. There may be sample sizes between 500-2000 that are optimum, or the duration of follow-up of 2.5 years would be sufficient to gather data on organ damage. The analysis</w:t>
      </w:r>
      <w:r w:rsidR="00664E03">
        <w:t xml:space="preserve"> of</w:t>
      </w:r>
      <w:r w:rsidR="00850AED">
        <w:t xml:space="preserve"> six trials does not provide an exhaustive answer to the question “How </w:t>
      </w:r>
      <w:r w:rsidR="00527615">
        <w:t>SLE Phase III trials should</w:t>
      </w:r>
      <w:r w:rsidR="00850AED">
        <w:t xml:space="preserve"> be designed?</w:t>
      </w:r>
      <w:r w:rsidR="00527615">
        <w:t>”</w:t>
      </w:r>
      <w:r w:rsidR="00850AED">
        <w:t xml:space="preserve"> The BCTS has the capacity to consider inclusion criteria, health economic outcomes data collection, and could simulate adaptive trial designs with some small modifications. The computation time </w:t>
      </w:r>
      <w:r>
        <w:t xml:space="preserve">of the analysis </w:t>
      </w:r>
      <w:r w:rsidR="00664E03">
        <w:t>was</w:t>
      </w:r>
      <w:r w:rsidR="00850AED">
        <w:t xml:space="preserve"> an important limitation to the number of questions that can be asked about trial design. The implications are that the principle investigator would need to prioritise the most informative trial specifications before starting the simulation.</w:t>
      </w:r>
    </w:p>
    <w:p w:rsidR="00850AED" w:rsidRDefault="00850AED" w:rsidP="001B26F1">
      <w:r>
        <w:t xml:space="preserve">The simulation includes the SLEDAI as a measure of disease activity, which precluded the evaluation of alternative </w:t>
      </w:r>
      <w:r w:rsidR="00664E03">
        <w:t>disease activity indices</w:t>
      </w:r>
      <w:r>
        <w:t xml:space="preserve">. The definition of clinical trial endpoints have been challenging and have been attributed to the failure of at least one major drug development trial. The BILAG and PGA indices have not been associated with organ damage and mortality in multivariate analyses alongside the SLEDAI, and are not included in the natural history model for SLE because the data were not available. In these analyses, the </w:t>
      </w:r>
      <w:r w:rsidR="001B26F1">
        <w:t>BCTS</w:t>
      </w:r>
      <w:r>
        <w:t xml:space="preserve"> is more focused on </w:t>
      </w:r>
      <w:r w:rsidR="001B26F1">
        <w:t xml:space="preserve">sampling data collected in a trial to update </w:t>
      </w:r>
      <w:r>
        <w:t xml:space="preserve">the CE model. In the future it may be possible to structure CE models in SLE based on multiple disease activity indices. </w:t>
      </w:r>
      <w:r w:rsidR="001B26F1">
        <w:t>I</w:t>
      </w:r>
      <w:r>
        <w:t xml:space="preserve">t should be noted that this would add substantial complexity to </w:t>
      </w:r>
      <w:r w:rsidR="00797F2D">
        <w:t>the CE</w:t>
      </w:r>
      <w:r>
        <w:t xml:space="preserve"> model</w:t>
      </w:r>
      <w:r w:rsidR="00D26C78">
        <w:t xml:space="preserve"> and was</w:t>
      </w:r>
      <w:r w:rsidR="00664E03">
        <w:t xml:space="preserve"> impractical given the computation time of the analysis. </w:t>
      </w:r>
    </w:p>
    <w:p w:rsidR="00850AED" w:rsidRDefault="00850AED" w:rsidP="001B26F1">
      <w:r>
        <w:t xml:space="preserve">The analysis of SLE trials was conducted for a hypothetical new biologic treatment. Consequently, the simulations were developed based on hypothetical treatment effects that may not reflect the true effectiveness of biologic treatment for SLE. Where possible treatment effectiveness has been calibrated against trial results for belimumab. </w:t>
      </w:r>
      <w:r w:rsidR="001B26F1">
        <w:t>This</w:t>
      </w:r>
      <w:r>
        <w:t xml:space="preserve"> project would have benefited from a Phase II clinical trial dataset. In a real-life setting this would provide most of the information needed to develop the BCTS and the prior distributions for the parameters of the CE model. In the absence of this information the BCTS was developed using longitudinal data from the Hopkins Lupus Cohort. </w:t>
      </w:r>
      <w:r w:rsidR="001B26F1">
        <w:t>This approach was sufficient for the purposes of this research, but t</w:t>
      </w:r>
      <w:r>
        <w:t>he main disadvantage is that it reflects a less severe population from clinical practice</w:t>
      </w:r>
      <w:r w:rsidR="001B26F1">
        <w:t>.</w:t>
      </w:r>
    </w:p>
    <w:p w:rsidR="00850AED" w:rsidRDefault="00850AED" w:rsidP="00850AED">
      <w:pPr>
        <w:pStyle w:val="Heading2"/>
      </w:pPr>
      <w:bookmarkStart w:id="653" w:name="_Toc353377791"/>
      <w:bookmarkStart w:id="654" w:name="_Toc379467701"/>
      <w:r>
        <w:t>Further Research and Development</w:t>
      </w:r>
      <w:bookmarkEnd w:id="653"/>
      <w:bookmarkEnd w:id="654"/>
    </w:p>
    <w:p w:rsidR="00850AED" w:rsidRDefault="00850AED" w:rsidP="00850AED">
      <w:r>
        <w:t>Simplicity will lend advantage in the simulation of SLE to evaluate clinical trial designs. Further research should consider methods to reduce the computation burden of sensitivity analyses on the CE model. I have identified two possible means to reducing the computation burden. Firstly, to re-structure the</w:t>
      </w:r>
      <w:r w:rsidR="00797F2D">
        <w:t xml:space="preserve"> CE</w:t>
      </w:r>
      <w:r>
        <w:t xml:space="preserve"> model to reduce the n</w:t>
      </w:r>
      <w:r w:rsidR="00797F2D">
        <w:t>umber of parameters</w:t>
      </w:r>
      <w:r>
        <w:t xml:space="preserve">. Secondly, to develop a meta-model to approximate the outcomes of the CE model. </w:t>
      </w:r>
    </w:p>
    <w:p w:rsidR="00850AED" w:rsidRDefault="00850AED" w:rsidP="00D26C78">
      <w:r>
        <w:t xml:space="preserve">A CE model with fewer parameters would </w:t>
      </w:r>
      <w:r w:rsidR="00664E03">
        <w:t>be beneficial</w:t>
      </w:r>
      <w:r>
        <w:t xml:space="preserve"> if the simplifications do not impact on the decisions taken. Model simplifications could be validated against the </w:t>
      </w:r>
      <w:r w:rsidR="00797F2D">
        <w:t>more complex CE</w:t>
      </w:r>
      <w:r>
        <w:t xml:space="preserve"> model and should </w:t>
      </w:r>
      <w:r w:rsidR="00797F2D">
        <w:t xml:space="preserve">remove parameters that have the least impact on the CE outcomes. </w:t>
      </w:r>
      <w:r>
        <w:t xml:space="preserve">It is likely that some organ damage systems have a greater impact on the CE model outcomes than others. </w:t>
      </w:r>
      <w:r w:rsidR="00560EF3">
        <w:t>T</w:t>
      </w:r>
      <w:r>
        <w:t>hese could be combined or removed without impacting on the decision whether</w:t>
      </w:r>
      <w:r w:rsidRPr="000C1739">
        <w:t xml:space="preserve"> </w:t>
      </w:r>
      <w:r>
        <w:t xml:space="preserve">to reimburse a new treatment. Similarly, the </w:t>
      </w:r>
      <w:r w:rsidR="00797F2D">
        <w:t>n</w:t>
      </w:r>
      <w:r>
        <w:t xml:space="preserve">atural </w:t>
      </w:r>
      <w:r w:rsidR="00797F2D">
        <w:t>h</w:t>
      </w:r>
      <w:r>
        <w:t>istory model includes parameters</w:t>
      </w:r>
      <w:r w:rsidR="00560EF3">
        <w:t xml:space="preserve"> such as ethnicity, hypertension and cholesterol that</w:t>
      </w:r>
      <w:r>
        <w:t xml:space="preserve"> describe the effect of patient characteristics on the long term outcomes</w:t>
      </w:r>
      <w:r w:rsidR="00D26C78">
        <w:t xml:space="preserve"> </w:t>
      </w:r>
      <w:r>
        <w:t xml:space="preserve">Adjusting for </w:t>
      </w:r>
      <w:r w:rsidR="00560EF3">
        <w:t>confounders was</w:t>
      </w:r>
      <w:r>
        <w:t xml:space="preserve"> necessary to reduce the bias in the estimates of the effect of disease activity, steroid and damage on long term outcomes. </w:t>
      </w:r>
      <w:r w:rsidR="00560EF3">
        <w:t>However, alternative use of these parameters in the CE model could simplify the model structure.</w:t>
      </w:r>
      <w:r>
        <w:t xml:space="preserve"> The </w:t>
      </w:r>
      <w:r w:rsidR="00797F2D">
        <w:t>n</w:t>
      </w:r>
      <w:r>
        <w:t xml:space="preserve">atural </w:t>
      </w:r>
      <w:r w:rsidR="00797F2D">
        <w:t>h</w:t>
      </w:r>
      <w:r>
        <w:t xml:space="preserve">istory model was developed to be flexible to evaluate treatment effects for different subgroups of patients and with differential treatment effects across organ systems. </w:t>
      </w:r>
      <w:r w:rsidR="00797F2D">
        <w:t xml:space="preserve">An advantage of the complex CE model is that it captures many disease outcomes and can accommodate treatment effects in a wide range of organ systems. </w:t>
      </w:r>
      <w:r w:rsidR="00560EF3">
        <w:t>Si</w:t>
      </w:r>
      <w:r>
        <w:t xml:space="preserve">mplifying the </w:t>
      </w:r>
      <w:r w:rsidR="00797F2D">
        <w:t xml:space="preserve">CE model </w:t>
      </w:r>
      <w:r w:rsidR="00560EF3">
        <w:t>may</w:t>
      </w:r>
      <w:r w:rsidR="00797F2D">
        <w:t xml:space="preserve"> reduce this </w:t>
      </w:r>
      <w:r>
        <w:t>flexibility</w:t>
      </w:r>
      <w:r w:rsidR="00797F2D">
        <w:t xml:space="preserve">. I would recommend that simplifications in the future are </w:t>
      </w:r>
      <w:r>
        <w:t xml:space="preserve">undertaken </w:t>
      </w:r>
      <w:r w:rsidR="00797F2D">
        <w:t>and tailored for specific treatments when</w:t>
      </w:r>
      <w:r>
        <w:t xml:space="preserve"> more data is available about the attributes of the treatment.</w:t>
      </w:r>
    </w:p>
    <w:p w:rsidR="00850AED" w:rsidRDefault="00850AED" w:rsidP="00363F45">
      <w:r>
        <w:t>Meta-model</w:t>
      </w:r>
      <w:r w:rsidR="00396E04">
        <w:t>l</w:t>
      </w:r>
      <w:r>
        <w:t>ing involves the us</w:t>
      </w:r>
      <w:r w:rsidR="00363F45">
        <w:t>e of statistical regression to describe</w:t>
      </w:r>
      <w:r>
        <w:t xml:space="preserve"> the model input-output relationship</w:t>
      </w:r>
      <w:r w:rsidR="00D26C78">
        <w:t xml:space="preserve"> </w:t>
      </w:r>
      <w:r w:rsidR="00E729BA">
        <w:fldChar w:fldCharType="begin"/>
      </w:r>
      <w:r w:rsidR="00FC61FD">
        <w:instrText xml:space="preserve"> ADDIN REFMGR.CITE &lt;Refman&gt;&lt;Cite&gt;&lt;Author&gt;Stevenson&lt;/Author&gt;&lt;Year&gt;2009&lt;/Year&gt;&lt;RecNum&gt;464&lt;/RecNum&gt;&lt;IDText&gt;The Cost-Effectiveness of an RCT to Establish Whether 5 or 10 Years of Bisphosphonate Treatment Is the Better Duration for Women With a Prior Fracture&lt;/IDText&gt;&lt;MDL Ref_Type="Journal"&gt;&lt;Ref_Type&gt;Journal&lt;/Ref_Type&gt;&lt;Ref_ID&gt;464&lt;/Ref_ID&gt;&lt;Title_Primary&gt;The Cost-Effectiveness of an RCT to Establish Whether 5 or 10 Years of Bisphosphonate Treatment Is the Better Duration for Women With a Prior Fracture&lt;/Title_Primary&gt;&lt;Authors_Primary&gt;Stevenson,Matt D.&lt;/Authors_Primary&gt;&lt;Authors_Primary&gt;Oakley,Jeremy E.&lt;/Authors_Primary&gt;&lt;Authors_Primary&gt;Jones,Myfawny Lloyd&lt;/Authors_Primary&gt;&lt;Authors_Primary&gt;Brennan,Alan&lt;/Authors_Primary&gt;&lt;Authors_Primary&gt;Compston,Juliet E.&lt;/Authors_Primary&gt;&lt;Authors_Primary&gt;McCloskey,Eugene V.&lt;/Authors_Primary&gt;&lt;Authors_Primary&gt;Selby,Peter L.&lt;/Authors_Primary&gt;&lt;Date_Primary&gt;2009&lt;/Date_Primary&gt;&lt;Keywords&gt;Decision Making&lt;/Keywords&gt;&lt;Keywords&gt;England&lt;/Keywords&gt;&lt;Keywords&gt;Osteoporosis&lt;/Keywords&gt;&lt;Keywords&gt;randomized controlled trial&lt;/Keywords&gt;&lt;Keywords&gt;sample&lt;/Keywords&gt;&lt;Keywords&gt;Sample Size&lt;/Keywords&gt;&lt;Keywords&gt;Uncertainty&lt;/Keywords&gt;&lt;Keywords&gt;Women&lt;/Keywords&gt;&lt;Reprint&gt;Not in File&lt;/Reprint&gt;&lt;Start_Page&gt;678&lt;/Start_Page&gt;&lt;End_Page&gt;689&lt;/End_Page&gt;&lt;Periodical&gt;Medical Decision Making&lt;/Periodical&gt;&lt;Volume&gt;29&lt;/Volume&gt;&lt;Issue&gt;6&lt;/Issue&gt;&lt;User_Def_1&gt;yes&lt;/User_Def_1&gt;&lt;User_Def_2&gt;yes&lt;/User_Def_2&gt;&lt;ISSN_ISBN&gt;0272-989X&lt;/ISSN_ISBN&gt;&lt;Web_URL&gt;WOS:000272382400004&lt;/Web_URL&gt;&lt;ZZ_JournalFull&gt;&lt;f name="System"&gt;Medical Decision Making&lt;/f&gt;&lt;/ZZ_JournalFull&gt;&lt;ZZ_WorkformID&gt;1&lt;/ZZ_WorkformID&gt;&lt;/MDL&gt;&lt;/Cite&gt;&lt;/Refman&gt;</w:instrText>
      </w:r>
      <w:r w:rsidR="00E729BA">
        <w:fldChar w:fldCharType="separate"/>
      </w:r>
      <w:r w:rsidR="00D26C78">
        <w:t>(111)</w:t>
      </w:r>
      <w:r w:rsidR="00E729BA">
        <w:fldChar w:fldCharType="end"/>
      </w:r>
      <w:r>
        <w:t xml:space="preserve">. Meta-models can be used to facilitate extensive and repeated sensitivity analyses alongside computationally expensive </w:t>
      </w:r>
      <w:r w:rsidR="00363F45">
        <w:t xml:space="preserve">CE </w:t>
      </w:r>
      <w:r>
        <w:t>models. This could take the form of a simple emulator; in which the cost and QALY results of the individual patient model are predicted using multivariate linear regression. The disadvantage of this approach is that it requires assumptions to be made about the relationships between the inputs and outputs of the model. Alternatively Gaussian Process Modelling is a non-parametric technique</w:t>
      </w:r>
      <w:r w:rsidR="003647A1">
        <w:t xml:space="preserve"> (250)</w:t>
      </w:r>
      <w:r>
        <w:t xml:space="preserve">. The Gaussian technique described enabled an accurate approximation of the CE output from an individual patient model to be generated almost instantaneously. Gaussian process modelling techniques have been demonstrated to accurately approximate the outcomes of an individual patient CE model </w:t>
      </w:r>
      <w:r w:rsidR="00E729BA">
        <w:fldChar w:fldCharType="begin"/>
      </w:r>
      <w:r w:rsidR="00FC61FD">
        <w:instrText xml:space="preserve"> ADDIN REFMGR.CITE &lt;Refman&gt;&lt;Cite&gt;&lt;Author&gt;Stevenson&lt;/Author&gt;&lt;Year&gt;2004&lt;/Year&gt;&lt;RecNum&gt;1646&lt;/RecNum&gt;&lt;IDText&gt;Gaussian process modeling in conjunction with individual patient simulation modeling: a case study describing the calculation of cost-effectiveness ratios for the treatment of established osteoporosis&lt;/IDText&gt;&lt;MDL Ref_Type="Journal"&gt;&lt;Ref_Type&gt;Journal&lt;/Ref_Type&gt;&lt;Ref_ID&gt;1646&lt;/Ref_ID&gt;&lt;Title_Primary&gt;Gaussian process modeling in conjunction with individual patient simulation modeling: a case study describing the calculation of cost-effectiveness ratios for the treatment of established osteoporosis&lt;/Title_Primary&gt;&lt;Authors_Primary&gt;Stevenson,M.D.&lt;/Authors_Primary&gt;&lt;Authors_Primary&gt;Oakley,J.&lt;/Authors_Primary&gt;&lt;Authors_Primary&gt;Chilcott,J.B.&lt;/Authors_Primary&gt;&lt;Date_Primary&gt;2004/1&lt;/Date_Primary&gt;&lt;Keywords&gt;Alendronate&lt;/Keywords&gt;&lt;Keywords&gt;Calcium&lt;/Keywords&gt;&lt;Keywords&gt;complications&lt;/Keywords&gt;&lt;Keywords&gt;Computer Simulation&lt;/Keywords&gt;&lt;Keywords&gt;Cost of Illness&lt;/Keywords&gt;&lt;Keywords&gt;Cost-Benefit Analysis&lt;/Keywords&gt;&lt;Keywords&gt;Decision Support Techniques&lt;/Keywords&gt;&lt;Keywords&gt;Disease&lt;/Keywords&gt;&lt;Keywords&gt;economics&lt;/Keywords&gt;&lt;Keywords&gt;England&lt;/Keywords&gt;&lt;Keywords&gt;etiology&lt;/Keywords&gt;&lt;Keywords&gt;Health&lt;/Keywords&gt;&lt;Keywords&gt;Health Care Costs&lt;/Keywords&gt;&lt;Keywords&gt;Hip Fractures&lt;/Keywords&gt;&lt;Keywords&gt;Hormone Replacement Therapy&lt;/Keywords&gt;&lt;Keywords&gt;Humans&lt;/Keywords&gt;&lt;Keywords&gt;Models,Econometric&lt;/Keywords&gt;&lt;Keywords&gt;Normal Distribution&lt;/Keywords&gt;&lt;Keywords&gt;Osteoporosis&lt;/Keywords&gt;&lt;Keywords&gt;patient&lt;/Keywords&gt;&lt;Keywords&gt;Patients&lt;/Keywords&gt;&lt;Keywords&gt;Quality-Adjusted Life Years&lt;/Keywords&gt;&lt;Keywords&gt;Research&lt;/Keywords&gt;&lt;Keywords&gt;sample&lt;/Keywords&gt;&lt;Keywords&gt;statistics &amp;amp; numerical data&lt;/Keywords&gt;&lt;Keywords&gt;therapeutic use&lt;/Keywords&gt;&lt;Keywords&gt;therapy&lt;/Keywords&gt;&lt;Keywords&gt;Time&lt;/Keywords&gt;&lt;Keywords&gt;Uncertainty&lt;/Keywords&gt;&lt;Reprint&gt;Not in File&lt;/Reprint&gt;&lt;Start_Page&gt;89&lt;/Start_Page&gt;&lt;End_Page&gt;100&lt;/End_Page&gt;&lt;Periodical&gt;Med.Decis.Making.&lt;/Periodical&gt;&lt;Volume&gt;24&lt;/Volume&gt;&lt;Issue&gt;1&lt;/Issue&gt;&lt;ZZ_JournalStdAbbrev&gt;&lt;f name="System"&gt;Med.Decis.Making.&lt;/f&gt;&lt;/ZZ_JournalStdAbbrev&gt;&lt;ZZ_WorkformID&gt;1&lt;/ZZ_WorkformID&gt;&lt;/MDL&gt;&lt;/Cite&gt;&lt;/Refman&gt;</w:instrText>
      </w:r>
      <w:r w:rsidR="00E729BA">
        <w:fldChar w:fldCharType="separate"/>
      </w:r>
      <w:r w:rsidR="00DF14BD">
        <w:t>(250)</w:t>
      </w:r>
      <w:r w:rsidR="00E729BA">
        <w:fldChar w:fldCharType="end"/>
      </w:r>
    </w:p>
    <w:p w:rsidR="00850AED" w:rsidRDefault="00850AED" w:rsidP="00560EF3">
      <w:r>
        <w:t xml:space="preserve">The </w:t>
      </w:r>
      <w:r w:rsidR="00B9721E">
        <w:t>n</w:t>
      </w:r>
      <w:r>
        <w:t xml:space="preserve">atural </w:t>
      </w:r>
      <w:r w:rsidR="00B9721E">
        <w:t>h</w:t>
      </w:r>
      <w:r>
        <w:t>istory model for SLE and the CE model are the first attempts to model the disease with a view to collect cost and health outcomes data for alternative treatment</w:t>
      </w:r>
      <w:r w:rsidR="00D26C78">
        <w:t>s</w:t>
      </w:r>
      <w:r>
        <w:t xml:space="preserve">. The models could be refined and developed in a number of ways. The statistical analyses used in the </w:t>
      </w:r>
      <w:r w:rsidR="00B9721E">
        <w:t>n</w:t>
      </w:r>
      <w:r>
        <w:t xml:space="preserve">atural </w:t>
      </w:r>
      <w:r w:rsidR="00B9721E">
        <w:t>h</w:t>
      </w:r>
      <w:r>
        <w:t xml:space="preserve">istory model extrapolate the long term pathway of disease activity and the incidence of important events such as organ damage and mortality. The </w:t>
      </w:r>
      <w:r w:rsidR="00560EF3">
        <w:t xml:space="preserve">statistical </w:t>
      </w:r>
      <w:r>
        <w:t xml:space="preserve">methods </w:t>
      </w:r>
      <w:r w:rsidR="00560EF3">
        <w:t xml:space="preserve">used here </w:t>
      </w:r>
      <w:r>
        <w:t>enable</w:t>
      </w:r>
      <w:r w:rsidR="00560EF3">
        <w:t>d the</w:t>
      </w:r>
      <w:r>
        <w:t xml:space="preserve"> development of the BCTS and CE models. With this in mind, there are many challenges involved in analysing longitudinal data, particularly when trying to describe complex associations between disease characteristics within patients. There are potential sources of bias in the model estimates. In this study it was necessary to analyse multiple disease processes, which are likely to be correlated and include many time-varying confounders. Advanced statistical modelling methods, such as joint modelling</w:t>
      </w:r>
      <w:r w:rsidR="00E62AE7">
        <w:t xml:space="preserve"> </w:t>
      </w:r>
      <w:r w:rsidR="00E729BA">
        <w:fldChar w:fldCharType="begin"/>
      </w:r>
      <w:r w:rsidR="00FC61FD">
        <w:instrText xml:space="preserve"> ADDIN REFMGR.CITE &lt;Refman&gt;&lt;Cite&gt;&lt;Author&gt;Williamson&lt;/Author&gt;&lt;Year&gt;2008&lt;/Year&gt;&lt;RecNum&gt;1669&lt;/RecNum&gt;&lt;IDText&gt;Joint modelling of longitudinal and competing risks data&lt;/IDText&gt;&lt;MDL Ref_Type="Journal"&gt;&lt;Ref_Type&gt;Journal&lt;/Ref_Type&gt;&lt;Ref_ID&gt;1669&lt;/Ref_ID&gt;&lt;Title_Primary&gt;Joint modelling of longitudinal and competing risks data&lt;/Title_Primary&gt;&lt;Authors_Primary&gt;Williamson,P.R.&lt;/Authors_Primary&gt;&lt;Authors_Primary&gt;Kolamunnage-Dona,R.&lt;/Authors_Primary&gt;&lt;Authors_Primary&gt;Philipson,P.&lt;/Authors_Primary&gt;&lt;Authors_Primary&gt;Marson,A.G.&lt;/Authors_Primary&gt;&lt;Date_Primary&gt;2008/12/30&lt;/Date_Primary&gt;&lt;Keywords&gt;adverse effects&lt;/Keywords&gt;&lt;Keywords&gt;analysis&lt;/Keywords&gt;&lt;Keywords&gt;Carbamazepine&lt;/Keywords&gt;&lt;Keywords&gt;Computer Simulation&lt;/Keywords&gt;&lt;Keywords&gt;drug therapy&lt;/Keywords&gt;&lt;Keywords&gt;Epilepsy&lt;/Keywords&gt;&lt;Keywords&gt;evaluation&lt;/Keywords&gt;&lt;Keywords&gt;Health&lt;/Keywords&gt;&lt;Keywords&gt;Humans&lt;/Keywords&gt;&lt;Keywords&gt;Longitudinal Studies&lt;/Keywords&gt;&lt;Keywords&gt;methods&lt;/Keywords&gt;&lt;Keywords&gt;Models,Statistical&lt;/Keywords&gt;&lt;Keywords&gt;Randomized Controlled Trials as Topic&lt;/Keywords&gt;&lt;Keywords&gt;Risk&lt;/Keywords&gt;&lt;Keywords&gt;Risk Assessment&lt;/Keywords&gt;&lt;Keywords&gt;Risk Factors&lt;/Keywords&gt;&lt;Keywords&gt;statistics&lt;/Keywords&gt;&lt;Keywords&gt;therapeutic use&lt;/Keywords&gt;&lt;Keywords&gt;Time&lt;/Keywords&gt;&lt;Keywords&gt;Triazines&lt;/Keywords&gt;&lt;Reprint&gt;Not in File&lt;/Reprint&gt;&lt;Start_Page&gt;6426&lt;/Start_Page&gt;&lt;End_Page&gt;6438&lt;/End_Page&gt;&lt;Periodical&gt;Stat.Med.&lt;/Periodical&gt;&lt;Volume&gt;27&lt;/Volume&gt;&lt;Issue&gt;30&lt;/Issue&gt;&lt;ZZ_JournalStdAbbrev&gt;&lt;f name="System"&gt;Stat.Med.&lt;/f&gt;&lt;/ZZ_JournalStdAbbrev&gt;&lt;ZZ_WorkformID&gt;1&lt;/ZZ_WorkformID&gt;&lt;/MDL&gt;&lt;/Cite&gt;&lt;/Refman&gt;</w:instrText>
      </w:r>
      <w:r w:rsidR="00E729BA">
        <w:fldChar w:fldCharType="separate"/>
      </w:r>
      <w:r w:rsidR="0081424E">
        <w:t>(219)</w:t>
      </w:r>
      <w:r w:rsidR="00E729BA">
        <w:fldChar w:fldCharType="end"/>
      </w:r>
      <w:r>
        <w:t xml:space="preserve"> and marginal structural modelling</w:t>
      </w:r>
      <w:r w:rsidR="00E62AE7">
        <w:t xml:space="preserve"> </w:t>
      </w:r>
      <w:r w:rsidR="00E729BA">
        <w:fldChar w:fldCharType="begin"/>
      </w:r>
      <w:r w:rsidR="00FC61FD">
        <w:instrText xml:space="preserve"> ADDIN REFMGR.CITE &lt;Refman&gt;&lt;Cite&gt;&lt;Author&gt;Diggle&lt;/Author&gt;&lt;Year&gt;2002&lt;/Year&gt;&lt;RecNum&gt;1486&lt;/RecNum&gt;&lt;IDText&gt;Analysis of Longitudinal Data&lt;/IDText&gt;&lt;MDL Ref_Type="Book, Whole"&gt;&lt;Ref_Type&gt;Book, Whole&lt;/Ref_Type&gt;&lt;Ref_ID&gt;1486&lt;/Ref_ID&gt;&lt;Title_Primary&gt;Analysis of Longitudinal Data&lt;/Title_Primary&gt;&lt;Authors_Primary&gt;Diggle,P&lt;/Authors_Primary&gt;&lt;Authors_Primary&gt;Heagerty,P&lt;/Authors_Primary&gt;&lt;Authors_Primary&gt;Liang,KY&lt;/Authors_Primary&gt;&lt;Authors_Primary&gt;Zeger,S&lt;/Authors_Primary&gt;&lt;Date_Primary&gt;2002&lt;/Date_Primary&gt;&lt;Keywords&gt;analysis&lt;/Keywords&gt;&lt;Reprint&gt;Not in File&lt;/Reprint&gt;&lt;Volume&gt;Second edition&lt;/Volume&gt;&lt;Pub_Place&gt;Oxford&lt;/Pub_Place&gt;&lt;Publisher&gt;Oxford Univerisity Press&lt;/Publisher&gt;&lt;ZZ_WorkformID&gt;2&lt;/ZZ_WorkformID&gt;&lt;/MDL&gt;&lt;/Cite&gt;&lt;/Refman&gt;</w:instrText>
      </w:r>
      <w:r w:rsidR="00E729BA">
        <w:fldChar w:fldCharType="separate"/>
      </w:r>
      <w:r w:rsidR="00DF14BD">
        <w:t>(251)</w:t>
      </w:r>
      <w:r w:rsidR="00E729BA">
        <w:fldChar w:fldCharType="end"/>
      </w:r>
      <w:r>
        <w:t xml:space="preserve">, might be adopted to develop a more sophisticated </w:t>
      </w:r>
      <w:r w:rsidR="00B9721E">
        <w:t>n</w:t>
      </w:r>
      <w:r>
        <w:t xml:space="preserve">atural </w:t>
      </w:r>
      <w:r w:rsidR="00B9721E">
        <w:t>h</w:t>
      </w:r>
      <w:r>
        <w:t xml:space="preserve">istory model for SLE. These methods could not be easily applied to the SLE data because </w:t>
      </w:r>
      <w:r w:rsidR="00664E03">
        <w:t>of the multiple outcomes included in the conceptual model</w:t>
      </w:r>
      <w:r>
        <w:t xml:space="preserve">. It was not possible to pursue the statistical analyses further without compromising the time available to develop the simulation models needed for the VOI analyses.  </w:t>
      </w:r>
    </w:p>
    <w:p w:rsidR="00D75B60" w:rsidRDefault="00850AED" w:rsidP="003647A1">
      <w:r>
        <w:t xml:space="preserve">The </w:t>
      </w:r>
      <w:r w:rsidR="00560EF3">
        <w:t>final analysis</w:t>
      </w:r>
      <w:r>
        <w:t xml:space="preserve"> assumes that the total profits of the new treatment can be predicted by a reimbursement decision rule </w:t>
      </w:r>
      <w:r w:rsidR="00FA253F">
        <w:t>for estimating value-based price</w:t>
      </w:r>
      <w:r>
        <w:t xml:space="preserve">. </w:t>
      </w:r>
      <w:r w:rsidR="00FA253F">
        <w:t>In this analysis</w:t>
      </w:r>
      <w:r w:rsidR="003647A1">
        <w:t>,</w:t>
      </w:r>
      <w:r w:rsidR="00FA253F">
        <w:t xml:space="preserve"> the UK willingness to pay threshold was used, but this is not representative of decision making in other jurisdictions. Nonetheless the analysis may be useful because although the UK market is small it is known to </w:t>
      </w:r>
      <w:r w:rsidR="008A6249">
        <w:t xml:space="preserve">be influential in other markets </w:t>
      </w:r>
      <w:r w:rsidR="00E729BA">
        <w:fldChar w:fldCharType="begin"/>
      </w:r>
      <w:r w:rsidR="00FC61FD">
        <w:instrText xml:space="preserve"> ADDIN REFMGR.CITE &lt;Refman&gt;&lt;Cite&gt;&lt;Author&gt;Hughes&lt;/Author&gt;&lt;Year&gt;2011&lt;/Year&gt;&lt;RecNum&gt;1631&lt;/RecNum&gt;&lt;IDText&gt;Value-based pricing: incentive for innovation or zero net benefit?&lt;/IDText&gt;&lt;MDL Ref_Type="Journal"&gt;&lt;Ref_Type&gt;Journal&lt;/Ref_Type&gt;&lt;Ref_ID&gt;1631&lt;/Ref_ID&gt;&lt;Title_Primary&gt;Value-based pricing: incentive for innovation or zero net benefit?&lt;/Title_Primary&gt;&lt;Authors_Primary&gt;Hughes,D.A.&lt;/Authors_Primary&gt;&lt;Date_Primary&gt;2011/9&lt;/Date_Primary&gt;&lt;Keywords&gt;Costs and Cost Analysis&lt;/Keywords&gt;&lt;Keywords&gt;Drug Industry&lt;/Keywords&gt;&lt;Keywords&gt;economics&lt;/Keywords&gt;&lt;Keywords&gt;Great Britain&lt;/Keywords&gt;&lt;Keywords&gt;Humans&lt;/Keywords&gt;&lt;Keywords&gt;National Health Programs&lt;/Keywords&gt;&lt;Keywords&gt;Pharmaceutical Preparations&lt;/Keywords&gt;&lt;Reprint&gt;Not in File&lt;/Reprint&gt;&lt;Start_Page&gt;731&lt;/Start_Page&gt;&lt;End_Page&gt;735&lt;/End_Page&gt;&lt;Periodical&gt;Pharmacoeconomics.&lt;/Periodical&gt;&lt;Volume&gt;29&lt;/Volume&gt;&lt;Issue&gt;9&lt;/Issue&gt;&lt;ZZ_JournalStdAbbrev&gt;&lt;f name="System"&gt;Pharmacoeconomics.&lt;/f&gt;&lt;/ZZ_JournalStdAbbrev&gt;&lt;ZZ_WorkformID&gt;1&lt;/ZZ_WorkformID&gt;&lt;/MDL&gt;&lt;/Cite&gt;&lt;/Refman&gt;</w:instrText>
      </w:r>
      <w:r w:rsidR="00E729BA">
        <w:fldChar w:fldCharType="separate"/>
      </w:r>
      <w:r w:rsidR="00DF14BD">
        <w:t>(252)</w:t>
      </w:r>
      <w:r w:rsidR="00E729BA">
        <w:fldChar w:fldCharType="end"/>
      </w:r>
      <w:r w:rsidR="008A6249">
        <w:t>. Furthermore, d</w:t>
      </w:r>
      <w:r>
        <w:t xml:space="preserve">ecisions between national payers are likely to be </w:t>
      </w:r>
      <w:r w:rsidR="00527615">
        <w:t>correlated;</w:t>
      </w:r>
      <w:r>
        <w:t xml:space="preserve"> selecting a single decision criterion is likely to act </w:t>
      </w:r>
      <w:r w:rsidR="00D26C78">
        <w:t xml:space="preserve">as </w:t>
      </w:r>
      <w:r>
        <w:t xml:space="preserve">a proxy for most budget constrained healthcare markets.  </w:t>
      </w:r>
      <w:r w:rsidR="008A6249">
        <w:t>An alternative approach would be to adapt the value-based price criteria to different jurisdiction settings.  Once the overall architecture of the BCTS, CE model and Bayesian updating are in place other changes will be relatively straightforward</w:t>
      </w:r>
      <w:r>
        <w:t xml:space="preserve">.  A more complex algorithm could be integrated into the analysis, with relatively little computational burden to reflect a more diverse range of reimbursement decision. </w:t>
      </w:r>
      <w:r w:rsidR="00D75B60">
        <w:t xml:space="preserve">The formulation in equation </w:t>
      </w:r>
      <w:r w:rsidR="00E729BA">
        <w:fldChar w:fldCharType="begin"/>
      </w:r>
      <w:r w:rsidR="00D75B60">
        <w:instrText xml:space="preserve"> REF simpleppp_8 \n \h </w:instrText>
      </w:r>
      <w:r w:rsidR="00E729BA">
        <w:fldChar w:fldCharType="separate"/>
      </w:r>
      <w:r w:rsidR="004911B7">
        <w:rPr>
          <w:cs/>
        </w:rPr>
        <w:t>‎</w:t>
      </w:r>
      <w:r w:rsidR="004911B7">
        <w:t>(8.15)</w:t>
      </w:r>
      <w:r w:rsidR="00E729BA">
        <w:fldChar w:fldCharType="end"/>
      </w:r>
      <w:r w:rsidR="00D75B60">
        <w:t xml:space="preserve"> assumes a very simplistic market in which the reimbursement authority has universal control over access to treatment. In reality t</w:t>
      </w:r>
      <w:r w:rsidR="00BA1B0C">
        <w:t>he pharmaceutical company may only</w:t>
      </w:r>
      <w:r w:rsidR="00D75B60">
        <w:t xml:space="preserve"> have partial access to the market at their minimum price. In this analysis it is assumed that the reimbursement decision is universal so that either all eligible patients or no patients have access to the treatment. The function can be adapted to incorporate partial access to the market</w:t>
      </w:r>
      <w:r w:rsidR="00BA1B0C">
        <w:t xml:space="preserve"> through a proportion of patients receiving treatment conditional on treatment effectiveness,</w:t>
      </w:r>
      <m:oMath>
        <m:r>
          <w:rPr>
            <w:rFonts w:ascii="Cambria Math" w:hAnsi="Cambria Math"/>
          </w:rPr>
          <m:t xml:space="preserve"> g</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m:t>
                </m:r>
              </m:sub>
            </m:sSub>
          </m:e>
        </m:d>
      </m:oMath>
      <w:r w:rsidR="00D75B6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
        <w:gridCol w:w="6828"/>
        <w:gridCol w:w="1112"/>
      </w:tblGrid>
      <w:tr w:rsidR="00D75B60" w:rsidTr="00D75B60">
        <w:trPr>
          <w:cantSplit/>
          <w:trHeight w:val="435"/>
        </w:trPr>
        <w:tc>
          <w:tcPr>
            <w:tcW w:w="534" w:type="dxa"/>
          </w:tcPr>
          <w:p w:rsidR="00D75B60" w:rsidRDefault="00D75B60" w:rsidP="00D75B60"/>
        </w:tc>
        <w:tc>
          <w:tcPr>
            <w:tcW w:w="7512" w:type="dxa"/>
          </w:tcPr>
          <w:p w:rsidR="00D75B60" w:rsidRPr="002367E4" w:rsidRDefault="00BA1B0C" w:rsidP="00D75B60">
            <m:oMathPara>
              <m:oMath>
                <m:r>
                  <w:rPr>
                    <w:rFonts w:ascii="Cambria Math" w:hAnsi="Cambria Math"/>
                  </w:rPr>
                  <m:t xml:space="preserve"> π</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θ</m:t>
                        </m:r>
                      </m:e>
                      <m:sub>
                        <m:r>
                          <w:rPr>
                            <w:rFonts w:ascii="Cambria Math" w:hAnsi="Cambria Math"/>
                          </w:rPr>
                          <m:t>I</m:t>
                        </m:r>
                      </m:sub>
                      <m:sup>
                        <m:r>
                          <w:rPr>
                            <w:rFonts w:ascii="Cambria Math" w:hAnsi="Cambria Math"/>
                          </w:rPr>
                          <m:t>C</m:t>
                        </m:r>
                      </m:sup>
                    </m:sSubSup>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VBP≤0</m:t>
                          </m:r>
                        </m:e>
                      </m:mr>
                      <m:mr>
                        <m:e>
                          <m:r>
                            <w:rPr>
                              <w:rFonts w:ascii="Cambria Math" w:hAnsi="Cambria Math"/>
                            </w:rPr>
                            <m:t>(g</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m:t>
                                  </m:r>
                                </m:sub>
                              </m:sSub>
                            </m:e>
                          </m:d>
                          <m:r>
                            <w:rPr>
                              <w:rFonts w:ascii="Cambria Math" w:hAnsi="Cambria Math"/>
                            </w:rPr>
                            <m:t xml:space="preserve">m)t </m:t>
                          </m:r>
                        </m:e>
                        <m:e>
                          <m:r>
                            <w:rPr>
                              <w:rFonts w:ascii="Cambria Math" w:hAnsi="Cambria Math"/>
                            </w:rPr>
                            <m:t>0&lt;VBP&lt;m</m:t>
                          </m:r>
                        </m:e>
                      </m:mr>
                      <m:mr>
                        <m:e>
                          <m:d>
                            <m:dPr>
                              <m:ctrlPr>
                                <w:rPr>
                                  <w:rFonts w:ascii="Cambria Math" w:hAnsi="Cambria Math"/>
                                  <w:i/>
                                </w:rPr>
                              </m:ctrlPr>
                            </m:dPr>
                            <m:e>
                              <m:r>
                                <w:rPr>
                                  <w:rFonts w:ascii="Cambria Math" w:hAnsi="Cambria Math"/>
                                </w:rPr>
                                <m:t>VBP</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m:t>
                                      </m:r>
                                    </m:sub>
                                  </m:sSub>
                                </m:e>
                              </m:d>
                              <m:r>
                                <w:rPr>
                                  <w:rFonts w:ascii="Cambria Math" w:hAnsi="Cambria Math"/>
                                </w:rPr>
                                <m:t>-c</m:t>
                              </m:r>
                            </m:e>
                          </m:d>
                          <m:r>
                            <w:rPr>
                              <w:rFonts w:ascii="Cambria Math" w:hAnsi="Cambria Math"/>
                            </w:rPr>
                            <m:t>t</m:t>
                          </m:r>
                        </m:e>
                        <m:e>
                          <m:r>
                            <w:rPr>
                              <w:rFonts w:ascii="Cambria Math" w:hAnsi="Cambria Math"/>
                            </w:rPr>
                            <m:t>VBP≥m</m:t>
                          </m:r>
                        </m:e>
                      </m:mr>
                    </m:m>
                  </m:e>
                </m:d>
              </m:oMath>
            </m:oMathPara>
          </w:p>
        </w:tc>
        <w:tc>
          <w:tcPr>
            <w:tcW w:w="1196" w:type="dxa"/>
          </w:tcPr>
          <w:p w:rsidR="00D75B60" w:rsidRDefault="00D75B60" w:rsidP="00D75B60">
            <w:pPr>
              <w:bidi/>
              <w:ind w:left="57" w:right="220"/>
              <w:jc w:val="right"/>
            </w:pPr>
            <w:r>
              <w:rPr>
                <w:lang w:bidi="ar-SA"/>
              </w:rPr>
              <w:t>(9)</w:t>
            </w:r>
          </w:p>
        </w:tc>
      </w:tr>
    </w:tbl>
    <w:p w:rsidR="00662583" w:rsidRDefault="00D75B60" w:rsidP="00662583">
      <w:r>
        <w:t>The probability that patients, and local commissioners will be willing to pay for the treatment will depend on the strength of evidence for the treatment, and how close the cost-effective threshold the treatment was. In this scenario the methods developed by Kikuchi, Pezeshk, and Gittens (2008) to estimate the proportion of patients who would adopt the treatment could be applied</w:t>
      </w:r>
      <w:r w:rsidR="00873C34">
        <w:t xml:space="preserve"> </w:t>
      </w:r>
      <w:r w:rsidR="00E729BA">
        <w:fldChar w:fldCharType="begin"/>
      </w:r>
      <w:r w:rsidR="00FC61FD">
        <w:instrText xml:space="preserve"> ADDIN REFMGR.CITE &lt;Refman&gt;&lt;Cite&gt;&lt;Author&gt;Kikuchi&lt;/Author&gt;&lt;Year&gt;2008&lt;/Year&gt;&lt;RecNum&gt;1548&lt;/RecNum&gt;&lt;IDText&gt;A Bayesian cost-benefit approach to the determination of sample size in clinical trials&lt;/IDText&gt;&lt;MDL Ref_Type="Journal"&gt;&lt;Ref_Type&gt;Journal&lt;/Ref_Type&gt;&lt;Ref_ID&gt;1548&lt;/Ref_ID&gt;&lt;Title_Primary&gt;A Bayesian cost-benefit approach to the determination of sample size in clinical trials&lt;/Title_Primary&gt;&lt;Authors_Primary&gt;Kikuchi,T.&lt;/Authors_Primary&gt;&lt;Authors_Primary&gt;Pezeshk,H.&lt;/Authors_Primary&gt;&lt;Authors_Primary&gt;Gittins,J.&lt;/Authors_Primary&gt;&lt;Date_Primary&gt;2008/1/15&lt;/Date_Primary&gt;&lt;Keywords&gt;Analysis of Variance&lt;/Keywords&gt;&lt;Keywords&gt;Bayes Theorem&lt;/Keywords&gt;&lt;Keywords&gt;clinical trial&lt;/Keywords&gt;&lt;Keywords&gt;Clinical Trials as Topic&lt;/Keywords&gt;&lt;Keywords&gt;Cost-Benefit Analysis&lt;/Keywords&gt;&lt;Keywords&gt;economics&lt;/Keywords&gt;&lt;Keywords&gt;Health&lt;/Keywords&gt;&lt;Keywords&gt;Humans&lt;/Keywords&gt;&lt;Keywords&gt;methods&lt;/Keywords&gt;&lt;Keywords&gt;Monte Carlo Method&lt;/Keywords&gt;&lt;Keywords&gt;patient&lt;/Keywords&gt;&lt;Keywords&gt;Patients&lt;/Keywords&gt;&lt;Keywords&gt;sample&lt;/Keywords&gt;&lt;Keywords&gt;Sample Size&lt;/Keywords&gt;&lt;Reprint&gt;Not in File&lt;/Reprint&gt;&lt;Start_Page&gt;68&lt;/Start_Page&gt;&lt;End_Page&gt;82&lt;/End_Page&gt;&lt;Periodical&gt;Stat.Med.&lt;/Periodical&gt;&lt;Volume&gt;27&lt;/Volume&gt;&lt;Issue&gt;1&lt;/Issue&gt;&lt;ZZ_JournalStdAbbrev&gt;&lt;f name="System"&gt;Stat.Med.&lt;/f&gt;&lt;/ZZ_JournalStdAbbrev&gt;&lt;ZZ_WorkformID&gt;1&lt;/ZZ_WorkformID&gt;&lt;/MDL&gt;&lt;/Cite&gt;&lt;/Refman&gt;</w:instrText>
      </w:r>
      <w:r w:rsidR="00E729BA">
        <w:fldChar w:fldCharType="separate"/>
      </w:r>
      <w:r w:rsidR="0081424E">
        <w:t>(121)</w:t>
      </w:r>
      <w:r w:rsidR="00E729BA">
        <w:fldChar w:fldCharType="end"/>
      </w:r>
      <w:r>
        <w:t>. The profit per patient would be calculated from the proportion of patients receiving the treatment and minimum acceptable price to the pharmaceutical company.</w:t>
      </w:r>
      <w:r w:rsidR="00850AED">
        <w:t xml:space="preserve"> </w:t>
      </w:r>
      <w:r w:rsidR="00662583">
        <w:t xml:space="preserve">Elsewhere in the health economic literature analyses have incorporated changes in the price of treatments after the initial stage of the products lifecycle </w:t>
      </w:r>
      <w:r w:rsidR="00822EA1">
        <w:t xml:space="preserve">to reflect uncertainty for the reimbursement authority on future costs </w:t>
      </w:r>
      <w:r w:rsidR="00E729BA">
        <w:fldChar w:fldCharType="begin"/>
      </w:r>
      <w:r w:rsidR="00FC61FD">
        <w:instrText xml:space="preserve"> ADDIN REFMGR.CITE &lt;Refman&gt;&lt;Cite&gt;&lt;Author&gt;Palmer&lt;/Author&gt;&lt;Year&gt;2000&lt;/Year&gt;&lt;RecNum&gt;1675&lt;/RecNum&gt;&lt;IDText&gt;Incorporating option values into the economic evaluation of health care technologies&lt;/IDText&gt;&lt;MDL Ref_Type="Journal"&gt;&lt;Ref_Type&gt;Journal&lt;/Ref_Type&gt;&lt;Ref_ID&gt;1675&lt;/Ref_ID&gt;&lt;Title_Primary&gt;Incorporating option values into the economic evaluation of health care technologies&lt;/Title_Primary&gt;&lt;Authors_Primary&gt;Palmer,S.&lt;/Authors_Primary&gt;&lt;Authors_Primary&gt;Smith,P.C.&lt;/Authors_Primary&gt;&lt;Date_Primary&gt;2000/9&lt;/Date_Primary&gt;&lt;Keywords&gt;Cost-Benefit Analysis&lt;/Keywords&gt;&lt;Keywords&gt;Decision Making&lt;/Keywords&gt;&lt;Keywords&gt;economics&lt;/Keywords&gt;&lt;Keywords&gt;evaluation&lt;/Keywords&gt;&lt;Keywords&gt;Health&lt;/Keywords&gt;&lt;Keywords&gt;Investments&lt;/Keywords&gt;&lt;Keywords&gt;methods&lt;/Keywords&gt;&lt;Keywords&gt;Models,Econometric&lt;/Keywords&gt;&lt;Keywords&gt;Quality-Adjusted Life Years&lt;/Keywords&gt;&lt;Keywords&gt;Social Welfare&lt;/Keywords&gt;&lt;Keywords&gt;Technology Assessment,Biomedical&lt;/Keywords&gt;&lt;Keywords&gt;Uncertainty&lt;/Keywords&gt;&lt;Keywords&gt;United States&lt;/Keywords&gt;&lt;Reprint&gt;Not in File&lt;/Reprint&gt;&lt;Start_Page&gt;755&lt;/Start_Page&gt;&lt;End_Page&gt;766&lt;/End_Page&gt;&lt;Periodical&gt;J.Health Econ.&lt;/Periodical&gt;&lt;Volume&gt;19&lt;/Volume&gt;&lt;Issue&gt;5&lt;/Issue&gt;&lt;ZZ_JournalStdAbbrev&gt;&lt;f name="System"&gt;J.Health Econ.&lt;/f&gt;&lt;/ZZ_JournalStdAbbrev&gt;&lt;ZZ_WorkformID&gt;1&lt;/ZZ_WorkformID&gt;&lt;/MDL&gt;&lt;/Cite&gt;&lt;/Refman&gt;</w:instrText>
      </w:r>
      <w:r w:rsidR="00E729BA">
        <w:fldChar w:fldCharType="separate"/>
      </w:r>
      <w:r w:rsidR="00DF14BD">
        <w:t>(253)</w:t>
      </w:r>
      <w:r w:rsidR="00E729BA">
        <w:fldChar w:fldCharType="end"/>
      </w:r>
      <w:r w:rsidR="00662583">
        <w:t>. More complex simulation of uncertain changes in price after the value-based price has been approved could be incorporated into the method.</w:t>
      </w:r>
    </w:p>
    <w:p w:rsidR="00850AED" w:rsidRDefault="00850AED" w:rsidP="00850AED">
      <w:pPr>
        <w:pStyle w:val="Heading2"/>
      </w:pPr>
      <w:bookmarkStart w:id="655" w:name="_Toc353377792"/>
      <w:bookmarkStart w:id="656" w:name="_Toc379467702"/>
      <w:r>
        <w:t>Implications of Research</w:t>
      </w:r>
      <w:bookmarkEnd w:id="655"/>
      <w:bookmarkEnd w:id="656"/>
    </w:p>
    <w:p w:rsidR="00850AED" w:rsidRDefault="00850AED" w:rsidP="00560EF3">
      <w:r>
        <w:t>The contributions made in this PhD are of interest to a wide range of researchers. SLE cl</w:t>
      </w:r>
      <w:r w:rsidR="00560EF3">
        <w:t>inicians and epidemiologists will</w:t>
      </w:r>
      <w:r>
        <w:t xml:space="preserve"> be interested in the relationships between disease activity, steroids, organ damage and mortality that were identified in the Hopkins cohort. I have demonstrated that composite disease activity scores increase the risk of mortality, cardiovascular disease, renal disease and pulmonary disease. Disease activity in certain organ systems increases the risk of most organ damage outcomes with the exception of musculoskeletal damage, diabetes, malignancy and gonadal failure. Cumulative steroid exposure increases the risk of musculoskeletal, neuropsychiatric, ocular, skin and gastrointestinal damage. All of these identified relationships can be used to estimate the indirect effect of new treatments on the important outcomes of SLE. If new treatments can demonstrate a reduction in the disease activity or cumulative steroids it will be possible to estimate the long term implications of treatment. In this respect the analyses are flexible to accommodate several types of trial outcomes and can be generalised to treatments that focus on particular organ systems.</w:t>
      </w:r>
    </w:p>
    <w:p w:rsidR="00850AED" w:rsidRDefault="00850AED" w:rsidP="003647A1">
      <w:r>
        <w:t xml:space="preserve">The statistical analyses are useful methods for predicting disease outcomes for a SLE population like the Hopkins Lupus cohort. </w:t>
      </w:r>
      <w:r w:rsidR="00560EF3">
        <w:t>T</w:t>
      </w:r>
      <w:r>
        <w:t xml:space="preserve">he </w:t>
      </w:r>
      <w:r w:rsidR="00F1267C">
        <w:t>natural history model is likely to predict accurate disease projects for very different patient populations</w:t>
      </w:r>
      <w:r>
        <w:t>. SLE is a heterogeneous disease and it is known to be affected by ethnic, social and geographical factors. Generalising the statistical models to a clinical trial population recruited based on high disease activity scores, may produce biased estimates if the relationships between disease activity and organ damage are more or less pronounced in this population. Generalising the relationships to other national settings is also challenging, particularly since the underlying rate of mortality and organ damage is highly variable between the studies identified in the literature (</w:t>
      </w:r>
      <w:r w:rsidR="003647A1">
        <w:t xml:space="preserve">Chapter </w:t>
      </w:r>
      <w:r w:rsidR="00664E03">
        <w:t>4</w:t>
      </w:r>
      <w:r>
        <w:t xml:space="preserve">). </w:t>
      </w:r>
      <w:r w:rsidR="00560EF3">
        <w:t>There</w:t>
      </w:r>
      <w:r>
        <w:t xml:space="preserve"> are currently no alternative disease registries with comparable follow-up to the Hopkins cohort that would resolve this problem. A multi-national SLE inception cohort was initiated and currently has approximately 10 years of follow-up. Further research should focus on this cohort to estimate between site variations in the rate of events. </w:t>
      </w:r>
    </w:p>
    <w:p w:rsidR="00850AED" w:rsidRDefault="00850AED" w:rsidP="00560EF3">
      <w:r>
        <w:t xml:space="preserve">The research presented in this thesis has several practical applications for health economists based within the pharmaceutical industry with an interest in SLE. The natural history model for SLE has been used in reimbursement submissions for a new biologic therapy in the UK and Canada. The analyses are likely to be adopted by other pharmaceutical companies as more treatments complete their drug development programmes. I have developed a generic CE model for SLE treatments that could easily be adapted for use by a pharmaceutical company in their submission. The elicitation of UK clinical experts has added additional data to previous CE models to describe the expected additional long-term benefits of biologics in addition to indirect effects through disease activity. The experts reported favourable estimates for biologics that may add to reimbursement arguments for new treatments. </w:t>
      </w:r>
    </w:p>
    <w:p w:rsidR="00850AED" w:rsidRDefault="00850AED" w:rsidP="00A87CF6">
      <w:r>
        <w:t xml:space="preserve">At a more general level the methods developed to run a </w:t>
      </w:r>
      <w:r w:rsidR="00FE7941">
        <w:t>BCTS</w:t>
      </w:r>
      <w:r>
        <w:t xml:space="preserve"> and </w:t>
      </w:r>
      <w:r w:rsidR="00FE7941">
        <w:t>VOI</w:t>
      </w:r>
      <w:r>
        <w:t xml:space="preserve"> analysis to design clinical trials would be of interest to health economists in the pharmaceutical industry working in other disease areas. I have demonstrated that health economics methods can be used to des</w:t>
      </w:r>
      <w:r w:rsidR="00FE7941">
        <w:t>ign clinical trials using value-</w:t>
      </w:r>
      <w:r>
        <w:t xml:space="preserve">based pricing to estimate the expected profits. </w:t>
      </w:r>
      <w:r w:rsidR="00ED0980">
        <w:t xml:space="preserve">As described in Section </w:t>
      </w:r>
      <w:r w:rsidR="00E729BA">
        <w:fldChar w:fldCharType="begin"/>
      </w:r>
      <w:r w:rsidR="00ED0980">
        <w:instrText xml:space="preserve"> REF _Ref377903188 \r \h </w:instrText>
      </w:r>
      <w:r w:rsidR="00E729BA">
        <w:fldChar w:fldCharType="separate"/>
      </w:r>
      <w:r w:rsidR="004911B7">
        <w:rPr>
          <w:cs/>
        </w:rPr>
        <w:t>‎</w:t>
      </w:r>
      <w:r w:rsidR="004911B7">
        <w:t>8.7.4</w:t>
      </w:r>
      <w:r w:rsidR="00E729BA">
        <w:fldChar w:fldCharType="end"/>
      </w:r>
      <w:r w:rsidR="00ED0980">
        <w:t xml:space="preserve"> of Chapter 8, the computation burden</w:t>
      </w:r>
      <w:r w:rsidR="00A87CF6">
        <w:t xml:space="preserve"> problems</w:t>
      </w:r>
      <w:r w:rsidR="00ED0980">
        <w:t xml:space="preserve"> identified in this study are not generalisable to all future applications. </w:t>
      </w:r>
      <w:r w:rsidR="00A87CF6">
        <w:t>This case study highlights that computation burden can prohibit the evaluation of trial designs if the CE model is an individual patient simulation and need to update many model parameters. However, trials could be evaluated within a reasonable time-frame if the CE model is less complex. Therefore, analysts in the future should consider the complexity of their CE model before embarking on this type of analysis.</w:t>
      </w:r>
    </w:p>
    <w:p w:rsidR="00850AED" w:rsidRDefault="00850AED" w:rsidP="00850AED">
      <w:pPr>
        <w:pStyle w:val="Heading2"/>
        <w:spacing w:after="100"/>
      </w:pPr>
      <w:bookmarkStart w:id="657" w:name="_Toc353377793"/>
      <w:bookmarkStart w:id="658" w:name="_Toc379467703"/>
      <w:r>
        <w:t>Conclusions</w:t>
      </w:r>
      <w:bookmarkEnd w:id="657"/>
      <w:bookmarkEnd w:id="658"/>
    </w:p>
    <w:p w:rsidR="00850AED" w:rsidRDefault="00850AED" w:rsidP="00560EF3">
      <w:r>
        <w:t>T</w:t>
      </w:r>
      <w:r w:rsidRPr="008C0B46">
        <w:t xml:space="preserve">his thesis has developed </w:t>
      </w:r>
      <w:r>
        <w:t>a method to evaluate the trial designs for SLE Phase III trials from the ph</w:t>
      </w:r>
      <w:r w:rsidR="00560EF3">
        <w:t>armaceutical perspective. C</w:t>
      </w:r>
      <w:r>
        <w:t xml:space="preserve">omplex CE models present considerable computation challenges that </w:t>
      </w:r>
      <w:r w:rsidR="00560EF3">
        <w:t>were not completely</w:t>
      </w:r>
      <w:r>
        <w:t xml:space="preserve"> resolved even after applying</w:t>
      </w:r>
      <w:r w:rsidR="00560EF3">
        <w:t xml:space="preserve"> the</w:t>
      </w:r>
      <w:r>
        <w:t xml:space="preserve"> </w:t>
      </w:r>
      <w:r w:rsidR="00664E03">
        <w:t>B&amp;K approximation method</w:t>
      </w:r>
      <w:r>
        <w:t xml:space="preserve">. </w:t>
      </w:r>
      <w:r w:rsidR="00560EF3">
        <w:t>While it was not</w:t>
      </w:r>
      <w:r>
        <w:t xml:space="preserve"> currently feasible to complete a comprehensive analysis of multiple design specifications using a CE model of the level of complexity of the SLE model described in Chapter </w:t>
      </w:r>
      <w:r w:rsidR="00560EF3">
        <w:t xml:space="preserve">7, the work of this thesis </w:t>
      </w:r>
      <w:r>
        <w:t xml:space="preserve">developed practical tools </w:t>
      </w:r>
      <w:r w:rsidR="00560EF3">
        <w:t>to assist</w:t>
      </w:r>
      <w:r>
        <w:t xml:space="preserve"> future drug development and reimbursement applications for SLE. </w:t>
      </w:r>
      <w:r w:rsidR="002C404F">
        <w:t>VOI</w:t>
      </w:r>
      <w:r>
        <w:t xml:space="preserve"> analyses can be applied to smaller CE models and the use of </w:t>
      </w:r>
      <w:r w:rsidR="00FE7941">
        <w:t>value-based pricing</w:t>
      </w:r>
      <w:r>
        <w:t xml:space="preserve"> to reflect </w:t>
      </w:r>
      <w:r w:rsidR="00F1267C">
        <w:t>variable pricing based on Phase III evidence</w:t>
      </w:r>
      <w:r>
        <w:t xml:space="preserve"> provides a useful development in the </w:t>
      </w:r>
      <w:r w:rsidR="002C404F">
        <w:t>VOI</w:t>
      </w:r>
      <w:r>
        <w:t xml:space="preserve"> methods designed for the pharmaceutical industry.</w:t>
      </w:r>
    </w:p>
    <w:p w:rsidR="00850AED" w:rsidRDefault="00560EF3" w:rsidP="008E38CA">
      <w:r>
        <w:t>A</w:t>
      </w:r>
      <w:r w:rsidR="00850AED">
        <w:t>pplication of these methods durin</w:t>
      </w:r>
      <w:r>
        <w:t>g drug development trial design should be considered</w:t>
      </w:r>
      <w:r w:rsidR="00850AED">
        <w:t xml:space="preserve"> in the future particularly with advances in the capabilities of computers</w:t>
      </w:r>
      <w:r>
        <w:t xml:space="preserve"> and software</w:t>
      </w:r>
      <w:r w:rsidR="00850AED">
        <w:t xml:space="preserve">. </w:t>
      </w:r>
      <w:r>
        <w:t xml:space="preserve">There remain obstacles to overcome. Firstly, I have found that the method </w:t>
      </w:r>
      <w:r w:rsidR="008E38CA">
        <w:t>was</w:t>
      </w:r>
      <w:r>
        <w:t xml:space="preserve"> limited by the number of parameters and non-conjugate distributions. </w:t>
      </w:r>
      <w:r w:rsidR="00850AED">
        <w:t xml:space="preserve">Secondly, </w:t>
      </w:r>
      <w:r w:rsidR="008E38CA">
        <w:t xml:space="preserve">training and familiarisation of the knowledge and skills amongst the health economists in the industry would be required and would enhance its application. </w:t>
      </w:r>
      <w:r w:rsidR="00850AED">
        <w:t xml:space="preserve">Thirdly, </w:t>
      </w:r>
      <w:r w:rsidR="008E38CA">
        <w:t>communication of the value and utility of the methods to non health economists within the pharmaceutical industry is needed to encourage adoption in real trial design decision-making. This is most likely to be demonstrated through a real life case study with a less complex decision-model.</w:t>
      </w:r>
    </w:p>
    <w:p w:rsidR="009F501C" w:rsidRPr="00293B56" w:rsidRDefault="009F501C" w:rsidP="009F501C"/>
    <w:p w:rsidR="00C62F3A" w:rsidRPr="00AF15B7" w:rsidRDefault="00C62F3A" w:rsidP="00C62F3A">
      <w:pPr>
        <w:spacing w:after="0" w:afterAutospacing="0" w:line="240" w:lineRule="auto"/>
      </w:pPr>
      <w:r>
        <w:br w:type="page"/>
      </w:r>
    </w:p>
    <w:p w:rsidR="00A47D79" w:rsidRDefault="00D86AD7" w:rsidP="00BD0277">
      <w:pPr>
        <w:pStyle w:val="Heading1"/>
      </w:pPr>
      <w:bookmarkStart w:id="659" w:name="_Toc379467704"/>
      <w:bookmarkEnd w:id="351"/>
      <w:r>
        <w:t>References</w:t>
      </w:r>
      <w:bookmarkEnd w:id="236"/>
      <w:bookmarkEnd w:id="237"/>
      <w:bookmarkEnd w:id="238"/>
      <w:bookmarkEnd w:id="659"/>
    </w:p>
    <w:p w:rsidR="00D0049C" w:rsidRDefault="00E729BA">
      <w:pPr>
        <w:tabs>
          <w:tab w:val="right" w:pos="540"/>
          <w:tab w:val="left" w:pos="720"/>
        </w:tabs>
        <w:spacing w:after="240" w:line="240" w:lineRule="auto"/>
        <w:ind w:left="720" w:hanging="720"/>
        <w:rPr>
          <w:rFonts w:cs="Times New Roman"/>
          <w:sz w:val="18"/>
          <w:u w:val="single"/>
        </w:rPr>
      </w:pPr>
      <w:r>
        <w:fldChar w:fldCharType="begin"/>
      </w:r>
      <w:r w:rsidR="00A47D79">
        <w:instrText xml:space="preserve"> ADDIN REFMGR.REFLIST </w:instrText>
      </w:r>
      <w:r>
        <w:fldChar w:fldCharType="separate"/>
      </w:r>
      <w:r w:rsidR="0094366B" w:rsidRPr="0094366B">
        <w:rPr>
          <w:rFonts w:cs="Times New Roman"/>
          <w:sz w:val="18"/>
        </w:rPr>
        <w:tab/>
        <w:t xml:space="preserve">(1) </w:t>
      </w:r>
      <w:r w:rsidR="0094366B" w:rsidRPr="0094366B">
        <w:rPr>
          <w:rFonts w:cs="Times New Roman"/>
          <w:sz w:val="18"/>
        </w:rPr>
        <w:tab/>
        <w:t xml:space="preserve"> U S Food and Drug Administration 2013Available from: URL: </w:t>
      </w:r>
      <w:hyperlink r:id="rId63" w:history="1">
        <w:r w:rsidR="0094366B" w:rsidRPr="0094366B">
          <w:rPr>
            <w:rStyle w:val="Hyperlink"/>
            <w:rFonts w:cs="Times New Roman"/>
            <w:sz w:val="18"/>
          </w:rPr>
          <w:t>http://www.fda.gov/</w:t>
        </w:r>
      </w:hyperlink>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 </w:t>
      </w:r>
      <w:r w:rsidRPr="0094366B">
        <w:rPr>
          <w:rFonts w:cs="Times New Roman"/>
          <w:sz w:val="18"/>
        </w:rPr>
        <w:tab/>
        <w:t xml:space="preserve">What we do. European Medicines Agency 2013Available from: URL: </w:t>
      </w:r>
      <w:hyperlink r:id="rId64" w:history="1">
        <w:r w:rsidRPr="0094366B">
          <w:rPr>
            <w:rStyle w:val="Hyperlink"/>
            <w:rFonts w:cs="Times New Roman"/>
            <w:sz w:val="18"/>
          </w:rPr>
          <w:t>http://www.ema.europa.eu/ema/index.jsp?curl=pages/about_us/general/general_content_000091.jsp&amp;mid=WC0b01ac0580028a42</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 </w:t>
      </w:r>
      <w:r w:rsidRPr="0094366B">
        <w:rPr>
          <w:rFonts w:cs="Times New Roman"/>
          <w:sz w:val="18"/>
        </w:rPr>
        <w:tab/>
        <w:t xml:space="preserve">US Food and Drug Administration. Guidance for Industry Q8(R2) Pharmaceutical Development.  2004.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 </w:t>
      </w:r>
      <w:r w:rsidRPr="0094366B">
        <w:rPr>
          <w:rFonts w:cs="Times New Roman"/>
          <w:sz w:val="18"/>
        </w:rPr>
        <w:tab/>
        <w:t xml:space="preserve">European Commission. European Commission Directive 2001/20/EC. Clinical trial directive. Brussels, Belgium; 2013.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 </w:t>
      </w:r>
      <w:r w:rsidRPr="0094366B">
        <w:rPr>
          <w:rFonts w:cs="Times New Roman"/>
          <w:sz w:val="18"/>
        </w:rPr>
        <w:tab/>
        <w:t>Gress S, Niebuhr D, May U, Wasem J. Reform of prescription drug reimbursement and pricing in the German social health insurance market: a comparison of three scenarios. Pharmacoeconomics 2007;25(6):443-54.</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(6) </w:t>
      </w:r>
      <w:r w:rsidRPr="0094366B">
        <w:rPr>
          <w:rFonts w:cs="Times New Roman"/>
          <w:sz w:val="18"/>
        </w:rPr>
        <w:tab/>
        <w:t xml:space="preserve"> National Institute for Health and Clinical Excellenc 2013Available from: URL: </w:t>
      </w:r>
      <w:hyperlink r:id="rId65" w:history="1">
        <w:r w:rsidRPr="0094366B">
          <w:rPr>
            <w:rStyle w:val="Hyperlink"/>
            <w:rFonts w:cs="Times New Roman"/>
            <w:sz w:val="18"/>
          </w:rPr>
          <w:t>http://www.nice.org.uk/</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 </w:t>
      </w:r>
      <w:r w:rsidRPr="0094366B">
        <w:rPr>
          <w:rFonts w:cs="Times New Roman"/>
          <w:sz w:val="18"/>
        </w:rPr>
        <w:tab/>
        <w:t xml:space="preserve">National Institute for Health and Clinical Excellence. </w:t>
      </w:r>
      <w:r w:rsidRPr="0094366B">
        <w:rPr>
          <w:rFonts w:cs="Times New Roman"/>
          <w:b/>
          <w:sz w:val="18"/>
        </w:rPr>
        <w:t xml:space="preserve">Updated prioritisation criteria for referral of Technology Appraisal topics to NICE </w:t>
      </w:r>
      <w:r w:rsidRPr="0094366B">
        <w:rPr>
          <w:rFonts w:cs="Times New Roman"/>
          <w:sz w:val="18"/>
        </w:rPr>
        <w:t xml:space="preserve">.  </w:t>
      </w:r>
      <w:r w:rsidRPr="0094366B">
        <w:rPr>
          <w:rFonts w:cs="Times New Roman"/>
          <w:b/>
          <w:sz w:val="18"/>
        </w:rPr>
        <w:t xml:space="preserve">Centre for Health Technology Evaluation </w:t>
      </w:r>
      <w:r w:rsidRPr="0094366B">
        <w:rPr>
          <w:rFonts w:cs="Times New Roman"/>
          <w:sz w:val="18"/>
        </w:rPr>
        <w:t xml:space="preserve">; 2010.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 </w:t>
      </w:r>
      <w:r w:rsidRPr="0094366B">
        <w:rPr>
          <w:rFonts w:cs="Times New Roman"/>
          <w:sz w:val="18"/>
        </w:rPr>
        <w:tab/>
        <w:t xml:space="preserve">Peters CP. </w:t>
      </w:r>
      <w:r w:rsidRPr="0094366B">
        <w:rPr>
          <w:rFonts w:ascii="Times-Roman" w:hAnsi="Times-Roman" w:cs="Times New Roman"/>
          <w:sz w:val="18"/>
        </w:rPr>
        <w:t>Fundamentals of the prescription drug market.</w:t>
      </w:r>
      <w:r w:rsidRPr="0094366B">
        <w:rPr>
          <w:rFonts w:cs="Times New Roman"/>
          <w:sz w:val="18"/>
        </w:rPr>
        <w:t xml:space="preserve"> Washington DC.: </w:t>
      </w:r>
      <w:r w:rsidRPr="0094366B">
        <w:rPr>
          <w:rFonts w:ascii="Times-Roman" w:hAnsi="Times-Roman" w:cs="Times New Roman"/>
          <w:sz w:val="18"/>
        </w:rPr>
        <w:t>National Health Policy Forum</w:t>
      </w:r>
      <w:r w:rsidRPr="0094366B">
        <w:rPr>
          <w:rFonts w:cs="Times New Roman"/>
          <w:sz w:val="18"/>
        </w:rPr>
        <w:t xml:space="preserve">; 2004. </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(9) </w:t>
      </w:r>
      <w:r w:rsidRPr="0094366B">
        <w:rPr>
          <w:rFonts w:cs="Times New Roman"/>
          <w:sz w:val="18"/>
        </w:rPr>
        <w:tab/>
        <w:t xml:space="preserve">The FDA's Drug Review Process: Ensuring Drugs Are Safe and Effective: Stages of Drug Development and Review. US Food and Drug Administration 2012Available from: URL: </w:t>
      </w:r>
      <w:hyperlink r:id="rId66" w:history="1">
        <w:r w:rsidRPr="0094366B">
          <w:rPr>
            <w:rStyle w:val="Hyperlink"/>
            <w:rFonts w:cs="Times New Roman"/>
            <w:sz w:val="18"/>
          </w:rPr>
          <w:t>http://www.fda.gov/drugs/resourcesforyou/consumers/ucm143534.htm</w:t>
        </w:r>
      </w:hyperlink>
      <w:r w:rsidRPr="0094366B">
        <w:rPr>
          <w:rFonts w:cs="Times New Roman"/>
          <w:sz w:val="18"/>
          <w:u w:val="single"/>
        </w:rPr>
        <w:t>)</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 </w:t>
      </w:r>
      <w:r w:rsidRPr="0094366B">
        <w:rPr>
          <w:rFonts w:cs="Times New Roman"/>
          <w:sz w:val="18"/>
        </w:rPr>
        <w:tab/>
        <w:t>Spiegelhalter DJ, Abrams KR, Myles JP. Bayesian Approaches to Clinical Trials and Health Care Evaluation. Chicester: John Wiley and Sons Ltd.; 2004.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 </w:t>
      </w:r>
      <w:r w:rsidRPr="0094366B">
        <w:rPr>
          <w:rFonts w:cs="Times New Roman"/>
          <w:sz w:val="18"/>
        </w:rPr>
        <w:tab/>
        <w:t>Luce BR, Shih YC, Claxton K. Introduction. Bayesian approaches to technology assessment and decision making. Int J Technol Assess Health Care 2001;17(1):1-5.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 </w:t>
      </w:r>
      <w:r w:rsidRPr="0094366B">
        <w:rPr>
          <w:rFonts w:cs="Times New Roman"/>
          <w:sz w:val="18"/>
        </w:rPr>
        <w:tab/>
        <w:t xml:space="preserve">O'Hagan A, Luce BR. A Primer on Bayesian Statistics in Health Economics. Sheffield: Centre for Bayesian Statistics in Health Economics; 2003.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 </w:t>
      </w:r>
      <w:r w:rsidRPr="0094366B">
        <w:rPr>
          <w:rFonts w:cs="Times New Roman"/>
          <w:sz w:val="18"/>
        </w:rPr>
        <w:tab/>
        <w:t>Claxton K, Sculpher M, McCabe C, Briggs A, Akehurst R, Buxton M, et al. Probabilistic sensitivity analysis for NICE technology assessment: not an optional extra. Health Econ 2005 Apr;14(4):339-47.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 </w:t>
      </w:r>
      <w:r w:rsidRPr="0094366B">
        <w:rPr>
          <w:rFonts w:cs="Times New Roman"/>
          <w:sz w:val="18"/>
        </w:rPr>
        <w:tab/>
        <w:t>WInBUGS User Manual: Version1.4. Cambridge, UK: MRC Biostatistics Unit [computer program]. 2001.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 </w:t>
      </w:r>
      <w:r w:rsidRPr="0094366B">
        <w:rPr>
          <w:rFonts w:cs="Times New Roman"/>
          <w:sz w:val="18"/>
        </w:rPr>
        <w:tab/>
        <w:t>Parmigiani G. Modeling in Medical Decision Making: a Bayesian Approach. Chichester: 2002.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 </w:t>
      </w:r>
      <w:r w:rsidRPr="0094366B">
        <w:rPr>
          <w:rFonts w:cs="Times New Roman"/>
          <w:sz w:val="18"/>
        </w:rPr>
        <w:tab/>
        <w:t>Briggs AH. Handling uncertainty in cost-effectiveness models. Pharmacoeconomics 2000 May;17(5):479-500.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 </w:t>
      </w:r>
      <w:r w:rsidRPr="0094366B">
        <w:rPr>
          <w:rFonts w:cs="Times New Roman"/>
          <w:sz w:val="18"/>
        </w:rPr>
        <w:tab/>
        <w:t>Palmer S, Raftery J. Economic Notes: opportunity cost. BMJ 1999 Jun 5;318(7197):1551-2.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 </w:t>
      </w:r>
      <w:r w:rsidRPr="0094366B">
        <w:rPr>
          <w:rFonts w:cs="Times New Roman"/>
          <w:sz w:val="18"/>
        </w:rPr>
        <w:tab/>
        <w:t>Culyer AJ. The Economics of health care finance and provision. Oxford Review of Economic Policy 1989;5(1):34-58.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 </w:t>
      </w:r>
      <w:r w:rsidRPr="0094366B">
        <w:rPr>
          <w:rFonts w:cs="Times New Roman"/>
          <w:sz w:val="18"/>
        </w:rPr>
        <w:tab/>
        <w:t>Drummond MF, Sculpher M, Torrance GW, O'Brien BJ, Stoddart GL. Methods for the Economic Evaluation of Health Care Programmes. Third Edition ed. Oxford: Oxford University Press; 2005.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 </w:t>
      </w:r>
      <w:r w:rsidRPr="0094366B">
        <w:rPr>
          <w:rFonts w:cs="Times New Roman"/>
          <w:sz w:val="18"/>
        </w:rPr>
        <w:tab/>
        <w:t>Morris S, Devlin N, Parkin D. Economic Analysis in Health Care. Chichester: John Wiley and Sons; 2009.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 </w:t>
      </w:r>
      <w:r w:rsidRPr="0094366B">
        <w:rPr>
          <w:rFonts w:cs="Times New Roman"/>
          <w:sz w:val="18"/>
        </w:rPr>
        <w:tab/>
        <w:t>Sen A. Social choice theory; a re-examination. Econometrica 1977;45(1):53-89.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 </w:t>
      </w:r>
      <w:r w:rsidRPr="0094366B">
        <w:rPr>
          <w:rFonts w:cs="Times New Roman"/>
          <w:sz w:val="18"/>
        </w:rPr>
        <w:tab/>
        <w:t>Briggs A, Sculpher M, Claxton K. Decision Modelling for Health Economic Evaluation. first edition ed. Oxford: Oxford University Press; 2006.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 </w:t>
      </w:r>
      <w:r w:rsidRPr="0094366B">
        <w:rPr>
          <w:rFonts w:cs="Times New Roman"/>
          <w:sz w:val="18"/>
        </w:rPr>
        <w:tab/>
        <w:t>Brouwer WB, Koopmanschap MA. On the economic foundations of CEA. Ladies and gentlemen, take your positions! J Health Econ 2000 Jul;19(4):439-59.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 </w:t>
      </w:r>
      <w:r w:rsidRPr="0094366B">
        <w:rPr>
          <w:rFonts w:cs="Times New Roman"/>
          <w:sz w:val="18"/>
        </w:rPr>
        <w:tab/>
        <w:t>McCabe C, Claxton K, Culyer AJ. The NICE cost-effectiveness threshold: what it is and what that means. Pharmacoeconomics 2008;26(9):733-44.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 </w:t>
      </w:r>
      <w:r w:rsidRPr="0094366B">
        <w:rPr>
          <w:rFonts w:cs="Times New Roman"/>
          <w:sz w:val="18"/>
        </w:rPr>
        <w:tab/>
        <w:t>Birch S, Gafni A. Cost effectiveness/utility analyses. Do current decision rules lead us to where we want to be? J Health Econ 1992 Oct;11(3):279-96.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(26) </w:t>
      </w:r>
      <w:r w:rsidRPr="0094366B">
        <w:rPr>
          <w:rFonts w:cs="Times New Roman"/>
          <w:sz w:val="18"/>
        </w:rPr>
        <w:tab/>
        <w:t>Coast J, Smith RD, Lorgelly P. Welfarism, extra-welfarism and capability: the spread of ideas in health economics. Soc Sci Med 2008 Oct;67(7):1190-8.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(27) </w:t>
      </w:r>
      <w:r w:rsidRPr="0094366B">
        <w:rPr>
          <w:rFonts w:cs="Times New Roman"/>
          <w:sz w:val="18"/>
        </w:rPr>
        <w:tab/>
        <w:t>Devlin N, Parkin D. Does NICE have a cost-effectiveness threshold and what other factors influence its decisions? A binary choice analysis. Health Econ 2004 May;13(5):437-52.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(28) </w:t>
      </w:r>
      <w:r w:rsidRPr="0094366B">
        <w:rPr>
          <w:rFonts w:cs="Times New Roman"/>
          <w:sz w:val="18"/>
        </w:rPr>
        <w:tab/>
        <w:t>Buxton MJ, Drummond MF, Van Hout BA, Prince RL, Sheldon TA, Szucs T, et al. Modelling in economic evaluation: an unavoidable fact of life. Health Econ 1997 May;6(3):217-27.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(29) </w:t>
      </w:r>
      <w:r w:rsidRPr="0094366B">
        <w:rPr>
          <w:rFonts w:cs="Times New Roman"/>
          <w:sz w:val="18"/>
        </w:rPr>
        <w:tab/>
        <w:t xml:space="preserve">National Institute for Health and Care Excellence. Guide to the methods of technology appraisal 2013. London: National Institute for Health and Care Excellence; 2013.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(30) </w:t>
      </w:r>
      <w:r w:rsidRPr="0094366B">
        <w:rPr>
          <w:rFonts w:cs="Times New Roman"/>
          <w:sz w:val="18"/>
        </w:rPr>
        <w:tab/>
        <w:t>Brennan A, Chick SE, Davies R. A taxonomy of model structures for economic evaluation of health technologies. Health Econ 2006 Dec;15(12):1295-310.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(31) </w:t>
      </w:r>
      <w:r w:rsidRPr="0094366B">
        <w:rPr>
          <w:rFonts w:cs="Times New Roman"/>
          <w:sz w:val="18"/>
        </w:rPr>
        <w:tab/>
        <w:t>Briggs AH. A Bayesian approach to stochastic cost-effectiveness analysis. Health Econ 1999 May;8(3):257-61.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(32) </w:t>
      </w:r>
      <w:r w:rsidRPr="0094366B">
        <w:rPr>
          <w:rFonts w:cs="Times New Roman"/>
          <w:sz w:val="18"/>
        </w:rPr>
        <w:tab/>
        <w:t>Sonnenberg FA, Beck JR. Markov models in medical decision making: a practical guide. Med Decis Making 1993 Oct;13(4):322-38.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(33) </w:t>
      </w:r>
      <w:r w:rsidRPr="0094366B">
        <w:rPr>
          <w:rFonts w:cs="Times New Roman"/>
          <w:sz w:val="18"/>
        </w:rPr>
        <w:tab/>
        <w:t>Claxton K, Posnett J. An economic approach to clinical trial design and research priority-setting. Health Econ 1996 Nov;5(6):513-24.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(34) </w:t>
      </w:r>
      <w:r w:rsidRPr="0094366B">
        <w:rPr>
          <w:rFonts w:cs="Times New Roman"/>
          <w:sz w:val="18"/>
        </w:rPr>
        <w:tab/>
        <w:t>Dimasi JA. Risks in new drug development: approval success rates for investigational drugs. Clin Pharmacol Ther 2001 May;69(5):297-307.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(35) </w:t>
      </w:r>
      <w:r w:rsidRPr="0094366B">
        <w:rPr>
          <w:rFonts w:cs="Times New Roman"/>
          <w:sz w:val="18"/>
        </w:rPr>
        <w:tab/>
        <w:t>Drenkard C, Villa AR, Garcia-Padilla C, Perez-Vazquez ME, Alarcon-Segovia D. Remission of systematic lupus erythematosus. Medicine (Baltimore) 1996 Mar;75(2):88-98.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(36) </w:t>
      </w:r>
      <w:r w:rsidRPr="0094366B">
        <w:rPr>
          <w:rFonts w:cs="Times New Roman"/>
          <w:sz w:val="18"/>
        </w:rPr>
        <w:tab/>
        <w:t>Petri M. Lupus in Baltimore: evidence-based 'clinical pearls' from the Hopkins Lupus Cohort. Lupus 2005;14(12):970-3.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(37) </w:t>
      </w:r>
      <w:r w:rsidRPr="0094366B">
        <w:rPr>
          <w:rFonts w:cs="Times New Roman"/>
          <w:sz w:val="18"/>
        </w:rPr>
        <w:tab/>
        <w:t>Ardoin SP, Pisetsky DS. Developments in the scientific understanding of lupus. Arthritis Res Ther 2008;10(5):218.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(38) </w:t>
      </w:r>
      <w:r w:rsidRPr="0094366B">
        <w:rPr>
          <w:rFonts w:cs="Times New Roman"/>
          <w:sz w:val="18"/>
        </w:rPr>
        <w:tab/>
        <w:t>Mason JA, Bossingham D. The clinical characterisation of systemic lupus erythematosus in a Far North Queensland Indigenous kindred. Lupus 2009 Feb;18(2):144-8.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(39) </w:t>
      </w:r>
      <w:r w:rsidRPr="0094366B">
        <w:rPr>
          <w:rFonts w:cs="Times New Roman"/>
          <w:sz w:val="18"/>
        </w:rPr>
        <w:tab/>
        <w:t>Johnson AE, Gordon C, Palmer RG, Bacon PA. The prevalence and incidence of systemic lupus erythematosus in Birmingham, England. Relationship to ethnicity and country of birth. Arthritis Rheum 1995 Apr;38(4):551-8.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(40) </w:t>
      </w:r>
      <w:r w:rsidRPr="0094366B">
        <w:rPr>
          <w:rFonts w:cs="Times New Roman"/>
          <w:sz w:val="18"/>
        </w:rPr>
        <w:tab/>
        <w:t>Siegel M, Lee SL. The epidemiology of systemic lupus erythematosus. Semin Arthritis Rheum 1973;3(1):1-54.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(41) </w:t>
      </w:r>
      <w:r w:rsidRPr="0094366B">
        <w:rPr>
          <w:rFonts w:cs="Times New Roman"/>
          <w:sz w:val="18"/>
        </w:rPr>
        <w:tab/>
        <w:t>Danchenko N, Satia JA, Anthony MS. Epidemiology of systemic lupus erythematosus: a comparison of worldwide disease burden. Lupus 2006;15(5):308-18.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r>
      <w:r w:rsidRPr="00A27713">
        <w:rPr>
          <w:rFonts w:cs="Times New Roman"/>
          <w:sz w:val="18"/>
        </w:rPr>
        <w:t xml:space="preserve">(42) </w:t>
      </w:r>
      <w:r w:rsidRPr="00A27713">
        <w:rPr>
          <w:rFonts w:cs="Times New Roman"/>
          <w:sz w:val="18"/>
        </w:rPr>
        <w:tab/>
        <w:t xml:space="preserve">Cervera R, Khamashta MA, Hughes GR. </w:t>
      </w:r>
      <w:r w:rsidRPr="0094366B">
        <w:rPr>
          <w:rFonts w:cs="Times New Roman"/>
          <w:sz w:val="18"/>
        </w:rPr>
        <w:t>The Euro-lupus project: epidemiology of systemic lupus erythematosus in Europe. Lupus 2009 Sep;18(10):869-74.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(43) </w:t>
      </w:r>
      <w:r w:rsidRPr="0094366B">
        <w:rPr>
          <w:rFonts w:cs="Times New Roman"/>
          <w:sz w:val="18"/>
        </w:rPr>
        <w:tab/>
        <w:t>Reveille JD, Moulds JM, Ahn C, Friedman AW, Baethge B, Roseman J, et al. Systemic lupus erythematosus in three ethnic groups: I. The effects of HLA class II, C4, and CR1 alleles, socioeconomic factors, and ethnicity at disease onset. LUMINA Study Group. Lupus in minority populations, nature versus nurture. Arthritis Rheum 1998 Jul;41(7):1161-72.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(44) </w:t>
      </w:r>
      <w:r w:rsidRPr="0094366B">
        <w:rPr>
          <w:rFonts w:cs="Times New Roman"/>
          <w:sz w:val="18"/>
        </w:rPr>
        <w:tab/>
        <w:t>Hochberg MC. Updating the American College of Rheumatology revised criteria for the classification of systemic lupus erythematosus. Arthritis Rheum 1997 Sep;40(9):1725.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(45) </w:t>
      </w:r>
      <w:r w:rsidRPr="0094366B">
        <w:rPr>
          <w:rFonts w:cs="Times New Roman"/>
          <w:sz w:val="18"/>
        </w:rPr>
        <w:tab/>
        <w:t>Jacobsen S, Petersen J, Ullman S, Junker P, Voss A, Rasmussen JM, et al. A multicentre study of 513 Danish patients with systemic lupus erythematosus. I. Disease manifestations and analyses of clinical subsets. Clin Rheumatol 1998;17(6):468-77.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(46) </w:t>
      </w:r>
      <w:r w:rsidRPr="0094366B">
        <w:rPr>
          <w:rFonts w:cs="Times New Roman"/>
          <w:sz w:val="18"/>
        </w:rPr>
        <w:tab/>
        <w:t>Griffiths B, Mosca M, Gordon C. Assessment of patients with systemic lupus erythematosus and the use of lupus disease activity indices. Best Pract Res Clin Rheumatol 2005 Oct;19(5):685-708.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(47) </w:t>
      </w:r>
      <w:r w:rsidRPr="0094366B">
        <w:rPr>
          <w:rFonts w:cs="Times New Roman"/>
          <w:sz w:val="18"/>
        </w:rPr>
        <w:tab/>
        <w:t>Petri M, Kim MY, Kalunian KC, Grossman J, Hahn BH, Sammaritano LR, et al. Combined oral contraceptives in women with systemic lupus erythematosus. N Engl J Med 2005 Dec 15;353(24):2550-8.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r>
      <w:r w:rsidRPr="0094366B">
        <w:rPr>
          <w:rFonts w:cs="Times New Roman"/>
          <w:sz w:val="18"/>
          <w:lang w:val="pl-PL"/>
        </w:rPr>
        <w:t xml:space="preserve">(48) </w:t>
      </w:r>
      <w:r w:rsidRPr="0094366B">
        <w:rPr>
          <w:rFonts w:cs="Times New Roman"/>
          <w:sz w:val="18"/>
          <w:lang w:val="pl-PL"/>
        </w:rPr>
        <w:tab/>
        <w:t xml:space="preserve">Gladman DD, Ibanez D, Urowitz MB. </w:t>
      </w:r>
      <w:r w:rsidRPr="0094366B">
        <w:rPr>
          <w:rFonts w:cs="Times New Roman"/>
          <w:sz w:val="18"/>
        </w:rPr>
        <w:t>Systemic lupus erythematosus disease activity index 2000. J Rheumatol 2002 Feb;29(2):288-91.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(49) </w:t>
      </w:r>
      <w:r w:rsidRPr="0094366B">
        <w:rPr>
          <w:rFonts w:cs="Times New Roman"/>
          <w:sz w:val="18"/>
        </w:rPr>
        <w:tab/>
        <w:t>Isenberg DA, Rahman A, Allen E, Farewell V, Akil M, Bruce IN, et al. BILAG 2004. Development and initial validation of an updated version of the British Isles Lupus Assessment Group's disease activity index for patients with systemic lupus erythematosus. Rheumatology (Oxford) 2005 Jul;44(7):902-6.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(50) </w:t>
      </w:r>
      <w:r w:rsidRPr="0094366B">
        <w:rPr>
          <w:rFonts w:cs="Times New Roman"/>
          <w:sz w:val="18"/>
        </w:rPr>
        <w:tab/>
        <w:t>Isenberg DA. BILAG, SLEDAI, SIS, ECLAM, WAM, SLAM .... thank you MAM. Lupus 2007;16(11):849-51.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(51) </w:t>
      </w:r>
      <w:r w:rsidRPr="0094366B">
        <w:rPr>
          <w:rFonts w:cs="Times New Roman"/>
          <w:sz w:val="18"/>
        </w:rPr>
        <w:tab/>
        <w:t>Gladman DD, Goldsmith CH, Urowitz MB, Bacon P, Fortin P, Ginzler E, et al. The Systemic Lupus International Collaborating Clinics/American College of Rheumatology (SLICC/ACR) Damage Index for Systemic Lupus Erythematosus International Comparison. J Rheumatol 2000 Feb;27(2):373-6.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(52) </w:t>
      </w:r>
      <w:r w:rsidRPr="0094366B">
        <w:rPr>
          <w:rFonts w:cs="Times New Roman"/>
          <w:sz w:val="18"/>
        </w:rPr>
        <w:tab/>
        <w:t>Gladman D, Ginzler E, Goldsmith C, Fortin P, Liang M, Urowitz M, et al. The development and initial validation of the Systemic Lupus International Collaborating Clinics/American College of Rheumatology damage index for systemic lupus erythematosus. Arthritis Rheum 1996 Mar;39(3):363-9.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(53) </w:t>
      </w:r>
      <w:r w:rsidRPr="0094366B">
        <w:rPr>
          <w:rFonts w:cs="Times New Roman"/>
          <w:sz w:val="18"/>
        </w:rPr>
        <w:tab/>
        <w:t>Gladman DD, Urowitz MB, Goldsmith CH, Fortin P, Ginzler E, Gordon C, et al. The reliability of the Systemic Lupus International Collaborating Clinics/American College of Rheumatology Damage Index in patients with systemic lupus erythematosus. Arthritis Rheum 1997 May;40(5):809-13.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(54) </w:t>
      </w:r>
      <w:r w:rsidRPr="0094366B">
        <w:rPr>
          <w:rFonts w:cs="Times New Roman"/>
          <w:sz w:val="18"/>
        </w:rPr>
        <w:tab/>
        <w:t>Dayal NA, Gordon C, Tucker L, Isenberg DA. The SLICC damage index: past, present and future. Lupus 2002;11(4):261-5.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(55) </w:t>
      </w:r>
      <w:r w:rsidRPr="0094366B">
        <w:rPr>
          <w:rFonts w:cs="Times New Roman"/>
          <w:sz w:val="18"/>
        </w:rPr>
        <w:tab/>
        <w:t>Bertsias G, Ioannidis JP, Boletis J, Bombardieri S, Cervera R, Dostal C, et al. EULAR recommendations for the management of systemic lupus erythematosus. Report of a Task Force of the EULAR Standing Committee for International Clinical Studies Including Therapeutics. Ann Rheum Dis 2008 Feb;67(2):195-205.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(56) </w:t>
      </w:r>
      <w:r w:rsidRPr="0094366B">
        <w:rPr>
          <w:rFonts w:cs="Times New Roman"/>
          <w:sz w:val="18"/>
        </w:rPr>
        <w:tab/>
        <w:t>Murray E, Perry M. Off-label use of rituximab in systemic lupus erythematosus: a systematic review. Clin Rheumatol 2010 Feb 13.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(57) </w:t>
      </w:r>
      <w:r w:rsidRPr="0094366B">
        <w:rPr>
          <w:rFonts w:cs="Times New Roman"/>
          <w:sz w:val="18"/>
        </w:rPr>
        <w:tab/>
        <w:t>Kang I, Park SH. Infectious complications in SLE after immunosuppressive therapies. Curr Opin Rheumatol 2003 Sep;15(5):528-34.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(58) </w:t>
      </w:r>
      <w:r w:rsidRPr="0094366B">
        <w:rPr>
          <w:rFonts w:cs="Times New Roman"/>
          <w:sz w:val="18"/>
        </w:rPr>
        <w:tab/>
        <w:t>Eisenberg R. Why can't we find a new treatment for SLE? J Autoimmun 2009 May;32(3-4):223-30.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(59) </w:t>
      </w:r>
      <w:r w:rsidRPr="0094366B">
        <w:rPr>
          <w:rFonts w:cs="Times New Roman"/>
          <w:sz w:val="18"/>
        </w:rPr>
        <w:tab/>
        <w:t>Sousa E, Isenberg D. Treating lupus: from serendipity to sense, the rise of the new biologicals and other emerging therapies. Best Pract Res Clin Rheumatol 2009 Aug;23(4):563-74.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(60) </w:t>
      </w:r>
      <w:r w:rsidRPr="0094366B">
        <w:rPr>
          <w:rFonts w:cs="Times New Roman"/>
          <w:sz w:val="18"/>
        </w:rPr>
        <w:tab/>
        <w:t>Sousa E, Isenberg D. Treating lupus: from serendipity to sense, the rise of the new biologicals and other emerging therapies. Best Pract Res Clin Rheumatol 2009 Aug;23(4):563-74.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(61) </w:t>
      </w:r>
      <w:r w:rsidRPr="0094366B">
        <w:rPr>
          <w:rFonts w:cs="Times New Roman"/>
          <w:sz w:val="18"/>
        </w:rPr>
        <w:tab/>
        <w:t xml:space="preserve">Merrill JT, et al. Activity of Abatacept in SLE: Results of a 12 month Phase II Exploratory Study. Ann Rheum Dis 2009 68(suppl3):70 . 2009. </w:t>
      </w:r>
      <w:r w:rsidRPr="0094366B">
        <w:rPr>
          <w:rFonts w:cs="Times New Roman"/>
          <w:sz w:val="18"/>
        </w:rPr>
        <w:br/>
        <w:t>Ref Type: Abstract</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(62) </w:t>
      </w:r>
      <w:r w:rsidRPr="0094366B">
        <w:rPr>
          <w:rFonts w:cs="Times New Roman"/>
          <w:sz w:val="18"/>
        </w:rPr>
        <w:tab/>
        <w:t>Merrill JT, Neuwelt CM, Wallace DJ, Shanahan JC, Latinis KM, Oates JC, et al. Efficacy and safety of rituximab in moderately-to-severely active systemic lupus erythematosus: the randomized, double-blind, phase II/III systemic lupus erythematosus evaluation of rituximab trial. Arthritis Rheum 2010 Jan;62(1):222-33.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(63) </w:t>
      </w:r>
      <w:r w:rsidRPr="0094366B">
        <w:rPr>
          <w:rFonts w:cs="Times New Roman"/>
          <w:sz w:val="18"/>
        </w:rPr>
        <w:tab/>
        <w:t>Nixon RM, O'Hagan A, Oakley J, Madan J, Stevens JW, Bansback N, et al. The Rheumatoid Arthritis Drug Development Model: a case study in Bayesian clinical trial simulation. Pharm Stat 2009 Oct;8(4):371-89.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(64) </w:t>
      </w:r>
      <w:r w:rsidRPr="0094366B">
        <w:rPr>
          <w:rFonts w:cs="Times New Roman"/>
          <w:sz w:val="18"/>
        </w:rPr>
        <w:tab/>
        <w:t>Hackshaw KV, Shi Y, Brandwein SR, Jones K, Westcott JY. A pilot study of zileuton, a novel selective 5-lipoxygenase inhibitor, in patients with systemic lupus-erythematosus. Journal of Rheumatology 1994; 22(3)(pp 462-468), 1995;1995.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(65) </w:t>
      </w:r>
      <w:r w:rsidRPr="0094366B">
        <w:rPr>
          <w:rFonts w:cs="Times New Roman"/>
          <w:sz w:val="18"/>
        </w:rPr>
        <w:tab/>
        <w:t>Carneiro JRM, Sato EI. Double blind, randomized, placebo controlled clinical trial of methotrexate in systemic lupus erythematosus. Journal of Rheumatology 1994; 26(6)(pp 1275-1279), 1999;1999.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(66) </w:t>
      </w:r>
      <w:r w:rsidRPr="0094366B">
        <w:rPr>
          <w:rFonts w:cs="Times New Roman"/>
          <w:sz w:val="18"/>
        </w:rPr>
        <w:tab/>
        <w:t>Kalunian KC, Davis JC, Jr., Merrill JT, Totoritis MC, Wofsy D. Treatment of systemic lupus erythematosus by inhibition of T cell costimulation with anti-CD154: a randomized, double-blind, placebo-controlled trial. Arthritis Rheum 2002 Dec;46(12):3251-8.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(67) </w:t>
      </w:r>
      <w:r w:rsidRPr="0094366B">
        <w:rPr>
          <w:rFonts w:cs="Times New Roman"/>
          <w:sz w:val="18"/>
        </w:rPr>
        <w:tab/>
        <w:t>Petri MA, Mease PJ, Merrill JT, Lahita RG, Iannini MJ, Yocum DE, et al. Effects of prasterone on disease activity and symptoms in women with active systemic lupus erythematosus. Arthritis Rheum 2004 Sep;50(9):2858-68.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(68) </w:t>
      </w:r>
      <w:r w:rsidRPr="0094366B">
        <w:rPr>
          <w:rFonts w:cs="Times New Roman"/>
          <w:sz w:val="18"/>
        </w:rPr>
        <w:tab/>
        <w:t>Tam L-S, Li EK, Wong C-K, Lam CWK, Szeto C-C. Double-blind, randomized, placebo-controlled pilot study of leflunomide in systemic lupus erythematosus. Lupus 1994; 13(8)(pp 601-604), 2004;2004.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(69) </w:t>
      </w:r>
      <w:r w:rsidRPr="0094366B">
        <w:rPr>
          <w:rFonts w:cs="Times New Roman"/>
          <w:sz w:val="18"/>
        </w:rPr>
        <w:tab/>
        <w:t>Fortin PR, Abrahamowicz M, Ferland D, Lacaille D, Smith CD, Zummer M. Steroid-sparing effects of methotrexate in systemic lupus erythematosus: A double-blind, randomized, placebo-controlled trial. Arthritis Care and Research 1994; 59(12)(pp 1796-1804), 2008;15.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(70) </w:t>
      </w:r>
      <w:r w:rsidRPr="0094366B">
        <w:rPr>
          <w:rFonts w:cs="Times New Roman"/>
          <w:sz w:val="18"/>
        </w:rPr>
        <w:tab/>
        <w:t>Abdou NI, Rider V, Greenwell C, Li X, Kimler BF. Fulvestrant (Faslodex), an estrogen selective receptor downregulator, in therapy of women with systemic lupus erythematosus. clinical, serologic, bone density, and T cell activation marker studies: a double-blind placebo-controlled trial. J Rheumatol 2008 May;35(5):797.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(71) </w:t>
      </w:r>
      <w:r w:rsidRPr="0094366B">
        <w:rPr>
          <w:rFonts w:cs="Times New Roman"/>
          <w:sz w:val="18"/>
        </w:rPr>
        <w:tab/>
        <w:t>Uppal SS, Hayat SJ, Raghupathy R. Efficacy and safety of infliximab in active SLE: a pilot study. Lupus 2009 Jul;18(8):690-7.</w:t>
      </w:r>
    </w:p>
    <w:p w:rsidR="00D0049C" w:rsidRDefault="0094366B">
      <w:pPr>
        <w:tabs>
          <w:tab w:val="right" w:pos="540"/>
          <w:tab w:val="left" w:pos="720"/>
        </w:tabs>
        <w:spacing w:after="240" w:line="240" w:lineRule="auto"/>
        <w:ind w:left="720" w:hanging="720"/>
        <w:rPr>
          <w:rFonts w:cs="Times New Roman"/>
          <w:sz w:val="18"/>
          <w:lang w:val="de-DE"/>
        </w:rPr>
      </w:pPr>
      <w:r w:rsidRPr="0094366B">
        <w:rPr>
          <w:rFonts w:cs="Times New Roman"/>
          <w:sz w:val="18"/>
        </w:rPr>
        <w:tab/>
        <w:t xml:space="preserve">(72) </w:t>
      </w:r>
      <w:r w:rsidRPr="0094366B">
        <w:rPr>
          <w:rFonts w:cs="Times New Roman"/>
          <w:sz w:val="18"/>
        </w:rPr>
        <w:tab/>
        <w:t xml:space="preserve">Wallace DJ, Stohl W, Furie RA, Lisse JR, McKay JD, Merrill JT, et al. A phase II, randomized, double-blind, placebo-controlled, dose-ranging study of belimumab in patients with active systemic lupus erythematosus. </w:t>
      </w:r>
      <w:r w:rsidRPr="0094366B">
        <w:rPr>
          <w:rFonts w:cs="Times New Roman"/>
          <w:sz w:val="18"/>
          <w:lang w:val="de-DE"/>
        </w:rPr>
        <w:t>Arthritis Rheum 2009 Sep 15;61(9):1168-78.</w:t>
      </w:r>
    </w:p>
    <w:p w:rsidR="00D0049C" w:rsidRDefault="0094366B">
      <w:pPr>
        <w:tabs>
          <w:tab w:val="right" w:pos="540"/>
          <w:tab w:val="left" w:pos="720"/>
        </w:tabs>
        <w:spacing w:after="240" w:line="240" w:lineRule="auto"/>
        <w:ind w:left="720" w:hanging="720"/>
        <w:rPr>
          <w:rFonts w:cs="Times New Roman"/>
          <w:sz w:val="18"/>
          <w:lang w:val="de-DE"/>
        </w:rPr>
      </w:pPr>
      <w:r w:rsidRPr="0094366B">
        <w:rPr>
          <w:rFonts w:cs="Times New Roman"/>
          <w:sz w:val="18"/>
          <w:lang w:val="de-DE"/>
        </w:rPr>
        <w:tab/>
        <w:t xml:space="preserve">(73) </w:t>
      </w:r>
      <w:r w:rsidRPr="0094366B">
        <w:rPr>
          <w:rFonts w:cs="Times New Roman"/>
          <w:sz w:val="18"/>
          <w:lang w:val="de-DE"/>
        </w:rPr>
        <w:tab/>
        <w:t>Furie RA, Petri MA, Wallace DJ, Ginzler EM, Merrill JT, Stohl W, et al. Novel evidence-based systemic lupus erythematosus responder index. Arthritis Rheum 2009 Sep 15;61(9):1143-51.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lang w:val="de-DE"/>
        </w:rPr>
        <w:tab/>
        <w:t xml:space="preserve">(74) </w:t>
      </w:r>
      <w:r w:rsidRPr="0094366B">
        <w:rPr>
          <w:rFonts w:cs="Times New Roman"/>
          <w:sz w:val="18"/>
          <w:lang w:val="de-DE"/>
        </w:rPr>
        <w:tab/>
        <w:t xml:space="preserve">Navarra SV, Guzman RM, Gallacher AE, Hall S, Levy RA, Jimenez RE, et al. </w:t>
      </w:r>
      <w:r w:rsidRPr="0094366B">
        <w:rPr>
          <w:rFonts w:cs="Times New Roman"/>
          <w:sz w:val="18"/>
        </w:rPr>
        <w:t>Efficacy and safety of belimumab in patients with active systemic lupus erythematosus: a randomised, placebo-controlled, phase 3 trial. Lancet 2011 Feb 26;377(9767):721-31.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(75) </w:t>
      </w:r>
      <w:r w:rsidRPr="0094366B">
        <w:rPr>
          <w:rFonts w:cs="Times New Roman"/>
          <w:sz w:val="18"/>
        </w:rPr>
        <w:tab/>
        <w:t>Furie R, Petri M, Zamani O, Cervera R, Wallace DJ, Tegzova D, et al. A phase III, randomized, placebo-controlled study of belimumab, a monoclonal antibody that inhibits B lymphocyte stimulator, in patients with systemic lupus erythematosus. Arthritis Rheum 2011 Dec;63(12):3918-30.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(76) </w:t>
      </w:r>
      <w:r w:rsidRPr="0094366B">
        <w:rPr>
          <w:rFonts w:cs="Times New Roman"/>
          <w:sz w:val="18"/>
        </w:rPr>
        <w:tab/>
        <w:t>Merrill JT, Wallace DJ, Petri M, Kirou KA, Yao Y, White WI, et al. Safety profile and clinical activity of sifalimumab, a fully human anti-interferon alpha monoclonal antibody, in systemic lupus erythematosus: a phase I, multicentre, double-blind randomised study. Ann Rheum Dis 2011 Nov;70(11):1905-13.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(77) </w:t>
      </w:r>
      <w:r w:rsidRPr="0094366B">
        <w:rPr>
          <w:rFonts w:cs="Times New Roman"/>
          <w:sz w:val="18"/>
        </w:rPr>
        <w:tab/>
        <w:t>Bertsias G, Gordon C, Boumpas DT. Clinical trials in systemic lupus erythematosus (SLE): lessons from the past as we proceed to the future--the EULAR recommendations for the management of SLE and the use of end-points in clinical trials. Lupus 2008;17(5):437-42.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(78) </w:t>
      </w:r>
      <w:r w:rsidRPr="0094366B">
        <w:rPr>
          <w:rFonts w:cs="Times New Roman"/>
          <w:sz w:val="18"/>
        </w:rPr>
        <w:tab/>
        <w:t>Strand V, Gladman D, Isenberg D, Petri M, Smolen J, Tugwell P. Endpoints: consensus recommendations from OMERACT IV. Outcome Measures in Rheumatology. Lupus 2000;9(5):322-7.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(79) </w:t>
      </w:r>
      <w:r w:rsidRPr="0094366B">
        <w:rPr>
          <w:rFonts w:cs="Times New Roman"/>
          <w:sz w:val="18"/>
        </w:rPr>
        <w:tab/>
        <w:t>Bertsias GK, Ioannidis JP, Boletis J, Bombardieri S, Cervera R, Dostal C, et al. EULAR points to consider for conducting clinical trials in systemic lupus erythematosus: literature based evidence for the selection of endpoints. Ann Rheum Dis 2009 Apr;68(4):477-83.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(80) </w:t>
      </w:r>
      <w:r w:rsidRPr="0094366B">
        <w:rPr>
          <w:rFonts w:cs="Times New Roman"/>
          <w:sz w:val="18"/>
        </w:rPr>
        <w:tab/>
        <w:t>American College of Rheumatology. The American College of Rheumatology response criteria for systemic lupus erythematosus clinical trials: measures of overall disease activity. Arthritis Rheum 2004 Nov;50(11):3418-26.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(81) </w:t>
      </w:r>
      <w:r w:rsidRPr="0094366B">
        <w:rPr>
          <w:rFonts w:cs="Times New Roman"/>
          <w:sz w:val="18"/>
        </w:rPr>
        <w:tab/>
        <w:t xml:space="preserve">US Department of Health and Human Services Food and Drug Administration. Guidance for Industry: Systemic Lupus Erythematosus - Developing Drugs for Treatment.  2010. </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(82) </w:t>
      </w:r>
      <w:r w:rsidRPr="0094366B">
        <w:rPr>
          <w:rFonts w:cs="Times New Roman"/>
          <w:sz w:val="18"/>
        </w:rPr>
        <w:tab/>
        <w:t xml:space="preserve">Concept paper on the need for a guideline on the clinical investigation of medical products intended for treatment of systemic and cutaneous lupus erythematosus. European Medicines Agency 2009Available from: URL: </w:t>
      </w:r>
      <w:hyperlink r:id="rId67" w:history="1">
        <w:r w:rsidRPr="0094366B">
          <w:rPr>
            <w:rStyle w:val="Hyperlink"/>
            <w:rFonts w:cs="Times New Roman"/>
            <w:sz w:val="18"/>
          </w:rPr>
          <w:t>http://www.ema.europa.eu/pdfs/human/ewp/60404009en.pdf</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(83) </w:t>
      </w:r>
      <w:r w:rsidRPr="0094366B">
        <w:rPr>
          <w:rFonts w:cs="Times New Roman"/>
          <w:sz w:val="18"/>
        </w:rPr>
        <w:tab/>
        <w:t>Gordon C, Bertsias G, Ioannidis JP, Boletis J, Bombardieri S, Cervera R, et al. EULAR points to consider for conducting clinical trials in systemic lupus erythematosus. Ann Rheum Dis 2009 Apr;68(4):470-6.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(84) </w:t>
      </w:r>
      <w:r w:rsidRPr="0094366B">
        <w:rPr>
          <w:rFonts w:cs="Times New Roman"/>
          <w:sz w:val="18"/>
        </w:rPr>
        <w:tab/>
        <w:t>American College of Rheumatology. The American College of Rheumatology response criteria for proliferative and membranous renal disease in systemic lupus erythematosus clinical trials. Arthritis Rheum 2006 Feb;54(2):421-32.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(85) </w:t>
      </w:r>
      <w:r w:rsidRPr="0094366B">
        <w:rPr>
          <w:rFonts w:cs="Times New Roman"/>
          <w:sz w:val="18"/>
        </w:rPr>
        <w:tab/>
        <w:t>Li EK, Tam LS, Zhu TY, Li M, Kwok CL, Li TK, et al. Is combination rituximab with cyclophosphamide better than rituximab alone in the treatment of lupus nephritis? Rheumatology (Oxford) 2009 Aug;48(8):892-8.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(86) </w:t>
      </w:r>
      <w:r w:rsidRPr="0094366B">
        <w:rPr>
          <w:rFonts w:cs="Times New Roman"/>
          <w:sz w:val="18"/>
        </w:rPr>
        <w:tab/>
        <w:t xml:space="preserve">Navarra S, et al. Belimumab, a BLyS-Specific Inhibitor, Reduced Disease Activity, Flares and Prednisone Use in PAtients with Active SLE: Efficacy and Safety Results From the Phase 3 BLISS-52 Study. Arthritis and Rheumatism 2009 (S10):60 . 2010. </w:t>
      </w:r>
      <w:r w:rsidRPr="0094366B">
        <w:rPr>
          <w:rFonts w:cs="Times New Roman"/>
          <w:sz w:val="18"/>
        </w:rPr>
        <w:br/>
        <w:t>Ref Type: Abstract</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(87) </w:t>
      </w:r>
      <w:r w:rsidRPr="0094366B">
        <w:rPr>
          <w:rFonts w:cs="Times New Roman"/>
          <w:sz w:val="18"/>
        </w:rPr>
        <w:tab/>
        <w:t>Brunner HI, Klein-Gitelman MS, Ying J, Tucker LB, Silverman ED. Corticosteroid use in childhood-onset systemic lupus erythematosus-practice patterns at four pediatric rheumatology centers. Clin Exp Rheumatol 2009 Jan;27(1):155-62.</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(88) </w:t>
      </w:r>
      <w:r w:rsidRPr="0094366B">
        <w:rPr>
          <w:rFonts w:cs="Times New Roman"/>
          <w:sz w:val="18"/>
        </w:rPr>
        <w:tab/>
        <w:t xml:space="preserve">ICH. The Extent of Population Exposure to Assess Clinical Safety for Drugs Intended for Long-Term Treatment of Non-Life Threatening Conditions. </w:t>
      </w:r>
      <w:hyperlink r:id="rId68" w:history="1">
        <w:r w:rsidRPr="0094366B">
          <w:rPr>
            <w:rStyle w:val="Hyperlink"/>
            <w:rFonts w:cs="Times New Roman"/>
            <w:sz w:val="18"/>
          </w:rPr>
          <w:t>http://www</w:t>
        </w:r>
      </w:hyperlink>
      <w:r w:rsidRPr="0094366B">
        <w:rPr>
          <w:rFonts w:cs="Times New Roman"/>
          <w:sz w:val="18"/>
        </w:rPr>
        <w:t xml:space="preserve"> ich org/products/guidelines/efficacy/efficacy-single/article/the-extent-of-population-exposure-to-assess-clinical-safety-for-drugs-intended-for-long-term-treatme html 2012Available from: URL: </w:t>
      </w:r>
      <w:hyperlink r:id="rId69" w:history="1">
        <w:r w:rsidRPr="0094366B">
          <w:rPr>
            <w:rStyle w:val="Hyperlink"/>
            <w:rFonts w:cs="Times New Roman"/>
            <w:sz w:val="18"/>
          </w:rPr>
          <w:t>http://www.ich.org/products/guidelines/efficacy/efficacy-single/article/the-extent-of-population-exposure-to-assess-clinical-safety-for-drugs-intended-for-long-term-treatme.html</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(89) </w:t>
      </w:r>
      <w:r w:rsidRPr="0094366B">
        <w:rPr>
          <w:rFonts w:cs="Times New Roman"/>
          <w:sz w:val="18"/>
        </w:rPr>
        <w:tab/>
        <w:t>Chilcott J, Brennan A, Booth A, Karnon J, Tappenden P. The role of modelling in prioritising and planning clinical trials. Health Technol Assess 2003;7(23):iii, 1-iii125.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(90) </w:t>
      </w:r>
      <w:r w:rsidRPr="0094366B">
        <w:rPr>
          <w:rFonts w:cs="Times New Roman"/>
          <w:sz w:val="18"/>
        </w:rPr>
        <w:tab/>
        <w:t>Claxton K, Neumann PJ, Araki S, Weinstein MC. Bayesian value-of-information analysis. An application to a policy model of Alzheimer's disease. Int J Technol Assess Health Care 2001;17(1):38-55.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(91) </w:t>
      </w:r>
      <w:r w:rsidRPr="0094366B">
        <w:rPr>
          <w:rFonts w:cs="Times New Roman"/>
          <w:sz w:val="18"/>
        </w:rPr>
        <w:tab/>
        <w:t>Eckermann S, Karnon J, Willan AR. The value of value of information: best informing research design and prioritization using current methods. Pharmacoeconomics 2010;28(9):699-709.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(92) </w:t>
      </w:r>
      <w:r w:rsidRPr="0094366B">
        <w:rPr>
          <w:rFonts w:cs="Times New Roman"/>
          <w:sz w:val="18"/>
        </w:rPr>
        <w:tab/>
        <w:t>Spiegelhalter DJ, Myles JP, Jones DR, Abrams KR. Bayesian methods in health technology assessment: a review. Health Technol Assess 2000;4(38):1-130.</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(93) </w:t>
      </w:r>
      <w:r w:rsidRPr="0094366B">
        <w:rPr>
          <w:rFonts w:cs="Times New Roman"/>
          <w:sz w:val="18"/>
        </w:rPr>
        <w:tab/>
        <w:t xml:space="preserve"> Web of Knowledge 2013Available from: URL: </w:t>
      </w:r>
      <w:hyperlink r:id="rId70" w:history="1">
        <w:r w:rsidRPr="0094366B">
          <w:rPr>
            <w:rStyle w:val="Hyperlink"/>
            <w:rFonts w:cs="Times New Roman"/>
            <w:sz w:val="18"/>
          </w:rPr>
          <w:t>http://apps.webofknowledge.com/UA_GeneralSearch_input.do?product=UA&amp;search_mode=GeneralSearch&amp;SID=W1OdbeobKOEanf4EaMp&amp;preferencesSaved=</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(94) </w:t>
      </w:r>
      <w:r w:rsidRPr="0094366B">
        <w:rPr>
          <w:rFonts w:cs="Times New Roman"/>
          <w:sz w:val="18"/>
        </w:rPr>
        <w:tab/>
        <w:t>Claxton K. The irrelevance of inference: a decision-making approach to the stochastic evaluation of health care technologies. Journal of Health Economics 1999;18(3):341-64.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(95) </w:t>
      </w:r>
      <w:r w:rsidRPr="0094366B">
        <w:rPr>
          <w:rFonts w:cs="Times New Roman"/>
          <w:sz w:val="18"/>
        </w:rPr>
        <w:tab/>
        <w:t>Thompson MS. Decision-analytic determination of study size. The case of electronic fetal monitoring. Med Decis Making 1981;1(2):165-79.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(96) </w:t>
      </w:r>
      <w:r w:rsidRPr="0094366B">
        <w:rPr>
          <w:rFonts w:cs="Times New Roman"/>
          <w:sz w:val="18"/>
        </w:rPr>
        <w:tab/>
        <w:t>Halpern J, Brown BW, Hornberger J. The sample size for a clinical trial: A Bayesian-decision theoretic approach. Statistics in Medicine 2001;20(6):841-58.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(97) </w:t>
      </w:r>
      <w:r w:rsidRPr="0094366B">
        <w:rPr>
          <w:rFonts w:cs="Times New Roman"/>
          <w:sz w:val="18"/>
        </w:rPr>
        <w:tab/>
        <w:t>Koerkamp BG, Nikken JJ, Oei EH, Stijnen T, Ginai AZ, Hunink M. Value of information analysis used to determine the necessity of additional research: MR imaging in acute knee trauma as an example. Radiology 2008;246(2):420-5.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(98) </w:t>
      </w:r>
      <w:r w:rsidRPr="0094366B">
        <w:rPr>
          <w:rFonts w:cs="Times New Roman"/>
          <w:sz w:val="18"/>
        </w:rPr>
        <w:tab/>
        <w:t>Koerkamp BG, Spronk S, Stijnen T, Hunink M. Value of Information Analyses of Economic Randomized Controlled Trials: The Treatment of Intermittent Claudication. Value in Health 2010;13(2):242-50.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(99) </w:t>
      </w:r>
      <w:r w:rsidRPr="0094366B">
        <w:rPr>
          <w:rFonts w:cs="Times New Roman"/>
          <w:sz w:val="18"/>
        </w:rPr>
        <w:tab/>
        <w:t>Claxton K, Thompson KM. A dynamic programming approach to the efficient design of clinical trials. Journal of Health Economics 2001;20(5):797-822.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(100) </w:t>
      </w:r>
      <w:r w:rsidRPr="0094366B">
        <w:rPr>
          <w:rFonts w:cs="Times New Roman"/>
          <w:sz w:val="18"/>
        </w:rPr>
        <w:tab/>
        <w:t>Willan AR, Pinto EM. The value of information and optimal clinical trial design. Statistics in Medicine 2005;24(12):1791-806.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(101) </w:t>
      </w:r>
      <w:r w:rsidRPr="0094366B">
        <w:rPr>
          <w:rFonts w:cs="Times New Roman"/>
          <w:sz w:val="18"/>
        </w:rPr>
        <w:tab/>
        <w:t>Willan AR. Clinical decision making and the expected value of information. Clinical Trials 2007;4(3):279-85.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(102) </w:t>
      </w:r>
      <w:r w:rsidRPr="0094366B">
        <w:rPr>
          <w:rFonts w:cs="Times New Roman"/>
          <w:sz w:val="18"/>
        </w:rPr>
        <w:tab/>
        <w:t>Willan A, Kowgier M. Determining optimal sample sizes for multi-stage randomized clinical trials using value of information methods. Clinical Trials 2008;5(4):289-300.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(103) </w:t>
      </w:r>
      <w:r w:rsidRPr="0094366B">
        <w:rPr>
          <w:rFonts w:cs="Times New Roman"/>
          <w:sz w:val="18"/>
        </w:rPr>
        <w:tab/>
        <w:t>Eckermann S, Willan AR. The option value of delay in health technology assessment. Medical Decision Making 2008;28(3):300-5.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(104) </w:t>
      </w:r>
      <w:r w:rsidRPr="0094366B">
        <w:rPr>
          <w:rFonts w:cs="Times New Roman"/>
          <w:sz w:val="18"/>
        </w:rPr>
        <w:tab/>
        <w:t>Eckermann S, Willan AR. Globally Optimal Trial Design for Local Decision Making. Health Economics 2009;18(2):203-16.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(105) </w:t>
      </w:r>
      <w:r w:rsidRPr="0094366B">
        <w:rPr>
          <w:rFonts w:cs="Times New Roman"/>
          <w:sz w:val="18"/>
        </w:rPr>
        <w:tab/>
        <w:t>Willan AR, Eckermann S. Optimal Clinical Trial Design Using Value of Information Methods with Imperfect Implementation. Health Economics 2010;19(5):549-61.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(106) </w:t>
      </w:r>
      <w:r w:rsidRPr="0094366B">
        <w:rPr>
          <w:rFonts w:cs="Times New Roman"/>
          <w:sz w:val="18"/>
        </w:rPr>
        <w:tab/>
        <w:t>Eckermann S, Willan AR. Expected value of information and decision making in HTA. Health Economics 2007;16(2):195-209.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(107) </w:t>
      </w:r>
      <w:r w:rsidRPr="0094366B">
        <w:rPr>
          <w:rFonts w:cs="Times New Roman"/>
          <w:sz w:val="18"/>
        </w:rPr>
        <w:tab/>
        <w:t>Eckermann S, Willan AR. Time and expected value of sample information wait for no patient. Value in Health 2008;11(3):522-6.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(108) </w:t>
      </w:r>
      <w:r w:rsidRPr="0094366B">
        <w:rPr>
          <w:rFonts w:cs="Times New Roman"/>
          <w:sz w:val="18"/>
        </w:rPr>
        <w:tab/>
        <w:t>Ades AE, Lu G, Claxton K. Expected value of sample information calculations in medical decision modeling. Medical Decision Making 2004;24(2):207-27.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(109) </w:t>
      </w:r>
      <w:r w:rsidRPr="0094366B">
        <w:rPr>
          <w:rFonts w:cs="Times New Roman"/>
          <w:sz w:val="18"/>
        </w:rPr>
        <w:tab/>
        <w:t>Conti S, Claxton K. Dimensions of Design Space: A Decision-Theoretic Approach to Optimal Research Design. Medical Decision Making 2009;29(6):643-60.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(110) </w:t>
      </w:r>
      <w:r w:rsidRPr="0094366B">
        <w:rPr>
          <w:rFonts w:cs="Times New Roman"/>
          <w:sz w:val="18"/>
        </w:rPr>
        <w:tab/>
        <w:t>Stevenson M, Lloyd-Jones M, Papaioannou D. Vitamin K to prevent fractures in older women: systematic review and economic evaluation. Health Technology Assessment 2009;13(45):1-+.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(111) </w:t>
      </w:r>
      <w:r w:rsidRPr="0094366B">
        <w:rPr>
          <w:rFonts w:cs="Times New Roman"/>
          <w:sz w:val="18"/>
        </w:rPr>
        <w:tab/>
        <w:t>Stevenson MD, Oakley JE, Jones ML, Brennan A, Compston JE, McCloskey EV, et al. The Cost-Effectiveness of an RCT to Establish Whether 5 or 10 Years of Bisphosphonate Treatment Is the Better Duration for Women With a Prior Fracture. Medical Decision Making 2009;29(6):678-89.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(112) </w:t>
      </w:r>
      <w:r w:rsidRPr="0094366B">
        <w:rPr>
          <w:rFonts w:cs="Times New Roman"/>
          <w:sz w:val="18"/>
        </w:rPr>
        <w:tab/>
        <w:t>McKenna C, Claxton K. Addressing Adoption and Research Design Decisions Simultaneously: The Role of Value of Sample Information Analysis. Medical Decision Making 2011;31(6):853-65.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(113) </w:t>
      </w:r>
      <w:r w:rsidRPr="0094366B">
        <w:rPr>
          <w:rFonts w:cs="Times New Roman"/>
          <w:sz w:val="18"/>
        </w:rPr>
        <w:tab/>
        <w:t>Stevenson MD, Jones ML. The Cost Effectiveness of a Randomized Controlled Trial to Establish the Relative Efficacy of Vitamin K(1) Compared with Alendronate. Medical Decision Making 2011;31(1):43-52.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(114) </w:t>
      </w:r>
      <w:r w:rsidRPr="0094366B">
        <w:rPr>
          <w:rFonts w:cs="Times New Roman"/>
          <w:sz w:val="18"/>
        </w:rPr>
        <w:tab/>
        <w:t>Kharroubi SA, Brennan A, Strong M. Estimating Expected Value of Sample Information for Incomplete Data Models Using Bayesian Approximation. Medical Decision Making 2011;31(6):839-52.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(115) </w:t>
      </w:r>
      <w:r w:rsidRPr="0094366B">
        <w:rPr>
          <w:rFonts w:cs="Times New Roman"/>
          <w:sz w:val="18"/>
        </w:rPr>
        <w:tab/>
        <w:t>Brennan A, Kharroubi SA. Expected value of sample information for Weibull survival data. Health Economics 2007;16(11):1205-25.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(116) </w:t>
      </w:r>
      <w:r w:rsidRPr="0094366B">
        <w:rPr>
          <w:rFonts w:cs="Times New Roman"/>
          <w:sz w:val="18"/>
        </w:rPr>
        <w:tab/>
        <w:t>Brennan A, Kharroubi SA. Efficient computation of partial expected value of sample information using Bayesian approximation. Journal of Health Economics 2007;26(1):122-48.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(117) </w:t>
      </w:r>
      <w:r w:rsidRPr="0094366B">
        <w:rPr>
          <w:rFonts w:cs="Times New Roman"/>
          <w:sz w:val="18"/>
        </w:rPr>
        <w:tab/>
        <w:t>Shavit O, Leshno M, Goldberger A, Shmueli A, Hoffman A. It's time to choose the study design! Net benefit analysis of alternative study designs to acquire information for evaluation of health technologies. Pharmacoeconomics 2007;25(11):903-11.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(118) </w:t>
      </w:r>
      <w:r w:rsidRPr="0094366B">
        <w:rPr>
          <w:rFonts w:cs="Times New Roman"/>
          <w:sz w:val="18"/>
        </w:rPr>
        <w:tab/>
        <w:t>Kikuchi T, Gittins J. A behavioral Bayes method to determine the sample size of a clinical trial considering efficacy and safety. Statistics in Medicine 2009;28(18):2293-306.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(119) </w:t>
      </w:r>
      <w:r w:rsidRPr="0094366B">
        <w:rPr>
          <w:rFonts w:cs="Times New Roman"/>
          <w:sz w:val="18"/>
        </w:rPr>
        <w:tab/>
        <w:t>Kikuchi T, Gittins J. A behavioural Bayes approach to the determination of sample size for clinical trials considering efficacy and safety: imbalanced sample size in treatment groups. Stat Methods Med Res 2011 Aug;20(4):389-400.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(120) </w:t>
      </w:r>
      <w:r w:rsidRPr="0094366B">
        <w:rPr>
          <w:rFonts w:cs="Times New Roman"/>
          <w:sz w:val="18"/>
        </w:rPr>
        <w:tab/>
        <w:t>Kikuchi T, Gittins J. A behavioural Bayes approach for sample size determination in cluster randomized clinical trials. Journal of the Royal Statistical Society Series C-Applied Statistics 2010;59:875-88.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(121) </w:t>
      </w:r>
      <w:r w:rsidRPr="0094366B">
        <w:rPr>
          <w:rFonts w:cs="Times New Roman"/>
          <w:sz w:val="18"/>
        </w:rPr>
        <w:tab/>
        <w:t>Kikuchi T, Pezeshk H, Gittins J. A Bayesian cost-benefit approach to the determination of sample size in clinical trials. Stat Med 2008 Jan 15;27(1):68-82.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(122) </w:t>
      </w:r>
      <w:r w:rsidRPr="0094366B">
        <w:rPr>
          <w:rFonts w:cs="Times New Roman"/>
          <w:sz w:val="18"/>
        </w:rPr>
        <w:tab/>
        <w:t>Willan AR. Optimal sample size determinations from an industry perspective based on the expected value of information. Clinical Trials 2008;5(6):587-94.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(123) </w:t>
      </w:r>
      <w:r w:rsidRPr="0094366B">
        <w:rPr>
          <w:rFonts w:cs="Times New Roman"/>
          <w:sz w:val="18"/>
        </w:rPr>
        <w:tab/>
        <w:t>Pezeshk H, Gittins J. A fully Bayesian Approach to Calculating Sample Sizes for Clinical Trials with Binary Responses. Drug Information Journal 2002;36:143-50.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(124) </w:t>
      </w:r>
      <w:r w:rsidRPr="0094366B">
        <w:rPr>
          <w:rFonts w:cs="Times New Roman"/>
          <w:sz w:val="18"/>
        </w:rPr>
        <w:tab/>
        <w:t>Gittins J, Pezeshk H. How large should a trial be? Journal of the Royal Statistical Society Seies D 2000;49(2):177-87.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(125) </w:t>
      </w:r>
      <w:r w:rsidRPr="0094366B">
        <w:rPr>
          <w:rFonts w:cs="Times New Roman"/>
          <w:sz w:val="18"/>
        </w:rPr>
        <w:tab/>
        <w:t>Gittins J, Pezeshk H. A behavioral bayes method for determining the size of a clinical trial. Drug Information Journal 2000;34(2):355-63.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(126) </w:t>
      </w:r>
      <w:r w:rsidRPr="0094366B">
        <w:rPr>
          <w:rFonts w:cs="Times New Roman"/>
          <w:sz w:val="18"/>
        </w:rPr>
        <w:tab/>
        <w:t>O'Hagan A, Stevens J, Campbell M. Assurance in Clinical Trial Design. Pharmaceutical Statistics 2005;4:187-204.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(127) </w:t>
      </w:r>
      <w:r w:rsidRPr="0094366B">
        <w:rPr>
          <w:rFonts w:cs="Times New Roman"/>
          <w:sz w:val="18"/>
        </w:rPr>
        <w:tab/>
        <w:t>Girling AJ, Lilford RJ, Braunholtz DA, Gillett WR. Sample-size calculations for trials that inform individual treatment decisions: a 'true-choice' approach. Clinical Trials 2007;4(1):15-24.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(128) </w:t>
      </w:r>
      <w:r w:rsidRPr="0094366B">
        <w:rPr>
          <w:rFonts w:cs="Times New Roman"/>
          <w:sz w:val="18"/>
        </w:rPr>
        <w:tab/>
        <w:t>Patel M, Clarke AM, Bruce IN, Symmons DP. The prevalence and incidence of biopsy-proven lupus nephritis in the UK: Evidence of an ethnic gradient. Arthritis Rheum 2006 Sep;54(9):2963-9.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(129) </w:t>
      </w:r>
      <w:r w:rsidRPr="0094366B">
        <w:rPr>
          <w:rFonts w:cs="Times New Roman"/>
          <w:sz w:val="18"/>
        </w:rPr>
        <w:tab/>
        <w:t>Willan AR, Eckermann S. Value of information and pricing new healthcare interventions. Pharmacoeconomics 2012 Jun 1;30(6):447-59.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(130) </w:t>
      </w:r>
      <w:r w:rsidRPr="0094366B">
        <w:rPr>
          <w:rFonts w:cs="Times New Roman"/>
          <w:sz w:val="18"/>
        </w:rPr>
        <w:tab/>
        <w:t>Chen MH, Willan AR. Determining optimal sample sizes for multistage adaptive randomized clinical trials from an industry perspective using value of information methods. Clin Trials 2013 Feb;10(1):54-62.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(131) </w:t>
      </w:r>
      <w:r w:rsidRPr="0094366B">
        <w:rPr>
          <w:rFonts w:cs="Times New Roman"/>
          <w:sz w:val="18"/>
        </w:rPr>
        <w:tab/>
        <w:t>Bojke L, Claxton K, Bravo-Vergel Y, Sculpher M, Palmer S, Abrams K. Eliciting distributions to populate decision analytic models. Value Health 2010 Aug;13(5):557-64.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(132) </w:t>
      </w:r>
      <w:r w:rsidRPr="0094366B">
        <w:rPr>
          <w:rFonts w:cs="Times New Roman"/>
          <w:sz w:val="18"/>
        </w:rPr>
        <w:tab/>
        <w:t>Bombardier C, Gladman DD, Urowitz MB, Caron D, Chang CH. Derivation of the SLEDAI. A disease activity index for lupus patients. The Committee on Prognosis Studies in SLE. Arthritis Rheum 1992 Jun;35(6):630-40.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(133) </w:t>
      </w:r>
      <w:r w:rsidRPr="0094366B">
        <w:rPr>
          <w:rFonts w:cs="Times New Roman"/>
          <w:sz w:val="18"/>
        </w:rPr>
        <w:tab/>
        <w:t>Hay EM, Bacon PA, Gordon C, Isenberg DA, Maddison P, Snaith ML, et al. The BILAG index: a reliable and valid instrument for measuring clinical disease activity in systemic lupus erythematosus. Q J Med 1993 Jul;86(7):447-58.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(134) </w:t>
      </w:r>
      <w:r w:rsidRPr="0094366B">
        <w:rPr>
          <w:rFonts w:cs="Times New Roman"/>
          <w:sz w:val="18"/>
        </w:rPr>
        <w:tab/>
        <w:t>Ruiz-Irastorza G, Ramos-Casals M, Brito-Zeron P, Khamashta MA. Clinical efficacy and side effects of antimalarials in systemic lupus erythematosus: a systematic review. Ann Rheum Dis 2010 Jan;69(1):20-8.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(135) </w:t>
      </w:r>
      <w:r w:rsidRPr="0094366B">
        <w:rPr>
          <w:rFonts w:cs="Times New Roman"/>
          <w:sz w:val="18"/>
        </w:rPr>
        <w:tab/>
        <w:t>Ehrenstein MR, Conroy SE, Heath J, Latchman DS, Isenberg DA. The occurrence, nature and distribution of flares in a cohort of patients with systemic lupus erythematosus: a rheumatological view. Br J Rheumatol 1995 Mar;34(3):257-60.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(136) </w:t>
      </w:r>
      <w:r w:rsidRPr="0094366B">
        <w:rPr>
          <w:rFonts w:cs="Times New Roman"/>
          <w:sz w:val="18"/>
        </w:rPr>
        <w:tab/>
        <w:t>Swaak AJ, van den Brink HG, Smeenk RJ, Manger K, Kalden JR, Tosi S, et al. Systemic lupus erythematosus. Disease outcome in patients with a disease duration of at least 10 years: second evaluation. Lupus 2001;10(1):51-8.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(137) </w:t>
      </w:r>
      <w:r w:rsidRPr="0094366B">
        <w:rPr>
          <w:rFonts w:cs="Times New Roman"/>
          <w:sz w:val="18"/>
        </w:rPr>
        <w:tab/>
        <w:t>Bujan S, Ordi-Ros J, Paredes J, Mauri M, Matas L, Cortes J, et al. Contribution of the initial features of systemic lupus erythematosus to the clinical evolution and survival of a cohort of Mediterranean patients. Ann Rheum Dis 2003 Sep;62(9):859-65.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(138) </w:t>
      </w:r>
      <w:r w:rsidRPr="0094366B">
        <w:rPr>
          <w:rFonts w:cs="Times New Roman"/>
          <w:sz w:val="18"/>
        </w:rPr>
        <w:tab/>
        <w:t>Allen E, Farewell VT, Isenberg DA, Gordon C. A statistical analysis of the interrelationships between disease activity in different systems in systemic lupus erythematosus. Rheumatology (Oxford) 2006 Mar;45(3):308-13.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(139) </w:t>
      </w:r>
      <w:r w:rsidRPr="0094366B">
        <w:rPr>
          <w:rFonts w:cs="Times New Roman"/>
          <w:sz w:val="18"/>
        </w:rPr>
        <w:tab/>
        <w:t>Bertoli AM, Alarcon GS, McGwin G, Jr., Fernandez M, Bastian HM, Fessler BJ, et al. Systemic lupus erythematosus in a multiethnic U.S. cohort (LUMINA) XXVII: factors predictive of a decline to low levels of disease activity. Lupus 2006;15(1):13-8.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(140) </w:t>
      </w:r>
      <w:r w:rsidRPr="0094366B">
        <w:rPr>
          <w:rFonts w:cs="Times New Roman"/>
          <w:sz w:val="18"/>
        </w:rPr>
        <w:tab/>
        <w:t>Nikpour M, Urowitz MB, Ibanez D, Gladman DD. Frequency and determinants of flare and persistently active disease in systemic lupus erythematosus. Arthritis Rheum 2009 Sep 15;61(9):1152-8.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(141) </w:t>
      </w:r>
      <w:r w:rsidRPr="0094366B">
        <w:rPr>
          <w:rFonts w:cs="Times New Roman"/>
          <w:sz w:val="18"/>
        </w:rPr>
        <w:tab/>
        <w:t>Barr SG, Zonana-Nacach A, Magder LS, Petri M. Patterns of disease activity in systemic lupus erythematosus. Arthritis Rheum 1999 Dec;42(12):2682-8.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(142) </w:t>
      </w:r>
      <w:r w:rsidRPr="0094366B">
        <w:rPr>
          <w:rFonts w:cs="Times New Roman"/>
          <w:sz w:val="18"/>
        </w:rPr>
        <w:tab/>
        <w:t>Ibanez D, Urowitz MB, Gladman DD. Summarizing disease features over time: I. Adjusted mean SLEDAI derivation and application to an index of disease activity in lupus. J Rheumatol 2003 Sep;30(9):1977-82.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(143) </w:t>
      </w:r>
      <w:r w:rsidRPr="0094366B">
        <w:rPr>
          <w:rFonts w:cs="Times New Roman"/>
          <w:sz w:val="18"/>
        </w:rPr>
        <w:tab/>
        <w:t>Ibanez D, Gladman D, Urowitz M. Summarizing disease features over time: II. Variability measures of SLEDAI-2K. J Rheumatol 2007 Feb;34(2):336-40.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(144) </w:t>
      </w:r>
      <w:r w:rsidRPr="0094366B">
        <w:rPr>
          <w:rFonts w:cs="Times New Roman"/>
          <w:sz w:val="18"/>
        </w:rPr>
        <w:tab/>
        <w:t>Bernatsky S, Boivin JF, Joseph L, Manzi S, Ginzler E, Gladman DD, et al. Mortality in systemic lupus erythematosus. Arthritis Rheum 2006 Aug;54(8):2550-7.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(145) </w:t>
      </w:r>
      <w:r w:rsidRPr="0094366B">
        <w:rPr>
          <w:rFonts w:cs="Times New Roman"/>
          <w:sz w:val="18"/>
        </w:rPr>
        <w:tab/>
        <w:t>Manger K, Manger B, Repp R, Geisselbrecht M, Geiger A, Pfahlberg A, et al. Definition of risk factors for death, end stage renal disease, and thromboembolic events in a monocentric cohort of 338 patients with systemic lupus erythematosus. Ann Rheum Dis 2002 Dec;61(12):1065-70.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(146) </w:t>
      </w:r>
      <w:r w:rsidRPr="0094366B">
        <w:rPr>
          <w:rFonts w:cs="Times New Roman"/>
          <w:sz w:val="18"/>
        </w:rPr>
        <w:tab/>
        <w:t>Urowitz MB, Gladman DD, Tom BD, Ibanez D, Farewell VT. Changing patterns in mortality and disease outcomes for patients with systemic lupus erythematosus. J Rheumatol 2008 Nov;35(11):2152-8.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(147) </w:t>
      </w:r>
      <w:r w:rsidRPr="0094366B">
        <w:rPr>
          <w:rFonts w:cs="Times New Roman"/>
          <w:sz w:val="18"/>
        </w:rPr>
        <w:tab/>
        <w:t>Abu-Shakra M, Urowitz MB, Gladman DD, Gough J. Mortality studies in systemic lupus erythematosus. Results from a single center. II. Predictor variables for mortality. J Rheumatol 1995 Jul;22(7):1265-70.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(148) </w:t>
      </w:r>
      <w:r w:rsidRPr="0094366B">
        <w:rPr>
          <w:rFonts w:cs="Times New Roman"/>
          <w:sz w:val="18"/>
        </w:rPr>
        <w:tab/>
        <w:t>Ward MM, Pyun E, Studenski S. Long-term survival in systemic lupus erythematosus. Patient characteristics associated with poorer outcomes. Arthritis Rheum 1995 Feb;38(2):274-83.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(149) </w:t>
      </w:r>
      <w:r w:rsidRPr="0094366B">
        <w:rPr>
          <w:rFonts w:cs="Times New Roman"/>
          <w:sz w:val="18"/>
        </w:rPr>
        <w:tab/>
        <w:t>Xie SK, Feng SF, Fu H. Long term follow-up of patients with systemic lupus erythematosus. J Dermatol 1998 Jun;25(6):367-73.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(150) </w:t>
      </w:r>
      <w:r w:rsidRPr="0094366B">
        <w:rPr>
          <w:rFonts w:cs="Times New Roman"/>
          <w:sz w:val="18"/>
        </w:rPr>
        <w:tab/>
        <w:t>Urowitz MB, Gladman DD, bu-Shakra M, Farewell VT. Mortality studies in systemic lupus erythematosus. Results from a single center. III. Improved survival over 24 years. J Rheumatol 1997 Jun;24(6):1061-5.</w:t>
      </w:r>
    </w:p>
    <w:p w:rsidR="00D0049C" w:rsidRDefault="0094366B">
      <w:pPr>
        <w:tabs>
          <w:tab w:val="right" w:pos="540"/>
          <w:tab w:val="left" w:pos="720"/>
        </w:tabs>
        <w:spacing w:after="240" w:line="240" w:lineRule="auto"/>
        <w:ind w:left="720" w:hanging="720"/>
        <w:rPr>
          <w:rFonts w:cs="Times New Roman"/>
          <w:sz w:val="18"/>
          <w:lang w:val="it-IT"/>
        </w:rPr>
      </w:pPr>
      <w:r w:rsidRPr="0094366B">
        <w:rPr>
          <w:rFonts w:cs="Times New Roman"/>
          <w:sz w:val="18"/>
        </w:rPr>
        <w:tab/>
        <w:t xml:space="preserve">(151) </w:t>
      </w:r>
      <w:r w:rsidRPr="0094366B">
        <w:rPr>
          <w:rFonts w:cs="Times New Roman"/>
          <w:sz w:val="18"/>
        </w:rPr>
        <w:tab/>
        <w:t xml:space="preserve">Campbell R, Jr., Cooper GS, Gilkeson GS. Two aspects of the clinical and humanistic burden of systemic lupus erythematosus: mortality risk and quality of life early in the course of disease. </w:t>
      </w:r>
      <w:r w:rsidRPr="0094366B">
        <w:rPr>
          <w:rFonts w:cs="Times New Roman"/>
          <w:sz w:val="18"/>
          <w:lang w:val="it-IT"/>
        </w:rPr>
        <w:t>Arthritis Rheum 2008 Apr 15;59(4):458-64.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lang w:val="it-IT"/>
        </w:rPr>
        <w:tab/>
        <w:t xml:space="preserve">(152) </w:t>
      </w:r>
      <w:r w:rsidRPr="0094366B">
        <w:rPr>
          <w:rFonts w:cs="Times New Roman"/>
          <w:sz w:val="18"/>
          <w:lang w:val="it-IT"/>
        </w:rPr>
        <w:tab/>
        <w:t xml:space="preserve">Doria A, Iaccarino L, Ghirardello A, Zampieri S, Arienti S, Sarzi-Puttini P, et al. </w:t>
      </w:r>
      <w:r w:rsidRPr="0094366B">
        <w:rPr>
          <w:rFonts w:cs="Times New Roman"/>
          <w:sz w:val="18"/>
        </w:rPr>
        <w:t>Long-term prognosis and causes of death in systemic lupus erythematosus. Am J Med 2006 Aug;119(8):700-6.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(153) </w:t>
      </w:r>
      <w:r w:rsidRPr="0094366B">
        <w:rPr>
          <w:rFonts w:cs="Times New Roman"/>
          <w:sz w:val="18"/>
        </w:rPr>
        <w:tab/>
        <w:t>Kasitanon N, Magder LS, Petri M. Predictors of survival in systemic lupus erythematosus. Medicine (Baltimore) 2006 May;85(3):147-56.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(154) </w:t>
      </w:r>
      <w:r w:rsidRPr="0094366B">
        <w:rPr>
          <w:rFonts w:cs="Times New Roman"/>
          <w:sz w:val="18"/>
        </w:rPr>
        <w:tab/>
        <w:t>Ruiz-Irastorza G, Egurbide MV, Ugalde J, Aguirre C. High impact of antiphospholipid syndrome on irreversible organ damage and survival of patients with systemic lupus erythematosus. Arch Intern Med 2004 Jan 12;164(1):77-82.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(155) </w:t>
      </w:r>
      <w:r w:rsidRPr="0094366B">
        <w:rPr>
          <w:rFonts w:cs="Times New Roman"/>
          <w:sz w:val="18"/>
        </w:rPr>
        <w:tab/>
        <w:t>Cervera R, Khamashta MA, Font J, Sebastiani GD, Gil A, Lavilla P, et al. Morbidity and mortality in systemic lupus erythematosus during a 10-year period: a comparison of early and late manifestations in a cohort of 1,000 patients. Medicine (Baltimore) 2003 Sep;82(5):299-308.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(156) </w:t>
      </w:r>
      <w:r w:rsidRPr="0094366B">
        <w:rPr>
          <w:rFonts w:cs="Times New Roman"/>
          <w:sz w:val="18"/>
        </w:rPr>
        <w:tab/>
        <w:t>Nived O, Jonsen A, Bengtsson AA, Bengtsson C, Sturfelt G. High predictive value of the Systemic Lupus International Collaborating Clinics/American College of Rheumatology damage index for survival in systemic lupus erythematosus. J Rheumatol 2002 Jul;29(7):1398-400.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(157) </w:t>
      </w:r>
      <w:r w:rsidRPr="0094366B">
        <w:rPr>
          <w:rFonts w:cs="Times New Roman"/>
          <w:sz w:val="18"/>
        </w:rPr>
        <w:tab/>
        <w:t>Kasitanon N, Louthrenoo W, Sukitawut W, Vichainun R. Causes of death and prognostic factors in Thai patients with systemic lupus erythematosus. Asian Pac J Allergy Immunol 2002 Jun;20(2):85-91.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(158) </w:t>
      </w:r>
      <w:r w:rsidRPr="0094366B">
        <w:rPr>
          <w:rFonts w:cs="Times New Roman"/>
          <w:sz w:val="18"/>
        </w:rPr>
        <w:tab/>
        <w:t>Alarcon GS, McGwin G, Jr., Bastian HM, Roseman J, Lisse J, Fessler BJ, et al. Systemic lupus erythematosus in three ethnic groups. VII [correction of VIII]. Predictors of early mortality in the LUMINA cohort. LUMINA Study Group. Arthritis Rheum 2001 Apr;45(2):191-202.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(159) </w:t>
      </w:r>
      <w:r w:rsidRPr="0094366B">
        <w:rPr>
          <w:rFonts w:cs="Times New Roman"/>
          <w:sz w:val="18"/>
        </w:rPr>
        <w:tab/>
        <w:t>Rahman P, Gladman DD, Urowitz MB, Hallett D, Tam LS. Early damage as measured by the SLICC/ACR damage index is a predictor of mortality in systemic lupus erythematosus. Lupus 2001;10(2):93-6.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(160) </w:t>
      </w:r>
      <w:r w:rsidRPr="0094366B">
        <w:rPr>
          <w:rFonts w:cs="Times New Roman"/>
          <w:sz w:val="18"/>
        </w:rPr>
        <w:tab/>
        <w:t>Mok CC, Lee KW, Ho CT, Lau CS, Wong RW. A prospective study of survival and prognostic indicators of systemic lupus erythematosus in a southern Chinese population. Rheumatology (Oxford) 2000 Apr;39(4):399-406.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(161) </w:t>
      </w:r>
      <w:r w:rsidRPr="0094366B">
        <w:rPr>
          <w:rFonts w:cs="Times New Roman"/>
          <w:sz w:val="18"/>
        </w:rPr>
        <w:tab/>
        <w:t>Cervera R, Khamashta MA, Font J, Sebastiani GD, Gil A, Lavilla P, et al. Morbidity and mortality in systemic lupus erythematosus during a 5-year period. A multicenter prospective study of 1,000 patients. European Working Party on Systemic Lupus Erythematosus. Medicine (Baltimore) 1999 May;78(3):167-75.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(162) </w:t>
      </w:r>
      <w:r w:rsidRPr="0094366B">
        <w:rPr>
          <w:rFonts w:cs="Times New Roman"/>
          <w:sz w:val="18"/>
        </w:rPr>
        <w:tab/>
        <w:t>Becker-Merok A, Nossent HC. Damage accumulation in systemic lupus erythematosus and its relation to disease activity and mortality. J Rheumatol 2006 Aug;33(8):1570-7.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(163) </w:t>
      </w:r>
      <w:r w:rsidRPr="0094366B">
        <w:rPr>
          <w:rFonts w:cs="Times New Roman"/>
          <w:sz w:val="18"/>
        </w:rPr>
        <w:tab/>
        <w:t>Fernandez M, Alarcon GS, McGwin G, Jr., Sanchez ML, Apte M, Vila LM, et al. Using the Short Form 6D, as an overall measure of health, to predict damage accrual and mortality in patients with systemic lupus erythematosus: XLVII, results from a multiethnic US cohort. Arthritis Rheum 2007 Aug 15;57(6):986-92.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(164) </w:t>
      </w:r>
      <w:r w:rsidRPr="0094366B">
        <w:rPr>
          <w:rFonts w:cs="Times New Roman"/>
          <w:sz w:val="18"/>
        </w:rPr>
        <w:tab/>
        <w:t>Cook RJ, Gladman DD, Pericak D, Urowitz MB. Prediction of short term mortality in systemic lupus erythematosus with time dependent measures of disease activity. J Rheumatol 2000 Aug;27(8):1892-5.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(165) </w:t>
      </w:r>
      <w:r w:rsidRPr="0094366B">
        <w:rPr>
          <w:rFonts w:cs="Times New Roman"/>
          <w:sz w:val="18"/>
        </w:rPr>
        <w:tab/>
        <w:t>Ward MM, Pyun E, Studenski S. Mortality risks associated with specific clinical manifestations of systemic lupus erythematosus. Arch Intern Med 1996 Jun 24;156(12):1337-44.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(166) </w:t>
      </w:r>
      <w:r w:rsidRPr="0094366B">
        <w:rPr>
          <w:rFonts w:cs="Times New Roman"/>
          <w:sz w:val="18"/>
        </w:rPr>
        <w:tab/>
        <w:t>Cardoso CR, Signorelli FV, Papi JA, Salles GF. Initial and accrued damage as predictors of mortality in Brazilian patients with systemic lupus erythematosus: a cohort study. Lupus 2008 Nov;17(11):1042-8.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(167) </w:t>
      </w:r>
      <w:r w:rsidRPr="0094366B">
        <w:rPr>
          <w:rFonts w:cs="Times New Roman"/>
          <w:sz w:val="18"/>
        </w:rPr>
        <w:tab/>
        <w:t>Chambers SA, Allen E, Rahman A, Isenberg D. Damage and mortality in a group of British patients with systemic lupus erythematosus followed up for over 10 years. Rheumatology (Oxford) 2009 Jun;48(6):673-5.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(168) </w:t>
      </w:r>
      <w:r w:rsidRPr="0094366B">
        <w:rPr>
          <w:rFonts w:cs="Times New Roman"/>
          <w:sz w:val="18"/>
        </w:rPr>
        <w:tab/>
        <w:t>Fernandez M, Alarcon GS, Calvo-Alen J, Andrade R, McGwin G, Jr., Vila LM, et al. A multiethnic, multicenter cohort of patients with systemic lupus erythematosus (SLE) as a model for the study of ethnic disparities in SLE. Arthritis Rheum 2007 May 15;57(4):576-84.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(169) </w:t>
      </w:r>
      <w:r w:rsidRPr="0094366B">
        <w:rPr>
          <w:rFonts w:cs="Times New Roman"/>
          <w:sz w:val="18"/>
        </w:rPr>
        <w:tab/>
        <w:t>Gladman DD, Urowitz MB, Rahman P, Ibanez D, Tam LS. Accrual of organ damage over time in patients with systemic lupus erythematosus. J Rheumatol 2003 Sep;30(9):1955-9.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(170) </w:t>
      </w:r>
      <w:r w:rsidRPr="0094366B">
        <w:rPr>
          <w:rFonts w:cs="Times New Roman"/>
          <w:sz w:val="18"/>
        </w:rPr>
        <w:tab/>
        <w:t>Petri M. Musculoskeletal complications of systemic lupus erythematosus in the Hopkins Lupus Cohort: an update. Arthritis Care Res 1995 Sep;8(3):137-45.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(171) </w:t>
      </w:r>
      <w:r w:rsidRPr="0094366B">
        <w:rPr>
          <w:rFonts w:cs="Times New Roman"/>
          <w:sz w:val="18"/>
        </w:rPr>
        <w:tab/>
        <w:t>Alarcon GS, Roseman JM, McGwin G, Jr., Uribe A, Bastian HM, Fessler BJ, et al. Systemic lupus erythematosus in three ethnic groups. XX. Damage as a predictor of further damage. Rheumatology (Oxford) 2004 Feb;43(2):202-5.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(172) </w:t>
      </w:r>
      <w:r w:rsidRPr="0094366B">
        <w:rPr>
          <w:rFonts w:cs="Times New Roman"/>
          <w:sz w:val="18"/>
        </w:rPr>
        <w:tab/>
        <w:t>Stoll T, Sutcliffe N, Mach J, Klaghofer R, Isenberg DA. Analysis of the relationship between disease activity and damage in patients with systemic lupus erythematosus--a 5-yr prospective study. Rheumatology (Oxford) 2004 Aug;43(8):1039-44.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(173) </w:t>
      </w:r>
      <w:r w:rsidRPr="0094366B">
        <w:rPr>
          <w:rFonts w:cs="Times New Roman"/>
          <w:sz w:val="18"/>
        </w:rPr>
        <w:tab/>
        <w:t>Toloza SM, Roseman JM, Alarcon GS, McGwin G, Jr., Uribe AG, Fessler BJ, et al. Systemic lupus erythematosus in a multiethnic US cohort (LUMINA): XXII. Predictors of time to the occurrence of initial damage. Arthritis Rheum 2004 Oct;50(10):3177-86.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(174) </w:t>
      </w:r>
      <w:r w:rsidRPr="0094366B">
        <w:rPr>
          <w:rFonts w:cs="Times New Roman"/>
          <w:sz w:val="18"/>
        </w:rPr>
        <w:tab/>
        <w:t>Santos MJ, Vinagre F, Nero P, Barcelos F, Barcelos A, Rodrigues AM, et al. Predictors of damage progression in Portuguese patients with systemic lupus erythematosus. Ann N Y Acad Sci 2009 Sep;1173:822-8.:822-8.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(175) </w:t>
      </w:r>
      <w:r w:rsidRPr="0094366B">
        <w:rPr>
          <w:rFonts w:cs="Times New Roman"/>
          <w:sz w:val="18"/>
        </w:rPr>
        <w:tab/>
        <w:t>Thamer M, Hernan MA, Zhang Y, Cotter D, Petri M. Prednisone, lupus activity, and permanent organ damage. J Rheumatol 2009 Mar;36(3):560-4.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(176) </w:t>
      </w:r>
      <w:r w:rsidRPr="0094366B">
        <w:rPr>
          <w:rFonts w:cs="Times New Roman"/>
          <w:sz w:val="18"/>
        </w:rPr>
        <w:tab/>
        <w:t>Ibanez D, Gladman DD, Urowitz MB. Adjusted mean Systemic Lupus Erythematosus Disease Activity Index-2K is a predictor of outcome in SLE. J Rheumatol 2005 May;32(5):824-7.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(177) </w:t>
      </w:r>
      <w:r w:rsidRPr="0094366B">
        <w:rPr>
          <w:rFonts w:cs="Times New Roman"/>
          <w:sz w:val="18"/>
        </w:rPr>
        <w:tab/>
        <w:t>Gilboe IM, Kvien TK, Husby G. Disease course in systemic lupus erythematosus: changes in health status, disease activity, and organ damage after 2 years. J Rheumatol 2001 Feb;28(2):266-74.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(178) </w:t>
      </w:r>
      <w:r w:rsidRPr="0094366B">
        <w:rPr>
          <w:rFonts w:cs="Times New Roman"/>
          <w:sz w:val="18"/>
        </w:rPr>
        <w:tab/>
        <w:t>Mok CC, Ho CT, Wong RW, Lau CS. Damage accrual in southern Chinese patients with systemic lupus erythematosus. J Rheumatol 2003 Jul;30(7):1513-9.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(179) </w:t>
      </w:r>
      <w:r w:rsidRPr="0094366B">
        <w:rPr>
          <w:rFonts w:cs="Times New Roman"/>
          <w:sz w:val="18"/>
        </w:rPr>
        <w:tab/>
        <w:t>Stoll T, Sutcliffe N, Klaghofer R, Isenberg DA. Do present damage and health perception in patients with systemic lupus erythematosus predict extent of future damage?: a prospective study. Ann Rheum Dis 2000 Oct;59(10):832-5.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(180) </w:t>
      </w:r>
      <w:r w:rsidRPr="0094366B">
        <w:rPr>
          <w:rFonts w:cs="Times New Roman"/>
          <w:sz w:val="18"/>
        </w:rPr>
        <w:tab/>
        <w:t>Apte M, McGwin G, Jr., Vila LM, Kaslow RA, Alarcon GS, Reveille JD. Associated factors and impact of myocarditis in patients with SLE from LUMINA, a multiethnic US cohort (LV). [corrected]. Rheumatology (Oxford) 2008 Mar;47(3):362-7.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(181) </w:t>
      </w:r>
      <w:r w:rsidRPr="0094366B">
        <w:rPr>
          <w:rFonts w:cs="Times New Roman"/>
          <w:sz w:val="18"/>
        </w:rPr>
        <w:tab/>
        <w:t>Zonana-Nacach A, Barr SG, Magder LS, Petri M. Damage in systemic lupus erythematosus and its association with corticosteroids. Arthritis Rheum 2000 Aug;43(8):1801-8.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(182) </w:t>
      </w:r>
      <w:r w:rsidRPr="0094366B">
        <w:rPr>
          <w:rFonts w:cs="Times New Roman"/>
          <w:sz w:val="18"/>
        </w:rPr>
        <w:tab/>
        <w:t>Appenzeller S, Pereira DA, Costallat LT. Greater accrual damage in late-onset systemic lupus erythematosus: a long-term follow-up study. Lupus 2008 Nov;17(11):1023-8.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(183) </w:t>
      </w:r>
      <w:r w:rsidRPr="0094366B">
        <w:rPr>
          <w:rFonts w:cs="Times New Roman"/>
          <w:sz w:val="18"/>
        </w:rPr>
        <w:tab/>
        <w:t>Guarize J, Appenzeller S, Costallat LT. Skin damage occurs early in systemic lupus erythematosus and independently of disease duration in Brazilian patients. Rheumatol Int 2007 Mar;27(5):483-7.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(184) </w:t>
      </w:r>
      <w:r w:rsidRPr="0094366B">
        <w:rPr>
          <w:rFonts w:cs="Times New Roman"/>
          <w:sz w:val="18"/>
        </w:rPr>
        <w:tab/>
        <w:t>Mikdashi J, Handwerger B. Predictors of neuropsychiatric damage in systemic lupus erythematosus: data from the Maryland lupus cohort. Rheumatology (Oxford) 2004 Dec;43(12):1555-60.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(185) </w:t>
      </w:r>
      <w:r w:rsidRPr="0094366B">
        <w:rPr>
          <w:rFonts w:cs="Times New Roman"/>
          <w:sz w:val="18"/>
        </w:rPr>
        <w:tab/>
        <w:t>Mok CC, To CH, Mak A. Neuropsychiatric damage in Southern Chinese patients with systemic lupus erythematosus. Medicine (Baltimore) 2006 Jul;85(4):221-8.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(186) </w:t>
      </w:r>
      <w:r w:rsidRPr="0094366B">
        <w:rPr>
          <w:rFonts w:cs="Times New Roman"/>
          <w:sz w:val="18"/>
        </w:rPr>
        <w:tab/>
        <w:t>Gonzalez LA, Pons-Estel GJ, Zhang J, Vila LM, Reveille JD, Alarcon GS. Time to neuropsychiatric damage occurrence in LUMINA (LXVI): a multi-ethnic lupus cohort. Lupus 2009 Aug;18(9):822-30.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(187) </w:t>
      </w:r>
      <w:r w:rsidRPr="0094366B">
        <w:rPr>
          <w:rFonts w:cs="Times New Roman"/>
          <w:sz w:val="18"/>
        </w:rPr>
        <w:tab/>
        <w:t>Mikdashi J, Krumholz A, Handwerger B. Factors at diagnosis predict subsequent occurrence of seizures in systemic lupus erythematosus. Neurology 2005 Jun 28;64(12):2102-7.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(188) </w:t>
      </w:r>
      <w:r w:rsidRPr="0094366B">
        <w:rPr>
          <w:rFonts w:cs="Times New Roman"/>
          <w:sz w:val="18"/>
        </w:rPr>
        <w:tab/>
        <w:t>Andrade RM, Alarcon GS, Gonzalez LA, Fernandez M, Apte M, Vila LM, et al. Seizures in patients with systemic lupus erythematosus: data from LUMINA, a multiethnic cohort (LUMINA LIV). Ann Rheum Dis 2008 Jun;67(6):829-34.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(189) </w:t>
      </w:r>
      <w:r w:rsidRPr="0094366B">
        <w:rPr>
          <w:rFonts w:cs="Times New Roman"/>
          <w:sz w:val="18"/>
        </w:rPr>
        <w:tab/>
        <w:t>Ramsey-Goldman R, Alarcon GS, McGwin G, Petri M, Vila LM, Edberg JC, et al. Time to seizure occurrence and damage in PROFILE, a multi-ethnic systemic lupus erythematosus cohort. Lupus 2008;17(3):177-84.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(190) </w:t>
      </w:r>
      <w:r w:rsidRPr="0094366B">
        <w:rPr>
          <w:rFonts w:cs="Times New Roman"/>
          <w:sz w:val="18"/>
        </w:rPr>
        <w:tab/>
        <w:t>Mikdashi J, Handwerger B, Langenberg P, Miller M, Kittner S. Baseline disease activity, hyperlipidemia, and hypertension are predictive factors for ischemic stroke and stroke severity in systemic lupus erythematosus. Stroke 2007 Feb;38(2):281-5.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(191) </w:t>
      </w:r>
      <w:r w:rsidRPr="0094366B">
        <w:rPr>
          <w:rFonts w:cs="Times New Roman"/>
          <w:sz w:val="18"/>
        </w:rPr>
        <w:tab/>
        <w:t>Bertoli AM, Vila LM, Apte M, Fessler BJ, Bastian HM, Reveille JD, et al. Systemic lupus erythematosus in a multiethnic US Cohort LUMINA XLVIII: factors predictive of pulmonary damage. Lupus 2007;16(6):410-7.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(192) </w:t>
      </w:r>
      <w:r w:rsidRPr="0094366B">
        <w:rPr>
          <w:rFonts w:cs="Times New Roman"/>
          <w:sz w:val="18"/>
        </w:rPr>
        <w:tab/>
        <w:t>Manzi S, Meilahn EN, Rairie JE, Conte CG, Medsger TA, Jr., Jansen-McWilliams L, et al. Age-specific incidence rates of myocardial infarction and angina in women with systemic lupus erythematosus: comparison with the Framingham Study. Am J Epidemiol 1997 Mar 1;145(5):408-15.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(193) </w:t>
      </w:r>
      <w:r w:rsidRPr="0094366B">
        <w:rPr>
          <w:rFonts w:cs="Times New Roman"/>
          <w:sz w:val="18"/>
        </w:rPr>
        <w:tab/>
        <w:t>Petri M, Spence D, Bone LR, Hochberg MC. Coronary artery disease risk factors in the Johns Hopkins Lupus Cohort: prevalence, recognition by patients, and preventive practices. Medicine (Baltimore) 1992 Sep;71(5):291-302.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(194) </w:t>
      </w:r>
      <w:r w:rsidRPr="0094366B">
        <w:rPr>
          <w:rFonts w:cs="Times New Roman"/>
          <w:sz w:val="18"/>
        </w:rPr>
        <w:tab/>
        <w:t>Bessant R, Hingorani A, Patel L, MacGregor A, Isenberg DA, Rahman A. Risk of coronary heart disease and stroke in a large British cohort of patients with systemic lupus erythematosus. Rheumatology (Oxford) 2004 Jul;43(7):924-9.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(195) </w:t>
      </w:r>
      <w:r w:rsidRPr="0094366B">
        <w:rPr>
          <w:rFonts w:cs="Times New Roman"/>
          <w:sz w:val="18"/>
        </w:rPr>
        <w:tab/>
        <w:t>Toloza SM, Uribe AG, McGwin G, Jr., Alarcon GS, Fessler BJ, Bastian HM, et al. Systemic lupus erythematosus in a multiethnic US cohort (LUMINA). XXIII. Baseline predictors of vascular events. Arthritis Rheum 2004 Dec;50(12):3947-57.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(196) </w:t>
      </w:r>
      <w:r w:rsidRPr="0094366B">
        <w:rPr>
          <w:rFonts w:cs="Times New Roman"/>
          <w:sz w:val="18"/>
        </w:rPr>
        <w:tab/>
        <w:t>Pons-Estel GJ, Gonzalez LA, Zhang J, Burgos PI, Reveille JD, Vila LM, et al. Predictors of cardiovascular damage in patients with systemic lupus erythematosus: data from LUMINA (LXVIII), a multiethnic US cohort. Rheumatology (Oxford) 2009 Jul;48(7):817-22.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(197) </w:t>
      </w:r>
      <w:r w:rsidRPr="0094366B">
        <w:rPr>
          <w:rFonts w:cs="Times New Roman"/>
          <w:sz w:val="18"/>
        </w:rPr>
        <w:tab/>
        <w:t>Becker-Merok A, Nossent J. Prevalence, predictors and outcome of vascular damage in systemic lupus erythematosus. Lupus 2009 May;18(6):508-15.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(198) </w:t>
      </w:r>
      <w:r w:rsidRPr="0094366B">
        <w:rPr>
          <w:rFonts w:cs="Times New Roman"/>
          <w:sz w:val="18"/>
        </w:rPr>
        <w:tab/>
        <w:t>Calvo-Alen J, Toloza SM, Fernandez M, Bastian HM, Fessler BJ, Roseman JM, et al. Systemic lupus erythematosus in a multiethnic US cohort (LUMINA). XXV. Smoking, older age, disease activity, lupus anticoagulant, and glucocorticoid dose as risk factors for the occurrence of venous thrombosis in lupus patients. Arthritis Rheum 2005 Jul;52(7):2060-8.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(199) </w:t>
      </w:r>
      <w:r w:rsidRPr="0094366B">
        <w:rPr>
          <w:rFonts w:cs="Times New Roman"/>
          <w:sz w:val="18"/>
        </w:rPr>
        <w:tab/>
        <w:t>Gladman DD, Urowitz MB, Chaudhry-Ahluwalia V, Hallet DC, Cook RJ. Predictive factors for symptomatic osteonecrosis in patients with systemic lupus erythematosus. J Rheumatol 2001 Apr;28(4):761-5.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(200) </w:t>
      </w:r>
      <w:r w:rsidRPr="0094366B">
        <w:rPr>
          <w:rFonts w:cs="Times New Roman"/>
          <w:sz w:val="18"/>
        </w:rPr>
        <w:tab/>
        <w:t>Calvo-Alen J, McGwin G, Toloza S, Fernandez M, Roseman JM, Bastian HM, et al. Systemic lupus erythematosus in a multiethnic US cohort (LUMINA): XXIV. Cytotoxic treatment is an additional risk factor for the development of symptomatic osteonecrosis in lupus patients: results of a nested matched case-control study. Ann Rheum Dis 2006 Jun;65(6):785-90.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(201) </w:t>
      </w:r>
      <w:r w:rsidRPr="0094366B">
        <w:rPr>
          <w:rFonts w:cs="Times New Roman"/>
          <w:sz w:val="18"/>
        </w:rPr>
        <w:tab/>
        <w:t>Faurschou M, Starklint H, Halberg P, Jacobsen S. Prognostic factors in lupus nephritis: diagnostic and therapeutic delay increases the risk of terminal renal failure. J Rheumatol 2006 Aug;33(8):1563-9.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(202) </w:t>
      </w:r>
      <w:r w:rsidRPr="0094366B">
        <w:rPr>
          <w:rFonts w:cs="Times New Roman"/>
          <w:sz w:val="18"/>
        </w:rPr>
        <w:tab/>
        <w:t>Moroni G, Quaglini S, Gallelli B, Banfi G, Messa P, Ponticelli C. The long-term outcome of 93 patients with proliferative lupus nephritis. Nephrol Dial Transplant 2007 Sep;22(9):2531-9.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(203) </w:t>
      </w:r>
      <w:r w:rsidRPr="0094366B">
        <w:rPr>
          <w:rFonts w:cs="Times New Roman"/>
          <w:sz w:val="18"/>
        </w:rPr>
        <w:tab/>
        <w:t>Chen YE, Korbet SM, Katz RS, Schwartz MM, Lewis EJ. Value of a complete or partial remission in severe lupus nephritis. Clin J Am Soc Nephrol 2008 Jan;3(1):46-53.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(204) </w:t>
      </w:r>
      <w:r w:rsidRPr="0094366B">
        <w:rPr>
          <w:rFonts w:cs="Times New Roman"/>
          <w:sz w:val="18"/>
        </w:rPr>
        <w:tab/>
        <w:t>Korbet SM, Lewis EJ, Schwartz MM, Reichlin M, Evans J, Rohde RD. Factors predictive of outcome in severe lupus nephritis. Lupus Nephritis Collaborative Study Group. Am J Kidney Dis 2000 May;35(5):904-14.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(205) </w:t>
      </w:r>
      <w:r w:rsidRPr="0094366B">
        <w:rPr>
          <w:rFonts w:cs="Times New Roman"/>
          <w:sz w:val="18"/>
        </w:rPr>
        <w:tab/>
        <w:t>Alarcon GS, McGwin G, Jr., Petri M, Ramsey-Goldman R, Fessler BJ, Vila LM, et al. Time to renal disease and end-stage renal disease in PROFILE: a multiethnic lupus cohort. PLoS Med 2006 Oct;3(10):e396.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(206) </w:t>
      </w:r>
      <w:r w:rsidRPr="0094366B">
        <w:rPr>
          <w:rFonts w:cs="Times New Roman"/>
          <w:sz w:val="18"/>
        </w:rPr>
        <w:tab/>
        <w:t>Bastian HM, Roseman JM, McGwin G, Jr., Alarcon GS, Friedman AW, Fessler BJ, et al. Systemic lupus erythematosus in three ethnic groups. XII. Risk factors for lupus nephritis after diagnosis. Lupus 2002;11(3):152-60.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(207) </w:t>
      </w:r>
      <w:r w:rsidRPr="0094366B">
        <w:rPr>
          <w:rFonts w:cs="Times New Roman"/>
          <w:sz w:val="18"/>
        </w:rPr>
        <w:tab/>
        <w:t>Gonzalez LA, McGwin G, Jr., Duran S, Pons-Estel GJ, Apte M, Vila LM, et al. Predictors of premature gonadal failure in patients with systemic lupus erythematosus. Results from LUMINA, a multiethnic US cohort (LUMINA LVIII). Ann Rheum Dis 2008 Aug;67(8):1170-3.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(208) </w:t>
      </w:r>
      <w:r w:rsidRPr="0094366B">
        <w:rPr>
          <w:rFonts w:cs="Times New Roman"/>
          <w:sz w:val="18"/>
        </w:rPr>
        <w:tab/>
        <w:t>Mok CC, Lau CS, Wong RW. Risk factors for ovarian failure in patients with systemic lupus erythematosus receiving cyclophosphamide therapy. Arthritis Rheum 1998 May;41(5):831-7.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(209) </w:t>
      </w:r>
      <w:r w:rsidRPr="0094366B">
        <w:rPr>
          <w:rFonts w:cs="Times New Roman"/>
          <w:sz w:val="18"/>
        </w:rPr>
        <w:tab/>
        <w:t>Ramsey-Goldman R, Mattai SA, Schilling E, Chiu YL, Alo CJ, Howe HL, et al. Increased risk of malignancy in patients with systemic lupus erythematosus. J Investig Med 1998 Jun;46(5):217-22.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(210) </w:t>
      </w:r>
      <w:r w:rsidRPr="0094366B">
        <w:rPr>
          <w:rFonts w:cs="Times New Roman"/>
          <w:sz w:val="18"/>
        </w:rPr>
        <w:tab/>
        <w:t>Fernandez M, Alarcon GS, Apte M, Andrade RM, Vila LM, Reveille JD. Systemic lupus erythematosus in a multiethnic US cohort: XLIII. The significance of thrombocytopenia as a prognostic factor. Arthritis Rheum 2007 Feb;56(2):614-21.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(211) </w:t>
      </w:r>
      <w:r w:rsidRPr="0094366B">
        <w:rPr>
          <w:rFonts w:cs="Times New Roman"/>
          <w:sz w:val="18"/>
        </w:rPr>
        <w:tab/>
        <w:t>Allen E, Farewell VT, Isenberg DA, Gordon C. A statistical analysis of the interrelationships between disease activity in different systems in systemic lupus erythematosus. Rheumatology (Oxford) 2006 Mar;45(3):308-13.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(212) </w:t>
      </w:r>
      <w:r w:rsidRPr="0094366B">
        <w:rPr>
          <w:rFonts w:cs="Times New Roman"/>
          <w:sz w:val="18"/>
        </w:rPr>
        <w:tab/>
        <w:t>Bertoli AM, Alarcon GS, Calvo-Alen J, Fernandez M, Vila LM, Reveille JD. Systemic lupus erythematosus in a multiethnic US cohort. XXXIII. Clinical [corrected] features, course, and outcome in patients with late-onset disease. Arthritis Rheum 2006 May;54(5):1580-7.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(213) </w:t>
      </w:r>
      <w:r w:rsidRPr="0094366B">
        <w:rPr>
          <w:rFonts w:cs="Times New Roman"/>
          <w:sz w:val="18"/>
        </w:rPr>
        <w:tab/>
        <w:t>McCullagh P, Nelder J. Generalized Linear Models. London: Chapman and Hall; 1989.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(214) </w:t>
      </w:r>
      <w:r w:rsidRPr="0094366B">
        <w:rPr>
          <w:rFonts w:cs="Times New Roman"/>
          <w:sz w:val="18"/>
        </w:rPr>
        <w:tab/>
        <w:t>McDowell A. From the help desk: Hurdle models. The STATA Journal 2003;3(2):178-84.</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(215) </w:t>
      </w:r>
      <w:r w:rsidRPr="0094366B">
        <w:rPr>
          <w:rFonts w:cs="Times New Roman"/>
          <w:sz w:val="18"/>
        </w:rPr>
        <w:tab/>
        <w:t>Baum C. An introduction to Modern Econometrics using STATA. College Station: Stata press; 2006.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(216) </w:t>
      </w:r>
      <w:r w:rsidRPr="0094366B">
        <w:rPr>
          <w:rFonts w:cs="Times New Roman"/>
          <w:sz w:val="18"/>
        </w:rPr>
        <w:tab/>
        <w:t>Cleves M, Gould W, Gutierrez R, Marachenko Y. An Introduction to Surival Analysis using Stata. Second Edition ed. College Station: Stata press; 2008.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(217) </w:t>
      </w:r>
      <w:r w:rsidRPr="0094366B">
        <w:rPr>
          <w:rFonts w:cs="Times New Roman"/>
          <w:sz w:val="18"/>
        </w:rPr>
        <w:tab/>
        <w:t>Akaike H. A new look at the statistical model identification. IEEE Transaction on Automated Control 1974;19:716-23.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(218) </w:t>
      </w:r>
      <w:r w:rsidRPr="0094366B">
        <w:rPr>
          <w:rFonts w:cs="Times New Roman"/>
          <w:sz w:val="18"/>
        </w:rPr>
        <w:tab/>
        <w:t>Robins JM, Hernan MA, Brumback B. Marginal structural models and causal inference in epidemiology. Epidemiology 2000 Sep;11(5):550-60.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(219) </w:t>
      </w:r>
      <w:r w:rsidRPr="0094366B">
        <w:rPr>
          <w:rFonts w:cs="Times New Roman"/>
          <w:sz w:val="18"/>
        </w:rPr>
        <w:tab/>
        <w:t>Williamson PR, Kolamunnage-Dona R, Philipson P, Marson AG. Joint modelling of longitudinal and competing risks data. Stat Med 2008 Dec 30;27(30):6426-38.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(220) </w:t>
      </w:r>
      <w:r w:rsidRPr="0094366B">
        <w:rPr>
          <w:rFonts w:cs="Times New Roman"/>
          <w:sz w:val="18"/>
        </w:rPr>
        <w:tab/>
        <w:t>R: A Language and Environment for Statistical Computing [computer program]. Vienna, Austria: R Foundation for Statistical Computing; 2012.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(221) </w:t>
      </w:r>
      <w:r w:rsidRPr="0094366B">
        <w:rPr>
          <w:rFonts w:cs="Times New Roman"/>
          <w:sz w:val="18"/>
        </w:rPr>
        <w:tab/>
        <w:t>O'Hagan A.et al. Uncertain Judements: Eliciting Experts' Probabilities. Chichester: John Wiley &amp; Sons; 2006.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(222) </w:t>
      </w:r>
      <w:r w:rsidRPr="0094366B">
        <w:rPr>
          <w:rFonts w:cs="Times New Roman"/>
          <w:sz w:val="18"/>
        </w:rPr>
        <w:tab/>
        <w:t>Ren S. Using Prior Information in Clinical Trial Design University of Sheffield; 2011.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(223) </w:t>
      </w:r>
      <w:r w:rsidRPr="0094366B">
        <w:rPr>
          <w:rFonts w:cs="Times New Roman"/>
          <w:sz w:val="18"/>
        </w:rPr>
        <w:tab/>
        <w:t>Soares MO, Bojke L, Dumville J, Iglesias C, Cullum N, Claxton K. Methods to elicit experts' beliefs over uncertain quantities: application to a cost effectiveness transition model of negative pressure wound therapy for severe pressure ulceration. Stat Med 2011 Aug 30;30(19):2363-80.</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(224) </w:t>
      </w:r>
      <w:r w:rsidRPr="0094366B">
        <w:rPr>
          <w:rFonts w:cs="Times New Roman"/>
          <w:sz w:val="18"/>
        </w:rPr>
        <w:tab/>
        <w:t>GlaxoSmithKline. Single Technology Appraisal. Belimumab for the treatment of active autoantibody-positive systemic lupus eythematosus. Specification for manufacturer/sponsor submission of evidence</w:t>
      </w:r>
      <w:r w:rsidRPr="0094366B">
        <w:rPr>
          <w:rFonts w:cs="Times New Roman"/>
          <w:b/>
          <w:sz w:val="18"/>
        </w:rPr>
        <w:t xml:space="preserve"> </w:t>
      </w:r>
      <w:r w:rsidRPr="0094366B">
        <w:rPr>
          <w:rFonts w:cs="Times New Roman"/>
          <w:sz w:val="18"/>
        </w:rPr>
        <w:t xml:space="preserve">. National Institue for Health and Clinical Excellence (NICE) 2011Available from: URL: </w:t>
      </w:r>
      <w:hyperlink r:id="rId71" w:history="1">
        <w:r w:rsidRPr="0094366B">
          <w:rPr>
            <w:rStyle w:val="Hyperlink"/>
            <w:rFonts w:cs="Times New Roman"/>
            <w:sz w:val="18"/>
          </w:rPr>
          <w:t>http://www.nice.org.uk/nicemedia/live/13307/56490/56490.pdf</w:t>
        </w:r>
      </w:hyperlink>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(225) </w:t>
      </w:r>
      <w:r w:rsidRPr="0094366B">
        <w:rPr>
          <w:rFonts w:cs="Times New Roman"/>
          <w:sz w:val="18"/>
        </w:rPr>
        <w:tab/>
        <w:t xml:space="preserve">Systemic lupus erythematosus (active) - belimumab: appraisal consultation document. National Institute for Health and Clinical Excellence 2013 MarchAvailable from: URL: </w:t>
      </w:r>
      <w:hyperlink r:id="rId72" w:history="1">
        <w:r w:rsidRPr="0094366B">
          <w:rPr>
            <w:rStyle w:val="Hyperlink"/>
            <w:rFonts w:cs="Times New Roman"/>
            <w:sz w:val="18"/>
          </w:rPr>
          <w:t>http://guidance.nice.org.uk/TAG/273/Consultation/DraftGuidance</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(226) </w:t>
      </w:r>
      <w:r w:rsidRPr="0094366B">
        <w:rPr>
          <w:rFonts w:cs="Times New Roman"/>
          <w:sz w:val="18"/>
        </w:rPr>
        <w:tab/>
        <w:t>Griffin S, Claxton K, Hawkins N, Sculpher M. Probabilistic analysis and computationally expensive models: Necessary and required? Value Health 2006 Jul;9(4):244-52.</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(227) </w:t>
      </w:r>
      <w:r w:rsidRPr="0094366B">
        <w:rPr>
          <w:rFonts w:cs="Times New Roman"/>
          <w:sz w:val="18"/>
        </w:rPr>
        <w:tab/>
        <w:t xml:space="preserve">Decennial Life Tables - England (2000-02). Office of National statistics 2009Available from: URL: </w:t>
      </w:r>
      <w:hyperlink r:id="rId73" w:history="1">
        <w:r w:rsidRPr="0094366B">
          <w:rPr>
            <w:rStyle w:val="Hyperlink"/>
            <w:rFonts w:cs="Times New Roman"/>
            <w:sz w:val="18"/>
          </w:rPr>
          <w:t>http://www.ons.gov.uk/ons/publications/re-reference-tables.html?edition=tcm%3A77-224936</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(228) </w:t>
      </w:r>
      <w:r w:rsidRPr="0094366B">
        <w:rPr>
          <w:rFonts w:cs="Times New Roman"/>
          <w:sz w:val="18"/>
        </w:rPr>
        <w:tab/>
        <w:t>Aggarwal R, Wilke CT, Pickard AS, Vats V, Mikolaitis R, Fogg L, et al. Psychometric properties of the EuroQol-5D and Short Form-6D in patients with systemic lupus erythematosus. J Rheumatol 2009 Jun;36(6):1209-16.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(229) </w:t>
      </w:r>
      <w:r w:rsidRPr="0094366B">
        <w:rPr>
          <w:rFonts w:cs="Times New Roman"/>
          <w:sz w:val="18"/>
        </w:rPr>
        <w:tab/>
        <w:t>Ariza-Ariza R, Hernandez-Cruz B, Navarro-Sarabia F. EuroQol is a useful instrument for assessing the health-related quality of life of the patients with systemic lupus erythematosus. Lupus 2005;14(4):334-5.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(230) </w:t>
      </w:r>
      <w:r w:rsidRPr="0094366B">
        <w:rPr>
          <w:rFonts w:cs="Times New Roman"/>
          <w:sz w:val="18"/>
        </w:rPr>
        <w:tab/>
        <w:t>Sanchez ML, McGwin G, Jr., Duran S, Fernandez M, Reveille JD, Vila LM, et al. Factors predictive of overall health over the course of the disease in patients with systemic lupus erythematosus from the LUMINA cohort (LXII): use of the SF-6D. Clin Exp Rheumatol 2009 Jan;27(1):67-71.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(231) </w:t>
      </w:r>
      <w:r w:rsidRPr="0094366B">
        <w:rPr>
          <w:rFonts w:cs="Times New Roman"/>
          <w:sz w:val="18"/>
        </w:rPr>
        <w:tab/>
        <w:t>Wang C, Mayo NE, Fortin PR. The relationship between health related quality of life and disease activity and damage in systemic lupus erythematosus. J Rheumatol 2001 Mar;28(3):525-32.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(232) </w:t>
      </w:r>
      <w:r w:rsidRPr="0094366B">
        <w:rPr>
          <w:rFonts w:cs="Times New Roman"/>
          <w:sz w:val="18"/>
        </w:rPr>
        <w:tab/>
        <w:t>Moore AD, Clarke AE, Danoff DS, Joseph L, Belisle P, Neville C, et al. Can health utility measures be used in lupus research? A comparative validation and reliability study of 4 utility indices. J Rheumatol 1999 Jun;26(6):1285-90.</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(233) </w:t>
      </w:r>
      <w:r w:rsidRPr="0094366B">
        <w:rPr>
          <w:rFonts w:cs="Times New Roman"/>
          <w:sz w:val="18"/>
        </w:rPr>
        <w:tab/>
        <w:t xml:space="preserve">Ara R, Wailoo A. Nice DSU Technical Support Document 12:The Use Of Health State Utility Values In Decision Models. NICE Decision Support Unit 2011Available from: URL: </w:t>
      </w:r>
      <w:hyperlink r:id="rId74" w:history="1">
        <w:r w:rsidRPr="0094366B">
          <w:rPr>
            <w:rStyle w:val="Hyperlink"/>
            <w:rFonts w:cs="Times New Roman"/>
            <w:sz w:val="18"/>
          </w:rPr>
          <w:t>http://www.nicedsu.org.uk/Utilities-TSD-series(2391676).htm</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(234) </w:t>
      </w:r>
      <w:r w:rsidRPr="0094366B">
        <w:rPr>
          <w:rFonts w:cs="Times New Roman"/>
          <w:sz w:val="18"/>
        </w:rPr>
        <w:tab/>
        <w:t>Sussex J, Towse A, Devlin N. Operationalizing value-based pricing of medicines : a taxonomy of approaches. Pharmacoeconomics 2013 Jan;31(1):1-10.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(235) </w:t>
      </w:r>
      <w:r w:rsidRPr="0094366B">
        <w:rPr>
          <w:rFonts w:cs="Times New Roman"/>
          <w:sz w:val="18"/>
        </w:rPr>
        <w:tab/>
      </w:r>
      <w:r w:rsidRPr="0094366B">
        <w:rPr>
          <w:rFonts w:cs="Times New Roman"/>
          <w:i/>
          <w:sz w:val="18"/>
        </w:rPr>
        <w:t>Stata Statistical Software: Release 11</w:t>
      </w:r>
      <w:r w:rsidRPr="0094366B">
        <w:rPr>
          <w:rFonts w:cs="Times New Roman"/>
          <w:sz w:val="18"/>
        </w:rPr>
        <w:t xml:space="preserve"> [computer program]. College Station, TX: StataCorp LP; 2009.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(236) </w:t>
      </w:r>
      <w:r w:rsidRPr="0094366B">
        <w:rPr>
          <w:rFonts w:cs="Times New Roman"/>
          <w:sz w:val="18"/>
        </w:rPr>
        <w:tab/>
        <w:t>Campbell MJ, Julious SA, Altman DG. Estimating sample sizes for binary, ordered categorical, and continuous outcomes in two group comparisons. BMJ 1995 Oct 28;311(7013):1145-8.</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(237) </w:t>
      </w:r>
      <w:r w:rsidRPr="0094366B">
        <w:rPr>
          <w:rFonts w:cs="Times New Roman"/>
          <w:sz w:val="18"/>
        </w:rPr>
        <w:tab/>
        <w:t xml:space="preserve">Iceberg HPC Cluster. University of Sheffield 2012Available from: URL: </w:t>
      </w:r>
      <w:hyperlink r:id="rId75" w:history="1">
        <w:r w:rsidRPr="0094366B">
          <w:rPr>
            <w:rStyle w:val="Hyperlink"/>
            <w:rFonts w:cs="Times New Roman"/>
            <w:sz w:val="18"/>
          </w:rPr>
          <w:t>http://www.shef.ac.uk/wrgrid/iceberg</w:t>
        </w:r>
      </w:hyperlink>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(238) </w:t>
      </w:r>
      <w:r w:rsidRPr="0094366B">
        <w:rPr>
          <w:rFonts w:cs="Times New Roman"/>
          <w:sz w:val="18"/>
        </w:rPr>
        <w:tab/>
        <w:t>Sweeting T, Karroubi SA. Some new formulae for posterior expectations and bartlett corrections. Test 2003;12:497-521.</w:t>
      </w:r>
    </w:p>
    <w:p w:rsidR="00D0049C" w:rsidRDefault="0094366B">
      <w:pPr>
        <w:tabs>
          <w:tab w:val="right" w:pos="540"/>
          <w:tab w:val="left" w:pos="720"/>
        </w:tabs>
        <w:spacing w:after="240" w:line="240" w:lineRule="auto"/>
        <w:ind w:left="720" w:hanging="720"/>
        <w:rPr>
          <w:rFonts w:cs="Times New Roman"/>
          <w:sz w:val="18"/>
          <w:u w:val="single"/>
        </w:rPr>
      </w:pPr>
      <w:r w:rsidRPr="0094366B">
        <w:rPr>
          <w:rFonts w:cs="Times New Roman"/>
          <w:sz w:val="18"/>
        </w:rPr>
        <w:tab/>
        <w:t xml:space="preserve">(239) </w:t>
      </w:r>
      <w:r w:rsidRPr="0094366B">
        <w:rPr>
          <w:rFonts w:cs="Times New Roman"/>
          <w:sz w:val="18"/>
        </w:rPr>
        <w:tab/>
        <w:t xml:space="preserve">Gilbert P, Varadhan R. numDeriv: accurate numerical derivatives. CRAN R project 2013Available from: URL: </w:t>
      </w:r>
      <w:hyperlink r:id="rId76" w:history="1">
        <w:r w:rsidRPr="0094366B">
          <w:rPr>
            <w:rStyle w:val="Hyperlink"/>
            <w:rFonts w:cs="Times New Roman"/>
            <w:sz w:val="18"/>
          </w:rPr>
          <w:t>http://cran.r-project.org/web/packages/numDeriv/index.html</w:t>
        </w:r>
      </w:hyperlink>
    </w:p>
    <w:p w:rsidR="00D0049C" w:rsidRDefault="0094366B">
      <w:pPr>
        <w:tabs>
          <w:tab w:val="right" w:pos="540"/>
          <w:tab w:val="left" w:pos="720"/>
        </w:tabs>
        <w:spacing w:after="240" w:line="240" w:lineRule="auto"/>
        <w:ind w:left="720" w:hanging="720"/>
        <w:rPr>
          <w:rFonts w:cs="Times New Roman"/>
          <w:sz w:val="18"/>
          <w:lang w:val="fr-CA"/>
        </w:rPr>
      </w:pPr>
      <w:r w:rsidRPr="0094366B">
        <w:rPr>
          <w:rFonts w:cs="Times New Roman"/>
          <w:sz w:val="18"/>
        </w:rPr>
        <w:tab/>
      </w:r>
      <w:r w:rsidRPr="0094366B">
        <w:rPr>
          <w:rFonts w:cs="Times New Roman"/>
          <w:sz w:val="18"/>
          <w:lang w:val="fr-CA"/>
        </w:rPr>
        <w:t xml:space="preserve">(240) </w:t>
      </w:r>
      <w:r w:rsidRPr="0094366B">
        <w:rPr>
          <w:rFonts w:cs="Times New Roman"/>
          <w:sz w:val="18"/>
          <w:lang w:val="fr-CA"/>
        </w:rPr>
        <w:tab/>
        <w:t xml:space="preserve">OECD population statistics.  2012. </w:t>
      </w:r>
      <w:r w:rsidRPr="0094366B">
        <w:rPr>
          <w:rFonts w:cs="Times New Roman"/>
          <w:sz w:val="18"/>
          <w:lang w:val="fr-CA"/>
        </w:rPr>
        <w:br/>
        <w:t>Ref Type: Internet Communication</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lang w:val="fr-CA"/>
        </w:rPr>
        <w:tab/>
      </w:r>
      <w:r w:rsidRPr="0094366B">
        <w:rPr>
          <w:rFonts w:cs="Times New Roman"/>
          <w:sz w:val="18"/>
        </w:rPr>
        <w:t xml:space="preserve">(241) </w:t>
      </w:r>
      <w:r w:rsidRPr="0094366B">
        <w:rPr>
          <w:rFonts w:cs="Times New Roman"/>
          <w:sz w:val="18"/>
        </w:rPr>
        <w:tab/>
        <w:t>Rawlins MD, Culyer AJ. National Institute for Clinical Excellence and its value judgments. BMJ 2004 Jul 24;329(7459):224-7.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(242) </w:t>
      </w:r>
      <w:r w:rsidRPr="0094366B">
        <w:rPr>
          <w:rFonts w:cs="Times New Roman"/>
          <w:sz w:val="18"/>
        </w:rPr>
        <w:tab/>
        <w:t>Claxton K, Martin S, Soares M, Rice N, Spackman E, Hinde S, et al. Methods for the Estimation of the NICE Cost Effectiveness Threshold</w:t>
      </w:r>
      <w:r w:rsidRPr="0094366B">
        <w:rPr>
          <w:rFonts w:cs="Times New Roman"/>
          <w:b/>
          <w:sz w:val="18"/>
        </w:rPr>
        <w:t xml:space="preserve"> </w:t>
      </w:r>
      <w:r w:rsidRPr="0094366B">
        <w:rPr>
          <w:rFonts w:cs="Times New Roman"/>
          <w:sz w:val="18"/>
        </w:rPr>
        <w:t>. CHE Discussion Papers 2013;81.</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(243) </w:t>
      </w:r>
      <w:r w:rsidRPr="0094366B">
        <w:rPr>
          <w:rFonts w:cs="Times New Roman"/>
          <w:sz w:val="18"/>
        </w:rPr>
        <w:tab/>
        <w:t>Baker R, Bateman I, Donaldson C, Jones-Lee M, Lancsar E, Loomes G, et al. Weighting and valuing quality-adjusted life-years using stated preference methods: preliminary results from the Social Value of a QALY Project. Health Technol Assess 2010 May;14(27):1-162.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(244) </w:t>
      </w:r>
      <w:r w:rsidRPr="0094366B">
        <w:rPr>
          <w:rFonts w:cs="Times New Roman"/>
          <w:sz w:val="18"/>
        </w:rPr>
        <w:tab/>
        <w:t>O'Hagan A, Stevenson M, Madan J. Monte Carlo probabilistic sensitivity analysis for patient level simulation models: efficient estimation of mean and variance using ANOVA. Health Econ 2007 Oct;16(10):1009-23.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(245) </w:t>
      </w:r>
      <w:r w:rsidRPr="0094366B">
        <w:rPr>
          <w:rFonts w:cs="Times New Roman"/>
          <w:sz w:val="18"/>
        </w:rPr>
        <w:tab/>
        <w:t>O'Hagan A, Stevenson M, Madan J. Monte Carlo probabilistic sensitivity analysis for patient level simulation models: efficient estimation of mean and variance using ANOVA. Health Econ 2007 Oct;16(10):1009-23.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(246) </w:t>
      </w:r>
      <w:r w:rsidRPr="0094366B">
        <w:rPr>
          <w:rFonts w:cs="Times New Roman"/>
          <w:sz w:val="18"/>
        </w:rPr>
        <w:tab/>
        <w:t>Clarke PM, Gray AM, Briggs A, Farmer AJ, Fenn P, Stevens RJ, et al. A model to estimate the lifetime health outcomes of patients with type 2 diabetes: the United Kingdom Prospective Diabetes Study (UKPDS) Outcomes Model (UKPDS no. 68). Diabetologia 2004 Oct;47(10):1747-59.</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(247) </w:t>
      </w:r>
      <w:r w:rsidRPr="0094366B">
        <w:rPr>
          <w:rFonts w:cs="Times New Roman"/>
          <w:sz w:val="18"/>
        </w:rPr>
        <w:tab/>
        <w:t>Waugh N, Cummins E, Royle P, Clar C, Marien M, Richter B, et al. Newer agents for blood glucose control in type 2 diabetes: systematic review and economic evaluation. Health Technol Assess 2010 Jul;14(36):1-248.</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(248) </w:t>
      </w:r>
      <w:r w:rsidRPr="0094366B">
        <w:rPr>
          <w:rFonts w:cs="Times New Roman"/>
          <w:sz w:val="18"/>
        </w:rPr>
        <w:tab/>
        <w:t xml:space="preserve">Department of Health. A new value-based approach to the pricing of branded medicines: a consultation. London: Department of Health; 2010.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(249) </w:t>
      </w:r>
      <w:r w:rsidRPr="0094366B">
        <w:rPr>
          <w:rFonts w:cs="Times New Roman"/>
          <w:sz w:val="18"/>
        </w:rPr>
        <w:tab/>
        <w:t>Claxton K, Palmer S, Longworth L, Bojke L, Griffin S, McKenna C, et al. Informing a decision framework for when NICE should recommend the use of health technologies only in the context of an appropriately designed programme of evidence development. Health Technol Assess 2012;16(46):1-323.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(250) </w:t>
      </w:r>
      <w:r w:rsidRPr="0094366B">
        <w:rPr>
          <w:rFonts w:cs="Times New Roman"/>
          <w:sz w:val="18"/>
        </w:rPr>
        <w:tab/>
        <w:t>Stevenson MD, Oakley J, Chilcott JB. Gaussian process modeling in conjunction with individual patient simulation modeling: a case study describing the calculation of cost-effectiveness ratios for the treatment of established osteoporosis. Med Decis Making 2004 Jan;24(1):89-100.</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(251) </w:t>
      </w:r>
      <w:r w:rsidRPr="0094366B">
        <w:rPr>
          <w:rFonts w:cs="Times New Roman"/>
          <w:sz w:val="18"/>
        </w:rPr>
        <w:tab/>
        <w:t>Diggle P, Heagerty P, Liang K, Zeger S. Analysis of Longitudinal Data. Second edition ed. Oxford: Oxford Univerisity Press; 2002.</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(252) </w:t>
      </w:r>
      <w:r w:rsidRPr="0094366B">
        <w:rPr>
          <w:rFonts w:cs="Times New Roman"/>
          <w:sz w:val="18"/>
        </w:rPr>
        <w:tab/>
        <w:t>Hughes DA. Value-based pricing: incentive for innovation or zero net benefit? Pharmacoeconomics 2011 Sep;29(9):731-5.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(253) </w:t>
      </w:r>
      <w:r w:rsidRPr="0094366B">
        <w:rPr>
          <w:rFonts w:cs="Times New Roman"/>
          <w:sz w:val="18"/>
        </w:rPr>
        <w:tab/>
        <w:t>Palmer S, Smith PC. Incorporating option values into the economic evaluation of health care technologies. J Health Econ 2000 Sep;19(5):755-66.</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(254) </w:t>
      </w:r>
      <w:r w:rsidRPr="0094366B">
        <w:rPr>
          <w:rFonts w:cs="Times New Roman"/>
          <w:sz w:val="18"/>
        </w:rPr>
        <w:tab/>
        <w:t xml:space="preserve">Watson et al. P. (Submitted to Journal) The Natural History and Predictive Factors of Long Term Outcomes in Systemic Lupus Erythematosus:  Analysis from the Hopkins Lupus Cohort.  2011. </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(255) </w:t>
      </w:r>
      <w:r w:rsidRPr="0094366B">
        <w:rPr>
          <w:rFonts w:cs="Times New Roman"/>
          <w:sz w:val="18"/>
        </w:rPr>
        <w:tab/>
        <w:t>Lau AH, Leong TY. PROBES: a framework for probability elicitation from experts. Proc AMIA Symp 1999;301-5.</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(256) </w:t>
      </w:r>
      <w:r w:rsidRPr="0094366B">
        <w:rPr>
          <w:rFonts w:cs="Times New Roman"/>
          <w:sz w:val="18"/>
        </w:rPr>
        <w:tab/>
        <w:t>Garthwaite PH, Chilcott JB, Jenkinson DJ, Tappenden P. Use of expert knowledge in evaluating costs and benefits of alternative service provisions: a case study. Int J Technol Assess Health Care 2008;24(3):350-7.</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(257) </w:t>
      </w:r>
      <w:r w:rsidRPr="0094366B">
        <w:rPr>
          <w:rFonts w:cs="Times New Roman"/>
          <w:sz w:val="18"/>
        </w:rPr>
        <w:tab/>
        <w:t>Leal J, Wordsworth S, Legood R, Blair E. Eliciting expert opinion for economic models: an applied example. Value Health 2007 May;10(3):195-203.</w:t>
      </w:r>
    </w:p>
    <w:p w:rsidR="00D0049C" w:rsidRDefault="0094366B">
      <w:pPr>
        <w:tabs>
          <w:tab w:val="right" w:pos="540"/>
          <w:tab w:val="left" w:pos="720"/>
        </w:tabs>
        <w:spacing w:after="240" w:line="240" w:lineRule="auto"/>
        <w:ind w:left="720" w:hanging="720"/>
        <w:rPr>
          <w:rFonts w:cs="Times New Roman"/>
          <w:sz w:val="18"/>
        </w:rPr>
      </w:pPr>
      <w:r w:rsidRPr="0094366B">
        <w:rPr>
          <w:rFonts w:cs="Times New Roman"/>
          <w:sz w:val="18"/>
        </w:rPr>
        <w:tab/>
        <w:t xml:space="preserve">(258) </w:t>
      </w:r>
      <w:r w:rsidRPr="0094366B">
        <w:rPr>
          <w:rFonts w:cs="Times New Roman"/>
          <w:sz w:val="18"/>
        </w:rPr>
        <w:tab/>
        <w:t>Harmanec D, Leong TY, Sundaresh S, Poh KL, Yeo TT, Ng I, et al. Decision analytic approach to severe head injury management. Proc AMIA Symp 1999;271-5.</w:t>
      </w:r>
    </w:p>
    <w:p w:rsidR="00FC61FD" w:rsidRPr="00FC61FD" w:rsidRDefault="00FC61FD" w:rsidP="00FC61FD">
      <w:pPr>
        <w:tabs>
          <w:tab w:val="right" w:pos="540"/>
          <w:tab w:val="left" w:pos="720"/>
        </w:tabs>
        <w:spacing w:after="0" w:line="240" w:lineRule="auto"/>
        <w:ind w:left="720" w:hanging="720"/>
        <w:rPr>
          <w:rFonts w:cs="Times New Roman"/>
          <w:sz w:val="18"/>
        </w:rPr>
      </w:pPr>
    </w:p>
    <w:p w:rsidR="00D0049C" w:rsidRDefault="00E729BA">
      <w:pPr>
        <w:tabs>
          <w:tab w:val="right" w:pos="540"/>
          <w:tab w:val="left" w:pos="720"/>
        </w:tabs>
        <w:spacing w:after="0" w:line="240" w:lineRule="auto"/>
        <w:ind w:left="720" w:hanging="720"/>
      </w:pPr>
      <w:r>
        <w:fldChar w:fldCharType="end"/>
      </w:r>
    </w:p>
    <w:p w:rsidR="00B97965" w:rsidRDefault="00B97965">
      <w:pPr>
        <w:spacing w:after="0" w:afterAutospacing="0" w:line="240" w:lineRule="auto"/>
      </w:pPr>
      <w:r>
        <w:br w:type="page"/>
      </w:r>
    </w:p>
    <w:p w:rsidR="00B97965" w:rsidRPr="00BE457B" w:rsidRDefault="00B97965" w:rsidP="00BE457B">
      <w:pPr>
        <w:pStyle w:val="Heading1"/>
        <w:numPr>
          <w:ilvl w:val="0"/>
          <w:numId w:val="0"/>
        </w:numPr>
        <w:pBdr>
          <w:left w:val="single" w:sz="24" w:space="2" w:color="FFFFFF" w:themeColor="background1"/>
        </w:pBdr>
        <w:bidi/>
        <w:ind w:left="576" w:hanging="576"/>
        <w:jc w:val="right"/>
        <w:rPr>
          <w:rStyle w:val="Emphasis"/>
          <w:spacing w:val="15"/>
        </w:rPr>
      </w:pPr>
      <w:bookmarkStart w:id="660" w:name="_Toc344912410"/>
      <w:bookmarkStart w:id="661" w:name="_Toc379467705"/>
      <w:r>
        <w:t>AppendIX</w:t>
      </w:r>
      <w:bookmarkStart w:id="662" w:name="_Ref258848527"/>
      <w:bookmarkStart w:id="663" w:name="_Toc279009304"/>
      <w:r w:rsidR="00396982">
        <w:t xml:space="preserve"> 1</w:t>
      </w:r>
      <w:r w:rsidR="00BE457B">
        <w:t>:</w:t>
      </w:r>
      <w:r w:rsidR="00EB0286">
        <w:t xml:space="preserve"> </w:t>
      </w:r>
      <w:r w:rsidRPr="00234693">
        <w:rPr>
          <w:rStyle w:val="Emphasis"/>
        </w:rPr>
        <w:t>Systemic Lupus Erythematosus Disease Indices</w:t>
      </w:r>
      <w:bookmarkEnd w:id="661"/>
    </w:p>
    <w:p w:rsidR="00B97965" w:rsidRDefault="00B97965" w:rsidP="00234693">
      <w:pPr>
        <w:pStyle w:val="Caption"/>
      </w:pPr>
      <w:r>
        <w:t xml:space="preserve">Table </w:t>
      </w:r>
      <w:fldSimple w:instr=" SEQ Table \* ARABIC ">
        <w:r w:rsidR="004911B7">
          <w:rPr>
            <w:noProof/>
          </w:rPr>
          <w:t>53</w:t>
        </w:r>
      </w:fldSimple>
      <w:bookmarkEnd w:id="662"/>
      <w:r>
        <w:t>: The SLEDAI index</w:t>
      </w:r>
      <w:bookmarkEnd w:id="663"/>
    </w:p>
    <w:tbl>
      <w:tblPr>
        <w:tblW w:w="0" w:type="auto"/>
        <w:tblBorders>
          <w:top w:val="single" w:sz="12" w:space="0" w:color="auto"/>
          <w:bottom w:val="single" w:sz="12" w:space="0" w:color="auto"/>
        </w:tblBorders>
        <w:tblLook w:val="01E0"/>
      </w:tblPr>
      <w:tblGrid>
        <w:gridCol w:w="799"/>
        <w:gridCol w:w="1738"/>
        <w:gridCol w:w="5877"/>
      </w:tblGrid>
      <w:tr w:rsidR="00B97965" w:rsidRPr="00FD2BD3" w:rsidTr="00B97965">
        <w:tc>
          <w:tcPr>
            <w:tcW w:w="808" w:type="dxa"/>
            <w:tcBorders>
              <w:top w:val="single" w:sz="12"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Weight</w:t>
            </w:r>
          </w:p>
        </w:tc>
        <w:tc>
          <w:tcPr>
            <w:tcW w:w="1763" w:type="dxa"/>
            <w:tcBorders>
              <w:top w:val="single" w:sz="12"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Descriptor</w:t>
            </w:r>
          </w:p>
        </w:tc>
        <w:tc>
          <w:tcPr>
            <w:tcW w:w="6539" w:type="dxa"/>
            <w:tcBorders>
              <w:top w:val="single" w:sz="12"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Definition</w:t>
            </w:r>
          </w:p>
        </w:tc>
      </w:tr>
      <w:tr w:rsidR="00B97965" w:rsidRPr="00FD2BD3" w:rsidTr="00B97965">
        <w:tc>
          <w:tcPr>
            <w:tcW w:w="808"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8</w:t>
            </w:r>
          </w:p>
        </w:tc>
        <w:tc>
          <w:tcPr>
            <w:tcW w:w="1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Seizure</w:t>
            </w:r>
          </w:p>
        </w:tc>
        <w:tc>
          <w:tcPr>
            <w:tcW w:w="653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Recent onset. Exclude metabolic, infectious or drug cause.</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Psychosis</w:t>
            </w:r>
          </w:p>
        </w:tc>
        <w:tc>
          <w:tcPr>
            <w:tcW w:w="6539" w:type="dxa"/>
          </w:tcPr>
          <w:p w:rsidR="00B97965" w:rsidRPr="00041032" w:rsidRDefault="00B97965" w:rsidP="00B97965">
            <w:pPr>
              <w:spacing w:line="240" w:lineRule="auto"/>
              <w:rPr>
                <w:sz w:val="18"/>
                <w:szCs w:val="18"/>
              </w:rPr>
            </w:pPr>
            <w:r w:rsidRPr="00041032">
              <w:rPr>
                <w:sz w:val="18"/>
                <w:szCs w:val="18"/>
              </w:rPr>
              <w:t xml:space="preserve">Altered ability to function in normal activity due to severe disturbance in the perception of reality. Include hallucinations, incoherence, marked loose associations, impoverished thought content, marked illogical thinking bizarre, disorganised, or catatonic behaviour. Excluded </w:t>
            </w:r>
            <w:r w:rsidR="00527615" w:rsidRPr="00041032">
              <w:rPr>
                <w:sz w:val="18"/>
                <w:szCs w:val="18"/>
              </w:rPr>
              <w:t>uraemia</w:t>
            </w:r>
            <w:r w:rsidRPr="00041032">
              <w:rPr>
                <w:sz w:val="18"/>
                <w:szCs w:val="18"/>
              </w:rPr>
              <w:t xml:space="preserve"> and drug causes.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Organic Brain Syndrome</w:t>
            </w:r>
          </w:p>
        </w:tc>
        <w:tc>
          <w:tcPr>
            <w:tcW w:w="6539" w:type="dxa"/>
          </w:tcPr>
          <w:p w:rsidR="00B97965" w:rsidRPr="00041032" w:rsidRDefault="00B97965" w:rsidP="00B97965">
            <w:pPr>
              <w:spacing w:line="240" w:lineRule="auto"/>
              <w:rPr>
                <w:sz w:val="18"/>
                <w:szCs w:val="18"/>
              </w:rPr>
            </w:pPr>
            <w:r w:rsidRPr="00041032">
              <w:rPr>
                <w:sz w:val="18"/>
                <w:szCs w:val="18"/>
              </w:rPr>
              <w:t xml:space="preserve">Altered mental function with impaired orientation memory or other intelligent function, with rapid onset fluctuating clinical features. Include clouding of consciousness with reduced capacity to focus, and inability to sustain attention to environment, plus at least two of the following: perceptual disturbance, incoherent speech, insomnia, or daytime drowsiness, or increased or decreased psychomotor activity. Exclude metabolic, infectious or drug causes. </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Visual Disturbance</w:t>
            </w:r>
          </w:p>
        </w:tc>
        <w:tc>
          <w:tcPr>
            <w:tcW w:w="6539" w:type="dxa"/>
          </w:tcPr>
          <w:p w:rsidR="00B97965" w:rsidRPr="00041032" w:rsidRDefault="00B97965" w:rsidP="00B97965">
            <w:pPr>
              <w:spacing w:line="240" w:lineRule="auto"/>
              <w:rPr>
                <w:sz w:val="18"/>
                <w:szCs w:val="18"/>
              </w:rPr>
            </w:pPr>
            <w:r w:rsidRPr="00041032">
              <w:rPr>
                <w:sz w:val="18"/>
                <w:szCs w:val="18"/>
              </w:rPr>
              <w:t xml:space="preserve">Retinal changes of SLE. Include cytoid bodies, retinal </w:t>
            </w:r>
            <w:r w:rsidR="00527615" w:rsidRPr="00041032">
              <w:rPr>
                <w:sz w:val="18"/>
                <w:szCs w:val="18"/>
              </w:rPr>
              <w:t>haemorrhages</w:t>
            </w:r>
            <w:r w:rsidRPr="00041032">
              <w:rPr>
                <w:sz w:val="18"/>
                <w:szCs w:val="18"/>
              </w:rPr>
              <w:t xml:space="preserve">, serious exodate or </w:t>
            </w:r>
            <w:r w:rsidR="00527615" w:rsidRPr="00041032">
              <w:rPr>
                <w:sz w:val="18"/>
                <w:szCs w:val="18"/>
              </w:rPr>
              <w:t>haemorrhages</w:t>
            </w:r>
            <w:r w:rsidRPr="00041032">
              <w:rPr>
                <w:sz w:val="18"/>
                <w:szCs w:val="18"/>
              </w:rPr>
              <w:t xml:space="preserve"> in the </w:t>
            </w:r>
            <w:r w:rsidR="00527615" w:rsidRPr="00041032">
              <w:rPr>
                <w:sz w:val="18"/>
                <w:szCs w:val="18"/>
              </w:rPr>
              <w:t>choroids</w:t>
            </w:r>
            <w:r w:rsidRPr="00041032">
              <w:rPr>
                <w:sz w:val="18"/>
                <w:szCs w:val="18"/>
              </w:rPr>
              <w:t xml:space="preserve">, or optic </w:t>
            </w:r>
            <w:r w:rsidR="00527615" w:rsidRPr="00041032">
              <w:rPr>
                <w:sz w:val="18"/>
                <w:szCs w:val="18"/>
              </w:rPr>
              <w:t>neuritis</w:t>
            </w:r>
            <w:r w:rsidRPr="00041032">
              <w:rPr>
                <w:sz w:val="18"/>
                <w:szCs w:val="18"/>
              </w:rPr>
              <w:t>. Exclude hypertension, infection or drug causes.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Cranial Nerve Disorder</w:t>
            </w:r>
          </w:p>
        </w:tc>
        <w:tc>
          <w:tcPr>
            <w:tcW w:w="6539" w:type="dxa"/>
          </w:tcPr>
          <w:p w:rsidR="00B97965" w:rsidRPr="00041032" w:rsidRDefault="00B97965" w:rsidP="00B97965">
            <w:pPr>
              <w:spacing w:line="240" w:lineRule="auto"/>
              <w:rPr>
                <w:sz w:val="18"/>
                <w:szCs w:val="18"/>
              </w:rPr>
            </w:pPr>
            <w:r w:rsidRPr="00041032">
              <w:rPr>
                <w:sz w:val="18"/>
                <w:szCs w:val="18"/>
              </w:rPr>
              <w:t>New onset of sensory or motor neuropathy involving cranial nerves.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Lupus Headache</w:t>
            </w:r>
          </w:p>
        </w:tc>
        <w:tc>
          <w:tcPr>
            <w:tcW w:w="6539" w:type="dxa"/>
          </w:tcPr>
          <w:p w:rsidR="00B97965" w:rsidRPr="00041032" w:rsidRDefault="00B97965" w:rsidP="00B97965">
            <w:pPr>
              <w:spacing w:line="240" w:lineRule="auto"/>
              <w:rPr>
                <w:sz w:val="18"/>
                <w:szCs w:val="18"/>
              </w:rPr>
            </w:pPr>
            <w:r w:rsidRPr="00041032">
              <w:rPr>
                <w:sz w:val="18"/>
                <w:szCs w:val="18"/>
              </w:rPr>
              <w:t>Severe persistent headache: may be migrainous, but must be non-</w:t>
            </w:r>
            <w:r w:rsidR="00527615" w:rsidRPr="00041032">
              <w:rPr>
                <w:sz w:val="18"/>
                <w:szCs w:val="18"/>
              </w:rPr>
              <w:t>responsive</w:t>
            </w:r>
            <w:r w:rsidRPr="00041032">
              <w:rPr>
                <w:sz w:val="18"/>
                <w:szCs w:val="18"/>
              </w:rPr>
              <w:t xml:space="preserve"> to narcotic analgesia.</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CVA</w:t>
            </w:r>
          </w:p>
        </w:tc>
        <w:tc>
          <w:tcPr>
            <w:tcW w:w="6539" w:type="dxa"/>
          </w:tcPr>
          <w:p w:rsidR="00B97965" w:rsidRPr="00041032" w:rsidRDefault="00B97965" w:rsidP="00B97965">
            <w:pPr>
              <w:spacing w:line="240" w:lineRule="auto"/>
              <w:rPr>
                <w:sz w:val="18"/>
                <w:szCs w:val="18"/>
              </w:rPr>
            </w:pPr>
            <w:r w:rsidRPr="00041032">
              <w:rPr>
                <w:sz w:val="18"/>
                <w:szCs w:val="18"/>
              </w:rPr>
              <w:t>New onset cerebrovascular accident(s). Exclude arteriosclerosis.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8</w:t>
            </w:r>
          </w:p>
        </w:tc>
        <w:tc>
          <w:tcPr>
            <w:tcW w:w="1763" w:type="dxa"/>
          </w:tcPr>
          <w:p w:rsidR="00B97965" w:rsidRPr="00041032" w:rsidRDefault="00B97965" w:rsidP="00B97965">
            <w:pPr>
              <w:spacing w:line="240" w:lineRule="auto"/>
              <w:rPr>
                <w:sz w:val="18"/>
                <w:szCs w:val="18"/>
              </w:rPr>
            </w:pPr>
            <w:r w:rsidRPr="00041032">
              <w:rPr>
                <w:sz w:val="18"/>
                <w:szCs w:val="18"/>
              </w:rPr>
              <w:t>Vasculitis</w:t>
            </w:r>
          </w:p>
        </w:tc>
        <w:tc>
          <w:tcPr>
            <w:tcW w:w="6539" w:type="dxa"/>
          </w:tcPr>
          <w:p w:rsidR="00B97965" w:rsidRPr="00041032" w:rsidRDefault="00527615" w:rsidP="00B97965">
            <w:pPr>
              <w:spacing w:line="240" w:lineRule="auto"/>
              <w:rPr>
                <w:sz w:val="18"/>
                <w:szCs w:val="18"/>
              </w:rPr>
            </w:pPr>
            <w:r w:rsidRPr="00041032">
              <w:rPr>
                <w:sz w:val="18"/>
                <w:szCs w:val="18"/>
              </w:rPr>
              <w:t>Ulcerating</w:t>
            </w:r>
            <w:r w:rsidR="00B97965" w:rsidRPr="00041032">
              <w:rPr>
                <w:sz w:val="18"/>
                <w:szCs w:val="18"/>
              </w:rPr>
              <w:t xml:space="preserve">, gangrene, tender finger nodules, periungual, infarction, splinter </w:t>
            </w:r>
            <w:r w:rsidRPr="00041032">
              <w:rPr>
                <w:sz w:val="18"/>
                <w:szCs w:val="18"/>
              </w:rPr>
              <w:t>haemorrhages</w:t>
            </w:r>
            <w:r w:rsidR="00B97965" w:rsidRPr="00041032">
              <w:rPr>
                <w:sz w:val="18"/>
                <w:szCs w:val="18"/>
              </w:rPr>
              <w:t>, or biopsy or angiogram proof of vasculitis.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4</w:t>
            </w:r>
          </w:p>
        </w:tc>
        <w:tc>
          <w:tcPr>
            <w:tcW w:w="1763" w:type="dxa"/>
          </w:tcPr>
          <w:p w:rsidR="00B97965" w:rsidRPr="00041032" w:rsidRDefault="00B97965" w:rsidP="00B97965">
            <w:pPr>
              <w:spacing w:line="240" w:lineRule="auto"/>
              <w:rPr>
                <w:sz w:val="18"/>
                <w:szCs w:val="18"/>
              </w:rPr>
            </w:pPr>
            <w:r w:rsidRPr="00041032">
              <w:rPr>
                <w:sz w:val="18"/>
                <w:szCs w:val="18"/>
              </w:rPr>
              <w:t>Arthritis</w:t>
            </w:r>
          </w:p>
        </w:tc>
        <w:tc>
          <w:tcPr>
            <w:tcW w:w="6539" w:type="dxa"/>
          </w:tcPr>
          <w:p w:rsidR="00B97965" w:rsidRPr="00041032" w:rsidRDefault="00B97965" w:rsidP="00B97965">
            <w:pPr>
              <w:spacing w:line="240" w:lineRule="auto"/>
              <w:rPr>
                <w:sz w:val="18"/>
                <w:szCs w:val="18"/>
              </w:rPr>
            </w:pPr>
            <w:r w:rsidRPr="00041032">
              <w:rPr>
                <w:sz w:val="18"/>
                <w:szCs w:val="18"/>
              </w:rPr>
              <w:t>More than 2 joints with pain and signs of inflammation (i.e. tenderness, swelling, or effusion)</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4</w:t>
            </w:r>
          </w:p>
        </w:tc>
        <w:tc>
          <w:tcPr>
            <w:tcW w:w="1763" w:type="dxa"/>
          </w:tcPr>
          <w:p w:rsidR="00B97965" w:rsidRPr="00041032" w:rsidRDefault="00B97965" w:rsidP="00B97965">
            <w:pPr>
              <w:spacing w:line="240" w:lineRule="auto"/>
              <w:rPr>
                <w:sz w:val="18"/>
                <w:szCs w:val="18"/>
              </w:rPr>
            </w:pPr>
            <w:r w:rsidRPr="00041032">
              <w:rPr>
                <w:sz w:val="18"/>
                <w:szCs w:val="18"/>
              </w:rPr>
              <w:t>Myositis</w:t>
            </w:r>
          </w:p>
        </w:tc>
        <w:tc>
          <w:tcPr>
            <w:tcW w:w="6539" w:type="dxa"/>
          </w:tcPr>
          <w:p w:rsidR="00B97965" w:rsidRPr="00041032" w:rsidRDefault="00B97965" w:rsidP="00B97965">
            <w:pPr>
              <w:spacing w:line="240" w:lineRule="auto"/>
              <w:rPr>
                <w:sz w:val="18"/>
                <w:szCs w:val="18"/>
              </w:rPr>
            </w:pPr>
            <w:r w:rsidRPr="00041032">
              <w:rPr>
                <w:sz w:val="18"/>
                <w:szCs w:val="18"/>
              </w:rPr>
              <w:t>Proximal muscle aching/weakness associated with elevated creatin</w:t>
            </w:r>
            <w:r w:rsidR="00527615">
              <w:rPr>
                <w:sz w:val="18"/>
                <w:szCs w:val="18"/>
              </w:rPr>
              <w:t>in</w:t>
            </w:r>
            <w:r w:rsidRPr="00041032">
              <w:rPr>
                <w:sz w:val="18"/>
                <w:szCs w:val="18"/>
              </w:rPr>
              <w:t xml:space="preserve">e phosphokinase/adolase or electromyogram changes or a biopsy showing myositis. </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 xml:space="preserve">4 </w:t>
            </w:r>
          </w:p>
        </w:tc>
        <w:tc>
          <w:tcPr>
            <w:tcW w:w="1763" w:type="dxa"/>
          </w:tcPr>
          <w:p w:rsidR="00B97965" w:rsidRPr="00041032" w:rsidRDefault="00B97965" w:rsidP="00B97965">
            <w:pPr>
              <w:spacing w:line="240" w:lineRule="auto"/>
              <w:rPr>
                <w:sz w:val="18"/>
                <w:szCs w:val="18"/>
              </w:rPr>
            </w:pPr>
            <w:r w:rsidRPr="00041032">
              <w:rPr>
                <w:sz w:val="18"/>
                <w:szCs w:val="18"/>
              </w:rPr>
              <w:t>Urinary Casts</w:t>
            </w:r>
          </w:p>
        </w:tc>
        <w:tc>
          <w:tcPr>
            <w:tcW w:w="6539" w:type="dxa"/>
          </w:tcPr>
          <w:p w:rsidR="00B97965" w:rsidRPr="00041032" w:rsidRDefault="00B97965" w:rsidP="00B97965">
            <w:pPr>
              <w:spacing w:line="240" w:lineRule="auto"/>
              <w:rPr>
                <w:sz w:val="18"/>
                <w:szCs w:val="18"/>
              </w:rPr>
            </w:pPr>
            <w:r w:rsidRPr="00041032">
              <w:rPr>
                <w:sz w:val="18"/>
                <w:szCs w:val="18"/>
              </w:rPr>
              <w:t>Heme-granular or red blood cell casts.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4</w:t>
            </w:r>
          </w:p>
        </w:tc>
        <w:tc>
          <w:tcPr>
            <w:tcW w:w="1763" w:type="dxa"/>
          </w:tcPr>
          <w:p w:rsidR="00B97965" w:rsidRPr="00041032" w:rsidRDefault="00B97965" w:rsidP="00B97965">
            <w:pPr>
              <w:spacing w:line="240" w:lineRule="auto"/>
              <w:rPr>
                <w:sz w:val="18"/>
                <w:szCs w:val="18"/>
              </w:rPr>
            </w:pPr>
            <w:r w:rsidRPr="00041032">
              <w:rPr>
                <w:sz w:val="18"/>
                <w:szCs w:val="18"/>
              </w:rPr>
              <w:t>Hematuria</w:t>
            </w:r>
          </w:p>
        </w:tc>
        <w:tc>
          <w:tcPr>
            <w:tcW w:w="6539" w:type="dxa"/>
          </w:tcPr>
          <w:p w:rsidR="00B97965" w:rsidRPr="00041032" w:rsidRDefault="00B97965" w:rsidP="00B97965">
            <w:pPr>
              <w:spacing w:line="240" w:lineRule="auto"/>
              <w:rPr>
                <w:sz w:val="18"/>
                <w:szCs w:val="18"/>
              </w:rPr>
            </w:pPr>
            <w:r w:rsidRPr="00041032">
              <w:rPr>
                <w:sz w:val="18"/>
                <w:szCs w:val="18"/>
              </w:rPr>
              <w:t>&gt;5 red blood cells/high power field. Exclude stone, infection or other cause.</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4</w:t>
            </w:r>
          </w:p>
        </w:tc>
        <w:tc>
          <w:tcPr>
            <w:tcW w:w="1763" w:type="dxa"/>
          </w:tcPr>
          <w:p w:rsidR="00B97965" w:rsidRPr="00041032" w:rsidRDefault="00B97965" w:rsidP="00B97965">
            <w:pPr>
              <w:spacing w:line="240" w:lineRule="auto"/>
              <w:rPr>
                <w:sz w:val="18"/>
                <w:szCs w:val="18"/>
              </w:rPr>
            </w:pPr>
            <w:r w:rsidRPr="00041032">
              <w:rPr>
                <w:sz w:val="18"/>
                <w:szCs w:val="18"/>
              </w:rPr>
              <w:t>Proteinuria</w:t>
            </w:r>
          </w:p>
        </w:tc>
        <w:tc>
          <w:tcPr>
            <w:tcW w:w="6539" w:type="dxa"/>
          </w:tcPr>
          <w:p w:rsidR="00B97965" w:rsidRPr="00041032" w:rsidRDefault="00B97965" w:rsidP="00B97965">
            <w:pPr>
              <w:spacing w:line="240" w:lineRule="auto"/>
              <w:rPr>
                <w:sz w:val="18"/>
                <w:szCs w:val="18"/>
              </w:rPr>
            </w:pPr>
            <w:r w:rsidRPr="00041032">
              <w:rPr>
                <w:sz w:val="18"/>
                <w:szCs w:val="18"/>
              </w:rPr>
              <w:t>&gt;0.5gm/24 hours. New onset or recent increase of more than 0.5gm/24 hours.</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4</w:t>
            </w:r>
          </w:p>
        </w:tc>
        <w:tc>
          <w:tcPr>
            <w:tcW w:w="1763" w:type="dxa"/>
          </w:tcPr>
          <w:p w:rsidR="00B97965" w:rsidRPr="00041032" w:rsidRDefault="00B97965" w:rsidP="00B97965">
            <w:pPr>
              <w:spacing w:line="240" w:lineRule="auto"/>
              <w:rPr>
                <w:sz w:val="18"/>
                <w:szCs w:val="18"/>
              </w:rPr>
            </w:pPr>
            <w:r w:rsidRPr="00041032">
              <w:rPr>
                <w:sz w:val="18"/>
                <w:szCs w:val="18"/>
              </w:rPr>
              <w:t>Pyuria</w:t>
            </w:r>
          </w:p>
        </w:tc>
        <w:tc>
          <w:tcPr>
            <w:tcW w:w="6539" w:type="dxa"/>
          </w:tcPr>
          <w:p w:rsidR="00B97965" w:rsidRPr="00041032" w:rsidRDefault="00B97965" w:rsidP="00B97965">
            <w:pPr>
              <w:spacing w:line="240" w:lineRule="auto"/>
              <w:rPr>
                <w:sz w:val="18"/>
                <w:szCs w:val="18"/>
              </w:rPr>
            </w:pPr>
            <w:r w:rsidRPr="00041032">
              <w:rPr>
                <w:sz w:val="18"/>
                <w:szCs w:val="18"/>
              </w:rPr>
              <w:t>&gt;5 white blood cells/high power field. Exclude stone, infection or other cause.</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 xml:space="preserve">2 </w:t>
            </w:r>
          </w:p>
        </w:tc>
        <w:tc>
          <w:tcPr>
            <w:tcW w:w="1763" w:type="dxa"/>
          </w:tcPr>
          <w:p w:rsidR="00B97965" w:rsidRPr="00041032" w:rsidRDefault="00B97965" w:rsidP="00B97965">
            <w:pPr>
              <w:spacing w:line="240" w:lineRule="auto"/>
              <w:rPr>
                <w:sz w:val="18"/>
                <w:szCs w:val="18"/>
              </w:rPr>
            </w:pPr>
            <w:r w:rsidRPr="00041032">
              <w:rPr>
                <w:sz w:val="18"/>
                <w:szCs w:val="18"/>
              </w:rPr>
              <w:t>New rash</w:t>
            </w:r>
          </w:p>
        </w:tc>
        <w:tc>
          <w:tcPr>
            <w:tcW w:w="6539" w:type="dxa"/>
          </w:tcPr>
          <w:p w:rsidR="00B97965" w:rsidRPr="00041032" w:rsidRDefault="00B97965" w:rsidP="00B97965">
            <w:pPr>
              <w:spacing w:line="240" w:lineRule="auto"/>
              <w:rPr>
                <w:sz w:val="18"/>
                <w:szCs w:val="18"/>
              </w:rPr>
            </w:pPr>
            <w:r w:rsidRPr="00041032">
              <w:rPr>
                <w:sz w:val="18"/>
                <w:szCs w:val="18"/>
              </w:rPr>
              <w:t>New onset or recurrence of inflammatory type rash.</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Alopecia</w:t>
            </w:r>
          </w:p>
        </w:tc>
        <w:tc>
          <w:tcPr>
            <w:tcW w:w="6539" w:type="dxa"/>
          </w:tcPr>
          <w:p w:rsidR="00B97965" w:rsidRPr="00041032" w:rsidRDefault="00B97965" w:rsidP="00B97965">
            <w:pPr>
              <w:spacing w:line="240" w:lineRule="auto"/>
              <w:rPr>
                <w:sz w:val="18"/>
                <w:szCs w:val="18"/>
              </w:rPr>
            </w:pPr>
            <w:r w:rsidRPr="00041032">
              <w:rPr>
                <w:sz w:val="18"/>
                <w:szCs w:val="18"/>
              </w:rPr>
              <w:t>New onset or recurrence of abnormal, patchy or diffuse loss of hair.</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Mucosal Ulcers</w:t>
            </w:r>
          </w:p>
        </w:tc>
        <w:tc>
          <w:tcPr>
            <w:tcW w:w="6539" w:type="dxa"/>
          </w:tcPr>
          <w:p w:rsidR="00B97965" w:rsidRPr="00041032" w:rsidRDefault="00B97965" w:rsidP="00B97965">
            <w:pPr>
              <w:spacing w:line="240" w:lineRule="auto"/>
              <w:rPr>
                <w:sz w:val="18"/>
                <w:szCs w:val="18"/>
              </w:rPr>
            </w:pPr>
            <w:r w:rsidRPr="00041032">
              <w:rPr>
                <w:sz w:val="18"/>
                <w:szCs w:val="18"/>
              </w:rPr>
              <w:t xml:space="preserve">New onset or recurrence or oral or nasal ulcerations. </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Pleurisy</w:t>
            </w:r>
          </w:p>
        </w:tc>
        <w:tc>
          <w:tcPr>
            <w:tcW w:w="6539" w:type="dxa"/>
          </w:tcPr>
          <w:p w:rsidR="00B97965" w:rsidRPr="00041032" w:rsidRDefault="00B97965" w:rsidP="00B97965">
            <w:pPr>
              <w:spacing w:line="240" w:lineRule="auto"/>
              <w:rPr>
                <w:sz w:val="18"/>
                <w:szCs w:val="18"/>
              </w:rPr>
            </w:pPr>
            <w:r w:rsidRPr="00041032">
              <w:rPr>
                <w:sz w:val="18"/>
                <w:szCs w:val="18"/>
              </w:rPr>
              <w:t>Pleuritic chest pain with pleural rub or effusion, or pleural thickening.</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Pericarditis</w:t>
            </w:r>
          </w:p>
        </w:tc>
        <w:tc>
          <w:tcPr>
            <w:tcW w:w="6539" w:type="dxa"/>
          </w:tcPr>
          <w:p w:rsidR="00B97965" w:rsidRPr="00041032" w:rsidRDefault="00B97965" w:rsidP="00B97965">
            <w:pPr>
              <w:spacing w:line="240" w:lineRule="auto"/>
              <w:rPr>
                <w:sz w:val="18"/>
                <w:szCs w:val="18"/>
              </w:rPr>
            </w:pPr>
            <w:r w:rsidRPr="00041032">
              <w:rPr>
                <w:sz w:val="18"/>
                <w:szCs w:val="18"/>
              </w:rPr>
              <w:t>Pericardinal pain with at least 1 of the following: rub, effusion, or, electrocardiogram confirmation.</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Low Complement</w:t>
            </w:r>
          </w:p>
        </w:tc>
        <w:tc>
          <w:tcPr>
            <w:tcW w:w="6539" w:type="dxa"/>
          </w:tcPr>
          <w:p w:rsidR="00B97965" w:rsidRPr="00041032" w:rsidRDefault="00B97965" w:rsidP="00B97965">
            <w:pPr>
              <w:spacing w:line="240" w:lineRule="auto"/>
              <w:rPr>
                <w:sz w:val="18"/>
                <w:szCs w:val="18"/>
              </w:rPr>
            </w:pPr>
            <w:r w:rsidRPr="00041032">
              <w:rPr>
                <w:sz w:val="18"/>
                <w:szCs w:val="18"/>
              </w:rPr>
              <w:t>Decrease in CH50, C3 or C4 below the lower limit of normal for testing laboratory.</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2</w:t>
            </w:r>
          </w:p>
        </w:tc>
        <w:tc>
          <w:tcPr>
            <w:tcW w:w="1763" w:type="dxa"/>
          </w:tcPr>
          <w:p w:rsidR="00B97965" w:rsidRPr="00041032" w:rsidRDefault="00B97965" w:rsidP="00B97965">
            <w:pPr>
              <w:spacing w:line="240" w:lineRule="auto"/>
              <w:rPr>
                <w:sz w:val="18"/>
                <w:szCs w:val="18"/>
              </w:rPr>
            </w:pPr>
            <w:r w:rsidRPr="00041032">
              <w:rPr>
                <w:sz w:val="18"/>
                <w:szCs w:val="18"/>
              </w:rPr>
              <w:t>Increased DNA binding</w:t>
            </w:r>
          </w:p>
        </w:tc>
        <w:tc>
          <w:tcPr>
            <w:tcW w:w="6539" w:type="dxa"/>
          </w:tcPr>
          <w:p w:rsidR="00B97965" w:rsidRPr="00041032" w:rsidRDefault="00B97965" w:rsidP="00B97965">
            <w:pPr>
              <w:spacing w:line="240" w:lineRule="auto"/>
              <w:rPr>
                <w:sz w:val="18"/>
                <w:szCs w:val="18"/>
              </w:rPr>
            </w:pPr>
            <w:r w:rsidRPr="00041032">
              <w:rPr>
                <w:sz w:val="18"/>
                <w:szCs w:val="18"/>
              </w:rPr>
              <w:t>&gt;25% binding by Far assay or above normal range for testing laboratory</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1</w:t>
            </w:r>
          </w:p>
        </w:tc>
        <w:tc>
          <w:tcPr>
            <w:tcW w:w="1763" w:type="dxa"/>
          </w:tcPr>
          <w:p w:rsidR="00B97965" w:rsidRPr="00041032" w:rsidRDefault="00B97965" w:rsidP="00B97965">
            <w:pPr>
              <w:spacing w:line="240" w:lineRule="auto"/>
              <w:rPr>
                <w:sz w:val="18"/>
                <w:szCs w:val="18"/>
              </w:rPr>
            </w:pPr>
            <w:r w:rsidRPr="00041032">
              <w:rPr>
                <w:sz w:val="18"/>
                <w:szCs w:val="18"/>
              </w:rPr>
              <w:t>Fever</w:t>
            </w:r>
          </w:p>
        </w:tc>
        <w:tc>
          <w:tcPr>
            <w:tcW w:w="6539" w:type="dxa"/>
          </w:tcPr>
          <w:p w:rsidR="00B97965" w:rsidRPr="00041032" w:rsidRDefault="00B97965" w:rsidP="00B97965">
            <w:pPr>
              <w:spacing w:line="240" w:lineRule="auto"/>
              <w:rPr>
                <w:sz w:val="18"/>
                <w:szCs w:val="18"/>
              </w:rPr>
            </w:pPr>
            <w:r w:rsidRPr="00041032">
              <w:rPr>
                <w:sz w:val="18"/>
                <w:szCs w:val="18"/>
              </w:rPr>
              <w:t>&gt;38 C. Exclude infectious cause</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1</w:t>
            </w:r>
          </w:p>
        </w:tc>
        <w:tc>
          <w:tcPr>
            <w:tcW w:w="1763" w:type="dxa"/>
          </w:tcPr>
          <w:p w:rsidR="00B97965" w:rsidRPr="00041032" w:rsidRDefault="00B97965" w:rsidP="00B97965">
            <w:pPr>
              <w:spacing w:line="240" w:lineRule="auto"/>
              <w:rPr>
                <w:sz w:val="18"/>
                <w:szCs w:val="18"/>
              </w:rPr>
            </w:pPr>
            <w:r w:rsidRPr="00041032">
              <w:rPr>
                <w:sz w:val="18"/>
                <w:szCs w:val="18"/>
              </w:rPr>
              <w:t>Thrombocytopenia</w:t>
            </w:r>
          </w:p>
        </w:tc>
        <w:tc>
          <w:tcPr>
            <w:tcW w:w="6539" w:type="dxa"/>
          </w:tcPr>
          <w:p w:rsidR="00B97965" w:rsidRPr="00041032" w:rsidRDefault="00B97965" w:rsidP="00B97965">
            <w:pPr>
              <w:spacing w:line="240" w:lineRule="auto"/>
              <w:rPr>
                <w:sz w:val="18"/>
                <w:szCs w:val="18"/>
              </w:rPr>
            </w:pPr>
            <w:r w:rsidRPr="00041032">
              <w:rPr>
                <w:sz w:val="18"/>
                <w:szCs w:val="18"/>
              </w:rPr>
              <w:t>&lt;100,000 platelets/mm3</w:t>
            </w:r>
          </w:p>
        </w:tc>
      </w:tr>
      <w:tr w:rsidR="00B97965" w:rsidRPr="00FD2BD3" w:rsidTr="00B97965">
        <w:tc>
          <w:tcPr>
            <w:tcW w:w="808" w:type="dxa"/>
          </w:tcPr>
          <w:p w:rsidR="00B97965" w:rsidRPr="00041032" w:rsidRDefault="00B97965" w:rsidP="00B97965">
            <w:pPr>
              <w:spacing w:line="240" w:lineRule="auto"/>
              <w:rPr>
                <w:sz w:val="18"/>
                <w:szCs w:val="18"/>
              </w:rPr>
            </w:pPr>
            <w:r w:rsidRPr="00041032">
              <w:rPr>
                <w:sz w:val="18"/>
                <w:szCs w:val="18"/>
              </w:rPr>
              <w:t>1</w:t>
            </w:r>
          </w:p>
        </w:tc>
        <w:tc>
          <w:tcPr>
            <w:tcW w:w="1763" w:type="dxa"/>
          </w:tcPr>
          <w:p w:rsidR="00B97965" w:rsidRPr="00041032" w:rsidRDefault="00B97965" w:rsidP="00B97965">
            <w:pPr>
              <w:spacing w:line="240" w:lineRule="auto"/>
              <w:rPr>
                <w:sz w:val="18"/>
                <w:szCs w:val="18"/>
              </w:rPr>
            </w:pPr>
            <w:r w:rsidRPr="00041032">
              <w:rPr>
                <w:sz w:val="18"/>
                <w:szCs w:val="18"/>
              </w:rPr>
              <w:t>Leukopenia</w:t>
            </w:r>
          </w:p>
        </w:tc>
        <w:tc>
          <w:tcPr>
            <w:tcW w:w="6539" w:type="dxa"/>
          </w:tcPr>
          <w:p w:rsidR="00B97965" w:rsidRPr="00041032" w:rsidRDefault="00B97965" w:rsidP="00B97965">
            <w:pPr>
              <w:spacing w:line="240" w:lineRule="auto"/>
              <w:rPr>
                <w:sz w:val="18"/>
                <w:szCs w:val="18"/>
              </w:rPr>
            </w:pPr>
            <w:r w:rsidRPr="00041032">
              <w:rPr>
                <w:sz w:val="18"/>
                <w:szCs w:val="18"/>
              </w:rPr>
              <w:t>&lt;3,000 White blood cell/mm3. Exclude drug causes.</w:t>
            </w:r>
            <w:r>
              <w:rPr>
                <w:sz w:val="18"/>
                <w:szCs w:val="18"/>
              </w:rPr>
              <w:t xml:space="preserve"> </w:t>
            </w:r>
          </w:p>
        </w:tc>
      </w:tr>
    </w:tbl>
    <w:p w:rsidR="00396982" w:rsidRDefault="00396982" w:rsidP="00234693">
      <w:pPr>
        <w:pStyle w:val="Caption"/>
      </w:pPr>
      <w:bookmarkStart w:id="664" w:name="_Ref261508181"/>
      <w:bookmarkStart w:id="665" w:name="_Ref258335625"/>
      <w:bookmarkStart w:id="666" w:name="_Toc279009305"/>
    </w:p>
    <w:p w:rsidR="00396982" w:rsidRDefault="00396982" w:rsidP="00396982">
      <w:pPr>
        <w:rPr>
          <w:sz w:val="18"/>
          <w:szCs w:val="16"/>
        </w:rPr>
      </w:pPr>
      <w:r>
        <w:br w:type="page"/>
      </w:r>
    </w:p>
    <w:p w:rsidR="00B97965" w:rsidRDefault="00B97965" w:rsidP="00234693">
      <w:pPr>
        <w:pStyle w:val="Caption"/>
      </w:pPr>
      <w:r>
        <w:t xml:space="preserve">Table </w:t>
      </w:r>
      <w:fldSimple w:instr=" SEQ Table \* ARABIC ">
        <w:r w:rsidR="004911B7">
          <w:rPr>
            <w:noProof/>
          </w:rPr>
          <w:t>54</w:t>
        </w:r>
      </w:fldSimple>
      <w:bookmarkEnd w:id="664"/>
      <w:r>
        <w:t>: The BILAG Index</w:t>
      </w:r>
    </w:p>
    <w:tbl>
      <w:tblPr>
        <w:tblW w:w="0" w:type="auto"/>
        <w:tblBorders>
          <w:top w:val="single" w:sz="12" w:space="0" w:color="auto"/>
          <w:bottom w:val="single" w:sz="12" w:space="0" w:color="auto"/>
        </w:tblBorders>
        <w:tblCellMar>
          <w:left w:w="28" w:type="dxa"/>
          <w:right w:w="28" w:type="dxa"/>
        </w:tblCellMar>
        <w:tblLook w:val="01E0"/>
      </w:tblPr>
      <w:tblGrid>
        <w:gridCol w:w="4204"/>
        <w:gridCol w:w="4050"/>
      </w:tblGrid>
      <w:tr w:rsidR="00B97965" w:rsidRPr="00CE0BFA" w:rsidTr="00B97965">
        <w:trPr>
          <w:trHeight w:val="20"/>
        </w:trPr>
        <w:tc>
          <w:tcPr>
            <w:tcW w:w="4621" w:type="dxa"/>
            <w:tcBorders>
              <w:top w:val="single" w:sz="12" w:space="0" w:color="auto"/>
              <w:bottom w:val="single" w:sz="8" w:space="0" w:color="auto"/>
            </w:tcBorders>
          </w:tcPr>
          <w:p w:rsidR="00B97965" w:rsidRPr="00CE0BFA" w:rsidRDefault="00B97965" w:rsidP="00B97965">
            <w:pPr>
              <w:rPr>
                <w:b/>
                <w:bCs/>
                <w:sz w:val="15"/>
                <w:szCs w:val="15"/>
              </w:rPr>
            </w:pPr>
            <w:r w:rsidRPr="00CE0BFA">
              <w:rPr>
                <w:b/>
                <w:bCs/>
                <w:sz w:val="15"/>
                <w:szCs w:val="15"/>
              </w:rPr>
              <w:t>General (Answer 1) Improving 2) Same 3) Worse 4) New)</w:t>
            </w:r>
          </w:p>
        </w:tc>
        <w:tc>
          <w:tcPr>
            <w:tcW w:w="4621" w:type="dxa"/>
          </w:tcPr>
          <w:p w:rsidR="00B97965" w:rsidRPr="00CE0BFA" w:rsidRDefault="00B97965" w:rsidP="00B97965">
            <w:pPr>
              <w:rPr>
                <w:sz w:val="15"/>
                <w:szCs w:val="15"/>
              </w:rPr>
            </w:pPr>
            <w:r w:rsidRPr="00CE0BFA">
              <w:rPr>
                <w:sz w:val="15"/>
                <w:szCs w:val="15"/>
              </w:rPr>
              <w:t>44. Arthralgia</w:t>
            </w:r>
          </w:p>
        </w:tc>
      </w:tr>
      <w:tr w:rsidR="00B97965" w:rsidRPr="00CE0BFA" w:rsidTr="00B97965">
        <w:trPr>
          <w:trHeight w:val="20"/>
        </w:trPr>
        <w:tc>
          <w:tcPr>
            <w:tcW w:w="4621" w:type="dxa"/>
            <w:tcBorders>
              <w:top w:val="single" w:sz="8" w:space="0" w:color="auto"/>
            </w:tcBorders>
          </w:tcPr>
          <w:p w:rsidR="00B97965" w:rsidRPr="00CE0BFA" w:rsidRDefault="00B97965" w:rsidP="00B97965">
            <w:pPr>
              <w:rPr>
                <w:sz w:val="15"/>
                <w:szCs w:val="15"/>
              </w:rPr>
            </w:pPr>
            <w:r w:rsidRPr="00CE0BFA">
              <w:rPr>
                <w:sz w:val="15"/>
                <w:szCs w:val="15"/>
              </w:rPr>
              <w:t>1. Pyrexia (documented)</w:t>
            </w:r>
          </w:p>
        </w:tc>
        <w:tc>
          <w:tcPr>
            <w:tcW w:w="4621" w:type="dxa"/>
          </w:tcPr>
          <w:p w:rsidR="00B97965" w:rsidRPr="00CE0BFA" w:rsidRDefault="00B97965" w:rsidP="00B97965">
            <w:pPr>
              <w:rPr>
                <w:sz w:val="15"/>
                <w:szCs w:val="15"/>
              </w:rPr>
            </w:pPr>
            <w:r w:rsidRPr="00CE0BFA">
              <w:rPr>
                <w:sz w:val="15"/>
                <w:szCs w:val="15"/>
              </w:rPr>
              <w:t>45. Myalgia</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 Weight loss – unintentional &gt;5%</w:t>
            </w:r>
          </w:p>
        </w:tc>
        <w:tc>
          <w:tcPr>
            <w:tcW w:w="4621" w:type="dxa"/>
          </w:tcPr>
          <w:p w:rsidR="00B97965" w:rsidRPr="00CE0BFA" w:rsidRDefault="00B97965" w:rsidP="00B97965">
            <w:pPr>
              <w:rPr>
                <w:sz w:val="15"/>
                <w:szCs w:val="15"/>
              </w:rPr>
            </w:pPr>
            <w:r w:rsidRPr="00CE0BFA">
              <w:rPr>
                <w:sz w:val="15"/>
                <w:szCs w:val="15"/>
              </w:rPr>
              <w:t>46. Tendon contractures and fixed deformity</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 Lymphadenopathy/splenomeagaly</w:t>
            </w:r>
          </w:p>
        </w:tc>
        <w:tc>
          <w:tcPr>
            <w:tcW w:w="4621" w:type="dxa"/>
            <w:tcBorders>
              <w:bottom w:val="single" w:sz="8" w:space="0" w:color="auto"/>
            </w:tcBorders>
          </w:tcPr>
          <w:p w:rsidR="00B97965" w:rsidRPr="00CE0BFA" w:rsidRDefault="00B97965" w:rsidP="00B97965">
            <w:pPr>
              <w:rPr>
                <w:sz w:val="15"/>
                <w:szCs w:val="15"/>
              </w:rPr>
            </w:pPr>
            <w:r w:rsidRPr="00CE0BFA">
              <w:rPr>
                <w:sz w:val="15"/>
                <w:szCs w:val="15"/>
              </w:rPr>
              <w:t>47. Aseptic necrosis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4. Fatigue/malaise/lethargy</w:t>
            </w:r>
          </w:p>
        </w:tc>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Cardio and Resp (Answer 1) Improving 2) Same 3) Worse 4) New)</w:t>
            </w:r>
          </w:p>
        </w:tc>
      </w:tr>
      <w:tr w:rsidR="00B97965" w:rsidRPr="00CE0BFA" w:rsidTr="00B97965">
        <w:trPr>
          <w:trHeight w:val="20"/>
        </w:trPr>
        <w:tc>
          <w:tcPr>
            <w:tcW w:w="4621" w:type="dxa"/>
            <w:tcBorders>
              <w:bottom w:val="single" w:sz="8" w:space="0" w:color="auto"/>
            </w:tcBorders>
          </w:tcPr>
          <w:p w:rsidR="00B97965" w:rsidRPr="00CE0BFA" w:rsidRDefault="00B97965" w:rsidP="00B97965">
            <w:pPr>
              <w:rPr>
                <w:sz w:val="15"/>
                <w:szCs w:val="15"/>
              </w:rPr>
            </w:pPr>
            <w:r w:rsidRPr="00CE0BFA">
              <w:rPr>
                <w:sz w:val="15"/>
                <w:szCs w:val="15"/>
              </w:rPr>
              <w:t>5. Anorexia/nausea/vomiting</w:t>
            </w:r>
          </w:p>
        </w:tc>
        <w:tc>
          <w:tcPr>
            <w:tcW w:w="4621" w:type="dxa"/>
            <w:tcBorders>
              <w:top w:val="single" w:sz="8" w:space="0" w:color="auto"/>
            </w:tcBorders>
          </w:tcPr>
          <w:p w:rsidR="00B97965" w:rsidRPr="00CE0BFA" w:rsidRDefault="00B97965" w:rsidP="00B97965">
            <w:pPr>
              <w:rPr>
                <w:sz w:val="15"/>
                <w:szCs w:val="15"/>
              </w:rPr>
            </w:pPr>
            <w:r w:rsidRPr="00CE0BFA">
              <w:rPr>
                <w:sz w:val="15"/>
                <w:szCs w:val="15"/>
              </w:rPr>
              <w:t>48. Pleuropericardial pain</w:t>
            </w:r>
          </w:p>
        </w:tc>
      </w:tr>
      <w:tr w:rsidR="00B97965" w:rsidRPr="00CE0BFA" w:rsidTr="00B97965">
        <w:trPr>
          <w:trHeight w:val="20"/>
        </w:trPr>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Mucocutaneous (Answer 1) Improving 2) Same 3) Worse 4) New)</w:t>
            </w:r>
          </w:p>
        </w:tc>
        <w:tc>
          <w:tcPr>
            <w:tcW w:w="4621" w:type="dxa"/>
          </w:tcPr>
          <w:p w:rsidR="00B97965" w:rsidRPr="00CE0BFA" w:rsidRDefault="00B97965" w:rsidP="00B97965">
            <w:pPr>
              <w:rPr>
                <w:sz w:val="15"/>
                <w:szCs w:val="15"/>
              </w:rPr>
            </w:pPr>
            <w:r w:rsidRPr="00CE0BFA">
              <w:rPr>
                <w:sz w:val="15"/>
                <w:szCs w:val="15"/>
              </w:rPr>
              <w:t>49. Dyspnoea</w:t>
            </w:r>
          </w:p>
        </w:tc>
      </w:tr>
      <w:tr w:rsidR="00B97965" w:rsidRPr="00CE0BFA" w:rsidTr="00B97965">
        <w:trPr>
          <w:trHeight w:val="20"/>
        </w:trPr>
        <w:tc>
          <w:tcPr>
            <w:tcW w:w="4621" w:type="dxa"/>
            <w:tcBorders>
              <w:top w:val="single" w:sz="8" w:space="0" w:color="auto"/>
            </w:tcBorders>
          </w:tcPr>
          <w:p w:rsidR="00B97965" w:rsidRPr="00CE0BFA" w:rsidRDefault="00B97965" w:rsidP="00B97965">
            <w:pPr>
              <w:rPr>
                <w:sz w:val="15"/>
                <w:szCs w:val="15"/>
              </w:rPr>
            </w:pPr>
            <w:r w:rsidRPr="00CE0BFA">
              <w:rPr>
                <w:sz w:val="15"/>
                <w:szCs w:val="15"/>
              </w:rPr>
              <w:t xml:space="preserve">6. Maculopapular rash – severe, active </w:t>
            </w:r>
          </w:p>
        </w:tc>
        <w:tc>
          <w:tcPr>
            <w:tcW w:w="4621" w:type="dxa"/>
          </w:tcPr>
          <w:p w:rsidR="00B97965" w:rsidRPr="00CE0BFA" w:rsidRDefault="00B97965" w:rsidP="00B97965">
            <w:pPr>
              <w:rPr>
                <w:sz w:val="15"/>
                <w:szCs w:val="15"/>
              </w:rPr>
            </w:pPr>
            <w:r w:rsidRPr="00CE0BFA">
              <w:rPr>
                <w:sz w:val="15"/>
                <w:szCs w:val="15"/>
              </w:rPr>
              <w:t>50. Cardiac failure</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7. Maculopapular eruption – mild</w:t>
            </w:r>
          </w:p>
        </w:tc>
        <w:tc>
          <w:tcPr>
            <w:tcW w:w="4621" w:type="dxa"/>
          </w:tcPr>
          <w:p w:rsidR="00B97965" w:rsidRPr="00CE0BFA" w:rsidRDefault="00B97965" w:rsidP="00B97965">
            <w:pPr>
              <w:rPr>
                <w:sz w:val="15"/>
                <w:szCs w:val="15"/>
              </w:rPr>
            </w:pPr>
            <w:r w:rsidRPr="00CE0BFA">
              <w:rPr>
                <w:sz w:val="15"/>
                <w:szCs w:val="15"/>
              </w:rPr>
              <w:t>51. Friction rub</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8. Active discoid lesions – generalised extensive</w:t>
            </w:r>
          </w:p>
        </w:tc>
        <w:tc>
          <w:tcPr>
            <w:tcW w:w="4621" w:type="dxa"/>
          </w:tcPr>
          <w:p w:rsidR="00B97965" w:rsidRPr="00CE0BFA" w:rsidRDefault="00B97965" w:rsidP="00B97965">
            <w:pPr>
              <w:rPr>
                <w:sz w:val="15"/>
                <w:szCs w:val="15"/>
              </w:rPr>
            </w:pPr>
            <w:r w:rsidRPr="00CE0BFA">
              <w:rPr>
                <w:sz w:val="15"/>
                <w:szCs w:val="15"/>
              </w:rPr>
              <w:t>52. Effusion (pericardial or pleural)</w:t>
            </w:r>
          </w:p>
        </w:tc>
      </w:tr>
      <w:tr w:rsidR="00B97965" w:rsidRPr="00CE0BFA" w:rsidTr="00B97965">
        <w:trPr>
          <w:trHeight w:val="20"/>
        </w:trPr>
        <w:tc>
          <w:tcPr>
            <w:tcW w:w="4621" w:type="dxa"/>
          </w:tcPr>
          <w:p w:rsidR="00B97965" w:rsidRPr="00CE0BFA" w:rsidRDefault="00B97965" w:rsidP="00B97965">
            <w:pPr>
              <w:rPr>
                <w:sz w:val="15"/>
                <w:szCs w:val="15"/>
                <w:lang w:val="fr-CA"/>
              </w:rPr>
            </w:pPr>
            <w:r w:rsidRPr="00CE0BFA">
              <w:rPr>
                <w:sz w:val="15"/>
                <w:szCs w:val="15"/>
                <w:lang w:val="fr-CA"/>
              </w:rPr>
              <w:t>9. Active discoid lesions – local inc. lupus profundus</w:t>
            </w:r>
          </w:p>
        </w:tc>
        <w:tc>
          <w:tcPr>
            <w:tcW w:w="4621" w:type="dxa"/>
            <w:shd w:val="clear" w:color="auto" w:fill="auto"/>
          </w:tcPr>
          <w:p w:rsidR="00B97965" w:rsidRPr="00CE0BFA" w:rsidRDefault="00B97965" w:rsidP="00B97965">
            <w:pPr>
              <w:rPr>
                <w:sz w:val="15"/>
                <w:szCs w:val="15"/>
              </w:rPr>
            </w:pPr>
            <w:r w:rsidRPr="00CE0BFA">
              <w:rPr>
                <w:sz w:val="15"/>
                <w:szCs w:val="15"/>
              </w:rPr>
              <w:t>53. Mild or intermittent chest pain</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10. Alopecia – severe, active</w:t>
            </w:r>
          </w:p>
        </w:tc>
        <w:tc>
          <w:tcPr>
            <w:tcW w:w="4621" w:type="dxa"/>
            <w:shd w:val="clear" w:color="auto" w:fill="auto"/>
          </w:tcPr>
          <w:p w:rsidR="00B97965" w:rsidRPr="00CE0BFA" w:rsidRDefault="00B97965" w:rsidP="00B97965">
            <w:pPr>
              <w:rPr>
                <w:sz w:val="15"/>
                <w:szCs w:val="15"/>
              </w:rPr>
            </w:pPr>
            <w:r w:rsidRPr="00CE0BFA">
              <w:rPr>
                <w:sz w:val="15"/>
                <w:szCs w:val="15"/>
              </w:rPr>
              <w:t>54. Progressive CXR changes – lungs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11. Alopeica – mild</w:t>
            </w:r>
          </w:p>
        </w:tc>
        <w:tc>
          <w:tcPr>
            <w:tcW w:w="4621" w:type="dxa"/>
          </w:tcPr>
          <w:p w:rsidR="00B97965" w:rsidRPr="00CE0BFA" w:rsidRDefault="00B97965" w:rsidP="00B97965">
            <w:pPr>
              <w:rPr>
                <w:sz w:val="15"/>
                <w:szCs w:val="15"/>
              </w:rPr>
            </w:pPr>
            <w:r w:rsidRPr="00CE0BFA">
              <w:rPr>
                <w:sz w:val="15"/>
                <w:szCs w:val="15"/>
              </w:rPr>
              <w:t>55. Progressive CXR changes – heart</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12. Severe panniculitis</w:t>
            </w:r>
          </w:p>
        </w:tc>
        <w:tc>
          <w:tcPr>
            <w:tcW w:w="4621" w:type="dxa"/>
          </w:tcPr>
          <w:p w:rsidR="00B97965" w:rsidRPr="00CE0BFA" w:rsidRDefault="00B97965" w:rsidP="00B97965">
            <w:pPr>
              <w:rPr>
                <w:sz w:val="15"/>
                <w:szCs w:val="15"/>
              </w:rPr>
            </w:pPr>
            <w:r w:rsidRPr="00CE0BFA">
              <w:rPr>
                <w:sz w:val="15"/>
                <w:szCs w:val="15"/>
              </w:rPr>
              <w:t>56. ECG evidence or pericarditis or myocarditis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13. Abgio-oedema</w:t>
            </w:r>
          </w:p>
        </w:tc>
        <w:tc>
          <w:tcPr>
            <w:tcW w:w="4621" w:type="dxa"/>
          </w:tcPr>
          <w:p w:rsidR="00B97965" w:rsidRPr="00CE0BFA" w:rsidRDefault="00B97965" w:rsidP="00B97965">
            <w:pPr>
              <w:rPr>
                <w:sz w:val="15"/>
                <w:szCs w:val="15"/>
              </w:rPr>
            </w:pPr>
            <w:r w:rsidRPr="00CE0BFA">
              <w:rPr>
                <w:sz w:val="15"/>
                <w:szCs w:val="15"/>
              </w:rPr>
              <w:t>57. Cardiac arrhythmias including tachycardia</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14. Extensive mucosal ulceration</w:t>
            </w:r>
          </w:p>
        </w:tc>
        <w:tc>
          <w:tcPr>
            <w:tcW w:w="4621" w:type="dxa"/>
          </w:tcPr>
          <w:p w:rsidR="00B97965" w:rsidRPr="00CE0BFA" w:rsidRDefault="00B97965" w:rsidP="00B97965">
            <w:pPr>
              <w:rPr>
                <w:sz w:val="15"/>
                <w:szCs w:val="15"/>
              </w:rPr>
            </w:pPr>
            <w:r w:rsidRPr="00CE0BFA">
              <w:rPr>
                <w:sz w:val="15"/>
                <w:szCs w:val="15"/>
              </w:rPr>
              <w:t>58. Pulmonary function fall by &gt;20%</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15. Small muscocal ulcers</w:t>
            </w:r>
          </w:p>
        </w:tc>
        <w:tc>
          <w:tcPr>
            <w:tcW w:w="4621" w:type="dxa"/>
            <w:tcBorders>
              <w:bottom w:val="single" w:sz="8" w:space="0" w:color="auto"/>
            </w:tcBorders>
          </w:tcPr>
          <w:p w:rsidR="00B97965" w:rsidRPr="00CE0BFA" w:rsidRDefault="00B97965" w:rsidP="00B97965">
            <w:pPr>
              <w:rPr>
                <w:sz w:val="15"/>
                <w:szCs w:val="15"/>
              </w:rPr>
            </w:pPr>
            <w:r w:rsidRPr="00CE0BFA">
              <w:rPr>
                <w:sz w:val="15"/>
                <w:szCs w:val="15"/>
              </w:rPr>
              <w:t>59. Cyto-histological evidence of inflammatory lung disease</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16. Malar erythema</w:t>
            </w:r>
          </w:p>
        </w:tc>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Vascilitis (Answer 1) Improving 2) Same 3) Worse 4) New)</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17. Subcutaneous nodules</w:t>
            </w:r>
          </w:p>
        </w:tc>
        <w:tc>
          <w:tcPr>
            <w:tcW w:w="4621" w:type="dxa"/>
            <w:tcBorders>
              <w:top w:val="single" w:sz="8" w:space="0" w:color="auto"/>
            </w:tcBorders>
          </w:tcPr>
          <w:p w:rsidR="00B97965" w:rsidRPr="00CE0BFA" w:rsidRDefault="00B97965" w:rsidP="00B97965">
            <w:pPr>
              <w:rPr>
                <w:sz w:val="15"/>
                <w:szCs w:val="15"/>
              </w:rPr>
            </w:pPr>
            <w:r w:rsidRPr="00CE0BFA">
              <w:rPr>
                <w:sz w:val="15"/>
                <w:szCs w:val="15"/>
              </w:rPr>
              <w:t>60. Major cutaneous vascilitis including ulcers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18. Perniotic skin lesions</w:t>
            </w:r>
          </w:p>
        </w:tc>
        <w:tc>
          <w:tcPr>
            <w:tcW w:w="4621" w:type="dxa"/>
          </w:tcPr>
          <w:p w:rsidR="00B97965" w:rsidRPr="00CE0BFA" w:rsidRDefault="00B97965" w:rsidP="00B97965">
            <w:pPr>
              <w:rPr>
                <w:sz w:val="15"/>
                <w:szCs w:val="15"/>
              </w:rPr>
            </w:pPr>
            <w:r w:rsidRPr="00CE0BFA">
              <w:rPr>
                <w:sz w:val="15"/>
                <w:szCs w:val="15"/>
              </w:rPr>
              <w:t>61. Major abdominal crisis due to vasculitis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19. Peri-ungual erythema</w:t>
            </w:r>
          </w:p>
        </w:tc>
        <w:tc>
          <w:tcPr>
            <w:tcW w:w="4621" w:type="dxa"/>
          </w:tcPr>
          <w:p w:rsidR="00B97965" w:rsidRPr="00CE0BFA" w:rsidRDefault="00B97965" w:rsidP="00B97965">
            <w:pPr>
              <w:rPr>
                <w:sz w:val="15"/>
                <w:szCs w:val="15"/>
              </w:rPr>
            </w:pPr>
            <w:r w:rsidRPr="00CE0BFA">
              <w:rPr>
                <w:sz w:val="15"/>
                <w:szCs w:val="15"/>
              </w:rPr>
              <w:t>62. Recurrent thromboembolism</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20. Swollen fingers</w:t>
            </w:r>
          </w:p>
        </w:tc>
        <w:tc>
          <w:tcPr>
            <w:tcW w:w="4621" w:type="dxa"/>
          </w:tcPr>
          <w:p w:rsidR="00B97965" w:rsidRPr="00CE0BFA" w:rsidRDefault="00B97965" w:rsidP="00B97965">
            <w:pPr>
              <w:rPr>
                <w:sz w:val="15"/>
                <w:szCs w:val="15"/>
              </w:rPr>
            </w:pPr>
            <w:r w:rsidRPr="00CE0BFA">
              <w:rPr>
                <w:sz w:val="15"/>
                <w:szCs w:val="15"/>
              </w:rPr>
              <w:t>63. Raynaud’s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21. Sclerodactyly</w:t>
            </w:r>
          </w:p>
        </w:tc>
        <w:tc>
          <w:tcPr>
            <w:tcW w:w="4621" w:type="dxa"/>
          </w:tcPr>
          <w:p w:rsidR="00B97965" w:rsidRPr="00CE0BFA" w:rsidRDefault="00B97965" w:rsidP="00B97965">
            <w:pPr>
              <w:rPr>
                <w:sz w:val="15"/>
                <w:szCs w:val="15"/>
              </w:rPr>
            </w:pPr>
            <w:r w:rsidRPr="00CE0BFA">
              <w:rPr>
                <w:sz w:val="15"/>
                <w:szCs w:val="15"/>
              </w:rPr>
              <w:t>64. Livedo reticularis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22. Calcinosis</w:t>
            </w:r>
          </w:p>
        </w:tc>
        <w:tc>
          <w:tcPr>
            <w:tcW w:w="4621" w:type="dxa"/>
          </w:tcPr>
          <w:p w:rsidR="00B97965" w:rsidRPr="00CE0BFA" w:rsidRDefault="00B97965" w:rsidP="00B97965">
            <w:pPr>
              <w:rPr>
                <w:sz w:val="15"/>
                <w:szCs w:val="15"/>
              </w:rPr>
            </w:pPr>
            <w:r w:rsidRPr="00CE0BFA">
              <w:rPr>
                <w:sz w:val="15"/>
                <w:szCs w:val="15"/>
              </w:rPr>
              <w:t>65. Superficial phlebitis</w:t>
            </w:r>
          </w:p>
        </w:tc>
      </w:tr>
      <w:tr w:rsidR="00B97965" w:rsidRPr="00CE0BFA" w:rsidTr="00B97965">
        <w:trPr>
          <w:trHeight w:val="20"/>
        </w:trPr>
        <w:tc>
          <w:tcPr>
            <w:tcW w:w="4621" w:type="dxa"/>
            <w:tcBorders>
              <w:bottom w:val="single" w:sz="8" w:space="0" w:color="auto"/>
            </w:tcBorders>
          </w:tcPr>
          <w:p w:rsidR="00B97965" w:rsidRPr="00CE0BFA" w:rsidRDefault="00B97965" w:rsidP="00B97965">
            <w:pPr>
              <w:rPr>
                <w:sz w:val="15"/>
                <w:szCs w:val="15"/>
              </w:rPr>
            </w:pPr>
            <w:r w:rsidRPr="00CE0BFA">
              <w:rPr>
                <w:sz w:val="15"/>
                <w:szCs w:val="15"/>
              </w:rPr>
              <w:t>23. Telengiectasia</w:t>
            </w:r>
          </w:p>
        </w:tc>
        <w:tc>
          <w:tcPr>
            <w:tcW w:w="4621" w:type="dxa"/>
            <w:shd w:val="clear" w:color="auto" w:fill="auto"/>
          </w:tcPr>
          <w:p w:rsidR="00B97965" w:rsidRPr="00CE0BFA" w:rsidRDefault="00B97965" w:rsidP="00B97965">
            <w:pPr>
              <w:rPr>
                <w:sz w:val="15"/>
                <w:szCs w:val="15"/>
              </w:rPr>
            </w:pPr>
            <w:r w:rsidRPr="00CE0BFA">
              <w:rPr>
                <w:sz w:val="15"/>
                <w:szCs w:val="15"/>
              </w:rPr>
              <w:t xml:space="preserve">66. Minor cutaneous vasculitis </w:t>
            </w:r>
          </w:p>
        </w:tc>
      </w:tr>
      <w:tr w:rsidR="00B97965" w:rsidRPr="00CE0BFA" w:rsidTr="00B97965">
        <w:trPr>
          <w:trHeight w:val="20"/>
        </w:trPr>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Neurological (Answer 1) Improving 2) Same 3) Worse 4) New)</w:t>
            </w:r>
          </w:p>
        </w:tc>
        <w:tc>
          <w:tcPr>
            <w:tcW w:w="4621" w:type="dxa"/>
            <w:tcBorders>
              <w:bottom w:val="single" w:sz="8" w:space="0" w:color="auto"/>
            </w:tcBorders>
            <w:shd w:val="clear" w:color="auto" w:fill="auto"/>
          </w:tcPr>
          <w:p w:rsidR="00B97965" w:rsidRPr="00CE0BFA" w:rsidRDefault="00B97965" w:rsidP="00B97965">
            <w:pPr>
              <w:rPr>
                <w:sz w:val="15"/>
                <w:szCs w:val="15"/>
              </w:rPr>
            </w:pPr>
            <w:r w:rsidRPr="00CE0BFA">
              <w:rPr>
                <w:sz w:val="15"/>
                <w:szCs w:val="15"/>
              </w:rPr>
              <w:t>67. Thromboembolism</w:t>
            </w:r>
          </w:p>
        </w:tc>
      </w:tr>
      <w:tr w:rsidR="00B97965" w:rsidRPr="00CE0BFA" w:rsidTr="00B97965">
        <w:trPr>
          <w:trHeight w:val="20"/>
        </w:trPr>
        <w:tc>
          <w:tcPr>
            <w:tcW w:w="4621" w:type="dxa"/>
            <w:tcBorders>
              <w:top w:val="single" w:sz="8" w:space="0" w:color="auto"/>
            </w:tcBorders>
          </w:tcPr>
          <w:p w:rsidR="00B97965" w:rsidRPr="00CE0BFA" w:rsidRDefault="00B97965" w:rsidP="00B97965">
            <w:pPr>
              <w:rPr>
                <w:sz w:val="15"/>
                <w:szCs w:val="15"/>
              </w:rPr>
            </w:pPr>
            <w:r w:rsidRPr="00CE0BFA">
              <w:rPr>
                <w:sz w:val="15"/>
                <w:szCs w:val="15"/>
              </w:rPr>
              <w:t>24. Deteriorating level of consciousness</w:t>
            </w:r>
          </w:p>
        </w:tc>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Renal (Answer with number value or Y/N)</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25. Acutepsychosis or delirium or confusional state</w:t>
            </w:r>
          </w:p>
        </w:tc>
        <w:tc>
          <w:tcPr>
            <w:tcW w:w="4621" w:type="dxa"/>
            <w:tcBorders>
              <w:top w:val="single" w:sz="8" w:space="0" w:color="auto"/>
            </w:tcBorders>
          </w:tcPr>
          <w:p w:rsidR="00B97965" w:rsidRPr="00CE0BFA" w:rsidRDefault="00B97965" w:rsidP="00B97965">
            <w:pPr>
              <w:rPr>
                <w:sz w:val="15"/>
                <w:szCs w:val="15"/>
              </w:rPr>
            </w:pPr>
            <w:r w:rsidRPr="00CE0BFA">
              <w:rPr>
                <w:sz w:val="15"/>
                <w:szCs w:val="15"/>
              </w:rPr>
              <w:t>68. Systolic BP mmHg</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26. Seizures</w:t>
            </w:r>
          </w:p>
        </w:tc>
        <w:tc>
          <w:tcPr>
            <w:tcW w:w="4621" w:type="dxa"/>
          </w:tcPr>
          <w:p w:rsidR="00B97965" w:rsidRPr="00CE0BFA" w:rsidRDefault="00B97965" w:rsidP="00B97965">
            <w:pPr>
              <w:rPr>
                <w:sz w:val="15"/>
                <w:szCs w:val="15"/>
              </w:rPr>
            </w:pPr>
            <w:r w:rsidRPr="00CE0BFA">
              <w:rPr>
                <w:sz w:val="15"/>
                <w:szCs w:val="15"/>
              </w:rPr>
              <w:t>69. Diastolic BP (5</w:t>
            </w:r>
            <w:r w:rsidRPr="00CE0BFA">
              <w:rPr>
                <w:sz w:val="15"/>
                <w:szCs w:val="15"/>
                <w:vertAlign w:val="superscript"/>
              </w:rPr>
              <w:t>th</w:t>
            </w:r>
            <w:r w:rsidRPr="00CE0BFA">
              <w:rPr>
                <w:sz w:val="15"/>
                <w:szCs w:val="15"/>
              </w:rPr>
              <w:t xml:space="preserve"> phase)</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27. Stroke or stroke syndrome</w:t>
            </w:r>
          </w:p>
        </w:tc>
        <w:tc>
          <w:tcPr>
            <w:tcW w:w="4621" w:type="dxa"/>
          </w:tcPr>
          <w:p w:rsidR="00B97965" w:rsidRPr="00CE0BFA" w:rsidRDefault="00B97965" w:rsidP="00B97965">
            <w:pPr>
              <w:rPr>
                <w:sz w:val="15"/>
                <w:szCs w:val="15"/>
              </w:rPr>
            </w:pPr>
            <w:r w:rsidRPr="00CE0BFA">
              <w:rPr>
                <w:sz w:val="15"/>
                <w:szCs w:val="15"/>
              </w:rPr>
              <w:t>70. Accelerated hypertension</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28. Aseptic meningitis</w:t>
            </w:r>
          </w:p>
        </w:tc>
        <w:tc>
          <w:tcPr>
            <w:tcW w:w="4621" w:type="dxa"/>
          </w:tcPr>
          <w:p w:rsidR="00B97965" w:rsidRPr="00CE0BFA" w:rsidRDefault="00B97965" w:rsidP="00B97965">
            <w:pPr>
              <w:rPr>
                <w:sz w:val="15"/>
                <w:szCs w:val="15"/>
              </w:rPr>
            </w:pPr>
            <w:r w:rsidRPr="00CE0BFA">
              <w:rPr>
                <w:sz w:val="15"/>
                <w:szCs w:val="15"/>
              </w:rPr>
              <w:t>71. Dipstick (-=1,++=2,+++=3)</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29. Mononeuritis multiplex</w:t>
            </w:r>
          </w:p>
        </w:tc>
        <w:tc>
          <w:tcPr>
            <w:tcW w:w="4621" w:type="dxa"/>
          </w:tcPr>
          <w:p w:rsidR="00B97965" w:rsidRPr="00CE0BFA" w:rsidRDefault="00B97965" w:rsidP="00B97965">
            <w:pPr>
              <w:rPr>
                <w:sz w:val="15"/>
                <w:szCs w:val="15"/>
              </w:rPr>
            </w:pPr>
            <w:r w:rsidRPr="00CE0BFA">
              <w:rPr>
                <w:sz w:val="15"/>
                <w:szCs w:val="15"/>
              </w:rPr>
              <w:t>72. 24 h urine protein (g)</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30. Ascending or transverse myelitis</w:t>
            </w:r>
          </w:p>
        </w:tc>
        <w:tc>
          <w:tcPr>
            <w:tcW w:w="4621" w:type="dxa"/>
          </w:tcPr>
          <w:p w:rsidR="00B97965" w:rsidRPr="00CE0BFA" w:rsidRDefault="00B97965" w:rsidP="00B97965">
            <w:pPr>
              <w:rPr>
                <w:sz w:val="15"/>
                <w:szCs w:val="15"/>
              </w:rPr>
            </w:pPr>
            <w:r w:rsidRPr="00CE0BFA">
              <w:rPr>
                <w:sz w:val="15"/>
                <w:szCs w:val="15"/>
              </w:rPr>
              <w:t>73. Newly documented proteinuria of &gt;1 g/24 h</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31. Peripheral or cranial neuropathy</w:t>
            </w:r>
          </w:p>
        </w:tc>
        <w:tc>
          <w:tcPr>
            <w:tcW w:w="4621" w:type="dxa"/>
          </w:tcPr>
          <w:p w:rsidR="00B97965" w:rsidRPr="00CE0BFA" w:rsidRDefault="00B97965" w:rsidP="00B97965">
            <w:pPr>
              <w:rPr>
                <w:sz w:val="15"/>
                <w:szCs w:val="15"/>
              </w:rPr>
            </w:pPr>
            <w:r w:rsidRPr="00CE0BFA">
              <w:rPr>
                <w:sz w:val="15"/>
                <w:szCs w:val="15"/>
              </w:rPr>
              <w:t>74. Nephrotic syndrome</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32. Disc swelling/cytoid bodies</w:t>
            </w:r>
          </w:p>
        </w:tc>
        <w:tc>
          <w:tcPr>
            <w:tcW w:w="4621" w:type="dxa"/>
          </w:tcPr>
          <w:p w:rsidR="00B97965" w:rsidRPr="00CE0BFA" w:rsidRDefault="00B97965" w:rsidP="00B97965">
            <w:pPr>
              <w:rPr>
                <w:sz w:val="15"/>
                <w:szCs w:val="15"/>
              </w:rPr>
            </w:pPr>
            <w:r w:rsidRPr="00CE0BFA">
              <w:rPr>
                <w:sz w:val="15"/>
                <w:szCs w:val="15"/>
              </w:rPr>
              <w:t>75. Creatinine (plasma/serum)</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33. Chorea</w:t>
            </w:r>
          </w:p>
        </w:tc>
        <w:tc>
          <w:tcPr>
            <w:tcW w:w="4621" w:type="dxa"/>
          </w:tcPr>
          <w:p w:rsidR="00B97965" w:rsidRPr="00CE0BFA" w:rsidRDefault="00B97965" w:rsidP="00B97965">
            <w:pPr>
              <w:rPr>
                <w:sz w:val="15"/>
                <w:szCs w:val="15"/>
              </w:rPr>
            </w:pPr>
            <w:r w:rsidRPr="00CE0BFA">
              <w:rPr>
                <w:sz w:val="15"/>
                <w:szCs w:val="15"/>
              </w:rPr>
              <w:t>76. Creatinine clearance/GFR (ml/min)</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34. Cerebellar ataxia</w:t>
            </w:r>
          </w:p>
        </w:tc>
        <w:tc>
          <w:tcPr>
            <w:tcW w:w="4621" w:type="dxa"/>
          </w:tcPr>
          <w:p w:rsidR="00B97965" w:rsidRPr="00CE0BFA" w:rsidRDefault="00B97965" w:rsidP="00B97965">
            <w:pPr>
              <w:rPr>
                <w:sz w:val="15"/>
                <w:szCs w:val="15"/>
              </w:rPr>
            </w:pPr>
            <w:r w:rsidRPr="00CE0BFA">
              <w:rPr>
                <w:sz w:val="15"/>
                <w:szCs w:val="15"/>
              </w:rPr>
              <w:t>77. Active urinary sediment</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35. Headaches – severe unremitting</w:t>
            </w:r>
          </w:p>
        </w:tc>
        <w:tc>
          <w:tcPr>
            <w:tcW w:w="4621" w:type="dxa"/>
            <w:tcBorders>
              <w:bottom w:val="single" w:sz="8" w:space="0" w:color="auto"/>
            </w:tcBorders>
          </w:tcPr>
          <w:p w:rsidR="00B97965" w:rsidRPr="00CE0BFA" w:rsidRDefault="00B97965" w:rsidP="00B97965">
            <w:pPr>
              <w:rPr>
                <w:sz w:val="15"/>
                <w:szCs w:val="15"/>
              </w:rPr>
            </w:pPr>
            <w:r w:rsidRPr="00CE0BFA">
              <w:rPr>
                <w:sz w:val="15"/>
                <w:szCs w:val="15"/>
              </w:rPr>
              <w:t>78. Histological evidence of active nephritis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36. Organic depressive illness</w:t>
            </w:r>
          </w:p>
        </w:tc>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Hematology (Answer with number (value) or Y/N)</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37. Organic brain syndrome inc. pseudotumour cerebri</w:t>
            </w:r>
          </w:p>
        </w:tc>
        <w:tc>
          <w:tcPr>
            <w:tcW w:w="4621" w:type="dxa"/>
            <w:tcBorders>
              <w:top w:val="single" w:sz="8" w:space="0" w:color="auto"/>
            </w:tcBorders>
          </w:tcPr>
          <w:p w:rsidR="00B97965" w:rsidRPr="00CE0BFA" w:rsidRDefault="00B97965" w:rsidP="00B97965">
            <w:pPr>
              <w:rPr>
                <w:sz w:val="15"/>
                <w:szCs w:val="15"/>
              </w:rPr>
            </w:pPr>
            <w:r w:rsidRPr="00CE0BFA">
              <w:rPr>
                <w:sz w:val="15"/>
                <w:szCs w:val="15"/>
              </w:rPr>
              <w:t>79. Haemoglobin (g/dl)</w:t>
            </w:r>
          </w:p>
        </w:tc>
      </w:tr>
      <w:tr w:rsidR="00B97965" w:rsidRPr="00CE0BFA" w:rsidTr="00B97965">
        <w:trPr>
          <w:trHeight w:val="20"/>
        </w:trPr>
        <w:tc>
          <w:tcPr>
            <w:tcW w:w="4621" w:type="dxa"/>
            <w:tcBorders>
              <w:bottom w:val="single" w:sz="8" w:space="0" w:color="auto"/>
            </w:tcBorders>
          </w:tcPr>
          <w:p w:rsidR="00B97965" w:rsidRPr="00CE0BFA" w:rsidRDefault="00B97965" w:rsidP="00B97965">
            <w:pPr>
              <w:rPr>
                <w:sz w:val="15"/>
                <w:szCs w:val="15"/>
              </w:rPr>
            </w:pPr>
            <w:r w:rsidRPr="00CE0BFA">
              <w:rPr>
                <w:sz w:val="15"/>
                <w:szCs w:val="15"/>
              </w:rPr>
              <w:t>38. Episodic migrainous headaches</w:t>
            </w:r>
          </w:p>
        </w:tc>
        <w:tc>
          <w:tcPr>
            <w:tcW w:w="4621" w:type="dxa"/>
          </w:tcPr>
          <w:p w:rsidR="00B97965" w:rsidRPr="00CE0BFA" w:rsidRDefault="00B97965" w:rsidP="00B97965">
            <w:pPr>
              <w:rPr>
                <w:sz w:val="15"/>
                <w:szCs w:val="15"/>
              </w:rPr>
            </w:pPr>
            <w:r w:rsidRPr="00CE0BFA">
              <w:rPr>
                <w:sz w:val="15"/>
                <w:szCs w:val="15"/>
              </w:rPr>
              <w:t>80. Total white cell count x10</w:t>
            </w:r>
            <w:r w:rsidRPr="00CE0BFA">
              <w:rPr>
                <w:sz w:val="15"/>
                <w:szCs w:val="15"/>
                <w:vertAlign w:val="superscript"/>
              </w:rPr>
              <w:t>9</w:t>
            </w:r>
            <w:r w:rsidRPr="00CE0BFA">
              <w:rPr>
                <w:sz w:val="15"/>
                <w:szCs w:val="15"/>
              </w:rPr>
              <w:t>/l</w:t>
            </w:r>
          </w:p>
        </w:tc>
      </w:tr>
      <w:tr w:rsidR="00B97965" w:rsidRPr="00CE0BFA" w:rsidTr="00B97965">
        <w:trPr>
          <w:trHeight w:val="20"/>
        </w:trPr>
        <w:tc>
          <w:tcPr>
            <w:tcW w:w="4621" w:type="dxa"/>
            <w:tcBorders>
              <w:top w:val="single" w:sz="8" w:space="0" w:color="auto"/>
              <w:bottom w:val="single" w:sz="8" w:space="0" w:color="auto"/>
            </w:tcBorders>
          </w:tcPr>
          <w:p w:rsidR="00B97965" w:rsidRPr="00CE0BFA" w:rsidRDefault="00B97965" w:rsidP="00B97965">
            <w:pPr>
              <w:rPr>
                <w:b/>
                <w:bCs/>
                <w:sz w:val="15"/>
                <w:szCs w:val="15"/>
              </w:rPr>
            </w:pPr>
            <w:r w:rsidRPr="00CE0BFA">
              <w:rPr>
                <w:b/>
                <w:bCs/>
                <w:sz w:val="15"/>
                <w:szCs w:val="15"/>
              </w:rPr>
              <w:t>Musculoskeletal (Answer 1) Improving 2) Same 3) Worse 4) New)</w:t>
            </w:r>
          </w:p>
        </w:tc>
        <w:tc>
          <w:tcPr>
            <w:tcW w:w="4621" w:type="dxa"/>
          </w:tcPr>
          <w:p w:rsidR="00B97965" w:rsidRPr="00CE0BFA" w:rsidRDefault="00B97965" w:rsidP="00B97965">
            <w:pPr>
              <w:rPr>
                <w:sz w:val="15"/>
                <w:szCs w:val="15"/>
              </w:rPr>
            </w:pPr>
            <w:r w:rsidRPr="00CE0BFA">
              <w:rPr>
                <w:sz w:val="15"/>
                <w:szCs w:val="15"/>
              </w:rPr>
              <w:t>81. Neutrophils x10</w:t>
            </w:r>
            <w:r w:rsidRPr="00CE0BFA">
              <w:rPr>
                <w:sz w:val="15"/>
                <w:szCs w:val="15"/>
                <w:vertAlign w:val="superscript"/>
              </w:rPr>
              <w:t>9</w:t>
            </w:r>
            <w:r w:rsidRPr="00CE0BFA">
              <w:rPr>
                <w:sz w:val="15"/>
                <w:szCs w:val="15"/>
              </w:rPr>
              <w:t>/l</w:t>
            </w:r>
          </w:p>
        </w:tc>
      </w:tr>
      <w:tr w:rsidR="00B97965" w:rsidRPr="00CE0BFA" w:rsidTr="00B97965">
        <w:trPr>
          <w:trHeight w:val="20"/>
        </w:trPr>
        <w:tc>
          <w:tcPr>
            <w:tcW w:w="4621" w:type="dxa"/>
            <w:tcBorders>
              <w:top w:val="single" w:sz="8" w:space="0" w:color="auto"/>
            </w:tcBorders>
          </w:tcPr>
          <w:p w:rsidR="00B97965" w:rsidRPr="00CE0BFA" w:rsidRDefault="00B97965" w:rsidP="00B97965">
            <w:pPr>
              <w:rPr>
                <w:sz w:val="15"/>
                <w:szCs w:val="15"/>
              </w:rPr>
            </w:pPr>
            <w:r w:rsidRPr="00CE0BFA">
              <w:rPr>
                <w:sz w:val="15"/>
                <w:szCs w:val="15"/>
              </w:rPr>
              <w:t xml:space="preserve">39. Definite myositis </w:t>
            </w:r>
          </w:p>
        </w:tc>
        <w:tc>
          <w:tcPr>
            <w:tcW w:w="4621" w:type="dxa"/>
          </w:tcPr>
          <w:p w:rsidR="00B97965" w:rsidRPr="00CE0BFA" w:rsidRDefault="00B97965" w:rsidP="00B97965">
            <w:pPr>
              <w:rPr>
                <w:sz w:val="15"/>
                <w:szCs w:val="15"/>
              </w:rPr>
            </w:pPr>
            <w:r w:rsidRPr="00CE0BFA">
              <w:rPr>
                <w:sz w:val="15"/>
                <w:szCs w:val="15"/>
              </w:rPr>
              <w:t>82. Lymphocytes x 10</w:t>
            </w:r>
            <w:r w:rsidRPr="00CE0BFA">
              <w:rPr>
                <w:sz w:val="15"/>
                <w:szCs w:val="15"/>
                <w:vertAlign w:val="superscript"/>
              </w:rPr>
              <w:t>9</w:t>
            </w:r>
            <w:r w:rsidRPr="00CE0BFA">
              <w:rPr>
                <w:sz w:val="15"/>
                <w:szCs w:val="15"/>
              </w:rPr>
              <w:t>/l</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40. Severe polyarthritis – with loss of function</w:t>
            </w:r>
          </w:p>
        </w:tc>
        <w:tc>
          <w:tcPr>
            <w:tcW w:w="4621" w:type="dxa"/>
          </w:tcPr>
          <w:p w:rsidR="00B97965" w:rsidRPr="00CE0BFA" w:rsidRDefault="00B97965" w:rsidP="00B97965">
            <w:pPr>
              <w:rPr>
                <w:sz w:val="15"/>
                <w:szCs w:val="15"/>
              </w:rPr>
            </w:pPr>
            <w:r w:rsidRPr="00CE0BFA">
              <w:rPr>
                <w:sz w:val="15"/>
                <w:szCs w:val="15"/>
              </w:rPr>
              <w:t>83. Platelets x 10</w:t>
            </w:r>
            <w:r w:rsidRPr="00CE0BFA">
              <w:rPr>
                <w:sz w:val="15"/>
                <w:szCs w:val="15"/>
                <w:vertAlign w:val="superscript"/>
              </w:rPr>
              <w:t>9</w:t>
            </w:r>
            <w:r w:rsidRPr="00CE0BFA">
              <w:rPr>
                <w:sz w:val="15"/>
                <w:szCs w:val="15"/>
              </w:rPr>
              <w:t>/l</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41. Arthritis</w:t>
            </w:r>
          </w:p>
        </w:tc>
        <w:tc>
          <w:tcPr>
            <w:tcW w:w="4621" w:type="dxa"/>
          </w:tcPr>
          <w:p w:rsidR="00B97965" w:rsidRPr="00CE0BFA" w:rsidRDefault="00B97965" w:rsidP="00B97965">
            <w:pPr>
              <w:rPr>
                <w:sz w:val="15"/>
                <w:szCs w:val="15"/>
              </w:rPr>
            </w:pPr>
            <w:r w:rsidRPr="00CE0BFA">
              <w:rPr>
                <w:sz w:val="15"/>
                <w:szCs w:val="15"/>
              </w:rPr>
              <w:t>84. Evidence of active haemolysis</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42. Tendonitis</w:t>
            </w:r>
          </w:p>
        </w:tc>
        <w:tc>
          <w:tcPr>
            <w:tcW w:w="4621" w:type="dxa"/>
          </w:tcPr>
          <w:p w:rsidR="00B97965" w:rsidRPr="00CE0BFA" w:rsidRDefault="00B97965" w:rsidP="00B97965">
            <w:pPr>
              <w:rPr>
                <w:sz w:val="15"/>
                <w:szCs w:val="15"/>
              </w:rPr>
            </w:pPr>
            <w:r w:rsidRPr="00CE0BFA">
              <w:rPr>
                <w:sz w:val="15"/>
                <w:szCs w:val="15"/>
              </w:rPr>
              <w:t>85. Coombs test positive</w:t>
            </w:r>
          </w:p>
        </w:tc>
      </w:tr>
      <w:tr w:rsidR="00B97965" w:rsidRPr="00CE0BFA" w:rsidTr="00B97965">
        <w:trPr>
          <w:trHeight w:val="20"/>
        </w:trPr>
        <w:tc>
          <w:tcPr>
            <w:tcW w:w="4621" w:type="dxa"/>
          </w:tcPr>
          <w:p w:rsidR="00B97965" w:rsidRPr="00CE0BFA" w:rsidRDefault="00B97965" w:rsidP="00B97965">
            <w:pPr>
              <w:rPr>
                <w:sz w:val="15"/>
                <w:szCs w:val="15"/>
              </w:rPr>
            </w:pPr>
            <w:r w:rsidRPr="00CE0BFA">
              <w:rPr>
                <w:sz w:val="15"/>
                <w:szCs w:val="15"/>
              </w:rPr>
              <w:t>43. Mild chronic myositis</w:t>
            </w:r>
          </w:p>
        </w:tc>
        <w:tc>
          <w:tcPr>
            <w:tcW w:w="4621" w:type="dxa"/>
          </w:tcPr>
          <w:p w:rsidR="00B97965" w:rsidRPr="00CE0BFA" w:rsidRDefault="00B97965" w:rsidP="00B97965">
            <w:pPr>
              <w:rPr>
                <w:sz w:val="15"/>
                <w:szCs w:val="15"/>
              </w:rPr>
            </w:pPr>
            <w:r w:rsidRPr="00CE0BFA">
              <w:rPr>
                <w:sz w:val="15"/>
                <w:szCs w:val="15"/>
              </w:rPr>
              <w:t>86. Evidence of circulating anticoagulant</w:t>
            </w:r>
          </w:p>
        </w:tc>
      </w:tr>
    </w:tbl>
    <w:p w:rsidR="00B97965" w:rsidRDefault="00B97965" w:rsidP="00B97965">
      <w:pPr>
        <w:spacing w:after="0" w:afterAutospacing="0" w:line="240" w:lineRule="auto"/>
        <w:rPr>
          <w:b/>
          <w:bCs/>
          <w:sz w:val="18"/>
          <w:szCs w:val="16"/>
        </w:rPr>
      </w:pPr>
    </w:p>
    <w:p w:rsidR="00B97965" w:rsidRDefault="00B97965" w:rsidP="00234693">
      <w:pPr>
        <w:pStyle w:val="Caption"/>
      </w:pPr>
      <w:r>
        <w:t xml:space="preserve">Table </w:t>
      </w:r>
      <w:fldSimple w:instr=" SEQ Table \* ARABIC ">
        <w:r w:rsidR="004911B7">
          <w:rPr>
            <w:noProof/>
          </w:rPr>
          <w:t>55</w:t>
        </w:r>
      </w:fldSimple>
      <w:bookmarkEnd w:id="665"/>
      <w:r>
        <w:t xml:space="preserve">: The SLICC/ACR </w:t>
      </w:r>
      <w:bookmarkEnd w:id="666"/>
      <w:r>
        <w:t>Damage Index</w:t>
      </w:r>
    </w:p>
    <w:tbl>
      <w:tblPr>
        <w:tblW w:w="0" w:type="auto"/>
        <w:tblBorders>
          <w:top w:val="single" w:sz="12" w:space="0" w:color="auto"/>
          <w:bottom w:val="single" w:sz="12" w:space="0" w:color="auto"/>
        </w:tblBorders>
        <w:tblLook w:val="04A0"/>
      </w:tblPr>
      <w:tblGrid>
        <w:gridCol w:w="7053"/>
        <w:gridCol w:w="1361"/>
      </w:tblGrid>
      <w:tr w:rsidR="00B97965" w:rsidRPr="004843B2" w:rsidTr="00B97965">
        <w:tc>
          <w:tcPr>
            <w:tcW w:w="7763" w:type="dxa"/>
            <w:tcBorders>
              <w:top w:val="single" w:sz="12"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Ocular</w:t>
            </w:r>
          </w:p>
        </w:tc>
        <w:tc>
          <w:tcPr>
            <w:tcW w:w="1479" w:type="dxa"/>
            <w:tcBorders>
              <w:top w:val="single" w:sz="12"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Any cataract ever</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Retinal change or optic atrophy</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Neuropsychiatric</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Cognitive impairment (e.g. memory deficit, difficulty with calculation, poor concentration, difficulty in spoken or written language, impaired performance levels) or major psychosis</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Seizures requiring therapy for 6 months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Cerebrovascular accident ever (score 2&gt;1)</w:t>
            </w:r>
          </w:p>
        </w:tc>
        <w:tc>
          <w:tcPr>
            <w:tcW w:w="1479" w:type="dxa"/>
          </w:tcPr>
          <w:p w:rsidR="00B97965" w:rsidRPr="00041032" w:rsidRDefault="00B97965" w:rsidP="00B97965">
            <w:pPr>
              <w:spacing w:line="240" w:lineRule="auto"/>
              <w:rPr>
                <w:sz w:val="18"/>
                <w:szCs w:val="18"/>
              </w:rPr>
            </w:pPr>
            <w:r w:rsidRPr="00041032">
              <w:rPr>
                <w:sz w:val="18"/>
                <w:szCs w:val="18"/>
              </w:rPr>
              <w:t>1 (2)</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Cranial or peripheral neuropathy (excluding optic)</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Transverse myelitis</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Renal</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Estimated or measured glomerular filtration &lt;50%</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Proteinuria ≥3.5 gm/24hours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OR End stage renal disease (regardless of dialysis or transplantation)</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3</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Pulmonary</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Pulmonary hypertension (right ventricular prominence or loud P2)</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Pulmonary fibrosis (physical and radiograph)</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Shrinking lung (radiograph)</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Pleural fibrosis (radiograph)</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Pulmonary infarction (radiograph)</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Cardiovascular</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 xml:space="preserve">Angina or coronary artery bypass </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Myocardial infarction ever (score 2 if &gt;1)</w:t>
            </w:r>
          </w:p>
        </w:tc>
        <w:tc>
          <w:tcPr>
            <w:tcW w:w="1479" w:type="dxa"/>
          </w:tcPr>
          <w:p w:rsidR="00B97965" w:rsidRPr="00041032" w:rsidRDefault="00B97965" w:rsidP="00B97965">
            <w:pPr>
              <w:spacing w:line="240" w:lineRule="auto"/>
              <w:rPr>
                <w:sz w:val="18"/>
                <w:szCs w:val="18"/>
              </w:rPr>
            </w:pPr>
            <w:r w:rsidRPr="00041032">
              <w:rPr>
                <w:sz w:val="18"/>
                <w:szCs w:val="18"/>
              </w:rPr>
              <w:t>1 (2)</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Cardiomyopathy (ventricular dysfunction)</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Valvular disease (diastolic murmur, or systolic murmur &gt;3/6)</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Peripheral Vascular</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Claudication for 6 months</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Minor tissue loss (pulp space)</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Significant tissue loss ever (e.g. loss of digit or limb (score 2 if &gt;1 site)</w:t>
            </w:r>
          </w:p>
        </w:tc>
        <w:tc>
          <w:tcPr>
            <w:tcW w:w="1479" w:type="dxa"/>
          </w:tcPr>
          <w:p w:rsidR="00B97965" w:rsidRPr="00041032" w:rsidRDefault="00B97965" w:rsidP="00B97965">
            <w:pPr>
              <w:spacing w:line="240" w:lineRule="auto"/>
              <w:rPr>
                <w:sz w:val="18"/>
                <w:szCs w:val="18"/>
              </w:rPr>
            </w:pPr>
            <w:r w:rsidRPr="00041032">
              <w:rPr>
                <w:sz w:val="18"/>
                <w:szCs w:val="18"/>
              </w:rPr>
              <w:t>1 (2)</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Venous thrombosis with swelling, ulceration, or venous stasis</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Gastrointestinal</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Infarction or resection of bowel below duodenum spleen, liver, or gall bladder ever, for cause an (score 2 if &gt;1 site)</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 (2)</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Mesenteric insufficiency</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Chronic peritonitis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Stricture of upper gastrointestinal tract surgery</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Musculoskeletal</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Muscle atrophy or weakness</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Deforming or erosive arthritis (including reducible deformities)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Osteoporosis with fracture or vertebral collapse (excluding avascular necrosis)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Avascular necrosis (score 2 if &gt;1)</w:t>
            </w:r>
          </w:p>
        </w:tc>
        <w:tc>
          <w:tcPr>
            <w:tcW w:w="1479" w:type="dxa"/>
          </w:tcPr>
          <w:p w:rsidR="00B97965" w:rsidRPr="00041032" w:rsidRDefault="00B97965" w:rsidP="00B97965">
            <w:pPr>
              <w:spacing w:line="240" w:lineRule="auto"/>
              <w:rPr>
                <w:sz w:val="18"/>
                <w:szCs w:val="18"/>
              </w:rPr>
            </w:pPr>
            <w:r w:rsidRPr="00041032">
              <w:rPr>
                <w:sz w:val="18"/>
                <w:szCs w:val="18"/>
              </w:rPr>
              <w:t>1 (2)</w:t>
            </w:r>
          </w:p>
        </w:tc>
      </w:tr>
      <w:tr w:rsidR="00B97965" w:rsidRPr="004843B2" w:rsidTr="00B97965">
        <w:tc>
          <w:tcPr>
            <w:tcW w:w="7763"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Osteomyelitis</w:t>
            </w:r>
          </w:p>
        </w:tc>
        <w:tc>
          <w:tcPr>
            <w:tcW w:w="1479" w:type="dxa"/>
            <w:tcBorders>
              <w:bottom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Borders>
              <w:top w:val="single" w:sz="8" w:space="0" w:color="auto"/>
              <w:bottom w:val="single" w:sz="8" w:space="0" w:color="auto"/>
            </w:tcBorders>
          </w:tcPr>
          <w:p w:rsidR="00B97965" w:rsidRPr="00041032" w:rsidRDefault="00B97965" w:rsidP="00B97965">
            <w:pPr>
              <w:spacing w:line="240" w:lineRule="auto"/>
              <w:rPr>
                <w:sz w:val="18"/>
                <w:szCs w:val="18"/>
              </w:rPr>
            </w:pPr>
            <w:r w:rsidRPr="00041032">
              <w:rPr>
                <w:sz w:val="18"/>
                <w:szCs w:val="18"/>
              </w:rPr>
              <w:t>Skin</w:t>
            </w:r>
          </w:p>
        </w:tc>
        <w:tc>
          <w:tcPr>
            <w:tcW w:w="1479" w:type="dxa"/>
            <w:tcBorders>
              <w:top w:val="single" w:sz="8" w:space="0" w:color="auto"/>
              <w:bottom w:val="single" w:sz="8" w:space="0" w:color="auto"/>
            </w:tcBorders>
          </w:tcPr>
          <w:p w:rsidR="00B97965" w:rsidRPr="00041032" w:rsidRDefault="00B97965" w:rsidP="00B97965">
            <w:pPr>
              <w:spacing w:line="240" w:lineRule="auto"/>
              <w:rPr>
                <w:sz w:val="18"/>
                <w:szCs w:val="18"/>
              </w:rPr>
            </w:pPr>
          </w:p>
        </w:tc>
      </w:tr>
      <w:tr w:rsidR="00B97965" w:rsidRPr="004843B2" w:rsidTr="00B97965">
        <w:tc>
          <w:tcPr>
            <w:tcW w:w="7763"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Scarring chronic alopecia</w:t>
            </w:r>
          </w:p>
        </w:tc>
        <w:tc>
          <w:tcPr>
            <w:tcW w:w="1479" w:type="dxa"/>
            <w:tcBorders>
              <w:top w:val="single" w:sz="8" w:space="0" w:color="auto"/>
            </w:tcBorders>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Extensive scarring or panniculum other than scalp and pulp space</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Skin ulceration (sxcluding thrombosis) for &gt;6 months</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Premature gonadal failure</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Diabetes (regardless of treatment)</w:t>
            </w:r>
          </w:p>
        </w:tc>
        <w:tc>
          <w:tcPr>
            <w:tcW w:w="1479" w:type="dxa"/>
          </w:tcPr>
          <w:p w:rsidR="00B97965" w:rsidRPr="00041032" w:rsidRDefault="00B97965" w:rsidP="00B97965">
            <w:pPr>
              <w:spacing w:line="240" w:lineRule="auto"/>
              <w:rPr>
                <w:sz w:val="18"/>
                <w:szCs w:val="18"/>
              </w:rPr>
            </w:pPr>
            <w:r w:rsidRPr="00041032">
              <w:rPr>
                <w:sz w:val="18"/>
                <w:szCs w:val="18"/>
              </w:rPr>
              <w:t>1</w:t>
            </w:r>
          </w:p>
        </w:tc>
      </w:tr>
      <w:tr w:rsidR="00B97965" w:rsidRPr="004843B2" w:rsidTr="00B97965">
        <w:tc>
          <w:tcPr>
            <w:tcW w:w="7763" w:type="dxa"/>
          </w:tcPr>
          <w:p w:rsidR="00B97965" w:rsidRPr="00041032" w:rsidRDefault="00B97965" w:rsidP="00B97965">
            <w:pPr>
              <w:spacing w:line="240" w:lineRule="auto"/>
              <w:rPr>
                <w:sz w:val="18"/>
                <w:szCs w:val="18"/>
              </w:rPr>
            </w:pPr>
            <w:r w:rsidRPr="00041032">
              <w:rPr>
                <w:sz w:val="18"/>
                <w:szCs w:val="18"/>
              </w:rPr>
              <w:t>Malignancy (exclude dysplasia) (score 2 if &gt;1 site)</w:t>
            </w:r>
          </w:p>
        </w:tc>
        <w:tc>
          <w:tcPr>
            <w:tcW w:w="1479" w:type="dxa"/>
          </w:tcPr>
          <w:p w:rsidR="00B97965" w:rsidRPr="00041032" w:rsidRDefault="00B97965" w:rsidP="00B97965">
            <w:pPr>
              <w:spacing w:line="240" w:lineRule="auto"/>
              <w:rPr>
                <w:sz w:val="18"/>
                <w:szCs w:val="18"/>
              </w:rPr>
            </w:pPr>
            <w:r w:rsidRPr="00041032">
              <w:rPr>
                <w:sz w:val="18"/>
                <w:szCs w:val="18"/>
              </w:rPr>
              <w:t>1 (2)</w:t>
            </w:r>
          </w:p>
        </w:tc>
      </w:tr>
    </w:tbl>
    <w:p w:rsidR="00B97965" w:rsidRPr="004843B2" w:rsidRDefault="00B97965" w:rsidP="00B97965">
      <w:pPr>
        <w:rPr>
          <w:sz w:val="18"/>
          <w:szCs w:val="18"/>
        </w:rPr>
      </w:pPr>
    </w:p>
    <w:p w:rsidR="00B97965" w:rsidRPr="006864AC" w:rsidRDefault="00B97965" w:rsidP="00B97965"/>
    <w:p w:rsidR="00B97965" w:rsidRDefault="00B97965" w:rsidP="00B97965">
      <w:pPr>
        <w:spacing w:after="0" w:afterAutospacing="0" w:line="240" w:lineRule="auto"/>
        <w:rPr>
          <w:caps/>
          <w:spacing w:val="15"/>
          <w:szCs w:val="22"/>
        </w:rPr>
      </w:pPr>
      <w:r>
        <w:br w:type="page"/>
      </w:r>
    </w:p>
    <w:p w:rsidR="00B97965" w:rsidRPr="00BE457B" w:rsidRDefault="00B97965" w:rsidP="00BE457B">
      <w:pPr>
        <w:pStyle w:val="Heading1"/>
        <w:numPr>
          <w:ilvl w:val="0"/>
          <w:numId w:val="0"/>
        </w:numPr>
        <w:rPr>
          <w:rStyle w:val="Emphasis"/>
          <w:spacing w:val="15"/>
        </w:rPr>
      </w:pPr>
      <w:bookmarkStart w:id="667" w:name="_Toc379467706"/>
      <w:r>
        <w:t>Appendix</w:t>
      </w:r>
      <w:r w:rsidR="00396982">
        <w:t xml:space="preserve"> 2</w:t>
      </w:r>
      <w:r w:rsidR="00BE457B">
        <w:t xml:space="preserve">: </w:t>
      </w:r>
      <w:r w:rsidRPr="00234693">
        <w:rPr>
          <w:rStyle w:val="Emphasis"/>
        </w:rPr>
        <w:t>Randomised Controlled Trial Pipeline Search</w:t>
      </w:r>
      <w:bookmarkEnd w:id="667"/>
    </w:p>
    <w:p w:rsidR="00B97965" w:rsidRDefault="00B97965" w:rsidP="00B97965">
      <w:r>
        <w:t xml:space="preserve">A search was conducted on the website </w:t>
      </w:r>
      <w:hyperlink r:id="rId77" w:history="1">
        <w:r w:rsidRPr="007A227E">
          <w:rPr>
            <w:rStyle w:val="Hyperlink"/>
          </w:rPr>
          <w:t>www.clinicaltrials.gov</w:t>
        </w:r>
      </w:hyperlink>
      <w:r>
        <w:t xml:space="preserve"> to identify ongoing trials in SLE. </w:t>
      </w:r>
    </w:p>
    <w:p w:rsidR="00B97965" w:rsidRDefault="00B97965" w:rsidP="00B97965">
      <w:r>
        <w:t>The search was conducted on 7</w:t>
      </w:r>
      <w:r w:rsidRPr="000B524C">
        <w:rPr>
          <w:vertAlign w:val="superscript"/>
        </w:rPr>
        <w:t>th</w:t>
      </w:r>
      <w:r>
        <w:t xml:space="preserve"> April 2010 using the search terms Systemic Lupus Erythematosus. The search was restricted to studies registered in the last 2 years. </w:t>
      </w:r>
    </w:p>
    <w:p w:rsidR="00B97965" w:rsidRDefault="00B97965" w:rsidP="00B97965">
      <w:pPr>
        <w:spacing w:after="0" w:afterAutospacing="0"/>
      </w:pPr>
      <w:r>
        <w:t>Studies were included in the review if they met the following inclusion criteria:</w:t>
      </w:r>
    </w:p>
    <w:p w:rsidR="00B97965" w:rsidRDefault="00B97965" w:rsidP="00B97965">
      <w:pPr>
        <w:pStyle w:val="ListParagraph"/>
        <w:numPr>
          <w:ilvl w:val="0"/>
          <w:numId w:val="33"/>
        </w:numPr>
        <w:spacing w:after="240" w:afterAutospacing="0" w:line="240" w:lineRule="auto"/>
      </w:pPr>
      <w:r>
        <w:t>ACR SLE diagnosis used in the inclusion criteria</w:t>
      </w:r>
    </w:p>
    <w:p w:rsidR="00B97965" w:rsidRDefault="00B97965" w:rsidP="00B97965">
      <w:pPr>
        <w:pStyle w:val="ListParagraph"/>
        <w:numPr>
          <w:ilvl w:val="0"/>
          <w:numId w:val="33"/>
        </w:numPr>
        <w:spacing w:after="240" w:afterAutospacing="0" w:line="240" w:lineRule="auto"/>
      </w:pPr>
      <w:r>
        <w:t>Prospective studies of an pharmacological intervention</w:t>
      </w:r>
    </w:p>
    <w:p w:rsidR="00B97965" w:rsidRDefault="00B97965" w:rsidP="00B97965">
      <w:pPr>
        <w:spacing w:after="0" w:afterAutospacing="0"/>
      </w:pPr>
      <w:r>
        <w:t>The exclusion criteria were as follows:</w:t>
      </w:r>
    </w:p>
    <w:p w:rsidR="00B97965" w:rsidRDefault="00B97965" w:rsidP="00B97965">
      <w:pPr>
        <w:pStyle w:val="ListParagraph"/>
        <w:numPr>
          <w:ilvl w:val="0"/>
          <w:numId w:val="34"/>
        </w:numPr>
        <w:spacing w:after="0" w:afterAutospacing="0" w:line="240" w:lineRule="auto"/>
      </w:pPr>
      <w:r>
        <w:t>Studies in animals</w:t>
      </w:r>
    </w:p>
    <w:p w:rsidR="00B97965" w:rsidRDefault="00B97965" w:rsidP="00B97965">
      <w:pPr>
        <w:pStyle w:val="ListParagraph"/>
        <w:numPr>
          <w:ilvl w:val="0"/>
          <w:numId w:val="34"/>
        </w:numPr>
        <w:spacing w:after="0" w:afterAutospacing="0" w:line="240" w:lineRule="auto"/>
      </w:pPr>
      <w:r>
        <w:t>Terminated studies</w:t>
      </w:r>
    </w:p>
    <w:p w:rsidR="00B97965" w:rsidRDefault="00B97965" w:rsidP="00B97965">
      <w:pPr>
        <w:pStyle w:val="ListParagraph"/>
        <w:numPr>
          <w:ilvl w:val="0"/>
          <w:numId w:val="34"/>
        </w:numPr>
        <w:spacing w:after="0" w:afterAutospacing="0" w:line="240" w:lineRule="auto"/>
      </w:pPr>
      <w:r>
        <w:t>Nutritional supplements</w:t>
      </w:r>
    </w:p>
    <w:p w:rsidR="00B97965" w:rsidRDefault="00B97965" w:rsidP="00B97965">
      <w:pPr>
        <w:pStyle w:val="ListParagraph"/>
        <w:numPr>
          <w:ilvl w:val="0"/>
          <w:numId w:val="34"/>
        </w:numPr>
        <w:spacing w:after="0" w:afterAutospacing="0" w:line="240" w:lineRule="auto"/>
        <w:ind w:right="340"/>
      </w:pPr>
      <w:r>
        <w:t>Continuation studies</w:t>
      </w:r>
    </w:p>
    <w:p w:rsidR="00B97965" w:rsidRDefault="00B97965" w:rsidP="00B97965">
      <w:pPr>
        <w:spacing w:before="240"/>
      </w:pPr>
      <w:r>
        <w:t xml:space="preserve">The search identified 69 studies. Of these studies 18 met the inclusion criteria and are summarised below. </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782"/>
        <w:gridCol w:w="1197"/>
        <w:gridCol w:w="1207"/>
        <w:gridCol w:w="752"/>
        <w:gridCol w:w="879"/>
        <w:gridCol w:w="1270"/>
        <w:gridCol w:w="1327"/>
      </w:tblGrid>
      <w:tr w:rsidR="00B97965" w:rsidRPr="00722B01" w:rsidTr="00B97965">
        <w:trPr>
          <w:trHeight w:val="20"/>
        </w:trPr>
        <w:tc>
          <w:tcPr>
            <w:tcW w:w="1951"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Interventions</w:t>
            </w:r>
          </w:p>
        </w:tc>
        <w:tc>
          <w:tcPr>
            <w:tcW w:w="1257"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Comparators</w:t>
            </w:r>
          </w:p>
        </w:tc>
        <w:tc>
          <w:tcPr>
            <w:tcW w:w="1371"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Duration</w:t>
            </w:r>
          </w:p>
        </w:tc>
        <w:tc>
          <w:tcPr>
            <w:tcW w:w="774"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Sample</w:t>
            </w:r>
          </w:p>
        </w:tc>
        <w:tc>
          <w:tcPr>
            <w:tcW w:w="992"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Phase</w:t>
            </w:r>
          </w:p>
        </w:tc>
        <w:tc>
          <w:tcPr>
            <w:tcW w:w="1418"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sidRPr="00722B01">
              <w:rPr>
                <w:sz w:val="16"/>
                <w:szCs w:val="16"/>
              </w:rPr>
              <w:t>Status</w:t>
            </w:r>
          </w:p>
        </w:tc>
        <w:tc>
          <w:tcPr>
            <w:tcW w:w="1479" w:type="dxa"/>
            <w:tcBorders>
              <w:top w:val="single" w:sz="12" w:space="0" w:color="auto"/>
              <w:bottom w:val="single" w:sz="4" w:space="0" w:color="auto"/>
            </w:tcBorders>
          </w:tcPr>
          <w:p w:rsidR="00B97965" w:rsidRPr="00722B01" w:rsidRDefault="00B97965" w:rsidP="00221DD6">
            <w:pPr>
              <w:spacing w:before="120" w:line="276" w:lineRule="auto"/>
              <w:rPr>
                <w:sz w:val="16"/>
                <w:szCs w:val="16"/>
              </w:rPr>
            </w:pPr>
            <w:r>
              <w:rPr>
                <w:sz w:val="16"/>
                <w:szCs w:val="16"/>
              </w:rPr>
              <w:t>Expected completion date</w:t>
            </w:r>
          </w:p>
        </w:tc>
      </w:tr>
      <w:tr w:rsidR="00B97965" w:rsidRPr="00722B01" w:rsidTr="00B97965">
        <w:trPr>
          <w:trHeight w:val="20"/>
        </w:trPr>
        <w:tc>
          <w:tcPr>
            <w:tcW w:w="1951" w:type="dxa"/>
            <w:tcBorders>
              <w:top w:val="single" w:sz="4" w:space="0" w:color="auto"/>
            </w:tcBorders>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AMG 557</w:t>
            </w:r>
          </w:p>
        </w:tc>
        <w:tc>
          <w:tcPr>
            <w:tcW w:w="1257" w:type="dxa"/>
            <w:tcBorders>
              <w:top w:val="single" w:sz="4" w:space="0" w:color="auto"/>
            </w:tcBorders>
          </w:tcPr>
          <w:p w:rsidR="00B97965" w:rsidRPr="00722B01" w:rsidRDefault="00B97965" w:rsidP="00221DD6">
            <w:pPr>
              <w:spacing w:before="120" w:line="276" w:lineRule="auto"/>
              <w:rPr>
                <w:sz w:val="16"/>
                <w:szCs w:val="16"/>
              </w:rPr>
            </w:pPr>
            <w:r w:rsidRPr="00722B01">
              <w:rPr>
                <w:sz w:val="16"/>
                <w:szCs w:val="16"/>
              </w:rPr>
              <w:t>placebo</w:t>
            </w:r>
          </w:p>
        </w:tc>
        <w:tc>
          <w:tcPr>
            <w:tcW w:w="1371" w:type="dxa"/>
            <w:tcBorders>
              <w:top w:val="single" w:sz="4" w:space="0" w:color="auto"/>
            </w:tcBorders>
          </w:tcPr>
          <w:p w:rsidR="00B97965" w:rsidRPr="00722B01" w:rsidRDefault="00B97965" w:rsidP="00221DD6">
            <w:pPr>
              <w:spacing w:before="120" w:line="276" w:lineRule="auto"/>
              <w:rPr>
                <w:sz w:val="16"/>
                <w:szCs w:val="16"/>
              </w:rPr>
            </w:pPr>
            <w:r>
              <w:rPr>
                <w:sz w:val="16"/>
                <w:szCs w:val="16"/>
              </w:rPr>
              <w:t>not stated</w:t>
            </w:r>
          </w:p>
        </w:tc>
        <w:tc>
          <w:tcPr>
            <w:tcW w:w="774" w:type="dxa"/>
            <w:tcBorders>
              <w:top w:val="single" w:sz="4" w:space="0" w:color="auto"/>
            </w:tcBorders>
          </w:tcPr>
          <w:p w:rsidR="00B97965" w:rsidRPr="00722B01" w:rsidRDefault="00B97965" w:rsidP="00221DD6">
            <w:pPr>
              <w:spacing w:before="120" w:line="276" w:lineRule="auto"/>
              <w:rPr>
                <w:sz w:val="16"/>
                <w:szCs w:val="16"/>
              </w:rPr>
            </w:pPr>
            <w:r w:rsidRPr="00722B01">
              <w:rPr>
                <w:sz w:val="16"/>
                <w:szCs w:val="16"/>
              </w:rPr>
              <w:t>32</w:t>
            </w:r>
          </w:p>
        </w:tc>
        <w:tc>
          <w:tcPr>
            <w:tcW w:w="992" w:type="dxa"/>
            <w:tcBorders>
              <w:top w:val="single" w:sz="4" w:space="0" w:color="auto"/>
            </w:tcBorders>
          </w:tcPr>
          <w:p w:rsidR="00B97965" w:rsidRPr="00722B01" w:rsidRDefault="00B97965" w:rsidP="00221DD6">
            <w:pPr>
              <w:spacing w:before="120" w:line="276" w:lineRule="auto"/>
              <w:rPr>
                <w:sz w:val="16"/>
                <w:szCs w:val="16"/>
              </w:rPr>
            </w:pPr>
            <w:r w:rsidRPr="00722B01">
              <w:rPr>
                <w:sz w:val="16"/>
                <w:szCs w:val="16"/>
              </w:rPr>
              <w:t>Phase I</w:t>
            </w:r>
          </w:p>
        </w:tc>
        <w:tc>
          <w:tcPr>
            <w:tcW w:w="1418" w:type="dxa"/>
            <w:tcBorders>
              <w:top w:val="single" w:sz="4" w:space="0" w:color="auto"/>
            </w:tcBorders>
          </w:tcPr>
          <w:p w:rsidR="00B97965" w:rsidRPr="00722B01" w:rsidRDefault="00B97965" w:rsidP="00221DD6">
            <w:pPr>
              <w:spacing w:before="120" w:line="276" w:lineRule="auto"/>
              <w:rPr>
                <w:sz w:val="16"/>
                <w:szCs w:val="16"/>
              </w:rPr>
            </w:pPr>
            <w:r w:rsidRPr="00722B01">
              <w:rPr>
                <w:sz w:val="16"/>
                <w:szCs w:val="16"/>
              </w:rPr>
              <w:t>Recruiting</w:t>
            </w:r>
          </w:p>
        </w:tc>
        <w:tc>
          <w:tcPr>
            <w:tcW w:w="1479" w:type="dxa"/>
            <w:tcBorders>
              <w:top w:val="single" w:sz="4" w:space="0" w:color="auto"/>
            </w:tcBorders>
          </w:tcPr>
          <w:p w:rsidR="00B97965" w:rsidRPr="00722B01" w:rsidRDefault="00B97965" w:rsidP="00221DD6">
            <w:pPr>
              <w:spacing w:before="120" w:line="276" w:lineRule="auto"/>
              <w:rPr>
                <w:sz w:val="16"/>
                <w:szCs w:val="16"/>
              </w:rPr>
            </w:pPr>
            <w:r>
              <w:rPr>
                <w:sz w:val="16"/>
                <w:szCs w:val="16"/>
              </w:rPr>
              <w:t>Jan 2011</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AMG 811</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5 months</w:t>
            </w:r>
          </w:p>
        </w:tc>
        <w:tc>
          <w:tcPr>
            <w:tcW w:w="774" w:type="dxa"/>
          </w:tcPr>
          <w:p w:rsidR="00B97965" w:rsidRPr="00722B01" w:rsidRDefault="00B97965" w:rsidP="00221DD6">
            <w:pPr>
              <w:spacing w:before="120" w:line="276" w:lineRule="auto"/>
              <w:rPr>
                <w:sz w:val="16"/>
                <w:szCs w:val="16"/>
              </w:rPr>
            </w:pPr>
            <w:r w:rsidRPr="00722B01">
              <w:rPr>
                <w:sz w:val="16"/>
                <w:szCs w:val="16"/>
              </w:rPr>
              <w:t>48</w:t>
            </w:r>
          </w:p>
        </w:tc>
        <w:tc>
          <w:tcPr>
            <w:tcW w:w="992" w:type="dxa"/>
          </w:tcPr>
          <w:p w:rsidR="00B97965" w:rsidRPr="00722B01" w:rsidRDefault="00B97965" w:rsidP="00221DD6">
            <w:pPr>
              <w:spacing w:before="120" w:line="276" w:lineRule="auto"/>
              <w:rPr>
                <w:sz w:val="16"/>
                <w:szCs w:val="16"/>
              </w:rPr>
            </w:pPr>
            <w:r w:rsidRPr="00722B01">
              <w:rPr>
                <w:sz w:val="16"/>
                <w:szCs w:val="16"/>
              </w:rPr>
              <w:t>Phase 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May 2011</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NNC 0152-0000-0001</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Pr>
                <w:sz w:val="16"/>
                <w:szCs w:val="16"/>
              </w:rPr>
              <w:t>not stated</w:t>
            </w:r>
          </w:p>
        </w:tc>
        <w:tc>
          <w:tcPr>
            <w:tcW w:w="774" w:type="dxa"/>
          </w:tcPr>
          <w:p w:rsidR="00B97965" w:rsidRPr="00722B01" w:rsidRDefault="00B97965" w:rsidP="00221DD6">
            <w:pPr>
              <w:spacing w:before="120" w:line="276" w:lineRule="auto"/>
              <w:rPr>
                <w:sz w:val="16"/>
                <w:szCs w:val="16"/>
              </w:rPr>
            </w:pPr>
            <w:r w:rsidRPr="00722B01">
              <w:rPr>
                <w:sz w:val="16"/>
                <w:szCs w:val="16"/>
              </w:rPr>
              <w:t>56</w:t>
            </w:r>
          </w:p>
        </w:tc>
        <w:tc>
          <w:tcPr>
            <w:tcW w:w="992" w:type="dxa"/>
          </w:tcPr>
          <w:p w:rsidR="00B97965" w:rsidRPr="00722B01" w:rsidRDefault="00B97965" w:rsidP="00221DD6">
            <w:pPr>
              <w:spacing w:before="120" w:line="276" w:lineRule="auto"/>
              <w:rPr>
                <w:sz w:val="16"/>
                <w:szCs w:val="16"/>
              </w:rPr>
            </w:pPr>
            <w:r w:rsidRPr="00722B01">
              <w:rPr>
                <w:sz w:val="16"/>
                <w:szCs w:val="16"/>
              </w:rPr>
              <w:t>Phase 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Feb 2011</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SBI-087</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12 months</w:t>
            </w:r>
          </w:p>
        </w:tc>
        <w:tc>
          <w:tcPr>
            <w:tcW w:w="774" w:type="dxa"/>
          </w:tcPr>
          <w:p w:rsidR="00B97965" w:rsidRPr="00722B01" w:rsidRDefault="00B97965" w:rsidP="00221DD6">
            <w:pPr>
              <w:spacing w:before="120" w:line="276" w:lineRule="auto"/>
              <w:rPr>
                <w:sz w:val="16"/>
                <w:szCs w:val="16"/>
              </w:rPr>
            </w:pPr>
            <w:r w:rsidRPr="00722B01">
              <w:rPr>
                <w:sz w:val="16"/>
                <w:szCs w:val="16"/>
              </w:rPr>
              <w:t>24</w:t>
            </w:r>
          </w:p>
        </w:tc>
        <w:tc>
          <w:tcPr>
            <w:tcW w:w="992" w:type="dxa"/>
          </w:tcPr>
          <w:p w:rsidR="00B97965" w:rsidRPr="00722B01" w:rsidRDefault="00B97965" w:rsidP="00221DD6">
            <w:pPr>
              <w:spacing w:before="120" w:line="276" w:lineRule="auto"/>
              <w:rPr>
                <w:sz w:val="16"/>
                <w:szCs w:val="16"/>
              </w:rPr>
            </w:pPr>
            <w:r w:rsidRPr="00722B01">
              <w:rPr>
                <w:sz w:val="16"/>
                <w:szCs w:val="16"/>
              </w:rPr>
              <w:t>Phase 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Sept 2010</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CDP7657</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4 months</w:t>
            </w:r>
          </w:p>
        </w:tc>
        <w:tc>
          <w:tcPr>
            <w:tcW w:w="774" w:type="dxa"/>
          </w:tcPr>
          <w:p w:rsidR="00B97965" w:rsidRPr="00722B01" w:rsidRDefault="00B97965" w:rsidP="00221DD6">
            <w:pPr>
              <w:spacing w:before="120" w:line="276" w:lineRule="auto"/>
              <w:rPr>
                <w:sz w:val="16"/>
                <w:szCs w:val="16"/>
              </w:rPr>
            </w:pPr>
            <w:r w:rsidRPr="00722B01">
              <w:rPr>
                <w:sz w:val="16"/>
                <w:szCs w:val="16"/>
              </w:rPr>
              <w:t>44</w:t>
            </w:r>
          </w:p>
        </w:tc>
        <w:tc>
          <w:tcPr>
            <w:tcW w:w="992" w:type="dxa"/>
          </w:tcPr>
          <w:p w:rsidR="00B97965" w:rsidRPr="00722B01" w:rsidRDefault="00B97965" w:rsidP="00221DD6">
            <w:pPr>
              <w:spacing w:before="120" w:line="276" w:lineRule="auto"/>
              <w:rPr>
                <w:sz w:val="16"/>
                <w:szCs w:val="16"/>
              </w:rPr>
            </w:pPr>
            <w:r w:rsidRPr="00722B01">
              <w:rPr>
                <w:sz w:val="16"/>
                <w:szCs w:val="16"/>
              </w:rPr>
              <w:t>Phase 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Mar 2012</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N-acetylcysteine</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4 months</w:t>
            </w:r>
          </w:p>
        </w:tc>
        <w:tc>
          <w:tcPr>
            <w:tcW w:w="774" w:type="dxa"/>
          </w:tcPr>
          <w:p w:rsidR="00B97965" w:rsidRPr="00722B01" w:rsidRDefault="00B97965" w:rsidP="00221DD6">
            <w:pPr>
              <w:spacing w:before="120" w:line="276" w:lineRule="auto"/>
              <w:rPr>
                <w:sz w:val="16"/>
                <w:szCs w:val="16"/>
              </w:rPr>
            </w:pPr>
            <w:r w:rsidRPr="00722B01">
              <w:rPr>
                <w:sz w:val="16"/>
                <w:szCs w:val="16"/>
              </w:rPr>
              <w:t>80</w:t>
            </w:r>
          </w:p>
        </w:tc>
        <w:tc>
          <w:tcPr>
            <w:tcW w:w="992" w:type="dxa"/>
          </w:tcPr>
          <w:p w:rsidR="00B97965" w:rsidRPr="00722B01" w:rsidRDefault="00B97965" w:rsidP="00221DD6">
            <w:pPr>
              <w:spacing w:before="120" w:line="276" w:lineRule="auto"/>
              <w:rPr>
                <w:sz w:val="16"/>
                <w:szCs w:val="16"/>
              </w:rPr>
            </w:pPr>
            <w:r w:rsidRPr="00722B01">
              <w:rPr>
                <w:sz w:val="16"/>
                <w:szCs w:val="16"/>
              </w:rPr>
              <w:t>Phase I/II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Dec 2012</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IFN-K</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3 months</w:t>
            </w:r>
          </w:p>
        </w:tc>
        <w:tc>
          <w:tcPr>
            <w:tcW w:w="774" w:type="dxa"/>
          </w:tcPr>
          <w:p w:rsidR="00B97965" w:rsidRPr="00722B01" w:rsidRDefault="00B97965" w:rsidP="00221DD6">
            <w:pPr>
              <w:spacing w:before="120" w:line="276" w:lineRule="auto"/>
              <w:rPr>
                <w:sz w:val="16"/>
                <w:szCs w:val="16"/>
              </w:rPr>
            </w:pPr>
            <w:r w:rsidRPr="00722B01">
              <w:rPr>
                <w:sz w:val="16"/>
                <w:szCs w:val="16"/>
              </w:rPr>
              <w:t>28</w:t>
            </w:r>
          </w:p>
        </w:tc>
        <w:tc>
          <w:tcPr>
            <w:tcW w:w="992" w:type="dxa"/>
          </w:tcPr>
          <w:p w:rsidR="00B97965" w:rsidRPr="00722B01" w:rsidRDefault="00B97965" w:rsidP="00221DD6">
            <w:pPr>
              <w:spacing w:before="120" w:line="276" w:lineRule="auto"/>
              <w:rPr>
                <w:sz w:val="16"/>
                <w:szCs w:val="16"/>
              </w:rPr>
            </w:pPr>
            <w:r w:rsidRPr="00722B01">
              <w:rPr>
                <w:sz w:val="16"/>
                <w:szCs w:val="16"/>
              </w:rPr>
              <w:t>Phase I/II</w:t>
            </w:r>
          </w:p>
        </w:tc>
        <w:tc>
          <w:tcPr>
            <w:tcW w:w="1418" w:type="dxa"/>
          </w:tcPr>
          <w:p w:rsidR="00B97965" w:rsidRPr="00722B01" w:rsidRDefault="00B97965" w:rsidP="00221DD6">
            <w:pPr>
              <w:spacing w:before="120" w:line="276" w:lineRule="auto"/>
              <w:rPr>
                <w:sz w:val="16"/>
                <w:szCs w:val="16"/>
              </w:rPr>
            </w:pPr>
            <w:r w:rsidRPr="00722B01">
              <w:rPr>
                <w:sz w:val="16"/>
                <w:szCs w:val="16"/>
              </w:rPr>
              <w:t>Recruiting soon</w:t>
            </w:r>
          </w:p>
        </w:tc>
        <w:tc>
          <w:tcPr>
            <w:tcW w:w="1479" w:type="dxa"/>
          </w:tcPr>
          <w:p w:rsidR="00B97965" w:rsidRPr="00722B01" w:rsidRDefault="00B97965" w:rsidP="00221DD6">
            <w:pPr>
              <w:spacing w:before="120" w:line="276" w:lineRule="auto"/>
              <w:rPr>
                <w:sz w:val="16"/>
                <w:szCs w:val="16"/>
              </w:rPr>
            </w:pPr>
            <w:r>
              <w:rPr>
                <w:sz w:val="16"/>
                <w:szCs w:val="16"/>
              </w:rPr>
              <w:t>Jan 2011</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CC-10004</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3 months</w:t>
            </w:r>
          </w:p>
        </w:tc>
        <w:tc>
          <w:tcPr>
            <w:tcW w:w="774" w:type="dxa"/>
          </w:tcPr>
          <w:p w:rsidR="00B97965" w:rsidRPr="00722B01" w:rsidRDefault="00B97965" w:rsidP="00221DD6">
            <w:pPr>
              <w:spacing w:before="120" w:line="276" w:lineRule="auto"/>
              <w:rPr>
                <w:sz w:val="16"/>
                <w:szCs w:val="16"/>
              </w:rPr>
            </w:pPr>
            <w:r w:rsidRPr="00722B01">
              <w:rPr>
                <w:sz w:val="16"/>
                <w:szCs w:val="16"/>
              </w:rPr>
              <w:t>10</w:t>
            </w:r>
          </w:p>
        </w:tc>
        <w:tc>
          <w:tcPr>
            <w:tcW w:w="992" w:type="dxa"/>
          </w:tcPr>
          <w:p w:rsidR="00B97965" w:rsidRPr="00722B01" w:rsidRDefault="00B97965" w:rsidP="00221DD6">
            <w:pPr>
              <w:spacing w:before="120" w:line="276" w:lineRule="auto"/>
              <w:rPr>
                <w:sz w:val="16"/>
                <w:szCs w:val="16"/>
              </w:rPr>
            </w:pPr>
            <w:r w:rsidRPr="00722B01">
              <w:rPr>
                <w:sz w:val="16"/>
                <w:szCs w:val="16"/>
              </w:rPr>
              <w:t>Phase I/II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Jun 2009</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paquinimod</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1 month</w:t>
            </w:r>
          </w:p>
        </w:tc>
        <w:tc>
          <w:tcPr>
            <w:tcW w:w="774" w:type="dxa"/>
          </w:tcPr>
          <w:p w:rsidR="00B97965" w:rsidRPr="00722B01" w:rsidRDefault="00B97965" w:rsidP="00221DD6">
            <w:pPr>
              <w:spacing w:before="120" w:line="276" w:lineRule="auto"/>
              <w:rPr>
                <w:sz w:val="16"/>
                <w:szCs w:val="16"/>
              </w:rPr>
            </w:pPr>
            <w:r w:rsidRPr="00722B01">
              <w:rPr>
                <w:sz w:val="16"/>
                <w:szCs w:val="16"/>
              </w:rPr>
              <w:t>20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Dec 2010</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MEDI-545</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12 months</w:t>
            </w:r>
          </w:p>
        </w:tc>
        <w:tc>
          <w:tcPr>
            <w:tcW w:w="774" w:type="dxa"/>
          </w:tcPr>
          <w:p w:rsidR="00B97965" w:rsidRPr="00722B01" w:rsidRDefault="00B97965" w:rsidP="00221DD6">
            <w:pPr>
              <w:spacing w:before="120" w:line="276" w:lineRule="auto"/>
              <w:rPr>
                <w:sz w:val="16"/>
                <w:szCs w:val="16"/>
              </w:rPr>
            </w:pPr>
            <w:r w:rsidRPr="00722B01">
              <w:rPr>
                <w:sz w:val="16"/>
                <w:szCs w:val="16"/>
              </w:rPr>
              <w:t>20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Jan2011</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rontalizumab</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6 months</w:t>
            </w:r>
          </w:p>
        </w:tc>
        <w:tc>
          <w:tcPr>
            <w:tcW w:w="774" w:type="dxa"/>
          </w:tcPr>
          <w:p w:rsidR="00B97965" w:rsidRPr="00722B01" w:rsidRDefault="00B97965" w:rsidP="00221DD6">
            <w:pPr>
              <w:spacing w:before="120" w:line="276" w:lineRule="auto"/>
              <w:rPr>
                <w:sz w:val="16"/>
                <w:szCs w:val="16"/>
              </w:rPr>
            </w:pPr>
            <w:r w:rsidRPr="00722B01">
              <w:rPr>
                <w:sz w:val="16"/>
                <w:szCs w:val="16"/>
              </w:rPr>
              <w:t>210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Sep 2012</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belimumab</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12 months</w:t>
            </w:r>
          </w:p>
        </w:tc>
        <w:tc>
          <w:tcPr>
            <w:tcW w:w="774" w:type="dxa"/>
          </w:tcPr>
          <w:p w:rsidR="00B97965" w:rsidRPr="00722B01" w:rsidRDefault="00B97965" w:rsidP="00221DD6">
            <w:pPr>
              <w:spacing w:before="120" w:line="276" w:lineRule="auto"/>
              <w:rPr>
                <w:sz w:val="16"/>
                <w:szCs w:val="16"/>
              </w:rPr>
            </w:pPr>
            <w:r w:rsidRPr="00722B01">
              <w:rPr>
                <w:sz w:val="16"/>
                <w:szCs w:val="16"/>
              </w:rPr>
              <w:t>449</w:t>
            </w:r>
          </w:p>
        </w:tc>
        <w:tc>
          <w:tcPr>
            <w:tcW w:w="992" w:type="dxa"/>
          </w:tcPr>
          <w:p w:rsidR="00B97965" w:rsidRPr="00722B01" w:rsidRDefault="00B97965" w:rsidP="00221DD6">
            <w:pPr>
              <w:spacing w:before="120" w:line="276" w:lineRule="auto"/>
              <w:rPr>
                <w:sz w:val="16"/>
                <w:szCs w:val="16"/>
              </w:rPr>
            </w:pPr>
            <w:r w:rsidRPr="00722B01">
              <w:rPr>
                <w:sz w:val="16"/>
                <w:szCs w:val="16"/>
              </w:rPr>
              <w:t xml:space="preserve">Phase II </w:t>
            </w:r>
          </w:p>
        </w:tc>
        <w:tc>
          <w:tcPr>
            <w:tcW w:w="1418" w:type="dxa"/>
          </w:tcPr>
          <w:p w:rsidR="00B97965" w:rsidRPr="00722B01" w:rsidRDefault="00B97965" w:rsidP="00221DD6">
            <w:pPr>
              <w:spacing w:before="120" w:line="276" w:lineRule="auto"/>
              <w:rPr>
                <w:sz w:val="16"/>
                <w:szCs w:val="16"/>
              </w:rPr>
            </w:pPr>
            <w:r w:rsidRPr="00722B01">
              <w:rPr>
                <w:sz w:val="16"/>
                <w:szCs w:val="16"/>
              </w:rPr>
              <w:t>Not recruiting</w:t>
            </w:r>
          </w:p>
        </w:tc>
        <w:tc>
          <w:tcPr>
            <w:tcW w:w="1479" w:type="dxa"/>
          </w:tcPr>
          <w:p w:rsidR="00B97965" w:rsidRPr="00722B01" w:rsidRDefault="00B97965" w:rsidP="00221DD6">
            <w:pPr>
              <w:spacing w:before="120" w:line="276" w:lineRule="auto"/>
              <w:rPr>
                <w:sz w:val="16"/>
                <w:szCs w:val="16"/>
              </w:rPr>
            </w:pPr>
            <w:r>
              <w:rPr>
                <w:sz w:val="16"/>
                <w:szCs w:val="16"/>
              </w:rPr>
              <w:t>Aug 2012</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Sifalimumab</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36 months</w:t>
            </w:r>
          </w:p>
        </w:tc>
        <w:tc>
          <w:tcPr>
            <w:tcW w:w="774" w:type="dxa"/>
          </w:tcPr>
          <w:p w:rsidR="00B97965" w:rsidRPr="00722B01" w:rsidRDefault="00B97965" w:rsidP="00221DD6">
            <w:pPr>
              <w:spacing w:before="120" w:line="276" w:lineRule="auto"/>
              <w:rPr>
                <w:sz w:val="16"/>
                <w:szCs w:val="16"/>
              </w:rPr>
            </w:pPr>
            <w:r w:rsidRPr="00722B01">
              <w:rPr>
                <w:sz w:val="16"/>
                <w:szCs w:val="16"/>
              </w:rPr>
              <w:t>260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 soon</w:t>
            </w:r>
          </w:p>
        </w:tc>
        <w:tc>
          <w:tcPr>
            <w:tcW w:w="1479" w:type="dxa"/>
          </w:tcPr>
          <w:p w:rsidR="00B97965" w:rsidRPr="00722B01" w:rsidRDefault="00B97965" w:rsidP="00221DD6">
            <w:pPr>
              <w:spacing w:before="120" w:line="276" w:lineRule="auto"/>
              <w:rPr>
                <w:sz w:val="16"/>
                <w:szCs w:val="16"/>
              </w:rPr>
            </w:pPr>
            <w:r>
              <w:rPr>
                <w:sz w:val="16"/>
                <w:szCs w:val="16"/>
              </w:rPr>
              <w:t>Jan 2014</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Epratuzumab</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3 months</w:t>
            </w:r>
          </w:p>
        </w:tc>
        <w:tc>
          <w:tcPr>
            <w:tcW w:w="774" w:type="dxa"/>
          </w:tcPr>
          <w:p w:rsidR="00B97965" w:rsidRPr="00722B01" w:rsidRDefault="00B97965" w:rsidP="00221DD6">
            <w:pPr>
              <w:spacing w:before="120" w:line="276" w:lineRule="auto"/>
              <w:rPr>
                <w:sz w:val="16"/>
                <w:szCs w:val="16"/>
              </w:rPr>
            </w:pPr>
            <w:r w:rsidRPr="00722B01">
              <w:rPr>
                <w:sz w:val="16"/>
                <w:szCs w:val="16"/>
              </w:rPr>
              <w:t>175</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Jan 2014</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Rapamycin</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12 months</w:t>
            </w:r>
          </w:p>
        </w:tc>
        <w:tc>
          <w:tcPr>
            <w:tcW w:w="774" w:type="dxa"/>
          </w:tcPr>
          <w:p w:rsidR="00B97965" w:rsidRPr="00722B01" w:rsidRDefault="00B97965" w:rsidP="00221DD6">
            <w:pPr>
              <w:spacing w:before="120" w:line="276" w:lineRule="auto"/>
              <w:rPr>
                <w:sz w:val="16"/>
                <w:szCs w:val="16"/>
              </w:rPr>
            </w:pPr>
            <w:r w:rsidRPr="00722B01">
              <w:rPr>
                <w:sz w:val="16"/>
                <w:szCs w:val="16"/>
              </w:rPr>
              <w:t>80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Oct 2012</w:t>
            </w:r>
          </w:p>
        </w:tc>
      </w:tr>
      <w:tr w:rsidR="00B97965" w:rsidRPr="00722B01" w:rsidTr="00B97965">
        <w:trPr>
          <w:trHeight w:val="125"/>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MEDI-545</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6 months</w:t>
            </w:r>
          </w:p>
        </w:tc>
        <w:tc>
          <w:tcPr>
            <w:tcW w:w="774" w:type="dxa"/>
          </w:tcPr>
          <w:p w:rsidR="00B97965" w:rsidRPr="00722B01" w:rsidRDefault="00B97965" w:rsidP="00221DD6">
            <w:pPr>
              <w:spacing w:before="120" w:line="276" w:lineRule="auto"/>
              <w:rPr>
                <w:sz w:val="16"/>
                <w:szCs w:val="16"/>
              </w:rPr>
            </w:pPr>
            <w:r w:rsidRPr="00722B01">
              <w:rPr>
                <w:sz w:val="16"/>
                <w:szCs w:val="16"/>
              </w:rPr>
              <w:t>80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Not recruiting</w:t>
            </w:r>
          </w:p>
        </w:tc>
        <w:tc>
          <w:tcPr>
            <w:tcW w:w="1479" w:type="dxa"/>
          </w:tcPr>
          <w:p w:rsidR="00B97965" w:rsidRPr="00722B01" w:rsidRDefault="00B97965" w:rsidP="00221DD6">
            <w:pPr>
              <w:spacing w:before="120" w:line="276" w:lineRule="auto"/>
              <w:rPr>
                <w:sz w:val="16"/>
                <w:szCs w:val="16"/>
              </w:rPr>
            </w:pPr>
            <w:r>
              <w:rPr>
                <w:sz w:val="16"/>
                <w:szCs w:val="16"/>
              </w:rPr>
              <w:t>Jun 2010</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abatacept</w:t>
            </w:r>
          </w:p>
        </w:tc>
        <w:tc>
          <w:tcPr>
            <w:tcW w:w="1257" w:type="dxa"/>
          </w:tcPr>
          <w:p w:rsidR="00B97965" w:rsidRPr="00722B01" w:rsidRDefault="00B97965" w:rsidP="00221DD6">
            <w:pPr>
              <w:spacing w:before="120" w:line="276" w:lineRule="auto"/>
              <w:rPr>
                <w:sz w:val="16"/>
                <w:szCs w:val="16"/>
              </w:rPr>
            </w:pPr>
            <w:r w:rsidRPr="00722B01">
              <w:rPr>
                <w:sz w:val="16"/>
                <w:szCs w:val="16"/>
              </w:rPr>
              <w:t>placebo</w:t>
            </w:r>
          </w:p>
        </w:tc>
        <w:tc>
          <w:tcPr>
            <w:tcW w:w="1371" w:type="dxa"/>
          </w:tcPr>
          <w:p w:rsidR="00B97965" w:rsidRPr="00722B01" w:rsidRDefault="00B97965" w:rsidP="00221DD6">
            <w:pPr>
              <w:spacing w:before="120" w:line="276" w:lineRule="auto"/>
              <w:rPr>
                <w:sz w:val="16"/>
                <w:szCs w:val="16"/>
              </w:rPr>
            </w:pPr>
            <w:r w:rsidRPr="00722B01">
              <w:rPr>
                <w:sz w:val="16"/>
                <w:szCs w:val="16"/>
              </w:rPr>
              <w:t>6 months</w:t>
            </w:r>
          </w:p>
        </w:tc>
        <w:tc>
          <w:tcPr>
            <w:tcW w:w="774" w:type="dxa"/>
          </w:tcPr>
          <w:p w:rsidR="00B97965" w:rsidRPr="00722B01" w:rsidRDefault="00B97965" w:rsidP="00221DD6">
            <w:pPr>
              <w:spacing w:before="120" w:line="276" w:lineRule="auto"/>
              <w:rPr>
                <w:sz w:val="16"/>
                <w:szCs w:val="16"/>
              </w:rPr>
            </w:pPr>
            <w:r w:rsidRPr="00722B01">
              <w:rPr>
                <w:sz w:val="16"/>
                <w:szCs w:val="16"/>
              </w:rPr>
              <w:t>100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Oct 2014</w:t>
            </w:r>
          </w:p>
        </w:tc>
      </w:tr>
      <w:tr w:rsidR="00B97965" w:rsidRPr="00722B01" w:rsidTr="00B97965">
        <w:trPr>
          <w:trHeight w:val="20"/>
        </w:trPr>
        <w:tc>
          <w:tcPr>
            <w:tcW w:w="1951" w:type="dxa"/>
          </w:tcPr>
          <w:p w:rsidR="00B97965" w:rsidRPr="00221DD6" w:rsidRDefault="00B97965" w:rsidP="00221DD6">
            <w:pPr>
              <w:spacing w:line="276" w:lineRule="auto"/>
              <w:rPr>
                <w:rFonts w:asciiTheme="majorBidi" w:hAnsiTheme="majorBidi" w:cstheme="majorBidi"/>
                <w:sz w:val="20"/>
              </w:rPr>
            </w:pPr>
            <w:r w:rsidRPr="00221DD6">
              <w:rPr>
                <w:rFonts w:asciiTheme="majorBidi" w:hAnsiTheme="majorBidi" w:cstheme="majorBidi"/>
                <w:sz w:val="20"/>
              </w:rPr>
              <w:t>etanercept</w:t>
            </w:r>
          </w:p>
        </w:tc>
        <w:tc>
          <w:tcPr>
            <w:tcW w:w="1257" w:type="dxa"/>
          </w:tcPr>
          <w:p w:rsidR="00B97965" w:rsidRPr="00722B01" w:rsidRDefault="00B97965" w:rsidP="00221DD6">
            <w:pPr>
              <w:spacing w:before="120" w:line="276" w:lineRule="auto"/>
              <w:rPr>
                <w:sz w:val="16"/>
                <w:szCs w:val="16"/>
              </w:rPr>
            </w:pPr>
            <w:r w:rsidRPr="00722B01">
              <w:rPr>
                <w:sz w:val="16"/>
                <w:szCs w:val="16"/>
              </w:rPr>
              <w:t>none</w:t>
            </w:r>
          </w:p>
        </w:tc>
        <w:tc>
          <w:tcPr>
            <w:tcW w:w="1371" w:type="dxa"/>
          </w:tcPr>
          <w:p w:rsidR="00B97965" w:rsidRPr="00722B01" w:rsidRDefault="00B97965" w:rsidP="00221DD6">
            <w:pPr>
              <w:spacing w:before="120" w:line="276" w:lineRule="auto"/>
              <w:rPr>
                <w:sz w:val="16"/>
                <w:szCs w:val="16"/>
              </w:rPr>
            </w:pPr>
            <w:r w:rsidRPr="00722B01">
              <w:rPr>
                <w:sz w:val="16"/>
                <w:szCs w:val="16"/>
              </w:rPr>
              <w:t>5 months</w:t>
            </w:r>
          </w:p>
        </w:tc>
        <w:tc>
          <w:tcPr>
            <w:tcW w:w="774" w:type="dxa"/>
          </w:tcPr>
          <w:p w:rsidR="00B97965" w:rsidRPr="00722B01" w:rsidRDefault="00B97965" w:rsidP="00221DD6">
            <w:pPr>
              <w:spacing w:before="120" w:line="276" w:lineRule="auto"/>
              <w:rPr>
                <w:sz w:val="16"/>
                <w:szCs w:val="16"/>
              </w:rPr>
            </w:pPr>
            <w:r w:rsidRPr="00722B01">
              <w:rPr>
                <w:sz w:val="16"/>
                <w:szCs w:val="16"/>
              </w:rPr>
              <w:t>20</w:t>
            </w:r>
          </w:p>
        </w:tc>
        <w:tc>
          <w:tcPr>
            <w:tcW w:w="992" w:type="dxa"/>
          </w:tcPr>
          <w:p w:rsidR="00B97965" w:rsidRPr="00722B01" w:rsidRDefault="00B97965" w:rsidP="00221DD6">
            <w:pPr>
              <w:spacing w:before="120" w:line="276" w:lineRule="auto"/>
              <w:rPr>
                <w:sz w:val="16"/>
                <w:szCs w:val="16"/>
              </w:rPr>
            </w:pPr>
            <w:r w:rsidRPr="00722B01">
              <w:rPr>
                <w:sz w:val="16"/>
                <w:szCs w:val="16"/>
              </w:rPr>
              <w:t>Phase II</w:t>
            </w:r>
          </w:p>
        </w:tc>
        <w:tc>
          <w:tcPr>
            <w:tcW w:w="1418" w:type="dxa"/>
          </w:tcPr>
          <w:p w:rsidR="00B97965" w:rsidRPr="00722B01" w:rsidRDefault="00B97965" w:rsidP="00221DD6">
            <w:pPr>
              <w:spacing w:before="120" w:line="276" w:lineRule="auto"/>
              <w:rPr>
                <w:sz w:val="16"/>
                <w:szCs w:val="16"/>
              </w:rPr>
            </w:pPr>
            <w:r w:rsidRPr="00722B01">
              <w:rPr>
                <w:sz w:val="16"/>
                <w:szCs w:val="16"/>
              </w:rPr>
              <w:t>Recruiting</w:t>
            </w:r>
          </w:p>
        </w:tc>
        <w:tc>
          <w:tcPr>
            <w:tcW w:w="1479" w:type="dxa"/>
          </w:tcPr>
          <w:p w:rsidR="00B97965" w:rsidRPr="00722B01" w:rsidRDefault="00B97965" w:rsidP="00221DD6">
            <w:pPr>
              <w:spacing w:before="120" w:line="276" w:lineRule="auto"/>
              <w:rPr>
                <w:sz w:val="16"/>
                <w:szCs w:val="16"/>
              </w:rPr>
            </w:pPr>
            <w:r>
              <w:rPr>
                <w:sz w:val="16"/>
                <w:szCs w:val="16"/>
              </w:rPr>
              <w:t>Oct 2009</w:t>
            </w:r>
          </w:p>
        </w:tc>
      </w:tr>
    </w:tbl>
    <w:p w:rsidR="00B97965" w:rsidRPr="00BE457B" w:rsidRDefault="00B97965" w:rsidP="00BE457B">
      <w:pPr>
        <w:pStyle w:val="Heading1"/>
        <w:numPr>
          <w:ilvl w:val="0"/>
          <w:numId w:val="0"/>
        </w:numPr>
        <w:rPr>
          <w:rStyle w:val="Emphasis"/>
          <w:spacing w:val="15"/>
        </w:rPr>
      </w:pPr>
      <w:bookmarkStart w:id="668" w:name="_Toc379467707"/>
      <w:r>
        <w:t xml:space="preserve">Appendix </w:t>
      </w:r>
      <w:r w:rsidR="00396982">
        <w:t>3</w:t>
      </w:r>
      <w:r w:rsidR="00BE457B">
        <w:t xml:space="preserve">: </w:t>
      </w:r>
      <w:r w:rsidRPr="00234693">
        <w:rPr>
          <w:rStyle w:val="Emphasis"/>
        </w:rPr>
        <w:t>RCT Search Strategies</w:t>
      </w:r>
      <w:bookmarkEnd w:id="660"/>
      <w:bookmarkEnd w:id="668"/>
    </w:p>
    <w:p w:rsidR="00B97965" w:rsidRPr="00F034F8" w:rsidRDefault="00B97965" w:rsidP="00B97965">
      <w:pPr>
        <w:autoSpaceDE w:val="0"/>
        <w:autoSpaceDN w:val="0"/>
        <w:adjustRightInd w:val="0"/>
        <w:spacing w:line="240" w:lineRule="auto"/>
        <w:rPr>
          <w:rFonts w:cs="Helvetica"/>
        </w:rPr>
      </w:pPr>
      <w:r w:rsidRPr="00F034F8">
        <w:rPr>
          <w:rFonts w:cs="Helvetica"/>
        </w:rPr>
        <w:t xml:space="preserve">The RCT search strategy and citation results of the search conducted in 2010 and updated in 2012 are reported in </w:t>
      </w:r>
      <w:r w:rsidR="00E729BA" w:rsidRPr="00F034F8">
        <w:rPr>
          <w:rFonts w:cs="Helvetica"/>
        </w:rPr>
        <w:fldChar w:fldCharType="begin"/>
      </w:r>
      <w:r w:rsidRPr="00F034F8">
        <w:rPr>
          <w:rFonts w:cs="Helvetica"/>
        </w:rPr>
        <w:instrText xml:space="preserve"> REF _Ref346106654 \h </w:instrText>
      </w:r>
      <w:r w:rsidR="00E729BA" w:rsidRPr="00F034F8">
        <w:rPr>
          <w:rFonts w:cs="Helvetica"/>
        </w:rPr>
      </w:r>
      <w:r w:rsidR="00E729BA" w:rsidRPr="00F034F8">
        <w:rPr>
          <w:rFonts w:cs="Helvetica"/>
        </w:rPr>
        <w:fldChar w:fldCharType="separate"/>
      </w:r>
      <w:r w:rsidR="004911B7">
        <w:t xml:space="preserve">Table </w:t>
      </w:r>
      <w:r w:rsidR="004911B7">
        <w:rPr>
          <w:noProof/>
        </w:rPr>
        <w:t>56</w:t>
      </w:r>
      <w:r w:rsidR="00E729BA" w:rsidRPr="00F034F8">
        <w:rPr>
          <w:rFonts w:cs="Helvetica"/>
        </w:rPr>
        <w:fldChar w:fldCharType="end"/>
      </w:r>
      <w:r w:rsidRPr="00F034F8">
        <w:rPr>
          <w:rFonts w:cs="Helvetica"/>
        </w:rPr>
        <w:t xml:space="preserve"> and </w:t>
      </w:r>
      <w:r w:rsidR="00E729BA" w:rsidRPr="00F034F8">
        <w:rPr>
          <w:rFonts w:cs="Helvetica"/>
        </w:rPr>
        <w:fldChar w:fldCharType="begin"/>
      </w:r>
      <w:r w:rsidRPr="00F034F8">
        <w:rPr>
          <w:rFonts w:cs="Helvetica"/>
        </w:rPr>
        <w:instrText xml:space="preserve"> REF _Ref346106694 \h </w:instrText>
      </w:r>
      <w:r w:rsidR="00E729BA" w:rsidRPr="00F034F8">
        <w:rPr>
          <w:rFonts w:cs="Helvetica"/>
        </w:rPr>
      </w:r>
      <w:r w:rsidR="00E729BA" w:rsidRPr="00F034F8">
        <w:rPr>
          <w:rFonts w:cs="Helvetica"/>
        </w:rPr>
        <w:fldChar w:fldCharType="separate"/>
      </w:r>
      <w:r w:rsidR="004911B7">
        <w:t xml:space="preserve">Table </w:t>
      </w:r>
      <w:r w:rsidR="004911B7">
        <w:rPr>
          <w:noProof/>
        </w:rPr>
        <w:t>57</w:t>
      </w:r>
      <w:r w:rsidR="00E729BA" w:rsidRPr="00F034F8">
        <w:rPr>
          <w:rFonts w:cs="Helvetica"/>
        </w:rPr>
        <w:fldChar w:fldCharType="end"/>
      </w:r>
      <w:r w:rsidRPr="00F034F8">
        <w:rPr>
          <w:rFonts w:cs="Helvetica"/>
        </w:rPr>
        <w:t>.</w:t>
      </w:r>
    </w:p>
    <w:p w:rsidR="00B97965" w:rsidRDefault="00B97965" w:rsidP="00234693">
      <w:pPr>
        <w:pStyle w:val="Caption"/>
      </w:pPr>
      <w:bookmarkStart w:id="669" w:name="_Ref346106654"/>
      <w:r>
        <w:t xml:space="preserve">Table </w:t>
      </w:r>
      <w:fldSimple w:instr=" SEQ Table \* ARABIC ">
        <w:r w:rsidR="004911B7">
          <w:rPr>
            <w:noProof/>
          </w:rPr>
          <w:t>56</w:t>
        </w:r>
      </w:fldSimple>
      <w:bookmarkEnd w:id="669"/>
      <w:r>
        <w:t xml:space="preserve">: </w:t>
      </w:r>
      <w:r w:rsidRPr="00F034F8">
        <w:t>Medline search conducted on 31st March 2010</w:t>
      </w:r>
    </w:p>
    <w:tbl>
      <w:tblPr>
        <w:tblStyle w:val="TableGrid"/>
        <w:tblW w:w="0" w:type="auto"/>
        <w:tblLook w:val="04A0"/>
      </w:tblPr>
      <w:tblGrid>
        <w:gridCol w:w="976"/>
        <w:gridCol w:w="4196"/>
        <w:gridCol w:w="976"/>
      </w:tblGrid>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Systemic Lupus Erythematosus [MESH]</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40154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Disease Activity Index</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17545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#3</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SLEDAI</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745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#4</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British Isles lupus assessment group</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91</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#5</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BILAG</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113</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#6</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Lupus Activity Measure</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519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#7</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SLAM</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1351</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#8</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ECLAM</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98</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Damage Index</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11654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#10</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SLICC/ACR</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120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Physicians Global Assessment</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640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#12</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PGA</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2340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#13</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Response</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1396283</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#14</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Remission</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90482</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#15</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Flare</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5567</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#16</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anti-dsDNA</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1994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#17</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Serum Creatinine</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34192</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#18</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Proteinuria</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39716</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#19</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 OR …OR #21</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1557944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#20</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 AND #22</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7585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Limits RCT, English, Human, &gt;1995</w:t>
            </w:r>
          </w:p>
        </w:tc>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99</w:t>
            </w:r>
          </w:p>
        </w:tc>
      </w:tr>
      <w:tr w:rsidR="00B97965" w:rsidRPr="00B93E63" w:rsidTr="00B97965">
        <w:trPr>
          <w:trHeight w:val="227"/>
        </w:trPr>
        <w:tc>
          <w:tcPr>
            <w:tcW w:w="6148" w:type="dxa"/>
            <w:gridSpan w:val="3"/>
            <w:noWrap/>
          </w:tcPr>
          <w:p w:rsidR="00B97965" w:rsidRPr="00B93E63" w:rsidRDefault="00B97965" w:rsidP="00B97965">
            <w:pPr>
              <w:autoSpaceDE w:val="0"/>
              <w:autoSpaceDN w:val="0"/>
              <w:adjustRightInd w:val="0"/>
              <w:spacing w:after="0" w:line="240" w:lineRule="auto"/>
              <w:rPr>
                <w:rFonts w:cs="Helvetica-Oblique"/>
                <w:i/>
                <w:iCs/>
                <w:sz w:val="18"/>
                <w:szCs w:val="18"/>
              </w:rPr>
            </w:pPr>
            <w:r w:rsidRPr="00521E6A">
              <w:rPr>
                <w:rFonts w:cs="Helvetica-Oblique"/>
                <w:i/>
                <w:iCs/>
                <w:sz w:val="19"/>
                <w:szCs w:val="19"/>
              </w:rPr>
              <w:t>Free text unless otherwise stated</w:t>
            </w:r>
          </w:p>
        </w:tc>
      </w:tr>
    </w:tbl>
    <w:p w:rsidR="00B97965" w:rsidRDefault="00B97965" w:rsidP="00234693">
      <w:pPr>
        <w:pStyle w:val="Caption"/>
      </w:pPr>
      <w:bookmarkStart w:id="670" w:name="_Ref346106694"/>
      <w:r>
        <w:t xml:space="preserve">Table </w:t>
      </w:r>
      <w:fldSimple w:instr=" SEQ Table \* ARABIC ">
        <w:r w:rsidR="004911B7">
          <w:rPr>
            <w:noProof/>
          </w:rPr>
          <w:t>57</w:t>
        </w:r>
      </w:fldSimple>
      <w:bookmarkEnd w:id="670"/>
      <w:r w:rsidRPr="00F034F8">
        <w:t xml:space="preserve"> Medline search conducted on 21st February 2012</w:t>
      </w:r>
    </w:p>
    <w:tbl>
      <w:tblPr>
        <w:tblStyle w:val="TableGrid"/>
        <w:tblW w:w="0" w:type="auto"/>
        <w:tblLook w:val="04A0"/>
      </w:tblPr>
      <w:tblGrid>
        <w:gridCol w:w="976"/>
        <w:gridCol w:w="4196"/>
        <w:gridCol w:w="976"/>
      </w:tblGrid>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Systemic Lupus Erythematosus [MESH]</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2435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Disease Activity Index</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3639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#3</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SLEDAI</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219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#4</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British Isles lupus assessment group</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29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#5</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BILAG</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31</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#6</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Lupus Activity Measure</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64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#7</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SLAM</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145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#8</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ECLAM</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#9</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Damage Index</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1965</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#10</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SLICC/ACR</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12</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Physicians Global Assessment</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130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#12</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PGA</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374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#13</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Response</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156713</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#14</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Remission</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8814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#15</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Flare</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766</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#16</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anti-dsDNA</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234</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#17</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Serum Creatinine</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4430</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#18</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Proteinuria</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3711</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#19</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 OR …OR #21</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175269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#20</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#1 AND #22</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799</w:t>
            </w:r>
          </w:p>
        </w:tc>
      </w:tr>
      <w:tr w:rsidR="00B97965" w:rsidRPr="00B93E63" w:rsidTr="00B97965">
        <w:trPr>
          <w:trHeight w:val="227"/>
        </w:trPr>
        <w:tc>
          <w:tcPr>
            <w:tcW w:w="97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#21</w:t>
            </w:r>
          </w:p>
        </w:tc>
        <w:tc>
          <w:tcPr>
            <w:tcW w:w="4196" w:type="dxa"/>
            <w:noWrap/>
            <w:hideMark/>
          </w:tcPr>
          <w:p w:rsidR="00B97965" w:rsidRPr="00B93E63" w:rsidRDefault="00B97965" w:rsidP="00B97965">
            <w:pPr>
              <w:autoSpaceDE w:val="0"/>
              <w:autoSpaceDN w:val="0"/>
              <w:adjustRightInd w:val="0"/>
              <w:spacing w:after="0" w:afterAutospacing="0" w:line="240" w:lineRule="auto"/>
              <w:rPr>
                <w:rFonts w:cs="Helvetica-Oblique"/>
                <w:i/>
                <w:iCs/>
                <w:sz w:val="18"/>
                <w:szCs w:val="18"/>
              </w:rPr>
            </w:pPr>
            <w:r w:rsidRPr="00B93E63">
              <w:rPr>
                <w:rFonts w:cs="Helvetica-Oblique"/>
                <w:i/>
                <w:iCs/>
                <w:sz w:val="18"/>
                <w:szCs w:val="18"/>
              </w:rPr>
              <w:t>Limits RCT, English, Human, &gt;1995</w:t>
            </w:r>
          </w:p>
        </w:tc>
        <w:tc>
          <w:tcPr>
            <w:tcW w:w="976" w:type="dxa"/>
            <w:noWrap/>
            <w:hideMark/>
          </w:tcPr>
          <w:p w:rsidR="00B97965" w:rsidRPr="00B93E63" w:rsidRDefault="00B97965" w:rsidP="00B97965">
            <w:pPr>
              <w:spacing w:after="0" w:afterAutospacing="0" w:line="240" w:lineRule="auto"/>
              <w:jc w:val="right"/>
              <w:rPr>
                <w:rFonts w:asciiTheme="majorBidi" w:hAnsiTheme="majorBidi" w:cstheme="majorBidi"/>
                <w:i/>
                <w:iCs/>
                <w:color w:val="000000"/>
                <w:sz w:val="20"/>
              </w:rPr>
            </w:pPr>
            <w:r w:rsidRPr="00B93E63">
              <w:rPr>
                <w:rFonts w:asciiTheme="majorBidi" w:hAnsiTheme="majorBidi" w:cstheme="majorBidi"/>
                <w:i/>
                <w:iCs/>
                <w:color w:val="000000"/>
                <w:sz w:val="20"/>
              </w:rPr>
              <w:t>23</w:t>
            </w:r>
          </w:p>
        </w:tc>
      </w:tr>
      <w:tr w:rsidR="00B97965" w:rsidRPr="00B93E63" w:rsidTr="00B97965">
        <w:trPr>
          <w:trHeight w:val="227"/>
        </w:trPr>
        <w:tc>
          <w:tcPr>
            <w:tcW w:w="6148" w:type="dxa"/>
            <w:gridSpan w:val="3"/>
            <w:noWrap/>
          </w:tcPr>
          <w:p w:rsidR="00B97965" w:rsidRPr="00B93E63" w:rsidRDefault="00B97965" w:rsidP="00B97965">
            <w:pPr>
              <w:autoSpaceDE w:val="0"/>
              <w:autoSpaceDN w:val="0"/>
              <w:adjustRightInd w:val="0"/>
              <w:spacing w:after="0" w:line="240" w:lineRule="auto"/>
              <w:rPr>
                <w:rFonts w:asciiTheme="majorBidi" w:hAnsiTheme="majorBidi" w:cstheme="majorBidi"/>
                <w:i/>
                <w:iCs/>
                <w:color w:val="000000"/>
                <w:sz w:val="20"/>
              </w:rPr>
            </w:pPr>
            <w:r w:rsidRPr="00521E6A">
              <w:rPr>
                <w:rFonts w:cs="Helvetica-Oblique"/>
                <w:i/>
                <w:iCs/>
                <w:sz w:val="19"/>
                <w:szCs w:val="19"/>
              </w:rPr>
              <w:t>Free text unless otherwise stated</w:t>
            </w:r>
          </w:p>
        </w:tc>
      </w:tr>
    </w:tbl>
    <w:p w:rsidR="00BE457B" w:rsidRDefault="00BE457B" w:rsidP="00396982">
      <w:pPr>
        <w:pStyle w:val="Heading1"/>
        <w:numPr>
          <w:ilvl w:val="0"/>
          <w:numId w:val="0"/>
        </w:numPr>
      </w:pPr>
    </w:p>
    <w:p w:rsidR="00BE457B" w:rsidRDefault="00BE457B" w:rsidP="00BE457B">
      <w:pPr>
        <w:rPr>
          <w:color w:val="000000" w:themeColor="text1"/>
          <w:spacing w:val="15"/>
          <w:sz w:val="24"/>
          <w:szCs w:val="24"/>
        </w:rPr>
      </w:pPr>
      <w:r>
        <w:br w:type="page"/>
      </w:r>
    </w:p>
    <w:p w:rsidR="00B97965" w:rsidRPr="00BE457B" w:rsidRDefault="00B97965" w:rsidP="00BE457B">
      <w:pPr>
        <w:pStyle w:val="Heading1"/>
        <w:numPr>
          <w:ilvl w:val="0"/>
          <w:numId w:val="0"/>
        </w:numPr>
        <w:rPr>
          <w:rStyle w:val="Emphasis"/>
          <w:spacing w:val="15"/>
        </w:rPr>
      </w:pPr>
      <w:bookmarkStart w:id="671" w:name="_Toc379467708"/>
      <w:r>
        <w:t xml:space="preserve">Appendix </w:t>
      </w:r>
      <w:r w:rsidR="00396982">
        <w:t>4</w:t>
      </w:r>
      <w:r w:rsidR="00BE457B">
        <w:t xml:space="preserve">: </w:t>
      </w:r>
      <w:r w:rsidRPr="00234693">
        <w:rPr>
          <w:rStyle w:val="Emphasis"/>
        </w:rPr>
        <w:t>Observation Studies Search Strategies</w:t>
      </w:r>
      <w:bookmarkEnd w:id="671"/>
    </w:p>
    <w:p w:rsidR="00B97965" w:rsidRPr="00F034F8" w:rsidRDefault="00B97965" w:rsidP="00B97965">
      <w:pPr>
        <w:autoSpaceDE w:val="0"/>
        <w:autoSpaceDN w:val="0"/>
        <w:adjustRightInd w:val="0"/>
        <w:spacing w:line="240" w:lineRule="auto"/>
        <w:rPr>
          <w:rFonts w:cs="Helvetica"/>
        </w:rPr>
      </w:pPr>
      <w:r w:rsidRPr="00F034F8">
        <w:rPr>
          <w:rFonts w:cs="Helvetica"/>
        </w:rPr>
        <w:t xml:space="preserve">The </w:t>
      </w:r>
      <w:r>
        <w:rPr>
          <w:rFonts w:cs="Helvetica"/>
        </w:rPr>
        <w:t>observational studies</w:t>
      </w:r>
      <w:r w:rsidRPr="00F034F8">
        <w:rPr>
          <w:rFonts w:cs="Helvetica"/>
        </w:rPr>
        <w:t xml:space="preserve"> search strategy and citation results </w:t>
      </w:r>
      <w:r>
        <w:rPr>
          <w:rFonts w:cs="Helvetica"/>
        </w:rPr>
        <w:t xml:space="preserve">are reported in </w:t>
      </w:r>
      <w:r w:rsidR="00E729BA">
        <w:rPr>
          <w:rFonts w:cs="Helvetica"/>
        </w:rPr>
        <w:fldChar w:fldCharType="begin"/>
      </w:r>
      <w:r>
        <w:rPr>
          <w:rFonts w:cs="Helvetica"/>
        </w:rPr>
        <w:instrText xml:space="preserve"> REF _Ref355276414 \h </w:instrText>
      </w:r>
      <w:r w:rsidR="00E729BA">
        <w:rPr>
          <w:rFonts w:cs="Helvetica"/>
        </w:rPr>
      </w:r>
      <w:r w:rsidR="00E729BA">
        <w:rPr>
          <w:rFonts w:cs="Helvetica"/>
        </w:rPr>
        <w:fldChar w:fldCharType="separate"/>
      </w:r>
      <w:r w:rsidR="004911B7">
        <w:t xml:space="preserve">Table </w:t>
      </w:r>
      <w:r w:rsidR="004911B7">
        <w:rPr>
          <w:noProof/>
        </w:rPr>
        <w:t>58</w:t>
      </w:r>
      <w:r w:rsidR="00E729BA">
        <w:rPr>
          <w:rFonts w:cs="Helvetica"/>
        </w:rPr>
        <w:fldChar w:fldCharType="end"/>
      </w:r>
      <w:r>
        <w:rPr>
          <w:rFonts w:cs="Helvetica"/>
        </w:rPr>
        <w:t>.</w:t>
      </w:r>
    </w:p>
    <w:p w:rsidR="00B97965" w:rsidRDefault="00B97965" w:rsidP="00234693">
      <w:pPr>
        <w:pStyle w:val="Caption"/>
      </w:pPr>
      <w:bookmarkStart w:id="672" w:name="_Ref355276414"/>
      <w:r>
        <w:t xml:space="preserve">Table </w:t>
      </w:r>
      <w:fldSimple w:instr=" SEQ Table \* ARABIC ">
        <w:r w:rsidR="004911B7">
          <w:rPr>
            <w:noProof/>
          </w:rPr>
          <w:t>58</w:t>
        </w:r>
      </w:fldSimple>
      <w:bookmarkEnd w:id="672"/>
      <w:r>
        <w:t xml:space="preserve">: </w:t>
      </w:r>
      <w:r w:rsidRPr="00F034F8">
        <w:t xml:space="preserve">Medline search conducted on </w:t>
      </w:r>
      <w:r>
        <w:t>12</w:t>
      </w:r>
      <w:r w:rsidRPr="00CE0BFA">
        <w:rPr>
          <w:vertAlign w:val="superscript"/>
        </w:rPr>
        <w:t>th</w:t>
      </w:r>
      <w:r>
        <w:t xml:space="preserve"> January</w:t>
      </w:r>
      <w:r w:rsidRPr="00F034F8">
        <w:t xml:space="preserve"> 2010</w:t>
      </w:r>
    </w:p>
    <w:tbl>
      <w:tblPr>
        <w:tblStyle w:val="TableGrid"/>
        <w:tblW w:w="0" w:type="auto"/>
        <w:tblLook w:val="04A0"/>
      </w:tblPr>
      <w:tblGrid>
        <w:gridCol w:w="976"/>
        <w:gridCol w:w="4196"/>
        <w:gridCol w:w="976"/>
      </w:tblGrid>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Systemic Lupus Erythematosus (MeSH)</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39759</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#2</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Disease activity</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193927</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#3</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Flare</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5453</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#4</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Remission</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89277</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#5</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Damage</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286943</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#6</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Mortality</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624995</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#7</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Survival</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952202</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#8</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Steroid</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689452</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#9</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Corticosteroid</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310116</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#10</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prednisone</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39388</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#11</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Infection</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965838</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#12</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Disease outcome</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224863</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#13</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Cardiovascular</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1118072</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#14</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#2 OR … #10</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3962665</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#15</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Cohort studies</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649584</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#17</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Observational</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39886</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#18</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Longitudinal</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121618</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#19</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Survival analysis</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229159</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#20</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#12 OR … #21</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1002955</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#21</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#1 AND #14 AND #19</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2199</w:t>
            </w:r>
          </w:p>
        </w:tc>
      </w:tr>
      <w:tr w:rsidR="00B97965" w:rsidRPr="00B93E63" w:rsidTr="00B97965">
        <w:trPr>
          <w:trHeight w:val="227"/>
        </w:trPr>
        <w:tc>
          <w:tcPr>
            <w:tcW w:w="97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#22</w:t>
            </w:r>
          </w:p>
        </w:tc>
        <w:tc>
          <w:tcPr>
            <w:tcW w:w="4196" w:type="dxa"/>
            <w:noWrap/>
            <w:vAlign w:val="bottom"/>
            <w:hideMark/>
          </w:tcPr>
          <w:p w:rsidR="00B97965" w:rsidRPr="00CE0BFA" w:rsidRDefault="00B97965" w:rsidP="00B97965">
            <w:pPr>
              <w:autoSpaceDE w:val="0"/>
              <w:autoSpaceDN w:val="0"/>
              <w:adjustRightInd w:val="0"/>
              <w:spacing w:after="0" w:afterAutospacing="0" w:line="240" w:lineRule="auto"/>
              <w:rPr>
                <w:rFonts w:cs="Helvetica-Oblique"/>
                <w:i/>
                <w:iCs/>
                <w:sz w:val="18"/>
                <w:szCs w:val="18"/>
              </w:rPr>
            </w:pPr>
            <w:r w:rsidRPr="00CE0BFA">
              <w:rPr>
                <w:rFonts w:cs="Helvetica-Oblique"/>
                <w:i/>
                <w:iCs/>
                <w:sz w:val="18"/>
                <w:szCs w:val="18"/>
              </w:rPr>
              <w:t>Limits (Humans, english, last 15 years)</w:t>
            </w:r>
          </w:p>
        </w:tc>
        <w:tc>
          <w:tcPr>
            <w:tcW w:w="976" w:type="dxa"/>
            <w:noWrap/>
            <w:vAlign w:val="bottom"/>
            <w:hideMark/>
          </w:tcPr>
          <w:p w:rsidR="00B97965" w:rsidRPr="00CE0BFA" w:rsidRDefault="00B97965" w:rsidP="00B97965">
            <w:pPr>
              <w:autoSpaceDE w:val="0"/>
              <w:autoSpaceDN w:val="0"/>
              <w:adjustRightInd w:val="0"/>
              <w:spacing w:after="0" w:afterAutospacing="0" w:line="240" w:lineRule="auto"/>
              <w:jc w:val="right"/>
              <w:rPr>
                <w:rFonts w:cs="Helvetica-Oblique"/>
                <w:i/>
                <w:iCs/>
                <w:sz w:val="18"/>
                <w:szCs w:val="18"/>
              </w:rPr>
            </w:pPr>
            <w:r w:rsidRPr="00CE0BFA">
              <w:rPr>
                <w:rFonts w:cs="Helvetica-Oblique"/>
                <w:i/>
                <w:iCs/>
                <w:sz w:val="18"/>
                <w:szCs w:val="18"/>
              </w:rPr>
              <w:t>1421</w:t>
            </w:r>
          </w:p>
        </w:tc>
      </w:tr>
      <w:tr w:rsidR="00B97965" w:rsidRPr="00B93E63" w:rsidTr="00B97965">
        <w:trPr>
          <w:trHeight w:val="227"/>
        </w:trPr>
        <w:tc>
          <w:tcPr>
            <w:tcW w:w="6148" w:type="dxa"/>
            <w:gridSpan w:val="3"/>
            <w:noWrap/>
          </w:tcPr>
          <w:p w:rsidR="00B97965" w:rsidRPr="00B93E63" w:rsidRDefault="00B97965" w:rsidP="00B97965">
            <w:pPr>
              <w:autoSpaceDE w:val="0"/>
              <w:autoSpaceDN w:val="0"/>
              <w:adjustRightInd w:val="0"/>
              <w:spacing w:after="0" w:line="240" w:lineRule="auto"/>
              <w:rPr>
                <w:rFonts w:cs="Helvetica-Oblique"/>
                <w:i/>
                <w:iCs/>
                <w:sz w:val="18"/>
                <w:szCs w:val="18"/>
              </w:rPr>
            </w:pPr>
            <w:r w:rsidRPr="00521E6A">
              <w:rPr>
                <w:rFonts w:cs="Helvetica-Oblique"/>
                <w:i/>
                <w:iCs/>
                <w:sz w:val="19"/>
                <w:szCs w:val="19"/>
              </w:rPr>
              <w:t>Free text unless otherwise stated</w:t>
            </w:r>
          </w:p>
        </w:tc>
      </w:tr>
    </w:tbl>
    <w:p w:rsidR="00B97965" w:rsidRDefault="00B97965" w:rsidP="00B97965"/>
    <w:p w:rsidR="00B97965" w:rsidRDefault="00B97965" w:rsidP="00B97965">
      <w:pPr>
        <w:spacing w:after="0" w:afterAutospacing="0" w:line="240" w:lineRule="auto"/>
      </w:pPr>
      <w:r>
        <w:br w:type="page"/>
      </w:r>
    </w:p>
    <w:p w:rsidR="00B97965" w:rsidRPr="00BE457B" w:rsidRDefault="00B97965" w:rsidP="00BE457B">
      <w:pPr>
        <w:pStyle w:val="Heading1"/>
        <w:numPr>
          <w:ilvl w:val="0"/>
          <w:numId w:val="0"/>
        </w:numPr>
        <w:rPr>
          <w:rStyle w:val="Emphasis"/>
          <w:spacing w:val="15"/>
        </w:rPr>
      </w:pPr>
      <w:bookmarkStart w:id="673" w:name="_Toc379467709"/>
      <w:r>
        <w:t xml:space="preserve">Appendix </w:t>
      </w:r>
      <w:r w:rsidR="00396982">
        <w:t>5</w:t>
      </w:r>
      <w:r w:rsidR="00BE457B">
        <w:t xml:space="preserve">: </w:t>
      </w:r>
      <w:r w:rsidRPr="00234693">
        <w:rPr>
          <w:rStyle w:val="Emphasis"/>
        </w:rPr>
        <w:t>Observation Studies Results</w:t>
      </w:r>
      <w:bookmarkEnd w:id="673"/>
    </w:p>
    <w:tbl>
      <w:tblPr>
        <w:tblStyle w:val="TableGrid"/>
        <w:tblW w:w="0" w:type="auto"/>
        <w:tblInd w:w="108" w:type="dxa"/>
        <w:tblBorders>
          <w:left w:val="none" w:sz="0" w:space="0" w:color="auto"/>
          <w:right w:val="none" w:sz="0" w:space="0" w:color="auto"/>
          <w:insideH w:val="none" w:sz="0" w:space="0" w:color="auto"/>
          <w:insideV w:val="none" w:sz="0" w:space="0" w:color="auto"/>
        </w:tblBorders>
        <w:tblLayout w:type="fixed"/>
        <w:tblLook w:val="04A0"/>
      </w:tblPr>
      <w:tblGrid>
        <w:gridCol w:w="1560"/>
        <w:gridCol w:w="567"/>
        <w:gridCol w:w="708"/>
        <w:gridCol w:w="2268"/>
        <w:gridCol w:w="2694"/>
        <w:gridCol w:w="1337"/>
      </w:tblGrid>
      <w:tr w:rsidR="00B97965" w:rsidRPr="00482F9B" w:rsidTr="00B97965">
        <w:trPr>
          <w:tblHeader/>
        </w:trPr>
        <w:tc>
          <w:tcPr>
            <w:tcW w:w="1560"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First Author</w:t>
            </w:r>
          </w:p>
        </w:tc>
        <w:tc>
          <w:tcPr>
            <w:tcW w:w="567"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Date</w:t>
            </w:r>
          </w:p>
        </w:tc>
        <w:tc>
          <w:tcPr>
            <w:tcW w:w="708"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Sample</w:t>
            </w:r>
          </w:p>
        </w:tc>
        <w:tc>
          <w:tcPr>
            <w:tcW w:w="2268"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Population description</w:t>
            </w:r>
          </w:p>
        </w:tc>
        <w:tc>
          <w:tcPr>
            <w:tcW w:w="2694"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Study name/ Location</w:t>
            </w:r>
          </w:p>
        </w:tc>
        <w:tc>
          <w:tcPr>
            <w:tcW w:w="1337" w:type="dxa"/>
            <w:tcBorders>
              <w:top w:val="single" w:sz="4" w:space="0" w:color="auto"/>
              <w:bottom w:val="single" w:sz="4" w:space="0" w:color="auto"/>
            </w:tcBorders>
            <w:vAlign w:val="bottom"/>
          </w:tcPr>
          <w:p w:rsidR="00B97965" w:rsidRPr="00C3366A" w:rsidRDefault="00B97965" w:rsidP="00B97965">
            <w:pPr>
              <w:rPr>
                <w:sz w:val="16"/>
                <w:szCs w:val="16"/>
              </w:rPr>
            </w:pPr>
            <w:r w:rsidRPr="00C3366A">
              <w:rPr>
                <w:sz w:val="16"/>
                <w:szCs w:val="16"/>
              </w:rPr>
              <w:t>Key theme</w:t>
            </w:r>
          </w:p>
        </w:tc>
      </w:tr>
      <w:tr w:rsidR="00B97965" w:rsidRPr="00482F9B" w:rsidTr="00B97965">
        <w:tc>
          <w:tcPr>
            <w:tcW w:w="1560" w:type="dxa"/>
            <w:tcBorders>
              <w:top w:val="single" w:sz="4" w:space="0" w:color="auto"/>
            </w:tcBorders>
            <w:vAlign w:val="bottom"/>
          </w:tcPr>
          <w:p w:rsidR="00B97965" w:rsidRPr="00C3366A" w:rsidRDefault="00B97965" w:rsidP="00B97965">
            <w:pPr>
              <w:rPr>
                <w:sz w:val="16"/>
                <w:szCs w:val="16"/>
              </w:rPr>
            </w:pPr>
            <w:r w:rsidRPr="00C3366A">
              <w:rPr>
                <w:sz w:val="16"/>
                <w:szCs w:val="16"/>
              </w:rPr>
              <w:t>Bujan</w:t>
            </w:r>
          </w:p>
        </w:tc>
        <w:tc>
          <w:tcPr>
            <w:tcW w:w="567" w:type="dxa"/>
            <w:tcBorders>
              <w:top w:val="single" w:sz="4" w:space="0" w:color="auto"/>
            </w:tcBorders>
            <w:vAlign w:val="bottom"/>
          </w:tcPr>
          <w:p w:rsidR="00B97965" w:rsidRPr="00C3366A" w:rsidRDefault="00B97965" w:rsidP="00B97965">
            <w:pPr>
              <w:jc w:val="right"/>
              <w:rPr>
                <w:sz w:val="16"/>
                <w:szCs w:val="16"/>
              </w:rPr>
            </w:pPr>
            <w:r w:rsidRPr="00C3366A">
              <w:rPr>
                <w:sz w:val="16"/>
                <w:szCs w:val="16"/>
              </w:rPr>
              <w:t>2003</w:t>
            </w:r>
          </w:p>
        </w:tc>
        <w:tc>
          <w:tcPr>
            <w:tcW w:w="708" w:type="dxa"/>
            <w:tcBorders>
              <w:top w:val="single" w:sz="4" w:space="0" w:color="auto"/>
            </w:tcBorders>
            <w:vAlign w:val="bottom"/>
          </w:tcPr>
          <w:p w:rsidR="00B97965" w:rsidRPr="00C3366A" w:rsidRDefault="00B97965" w:rsidP="00B97965">
            <w:pPr>
              <w:jc w:val="right"/>
              <w:rPr>
                <w:sz w:val="16"/>
                <w:szCs w:val="16"/>
              </w:rPr>
            </w:pPr>
            <w:r w:rsidRPr="00C3366A">
              <w:rPr>
                <w:sz w:val="16"/>
                <w:szCs w:val="16"/>
              </w:rPr>
              <w:t>239</w:t>
            </w:r>
          </w:p>
        </w:tc>
        <w:tc>
          <w:tcPr>
            <w:tcW w:w="2268" w:type="dxa"/>
            <w:tcBorders>
              <w:top w:val="single" w:sz="4" w:space="0" w:color="auto"/>
            </w:tcBorders>
            <w:vAlign w:val="bottom"/>
          </w:tcPr>
          <w:p w:rsidR="00B97965" w:rsidRPr="00C3366A" w:rsidRDefault="00B97965" w:rsidP="00B97965">
            <w:pPr>
              <w:rPr>
                <w:sz w:val="16"/>
                <w:szCs w:val="16"/>
              </w:rPr>
            </w:pPr>
            <w:r w:rsidRPr="00C3366A">
              <w:rPr>
                <w:sz w:val="16"/>
                <w:szCs w:val="16"/>
              </w:rPr>
              <w:t>Systemic Lupus Erythematosus</w:t>
            </w:r>
          </w:p>
        </w:tc>
        <w:tc>
          <w:tcPr>
            <w:tcW w:w="2694" w:type="dxa"/>
            <w:tcBorders>
              <w:top w:val="single" w:sz="4" w:space="0" w:color="auto"/>
            </w:tcBorders>
            <w:vAlign w:val="bottom"/>
          </w:tcPr>
          <w:p w:rsidR="00B97965" w:rsidRPr="00C3366A" w:rsidRDefault="00B97965" w:rsidP="00B97965">
            <w:pPr>
              <w:rPr>
                <w:sz w:val="16"/>
                <w:szCs w:val="16"/>
              </w:rPr>
            </w:pPr>
            <w:r w:rsidRPr="00C3366A">
              <w:rPr>
                <w:sz w:val="16"/>
                <w:szCs w:val="16"/>
              </w:rPr>
              <w:t>Barcelona</w:t>
            </w:r>
          </w:p>
        </w:tc>
        <w:tc>
          <w:tcPr>
            <w:tcW w:w="1337" w:type="dxa"/>
            <w:tcBorders>
              <w:top w:val="single" w:sz="4" w:space="0" w:color="auto"/>
            </w:tcBorders>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Font</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533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Barcelona</w:t>
            </w:r>
          </w:p>
        </w:tc>
        <w:tc>
          <w:tcPr>
            <w:tcW w:w="1337" w:type="dxa"/>
            <w:vAlign w:val="bottom"/>
          </w:tcPr>
          <w:p w:rsidR="00B97965" w:rsidRPr="00C3366A" w:rsidRDefault="00B97965" w:rsidP="00B97965">
            <w:pPr>
              <w:rPr>
                <w:sz w:val="16"/>
                <w:szCs w:val="16"/>
              </w:rPr>
            </w:pPr>
            <w:r w:rsidRPr="00C3366A">
              <w:rPr>
                <w:sz w:val="16"/>
                <w:szCs w:val="16"/>
              </w:rPr>
              <w:t>Disease features</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Font</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431</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Barcelona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Yee</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347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BILAG 2004</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Allen</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440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Birmingham cohort</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Ruiz-Irastorza</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202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Bizkaia</w:t>
            </w:r>
          </w:p>
        </w:tc>
        <w:tc>
          <w:tcPr>
            <w:tcW w:w="1337" w:type="dxa"/>
            <w:vAlign w:val="bottom"/>
          </w:tcPr>
          <w:p w:rsidR="00B97965" w:rsidRPr="00C3366A" w:rsidRDefault="00B97965" w:rsidP="00B97965">
            <w:pPr>
              <w:rPr>
                <w:sz w:val="16"/>
                <w:szCs w:val="16"/>
              </w:rPr>
            </w:pPr>
            <w:r>
              <w:rPr>
                <w:sz w:val="16"/>
                <w:szCs w:val="16"/>
              </w:rPr>
              <w:t>D</w:t>
            </w:r>
            <w:r w:rsidRPr="00C3366A">
              <w:rPr>
                <w:sz w:val="16"/>
                <w:szCs w:val="16"/>
              </w:rPr>
              <w:t>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Erhenstein</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114</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Bloomsbury Rheumatology Unit</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Cardoso</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105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Brazil</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Tayer</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81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California</w:t>
            </w:r>
          </w:p>
        </w:tc>
        <w:tc>
          <w:tcPr>
            <w:tcW w:w="1337" w:type="dxa"/>
            <w:vAlign w:val="bottom"/>
          </w:tcPr>
          <w:p w:rsidR="00B97965" w:rsidRPr="00C3366A" w:rsidRDefault="00B97965" w:rsidP="00B97965">
            <w:pPr>
              <w:rPr>
                <w:sz w:val="16"/>
                <w:szCs w:val="16"/>
              </w:rPr>
            </w:pPr>
            <w:r w:rsidRPr="00C3366A">
              <w:rPr>
                <w:sz w:val="16"/>
                <w:szCs w:val="16"/>
              </w:rPr>
              <w:t>Fatigue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Campbell</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265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Carolina Lupus Study</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Kasitanon</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91</w:t>
            </w:r>
          </w:p>
        </w:tc>
        <w:tc>
          <w:tcPr>
            <w:tcW w:w="2268" w:type="dxa"/>
            <w:vAlign w:val="bottom"/>
          </w:tcPr>
          <w:p w:rsidR="00B97965" w:rsidRPr="00C3366A" w:rsidRDefault="00B97965" w:rsidP="00B97965">
            <w:pPr>
              <w:rPr>
                <w:sz w:val="16"/>
                <w:szCs w:val="16"/>
              </w:rPr>
            </w:pPr>
            <w:r w:rsidRPr="00C3366A">
              <w:rPr>
                <w:sz w:val="16"/>
                <w:szCs w:val="16"/>
              </w:rPr>
              <w:t>Neuropsychiatric SLE</w:t>
            </w:r>
          </w:p>
        </w:tc>
        <w:tc>
          <w:tcPr>
            <w:tcW w:w="2694" w:type="dxa"/>
            <w:vAlign w:val="bottom"/>
          </w:tcPr>
          <w:p w:rsidR="00B97965" w:rsidRPr="00C3366A" w:rsidRDefault="00B97965" w:rsidP="00B97965">
            <w:pPr>
              <w:rPr>
                <w:sz w:val="16"/>
                <w:szCs w:val="16"/>
              </w:rPr>
            </w:pPr>
            <w:r w:rsidRPr="00C3366A">
              <w:rPr>
                <w:sz w:val="16"/>
                <w:szCs w:val="16"/>
              </w:rPr>
              <w:t>Chiang Mai University</w:t>
            </w:r>
          </w:p>
        </w:tc>
        <w:tc>
          <w:tcPr>
            <w:tcW w:w="1337" w:type="dxa"/>
            <w:vAlign w:val="bottom"/>
          </w:tcPr>
          <w:p w:rsidR="00B97965" w:rsidRPr="00C3366A" w:rsidRDefault="00B97965" w:rsidP="00B97965">
            <w:pPr>
              <w:rPr>
                <w:sz w:val="16"/>
                <w:szCs w:val="16"/>
              </w:rPr>
            </w:pPr>
            <w:r w:rsidRPr="00C3366A">
              <w:rPr>
                <w:sz w:val="16"/>
                <w:szCs w:val="16"/>
              </w:rPr>
              <w:t>NP events</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Kasitanon</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349</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Chiang Mai University</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Ramsey-Goldman</w:t>
            </w:r>
          </w:p>
        </w:tc>
        <w:tc>
          <w:tcPr>
            <w:tcW w:w="567" w:type="dxa"/>
            <w:vAlign w:val="bottom"/>
          </w:tcPr>
          <w:p w:rsidR="00B97965" w:rsidRPr="00C3366A" w:rsidRDefault="00B97965" w:rsidP="00B97965">
            <w:pPr>
              <w:jc w:val="right"/>
              <w:rPr>
                <w:sz w:val="16"/>
                <w:szCs w:val="16"/>
              </w:rPr>
            </w:pPr>
            <w:r w:rsidRPr="00C3366A">
              <w:rPr>
                <w:sz w:val="16"/>
                <w:szCs w:val="16"/>
              </w:rPr>
              <w:t>1998</w:t>
            </w:r>
          </w:p>
        </w:tc>
        <w:tc>
          <w:tcPr>
            <w:tcW w:w="708" w:type="dxa"/>
            <w:vAlign w:val="bottom"/>
          </w:tcPr>
          <w:p w:rsidR="00B97965" w:rsidRPr="00C3366A" w:rsidRDefault="00B97965" w:rsidP="00B97965">
            <w:pPr>
              <w:jc w:val="right"/>
              <w:rPr>
                <w:sz w:val="16"/>
                <w:szCs w:val="16"/>
              </w:rPr>
            </w:pPr>
            <w:r w:rsidRPr="00C3366A">
              <w:rPr>
                <w:sz w:val="16"/>
                <w:szCs w:val="16"/>
              </w:rPr>
              <w:t>616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Chicago Lupus Cohort</w:t>
            </w:r>
          </w:p>
        </w:tc>
        <w:tc>
          <w:tcPr>
            <w:tcW w:w="1337" w:type="dxa"/>
            <w:vAlign w:val="bottom"/>
          </w:tcPr>
          <w:p w:rsidR="00B97965" w:rsidRPr="00C3366A" w:rsidRDefault="00B97965" w:rsidP="00B97965">
            <w:pPr>
              <w:rPr>
                <w:sz w:val="16"/>
                <w:szCs w:val="16"/>
              </w:rPr>
            </w:pPr>
            <w:r w:rsidRPr="00C3366A">
              <w:rPr>
                <w:sz w:val="16"/>
                <w:szCs w:val="16"/>
              </w:rPr>
              <w:t>Malignancy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Korbet</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86</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Clinical trial extension</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Chen</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86</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Collaborative Study Group</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Faurschou </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91</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Copenhagen</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Erdozain</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232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De Cruces</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Gilboe</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93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Diakondjemmet Hospital</w:t>
            </w:r>
          </w:p>
        </w:tc>
        <w:tc>
          <w:tcPr>
            <w:tcW w:w="1337" w:type="dxa"/>
            <w:vAlign w:val="bottom"/>
          </w:tcPr>
          <w:p w:rsidR="00B97965" w:rsidRPr="00C3366A" w:rsidRDefault="00B97965" w:rsidP="00B97965">
            <w:pPr>
              <w:rPr>
                <w:sz w:val="16"/>
                <w:szCs w:val="16"/>
              </w:rPr>
            </w:pPr>
            <w:r>
              <w:rPr>
                <w:sz w:val="16"/>
                <w:szCs w:val="16"/>
              </w:rPr>
              <w:t>D</w:t>
            </w:r>
            <w:r w:rsidRPr="00C3366A">
              <w:rPr>
                <w:sz w:val="16"/>
                <w:szCs w:val="16"/>
              </w:rPr>
              <w:t>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Al-Saleh</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151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Dubai</w:t>
            </w:r>
          </w:p>
        </w:tc>
        <w:tc>
          <w:tcPr>
            <w:tcW w:w="1337" w:type="dxa"/>
            <w:vAlign w:val="bottom"/>
          </w:tcPr>
          <w:p w:rsidR="00B97965" w:rsidRPr="00C3366A" w:rsidRDefault="00B97965" w:rsidP="00B97965">
            <w:pPr>
              <w:rPr>
                <w:sz w:val="16"/>
                <w:szCs w:val="16"/>
              </w:rPr>
            </w:pPr>
            <w:r w:rsidRPr="00C3366A">
              <w:rPr>
                <w:sz w:val="16"/>
                <w:szCs w:val="16"/>
              </w:rPr>
              <w:t>Prevalence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Ward</w:t>
            </w:r>
          </w:p>
        </w:tc>
        <w:tc>
          <w:tcPr>
            <w:tcW w:w="567" w:type="dxa"/>
            <w:vAlign w:val="bottom"/>
          </w:tcPr>
          <w:p w:rsidR="00B97965" w:rsidRPr="00C3366A" w:rsidRDefault="00B97965" w:rsidP="00B97965">
            <w:pPr>
              <w:jc w:val="right"/>
              <w:rPr>
                <w:sz w:val="16"/>
                <w:szCs w:val="16"/>
              </w:rPr>
            </w:pPr>
            <w:r w:rsidRPr="00C3366A">
              <w:rPr>
                <w:sz w:val="16"/>
                <w:szCs w:val="16"/>
              </w:rPr>
              <w:t>1996</w:t>
            </w:r>
          </w:p>
        </w:tc>
        <w:tc>
          <w:tcPr>
            <w:tcW w:w="708" w:type="dxa"/>
            <w:vAlign w:val="bottom"/>
          </w:tcPr>
          <w:p w:rsidR="00B97965" w:rsidRPr="00C3366A" w:rsidRDefault="00B97965" w:rsidP="00B97965">
            <w:pPr>
              <w:jc w:val="right"/>
              <w:rPr>
                <w:sz w:val="16"/>
                <w:szCs w:val="16"/>
              </w:rPr>
            </w:pPr>
            <w:r w:rsidRPr="00C3366A">
              <w:rPr>
                <w:sz w:val="16"/>
                <w:szCs w:val="16"/>
              </w:rPr>
              <w:t>408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Duke University</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Ward</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408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Duke University</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Ward</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408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Duke University</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Manger</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338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Erlangen</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Nossent</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2500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EULAR</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Cervera</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1000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Euro-Lupus cohort</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Cervera</w:t>
            </w:r>
          </w:p>
        </w:tc>
        <w:tc>
          <w:tcPr>
            <w:tcW w:w="567" w:type="dxa"/>
            <w:vAlign w:val="bottom"/>
          </w:tcPr>
          <w:p w:rsidR="00B97965" w:rsidRPr="00C3366A" w:rsidRDefault="00B97965" w:rsidP="00B97965">
            <w:pPr>
              <w:jc w:val="right"/>
              <w:rPr>
                <w:sz w:val="16"/>
                <w:szCs w:val="16"/>
              </w:rPr>
            </w:pPr>
            <w:r w:rsidRPr="00C3366A">
              <w:rPr>
                <w:sz w:val="16"/>
                <w:szCs w:val="16"/>
              </w:rPr>
              <w:t>1999</w:t>
            </w:r>
          </w:p>
        </w:tc>
        <w:tc>
          <w:tcPr>
            <w:tcW w:w="708" w:type="dxa"/>
            <w:vAlign w:val="bottom"/>
          </w:tcPr>
          <w:p w:rsidR="00B97965" w:rsidRPr="00C3366A" w:rsidRDefault="00B97965" w:rsidP="00B97965">
            <w:pPr>
              <w:jc w:val="right"/>
              <w:rPr>
                <w:sz w:val="16"/>
                <w:szCs w:val="16"/>
              </w:rPr>
            </w:pPr>
            <w:r w:rsidRPr="00C3366A">
              <w:rPr>
                <w:sz w:val="16"/>
                <w:szCs w:val="16"/>
              </w:rPr>
              <w:t>1000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Euro-Lupus cohort</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Swaak</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187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Europe</w:t>
            </w:r>
          </w:p>
        </w:tc>
        <w:tc>
          <w:tcPr>
            <w:tcW w:w="1337" w:type="dxa"/>
            <w:vAlign w:val="bottom"/>
          </w:tcPr>
          <w:p w:rsidR="00B97965" w:rsidRPr="00C3366A" w:rsidRDefault="00B97965" w:rsidP="00B97965">
            <w:pPr>
              <w:rPr>
                <w:sz w:val="16"/>
                <w:szCs w:val="16"/>
              </w:rPr>
            </w:pPr>
            <w:r>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Garcia</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1214</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GLADEL cohort</w:t>
            </w:r>
          </w:p>
        </w:tc>
        <w:tc>
          <w:tcPr>
            <w:tcW w:w="1337" w:type="dxa"/>
            <w:vAlign w:val="bottom"/>
          </w:tcPr>
          <w:p w:rsidR="00B97965" w:rsidRPr="00C3366A" w:rsidRDefault="00B97965" w:rsidP="00B97965">
            <w:pPr>
              <w:rPr>
                <w:sz w:val="16"/>
                <w:szCs w:val="16"/>
              </w:rPr>
            </w:pPr>
            <w:r w:rsidRPr="00C3366A">
              <w:rPr>
                <w:sz w:val="16"/>
                <w:szCs w:val="16"/>
              </w:rPr>
              <w:t>Gender</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Bono</w:t>
            </w:r>
          </w:p>
        </w:tc>
        <w:tc>
          <w:tcPr>
            <w:tcW w:w="567" w:type="dxa"/>
            <w:vAlign w:val="bottom"/>
          </w:tcPr>
          <w:p w:rsidR="00B97965" w:rsidRPr="00C3366A" w:rsidRDefault="00B97965" w:rsidP="00B97965">
            <w:pPr>
              <w:jc w:val="right"/>
              <w:rPr>
                <w:sz w:val="16"/>
                <w:szCs w:val="16"/>
              </w:rPr>
            </w:pPr>
            <w:r w:rsidRPr="00C3366A">
              <w:rPr>
                <w:sz w:val="16"/>
                <w:szCs w:val="16"/>
              </w:rPr>
              <w:t>1999</w:t>
            </w:r>
          </w:p>
        </w:tc>
        <w:tc>
          <w:tcPr>
            <w:tcW w:w="708" w:type="dxa"/>
            <w:vAlign w:val="bottom"/>
          </w:tcPr>
          <w:p w:rsidR="00B97965" w:rsidRPr="00C3366A" w:rsidRDefault="00B97965" w:rsidP="00B97965">
            <w:pPr>
              <w:jc w:val="right"/>
              <w:rPr>
                <w:sz w:val="16"/>
                <w:szCs w:val="16"/>
              </w:rPr>
            </w:pPr>
            <w:r w:rsidRPr="00C3366A">
              <w:rPr>
                <w:sz w:val="16"/>
                <w:szCs w:val="16"/>
              </w:rPr>
              <w:t>110</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Guys Hospital</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Hanly</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209</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Halifax, Canada</w:t>
            </w:r>
          </w:p>
        </w:tc>
        <w:tc>
          <w:tcPr>
            <w:tcW w:w="1337" w:type="dxa"/>
            <w:vAlign w:val="bottom"/>
          </w:tcPr>
          <w:p w:rsidR="00B97965" w:rsidRPr="00C3366A" w:rsidRDefault="00B97965" w:rsidP="00B97965">
            <w:pPr>
              <w:rPr>
                <w:sz w:val="16"/>
                <w:szCs w:val="16"/>
              </w:rPr>
            </w:pPr>
            <w:r w:rsidRPr="00C3366A">
              <w:rPr>
                <w:sz w:val="16"/>
                <w:szCs w:val="16"/>
              </w:rPr>
              <w:t>NP events</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Chun</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466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 xml:space="preserve">Hangyang </w:t>
            </w:r>
          </w:p>
        </w:tc>
        <w:tc>
          <w:tcPr>
            <w:tcW w:w="1337" w:type="dxa"/>
            <w:vAlign w:val="bottom"/>
          </w:tcPr>
          <w:p w:rsidR="00B97965" w:rsidRPr="00C3366A" w:rsidRDefault="00B97965" w:rsidP="00B97965">
            <w:pPr>
              <w:rPr>
                <w:sz w:val="16"/>
                <w:szCs w:val="16"/>
              </w:rPr>
            </w:pPr>
            <w:r w:rsidRPr="00C3366A">
              <w:rPr>
                <w:sz w:val="16"/>
                <w:szCs w:val="16"/>
              </w:rPr>
              <w:t>Malignancy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155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Q</w:t>
            </w:r>
            <w:r>
              <w:rPr>
                <w:sz w:val="16"/>
                <w:szCs w:val="16"/>
              </w:rPr>
              <w:t>uality of Life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442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285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Late onset</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282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242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Mok</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163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Hong Kong</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Barr</w:t>
            </w:r>
          </w:p>
        </w:tc>
        <w:tc>
          <w:tcPr>
            <w:tcW w:w="567" w:type="dxa"/>
            <w:vAlign w:val="bottom"/>
          </w:tcPr>
          <w:p w:rsidR="00B97965" w:rsidRPr="00C3366A" w:rsidRDefault="00B97965" w:rsidP="00B97965">
            <w:pPr>
              <w:jc w:val="right"/>
              <w:rPr>
                <w:sz w:val="16"/>
                <w:szCs w:val="16"/>
              </w:rPr>
            </w:pPr>
            <w:r w:rsidRPr="00C3366A">
              <w:rPr>
                <w:sz w:val="16"/>
                <w:szCs w:val="16"/>
              </w:rPr>
              <w:t>1999</w:t>
            </w:r>
          </w:p>
        </w:tc>
        <w:tc>
          <w:tcPr>
            <w:tcW w:w="708" w:type="dxa"/>
            <w:vAlign w:val="bottom"/>
          </w:tcPr>
          <w:p w:rsidR="00B97965" w:rsidRPr="00C3366A" w:rsidRDefault="00B97965" w:rsidP="00B97965">
            <w:pPr>
              <w:jc w:val="right"/>
              <w:rPr>
                <w:sz w:val="16"/>
                <w:szCs w:val="16"/>
              </w:rPr>
            </w:pPr>
            <w:r w:rsidRPr="00C3366A">
              <w:rPr>
                <w:sz w:val="16"/>
                <w:szCs w:val="16"/>
              </w:rPr>
              <w:t>204</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Petri</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800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Review</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Petri</w:t>
            </w:r>
          </w:p>
        </w:tc>
        <w:tc>
          <w:tcPr>
            <w:tcW w:w="567" w:type="dxa"/>
            <w:vAlign w:val="bottom"/>
          </w:tcPr>
          <w:p w:rsidR="00B97965" w:rsidRPr="00C3366A" w:rsidRDefault="00B97965" w:rsidP="00B97965">
            <w:pPr>
              <w:jc w:val="right"/>
              <w:rPr>
                <w:sz w:val="16"/>
                <w:szCs w:val="16"/>
              </w:rPr>
            </w:pPr>
            <w:r w:rsidRPr="00C3366A">
              <w:rPr>
                <w:sz w:val="16"/>
                <w:szCs w:val="16"/>
              </w:rPr>
              <w:t>1996</w:t>
            </w:r>
          </w:p>
        </w:tc>
        <w:tc>
          <w:tcPr>
            <w:tcW w:w="708" w:type="dxa"/>
            <w:vAlign w:val="bottom"/>
          </w:tcPr>
          <w:p w:rsidR="00B97965" w:rsidRPr="00C3366A" w:rsidRDefault="00B97965" w:rsidP="00B97965">
            <w:pPr>
              <w:jc w:val="right"/>
              <w:rPr>
                <w:sz w:val="16"/>
                <w:szCs w:val="16"/>
              </w:rPr>
            </w:pPr>
            <w:r w:rsidRPr="00C3366A">
              <w:rPr>
                <w:sz w:val="16"/>
                <w:szCs w:val="16"/>
              </w:rPr>
              <w:t>407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Petri</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407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Thamer</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525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Zonana-Nacach</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539</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 xml:space="preserve">Damage </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Kasitanon</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1378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Petri</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190</w:t>
            </w:r>
          </w:p>
        </w:tc>
        <w:tc>
          <w:tcPr>
            <w:tcW w:w="2268" w:type="dxa"/>
            <w:vAlign w:val="bottom"/>
          </w:tcPr>
          <w:p w:rsidR="00B97965" w:rsidRPr="00C3366A" w:rsidRDefault="00B97965" w:rsidP="00B97965">
            <w:pPr>
              <w:rPr>
                <w:sz w:val="16"/>
                <w:szCs w:val="16"/>
              </w:rPr>
            </w:pPr>
            <w:r w:rsidRPr="00C3366A">
              <w:rPr>
                <w:sz w:val="16"/>
                <w:szCs w:val="16"/>
              </w:rPr>
              <w:t>Recently diagnosed SLE</w:t>
            </w:r>
          </w:p>
        </w:tc>
        <w:tc>
          <w:tcPr>
            <w:tcW w:w="2694" w:type="dxa"/>
            <w:vAlign w:val="bottom"/>
          </w:tcPr>
          <w:p w:rsidR="00B97965" w:rsidRPr="00C3366A" w:rsidRDefault="00B97965" w:rsidP="00B97965">
            <w:pPr>
              <w:rPr>
                <w:sz w:val="16"/>
                <w:szCs w:val="16"/>
              </w:rPr>
            </w:pPr>
            <w:r w:rsidRPr="00C3366A">
              <w:rPr>
                <w:sz w:val="16"/>
                <w:szCs w:val="16"/>
              </w:rPr>
              <w:t>Hopkins Lupus Cohort</w:t>
            </w:r>
          </w:p>
        </w:tc>
        <w:tc>
          <w:tcPr>
            <w:tcW w:w="1337" w:type="dxa"/>
            <w:vAlign w:val="bottom"/>
          </w:tcPr>
          <w:p w:rsidR="00B97965" w:rsidRPr="00C3366A" w:rsidRDefault="00B97965" w:rsidP="00B97965">
            <w:pPr>
              <w:rPr>
                <w:sz w:val="16"/>
                <w:szCs w:val="16"/>
              </w:rPr>
            </w:pPr>
            <w:r w:rsidRPr="00C3366A">
              <w:rPr>
                <w:sz w:val="16"/>
                <w:szCs w:val="16"/>
              </w:rPr>
              <w:t>NP events</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Xie</w:t>
            </w:r>
          </w:p>
        </w:tc>
        <w:tc>
          <w:tcPr>
            <w:tcW w:w="567" w:type="dxa"/>
            <w:vAlign w:val="bottom"/>
          </w:tcPr>
          <w:p w:rsidR="00B97965" w:rsidRPr="00C3366A" w:rsidRDefault="00B97965" w:rsidP="00B97965">
            <w:pPr>
              <w:jc w:val="right"/>
              <w:rPr>
                <w:sz w:val="16"/>
                <w:szCs w:val="16"/>
              </w:rPr>
            </w:pPr>
            <w:r w:rsidRPr="00C3366A">
              <w:rPr>
                <w:sz w:val="16"/>
                <w:szCs w:val="16"/>
              </w:rPr>
              <w:t>1998</w:t>
            </w:r>
          </w:p>
        </w:tc>
        <w:tc>
          <w:tcPr>
            <w:tcW w:w="708" w:type="dxa"/>
            <w:vAlign w:val="bottom"/>
          </w:tcPr>
          <w:p w:rsidR="00B97965" w:rsidRPr="00C3366A" w:rsidRDefault="00B97965" w:rsidP="00B97965">
            <w:pPr>
              <w:jc w:val="right"/>
              <w:rPr>
                <w:sz w:val="16"/>
                <w:szCs w:val="16"/>
              </w:rPr>
            </w:pPr>
            <w:r w:rsidRPr="00C3366A">
              <w:rPr>
                <w:sz w:val="16"/>
                <w:szCs w:val="16"/>
              </w:rPr>
              <w:t>566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Huashan Hospital</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Santos</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221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Lisbon</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Stoll</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141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London</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Stoll</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141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London</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Alarcon</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229</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Alarcon</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202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Wealth</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Alarcon</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352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Alarcon</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288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Alarcon </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258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Ethnicity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Andrade</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600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Andrade </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Gender</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Apte</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496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Bastian</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353</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Bertoli</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613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Pr>
                <w:sz w:val="16"/>
                <w:szCs w:val="16"/>
              </w:rPr>
              <w:t>Haematology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Bertoli</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632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Bertoli</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217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Late onset</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Bertoli</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287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Burgos</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515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Fatigue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Calvo alen</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571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Calvo alen</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570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Chaiamnuay</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379</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Hypertension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Duran</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628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Pr>
                <w:sz w:val="16"/>
                <w:szCs w:val="16"/>
              </w:rPr>
              <w:t>Haematology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Fernandez</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72</w:t>
            </w:r>
          </w:p>
        </w:tc>
        <w:tc>
          <w:tcPr>
            <w:tcW w:w="2268" w:type="dxa"/>
            <w:vAlign w:val="bottom"/>
          </w:tcPr>
          <w:p w:rsidR="00B97965" w:rsidRPr="00C3366A" w:rsidRDefault="00B97965" w:rsidP="00B97965">
            <w:pPr>
              <w:rPr>
                <w:sz w:val="16"/>
                <w:szCs w:val="16"/>
              </w:rPr>
            </w:pPr>
            <w:r w:rsidRPr="00C3366A">
              <w:rPr>
                <w:sz w:val="16"/>
                <w:szCs w:val="16"/>
              </w:rPr>
              <w:t>Postmenopausal SLE</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Fernandez</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552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Fernandez</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617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Ethnicity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Fernandez</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616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Pr>
                <w:sz w:val="16"/>
                <w:szCs w:val="16"/>
              </w:rPr>
              <w:t>Haematology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Fernandez</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518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Menopause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Friedman</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363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Fibromyalgia</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Gonzalez</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632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Gonzalez</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316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Pons-Estel</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637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Sanchez </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588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Quality of life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Toloza</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546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Toloza</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158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Zonana-Nacach</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223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LUMINA</w:t>
            </w:r>
          </w:p>
        </w:tc>
        <w:tc>
          <w:tcPr>
            <w:tcW w:w="1337" w:type="dxa"/>
            <w:vAlign w:val="bottom"/>
          </w:tcPr>
          <w:p w:rsidR="00B97965" w:rsidRPr="00C3366A" w:rsidRDefault="00B97965" w:rsidP="00B97965">
            <w:pPr>
              <w:rPr>
                <w:sz w:val="16"/>
                <w:szCs w:val="16"/>
              </w:rPr>
            </w:pPr>
            <w:r w:rsidRPr="00C3366A">
              <w:rPr>
                <w:sz w:val="16"/>
                <w:szCs w:val="16"/>
              </w:rPr>
              <w:t>Fatigue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Nived</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80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Lund</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Jonsen </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117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Lund-Orup</w:t>
            </w:r>
          </w:p>
        </w:tc>
        <w:tc>
          <w:tcPr>
            <w:tcW w:w="1337" w:type="dxa"/>
            <w:vAlign w:val="bottom"/>
          </w:tcPr>
          <w:p w:rsidR="00B97965" w:rsidRPr="00C3366A" w:rsidRDefault="00B97965" w:rsidP="00B97965">
            <w:pPr>
              <w:rPr>
                <w:sz w:val="16"/>
                <w:szCs w:val="16"/>
              </w:rPr>
            </w:pPr>
            <w:r w:rsidRPr="00C3366A">
              <w:rPr>
                <w:sz w:val="16"/>
                <w:szCs w:val="16"/>
              </w:rPr>
              <w:t>NP events</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Chang</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426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McGill University</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Drenkard</w:t>
            </w:r>
          </w:p>
        </w:tc>
        <w:tc>
          <w:tcPr>
            <w:tcW w:w="567" w:type="dxa"/>
            <w:vAlign w:val="bottom"/>
          </w:tcPr>
          <w:p w:rsidR="00B97965" w:rsidRPr="00C3366A" w:rsidRDefault="00B97965" w:rsidP="00B97965">
            <w:pPr>
              <w:jc w:val="right"/>
              <w:rPr>
                <w:sz w:val="16"/>
                <w:szCs w:val="16"/>
              </w:rPr>
            </w:pPr>
            <w:r w:rsidRPr="00C3366A">
              <w:rPr>
                <w:sz w:val="16"/>
                <w:szCs w:val="16"/>
              </w:rPr>
              <w:t>1996</w:t>
            </w:r>
          </w:p>
        </w:tc>
        <w:tc>
          <w:tcPr>
            <w:tcW w:w="708" w:type="dxa"/>
            <w:vAlign w:val="bottom"/>
          </w:tcPr>
          <w:p w:rsidR="00B97965" w:rsidRPr="00C3366A" w:rsidRDefault="00B97965" w:rsidP="00B97965">
            <w:pPr>
              <w:jc w:val="right"/>
              <w:rPr>
                <w:sz w:val="16"/>
                <w:szCs w:val="16"/>
              </w:rPr>
            </w:pPr>
            <w:r w:rsidRPr="00C3366A">
              <w:rPr>
                <w:sz w:val="16"/>
                <w:szCs w:val="16"/>
              </w:rPr>
              <w:t>667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Mexico</w:t>
            </w:r>
          </w:p>
        </w:tc>
        <w:tc>
          <w:tcPr>
            <w:tcW w:w="1337" w:type="dxa"/>
            <w:vAlign w:val="bottom"/>
          </w:tcPr>
          <w:p w:rsidR="00B97965" w:rsidRPr="00C3366A" w:rsidRDefault="00B97965" w:rsidP="00B97965">
            <w:pPr>
              <w:rPr>
                <w:sz w:val="16"/>
                <w:szCs w:val="16"/>
              </w:rPr>
            </w:pPr>
            <w:r w:rsidRPr="00C3366A">
              <w:rPr>
                <w:sz w:val="16"/>
                <w:szCs w:val="16"/>
              </w:rPr>
              <w:t>Remission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Zonana-Nacach</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200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Mexico</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Gonzalez-Duarte</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1200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 xml:space="preserve">Mexico </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Vergara-Fernandez</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73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 xml:space="preserve">Mexico  </w:t>
            </w:r>
          </w:p>
        </w:tc>
        <w:tc>
          <w:tcPr>
            <w:tcW w:w="1337" w:type="dxa"/>
            <w:vAlign w:val="bottom"/>
          </w:tcPr>
          <w:p w:rsidR="00B97965" w:rsidRPr="00C3366A" w:rsidRDefault="00B97965" w:rsidP="00B97965">
            <w:pPr>
              <w:rPr>
                <w:sz w:val="16"/>
                <w:szCs w:val="16"/>
              </w:rPr>
            </w:pPr>
            <w:r w:rsidRPr="00C3366A">
              <w:rPr>
                <w:sz w:val="16"/>
                <w:szCs w:val="16"/>
              </w:rPr>
              <w:t>Abdominal pain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Moroni</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93</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Milan</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Fortin</w:t>
            </w:r>
          </w:p>
        </w:tc>
        <w:tc>
          <w:tcPr>
            <w:tcW w:w="567" w:type="dxa"/>
            <w:vAlign w:val="bottom"/>
          </w:tcPr>
          <w:p w:rsidR="00B97965" w:rsidRPr="00C3366A" w:rsidRDefault="00B97965" w:rsidP="00B97965">
            <w:pPr>
              <w:jc w:val="right"/>
              <w:rPr>
                <w:sz w:val="16"/>
                <w:szCs w:val="16"/>
              </w:rPr>
            </w:pPr>
            <w:r w:rsidRPr="00C3366A">
              <w:rPr>
                <w:sz w:val="16"/>
                <w:szCs w:val="16"/>
              </w:rPr>
              <w:t>1998</w:t>
            </w:r>
          </w:p>
        </w:tc>
        <w:tc>
          <w:tcPr>
            <w:tcW w:w="708" w:type="dxa"/>
            <w:vAlign w:val="bottom"/>
          </w:tcPr>
          <w:p w:rsidR="00B97965" w:rsidRPr="00C3366A" w:rsidRDefault="00B97965" w:rsidP="00B97965">
            <w:pPr>
              <w:jc w:val="right"/>
              <w:rPr>
                <w:sz w:val="16"/>
                <w:szCs w:val="16"/>
              </w:rPr>
            </w:pPr>
            <w:r w:rsidRPr="00C3366A">
              <w:rPr>
                <w:sz w:val="16"/>
                <w:szCs w:val="16"/>
              </w:rPr>
              <w:t>96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Montreal general hospital</w:t>
            </w:r>
          </w:p>
        </w:tc>
        <w:tc>
          <w:tcPr>
            <w:tcW w:w="1337" w:type="dxa"/>
            <w:vAlign w:val="bottom"/>
          </w:tcPr>
          <w:p w:rsidR="00B97965" w:rsidRPr="00C3366A" w:rsidRDefault="00B97965" w:rsidP="00B97965">
            <w:pPr>
              <w:rPr>
                <w:sz w:val="16"/>
                <w:szCs w:val="16"/>
              </w:rPr>
            </w:pPr>
            <w:r w:rsidRPr="00C3366A">
              <w:rPr>
                <w:sz w:val="16"/>
                <w:szCs w:val="16"/>
              </w:rPr>
              <w:t>Quality of life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Pineau</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151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Montreal general hospital</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Bernatsky</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2688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Canadian Cohort</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Peschken</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1000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Canadian Cohort</w:t>
            </w:r>
          </w:p>
        </w:tc>
        <w:tc>
          <w:tcPr>
            <w:tcW w:w="1337" w:type="dxa"/>
            <w:vAlign w:val="bottom"/>
          </w:tcPr>
          <w:p w:rsidR="00B97965" w:rsidRPr="00C3366A" w:rsidRDefault="00B97965" w:rsidP="00B97965">
            <w:pPr>
              <w:rPr>
                <w:sz w:val="16"/>
                <w:szCs w:val="16"/>
              </w:rPr>
            </w:pPr>
            <w:r w:rsidRPr="00C3366A">
              <w:rPr>
                <w:sz w:val="16"/>
                <w:szCs w:val="16"/>
              </w:rPr>
              <w:t>Ethnicity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Bernatsky</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9547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International</w:t>
            </w:r>
          </w:p>
        </w:tc>
        <w:tc>
          <w:tcPr>
            <w:tcW w:w="1337" w:type="dxa"/>
            <w:vAlign w:val="bottom"/>
          </w:tcPr>
          <w:p w:rsidR="00B97965" w:rsidRPr="00C3366A" w:rsidRDefault="00B97965" w:rsidP="00B97965">
            <w:pPr>
              <w:rPr>
                <w:sz w:val="16"/>
                <w:szCs w:val="16"/>
              </w:rPr>
            </w:pPr>
            <w:r w:rsidRPr="00C3366A">
              <w:rPr>
                <w:sz w:val="16"/>
                <w:szCs w:val="16"/>
              </w:rPr>
              <w:t>Malignancy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Bernatsky</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9547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International</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1297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Multicentre International</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Ghosh</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70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Mumbai</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Chen</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152</w:t>
            </w:r>
          </w:p>
        </w:tc>
        <w:tc>
          <w:tcPr>
            <w:tcW w:w="2268" w:type="dxa"/>
            <w:vAlign w:val="bottom"/>
          </w:tcPr>
          <w:p w:rsidR="00B97965" w:rsidRPr="00C3366A" w:rsidRDefault="00B97965" w:rsidP="00B97965">
            <w:pPr>
              <w:rPr>
                <w:sz w:val="16"/>
                <w:szCs w:val="16"/>
              </w:rPr>
            </w:pPr>
            <w:r w:rsidRPr="00C3366A">
              <w:rPr>
                <w:sz w:val="16"/>
                <w:szCs w:val="16"/>
              </w:rPr>
              <w:t>Lupus Nephritis</w:t>
            </w:r>
          </w:p>
        </w:tc>
        <w:tc>
          <w:tcPr>
            <w:tcW w:w="2694" w:type="dxa"/>
            <w:vAlign w:val="bottom"/>
          </w:tcPr>
          <w:p w:rsidR="00B97965" w:rsidRPr="00C3366A" w:rsidRDefault="00B97965" w:rsidP="00B97965">
            <w:pPr>
              <w:rPr>
                <w:sz w:val="16"/>
                <w:szCs w:val="16"/>
              </w:rPr>
            </w:pPr>
            <w:r w:rsidRPr="00C3366A">
              <w:rPr>
                <w:sz w:val="16"/>
                <w:szCs w:val="16"/>
              </w:rPr>
              <w:t>Nanjing University School of Medicine</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Rovin</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92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Ohio SLE</w:t>
            </w:r>
          </w:p>
        </w:tc>
        <w:tc>
          <w:tcPr>
            <w:tcW w:w="1337" w:type="dxa"/>
            <w:vAlign w:val="bottom"/>
          </w:tcPr>
          <w:p w:rsidR="00B97965" w:rsidRPr="00C3366A" w:rsidRDefault="00B97965" w:rsidP="00B97965">
            <w:pPr>
              <w:rPr>
                <w:sz w:val="16"/>
                <w:szCs w:val="16"/>
              </w:rPr>
            </w:pPr>
            <w:r w:rsidRPr="00C3366A">
              <w:rPr>
                <w:sz w:val="16"/>
                <w:szCs w:val="16"/>
              </w:rPr>
              <w:t>Fever</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Doria</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207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Padua</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Bertoli</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1333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PROFILE</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Ramsey-Goldman</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1295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PROFILE</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McLaurin</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123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SALUD</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Jeong</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110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Seoul</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Hanly</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890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SLICC inception cohort</w:t>
            </w:r>
          </w:p>
        </w:tc>
        <w:tc>
          <w:tcPr>
            <w:tcW w:w="1337" w:type="dxa"/>
            <w:vAlign w:val="bottom"/>
          </w:tcPr>
          <w:p w:rsidR="00B97965" w:rsidRPr="00C3366A" w:rsidRDefault="00B97965" w:rsidP="00B97965">
            <w:pPr>
              <w:rPr>
                <w:sz w:val="16"/>
                <w:szCs w:val="16"/>
              </w:rPr>
            </w:pPr>
            <w:r w:rsidRPr="00C3366A">
              <w:rPr>
                <w:sz w:val="16"/>
                <w:szCs w:val="16"/>
              </w:rPr>
              <w:t>Neuropsychiatric</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Hanly</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572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SLICC inception cohort</w:t>
            </w:r>
          </w:p>
        </w:tc>
        <w:tc>
          <w:tcPr>
            <w:tcW w:w="1337" w:type="dxa"/>
            <w:vAlign w:val="bottom"/>
          </w:tcPr>
          <w:p w:rsidR="00B97965" w:rsidRPr="00C3366A" w:rsidRDefault="00B97965" w:rsidP="00B97965">
            <w:pPr>
              <w:rPr>
                <w:sz w:val="16"/>
                <w:szCs w:val="16"/>
              </w:rPr>
            </w:pPr>
            <w:r w:rsidRPr="00C3366A">
              <w:rPr>
                <w:sz w:val="16"/>
                <w:szCs w:val="16"/>
              </w:rPr>
              <w:t>Neuropsychiatric</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Urrowitz</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278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SLICC inception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Bosch</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100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Spain</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Calvo alen</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80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Spain/LUMINA</w:t>
            </w:r>
          </w:p>
        </w:tc>
        <w:tc>
          <w:tcPr>
            <w:tcW w:w="1337" w:type="dxa"/>
            <w:vAlign w:val="bottom"/>
          </w:tcPr>
          <w:p w:rsidR="00B97965" w:rsidRPr="00C3366A" w:rsidRDefault="00B97965" w:rsidP="00B97965">
            <w:pPr>
              <w:rPr>
                <w:sz w:val="16"/>
                <w:szCs w:val="16"/>
              </w:rPr>
            </w:pPr>
            <w:r w:rsidRPr="00C3366A">
              <w:rPr>
                <w:sz w:val="16"/>
                <w:szCs w:val="16"/>
              </w:rPr>
              <w:t>Ethnicity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Appenzeller</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560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State University of Campinas</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Appenzeller</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519</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State University of Campinas</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Guarize</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60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State University of Campinas</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Bjornadal</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4737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Swedish register</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Bessant</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64</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College London</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Chambers</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232</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College London</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Padovan</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255</w:t>
            </w:r>
          </w:p>
        </w:tc>
        <w:tc>
          <w:tcPr>
            <w:tcW w:w="2268" w:type="dxa"/>
            <w:vAlign w:val="bottom"/>
          </w:tcPr>
          <w:p w:rsidR="00B97965" w:rsidRPr="00C3366A" w:rsidRDefault="00B97965" w:rsidP="00B97965">
            <w:pPr>
              <w:rPr>
                <w:sz w:val="16"/>
                <w:szCs w:val="16"/>
              </w:rPr>
            </w:pPr>
            <w:r w:rsidRPr="00C3366A">
              <w:rPr>
                <w:sz w:val="16"/>
                <w:szCs w:val="16"/>
              </w:rPr>
              <w:t>Caucasian SLE</w:t>
            </w:r>
          </w:p>
        </w:tc>
        <w:tc>
          <w:tcPr>
            <w:tcW w:w="2694" w:type="dxa"/>
            <w:vAlign w:val="bottom"/>
          </w:tcPr>
          <w:p w:rsidR="00B97965" w:rsidRPr="00C3366A" w:rsidRDefault="00B97965" w:rsidP="00B97965">
            <w:pPr>
              <w:rPr>
                <w:sz w:val="16"/>
                <w:szCs w:val="16"/>
              </w:rPr>
            </w:pPr>
            <w:r w:rsidRPr="00C3366A">
              <w:rPr>
                <w:sz w:val="16"/>
                <w:szCs w:val="16"/>
              </w:rPr>
              <w:t>University of Ferrara</w:t>
            </w:r>
          </w:p>
        </w:tc>
        <w:tc>
          <w:tcPr>
            <w:tcW w:w="1337" w:type="dxa"/>
            <w:vAlign w:val="bottom"/>
          </w:tcPr>
          <w:p w:rsidR="00B97965" w:rsidRPr="00C3366A" w:rsidRDefault="00B97965" w:rsidP="00B97965">
            <w:pPr>
              <w:rPr>
                <w:sz w:val="16"/>
                <w:szCs w:val="16"/>
              </w:rPr>
            </w:pPr>
            <w:r w:rsidRPr="00C3366A">
              <w:rPr>
                <w:sz w:val="16"/>
                <w:szCs w:val="16"/>
              </w:rPr>
              <w:t>Late onset</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Jump</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127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Florida</w:t>
            </w:r>
          </w:p>
        </w:tc>
        <w:tc>
          <w:tcPr>
            <w:tcW w:w="1337" w:type="dxa"/>
            <w:vAlign w:val="bottom"/>
          </w:tcPr>
          <w:p w:rsidR="00B97965" w:rsidRPr="00C3366A" w:rsidRDefault="00B97965" w:rsidP="00B97965">
            <w:pPr>
              <w:rPr>
                <w:sz w:val="16"/>
                <w:szCs w:val="16"/>
              </w:rPr>
            </w:pPr>
            <w:r w:rsidRPr="00C3366A">
              <w:rPr>
                <w:sz w:val="16"/>
                <w:szCs w:val="16"/>
              </w:rPr>
              <w:t>Fatigue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Mikdashi</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238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Maryland Lupus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Mikdashi</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195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Maryland Lupus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Mikdashi</w:t>
            </w:r>
          </w:p>
        </w:tc>
        <w:tc>
          <w:tcPr>
            <w:tcW w:w="567" w:type="dxa"/>
            <w:vAlign w:val="bottom"/>
          </w:tcPr>
          <w:p w:rsidR="00B97965" w:rsidRPr="00C3366A" w:rsidRDefault="00B97965" w:rsidP="00B97965">
            <w:pPr>
              <w:jc w:val="right"/>
              <w:rPr>
                <w:sz w:val="16"/>
                <w:szCs w:val="16"/>
              </w:rPr>
            </w:pPr>
            <w:r w:rsidRPr="00C3366A">
              <w:rPr>
                <w:sz w:val="16"/>
                <w:szCs w:val="16"/>
              </w:rPr>
              <w:t>2004</w:t>
            </w:r>
          </w:p>
        </w:tc>
        <w:tc>
          <w:tcPr>
            <w:tcW w:w="708" w:type="dxa"/>
            <w:vAlign w:val="bottom"/>
          </w:tcPr>
          <w:p w:rsidR="00B97965" w:rsidRPr="00C3366A" w:rsidRDefault="00B97965" w:rsidP="00B97965">
            <w:pPr>
              <w:jc w:val="right"/>
              <w:rPr>
                <w:sz w:val="16"/>
                <w:szCs w:val="16"/>
              </w:rPr>
            </w:pPr>
            <w:r w:rsidRPr="00C3366A">
              <w:rPr>
                <w:sz w:val="16"/>
                <w:szCs w:val="16"/>
              </w:rPr>
              <w:t>130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Maryland Lupus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Pr>
                <w:sz w:val="16"/>
                <w:szCs w:val="16"/>
              </w:rPr>
              <w:t>Ab</w:t>
            </w:r>
            <w:r w:rsidRPr="00C3366A">
              <w:rPr>
                <w:sz w:val="16"/>
                <w:szCs w:val="16"/>
              </w:rPr>
              <w:t>u-Shakra</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665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Abu-Shakra</w:t>
            </w:r>
          </w:p>
        </w:tc>
        <w:tc>
          <w:tcPr>
            <w:tcW w:w="567" w:type="dxa"/>
            <w:vAlign w:val="bottom"/>
          </w:tcPr>
          <w:p w:rsidR="00B97965" w:rsidRPr="00C3366A" w:rsidRDefault="00B97965" w:rsidP="00B97965">
            <w:pPr>
              <w:jc w:val="right"/>
              <w:rPr>
                <w:sz w:val="16"/>
                <w:szCs w:val="16"/>
              </w:rPr>
            </w:pPr>
            <w:r w:rsidRPr="00C3366A">
              <w:rPr>
                <w:sz w:val="16"/>
                <w:szCs w:val="16"/>
              </w:rPr>
              <w:t>1995</w:t>
            </w:r>
          </w:p>
        </w:tc>
        <w:tc>
          <w:tcPr>
            <w:tcW w:w="708" w:type="dxa"/>
            <w:vAlign w:val="bottom"/>
          </w:tcPr>
          <w:p w:rsidR="00B97965" w:rsidRPr="00C3366A" w:rsidRDefault="00B97965" w:rsidP="00B97965">
            <w:pPr>
              <w:jc w:val="right"/>
              <w:rPr>
                <w:sz w:val="16"/>
                <w:szCs w:val="16"/>
              </w:rPr>
            </w:pPr>
            <w:r w:rsidRPr="00C3366A">
              <w:rPr>
                <w:sz w:val="16"/>
                <w:szCs w:val="16"/>
              </w:rPr>
              <w:t>665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Bruce</w:t>
            </w:r>
          </w:p>
        </w:tc>
        <w:tc>
          <w:tcPr>
            <w:tcW w:w="567" w:type="dxa"/>
            <w:vAlign w:val="bottom"/>
          </w:tcPr>
          <w:p w:rsidR="00B97965" w:rsidRPr="00C3366A" w:rsidRDefault="00B97965" w:rsidP="00B97965">
            <w:pPr>
              <w:jc w:val="right"/>
              <w:rPr>
                <w:sz w:val="16"/>
                <w:szCs w:val="16"/>
              </w:rPr>
            </w:pPr>
            <w:r w:rsidRPr="00C3366A">
              <w:rPr>
                <w:sz w:val="16"/>
                <w:szCs w:val="16"/>
              </w:rPr>
              <w:t>1999</w:t>
            </w:r>
          </w:p>
        </w:tc>
        <w:tc>
          <w:tcPr>
            <w:tcW w:w="708" w:type="dxa"/>
            <w:vAlign w:val="bottom"/>
          </w:tcPr>
          <w:p w:rsidR="00B97965" w:rsidRPr="00C3366A" w:rsidRDefault="00B97965" w:rsidP="00B97965">
            <w:pPr>
              <w:jc w:val="right"/>
              <w:rPr>
                <w:sz w:val="16"/>
                <w:szCs w:val="16"/>
              </w:rPr>
            </w:pPr>
            <w:r w:rsidRPr="00C3366A">
              <w:rPr>
                <w:sz w:val="16"/>
                <w:szCs w:val="16"/>
              </w:rPr>
              <w:t>81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Fatigue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Cook</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806</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73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960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2002</w:t>
            </w:r>
          </w:p>
        </w:tc>
        <w:tc>
          <w:tcPr>
            <w:tcW w:w="708" w:type="dxa"/>
            <w:vAlign w:val="bottom"/>
          </w:tcPr>
          <w:p w:rsidR="00B97965" w:rsidRPr="00C3366A" w:rsidRDefault="00B97965" w:rsidP="00B97965">
            <w:pPr>
              <w:jc w:val="right"/>
              <w:rPr>
                <w:sz w:val="16"/>
                <w:szCs w:val="16"/>
              </w:rPr>
            </w:pPr>
            <w:r w:rsidRPr="00C3366A">
              <w:rPr>
                <w:sz w:val="16"/>
                <w:szCs w:val="16"/>
              </w:rPr>
              <w:t>363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Infection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744</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Gladman</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140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Ibanez</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575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Ibanez</w:t>
            </w:r>
          </w:p>
        </w:tc>
        <w:tc>
          <w:tcPr>
            <w:tcW w:w="567" w:type="dxa"/>
            <w:vAlign w:val="bottom"/>
          </w:tcPr>
          <w:p w:rsidR="00B97965" w:rsidRPr="00C3366A" w:rsidRDefault="00B97965" w:rsidP="00B97965">
            <w:pPr>
              <w:jc w:val="right"/>
              <w:rPr>
                <w:sz w:val="16"/>
                <w:szCs w:val="16"/>
              </w:rPr>
            </w:pPr>
            <w:r w:rsidRPr="00C3366A">
              <w:rPr>
                <w:sz w:val="16"/>
                <w:szCs w:val="16"/>
              </w:rPr>
              <w:t>2005</w:t>
            </w:r>
          </w:p>
        </w:tc>
        <w:tc>
          <w:tcPr>
            <w:tcW w:w="708" w:type="dxa"/>
            <w:vAlign w:val="bottom"/>
          </w:tcPr>
          <w:p w:rsidR="00B97965" w:rsidRPr="00C3366A" w:rsidRDefault="00B97965" w:rsidP="00B97965">
            <w:pPr>
              <w:jc w:val="right"/>
              <w:rPr>
                <w:sz w:val="16"/>
                <w:szCs w:val="16"/>
              </w:rPr>
            </w:pPr>
            <w:r w:rsidRPr="00C3366A">
              <w:rPr>
                <w:sz w:val="16"/>
                <w:szCs w:val="16"/>
              </w:rPr>
              <w:t>575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Ibanez</w:t>
            </w:r>
          </w:p>
        </w:tc>
        <w:tc>
          <w:tcPr>
            <w:tcW w:w="567" w:type="dxa"/>
            <w:vAlign w:val="bottom"/>
          </w:tcPr>
          <w:p w:rsidR="00B97965" w:rsidRPr="00C3366A" w:rsidRDefault="00B97965" w:rsidP="00B97965">
            <w:pPr>
              <w:jc w:val="right"/>
              <w:rPr>
                <w:sz w:val="16"/>
                <w:szCs w:val="16"/>
              </w:rPr>
            </w:pPr>
            <w:r w:rsidRPr="00C3366A">
              <w:rPr>
                <w:sz w:val="16"/>
                <w:szCs w:val="16"/>
              </w:rPr>
              <w:t>2003</w:t>
            </w:r>
          </w:p>
        </w:tc>
        <w:tc>
          <w:tcPr>
            <w:tcW w:w="708" w:type="dxa"/>
            <w:vAlign w:val="bottom"/>
          </w:tcPr>
          <w:p w:rsidR="00B97965" w:rsidRPr="00C3366A" w:rsidRDefault="00B97965" w:rsidP="00B97965">
            <w:pPr>
              <w:jc w:val="right"/>
              <w:rPr>
                <w:sz w:val="16"/>
                <w:szCs w:val="16"/>
              </w:rPr>
            </w:pPr>
            <w:r w:rsidRPr="00C3366A">
              <w:rPr>
                <w:sz w:val="16"/>
                <w:szCs w:val="16"/>
              </w:rPr>
              <w:t>575</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Johnson </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1017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Pr>
                <w:sz w:val="16"/>
                <w:szCs w:val="16"/>
              </w:rPr>
              <w:t>Ethnicity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Nikpour</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417</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Disease activity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Prasad</w:t>
            </w:r>
          </w:p>
        </w:tc>
        <w:tc>
          <w:tcPr>
            <w:tcW w:w="567" w:type="dxa"/>
            <w:vAlign w:val="bottom"/>
          </w:tcPr>
          <w:p w:rsidR="00B97965" w:rsidRPr="00C3366A" w:rsidRDefault="00B97965" w:rsidP="00B97965">
            <w:pPr>
              <w:jc w:val="right"/>
              <w:rPr>
                <w:sz w:val="16"/>
                <w:szCs w:val="16"/>
              </w:rPr>
            </w:pPr>
            <w:r w:rsidRPr="00C3366A">
              <w:rPr>
                <w:sz w:val="16"/>
                <w:szCs w:val="16"/>
              </w:rPr>
              <w:t>2007</w:t>
            </w:r>
          </w:p>
        </w:tc>
        <w:tc>
          <w:tcPr>
            <w:tcW w:w="708" w:type="dxa"/>
            <w:vAlign w:val="bottom"/>
          </w:tcPr>
          <w:p w:rsidR="00B97965" w:rsidRPr="00C3366A" w:rsidRDefault="00B97965" w:rsidP="00B97965">
            <w:pPr>
              <w:jc w:val="right"/>
              <w:rPr>
                <w:sz w:val="16"/>
                <w:szCs w:val="16"/>
              </w:rPr>
            </w:pPr>
            <w:r w:rsidRPr="00C3366A">
              <w:rPr>
                <w:sz w:val="16"/>
                <w:szCs w:val="16"/>
              </w:rPr>
              <w:t>570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Rahman </w:t>
            </w:r>
          </w:p>
        </w:tc>
        <w:tc>
          <w:tcPr>
            <w:tcW w:w="567" w:type="dxa"/>
            <w:vAlign w:val="bottom"/>
          </w:tcPr>
          <w:p w:rsidR="00B97965" w:rsidRPr="00C3366A" w:rsidRDefault="00B97965" w:rsidP="00B97965">
            <w:pPr>
              <w:jc w:val="right"/>
              <w:rPr>
                <w:sz w:val="16"/>
                <w:szCs w:val="16"/>
              </w:rPr>
            </w:pPr>
            <w:r w:rsidRPr="00C3366A">
              <w:rPr>
                <w:sz w:val="16"/>
                <w:szCs w:val="16"/>
              </w:rPr>
              <w:t>2001</w:t>
            </w:r>
          </w:p>
        </w:tc>
        <w:tc>
          <w:tcPr>
            <w:tcW w:w="708" w:type="dxa"/>
            <w:vAlign w:val="bottom"/>
          </w:tcPr>
          <w:p w:rsidR="00B97965" w:rsidRPr="00C3366A" w:rsidRDefault="00B97965" w:rsidP="00B97965">
            <w:pPr>
              <w:jc w:val="right"/>
              <w:rPr>
                <w:sz w:val="16"/>
                <w:szCs w:val="16"/>
              </w:rPr>
            </w:pPr>
            <w:r w:rsidRPr="00C3366A">
              <w:rPr>
                <w:sz w:val="16"/>
                <w:szCs w:val="16"/>
              </w:rPr>
              <w:t>263</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 xml:space="preserve">Rahman </w:t>
            </w:r>
          </w:p>
        </w:tc>
        <w:tc>
          <w:tcPr>
            <w:tcW w:w="567" w:type="dxa"/>
            <w:vAlign w:val="bottom"/>
          </w:tcPr>
          <w:p w:rsidR="00B97965" w:rsidRPr="00C3366A" w:rsidRDefault="00B97965" w:rsidP="00B97965">
            <w:pPr>
              <w:jc w:val="right"/>
              <w:rPr>
                <w:sz w:val="16"/>
                <w:szCs w:val="16"/>
              </w:rPr>
            </w:pPr>
            <w:r w:rsidRPr="00C3366A">
              <w:rPr>
                <w:sz w:val="16"/>
                <w:szCs w:val="16"/>
              </w:rPr>
              <w:t>2000</w:t>
            </w:r>
          </w:p>
        </w:tc>
        <w:tc>
          <w:tcPr>
            <w:tcW w:w="708" w:type="dxa"/>
            <w:vAlign w:val="bottom"/>
          </w:tcPr>
          <w:p w:rsidR="00B97965" w:rsidRPr="00C3366A" w:rsidRDefault="00B97965" w:rsidP="00B97965">
            <w:pPr>
              <w:jc w:val="right"/>
              <w:rPr>
                <w:sz w:val="16"/>
                <w:szCs w:val="16"/>
              </w:rPr>
            </w:pPr>
            <w:r w:rsidRPr="00C3366A">
              <w:rPr>
                <w:sz w:val="16"/>
                <w:szCs w:val="16"/>
              </w:rPr>
              <w:t>150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Hypertension</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Urrowitz</w:t>
            </w:r>
          </w:p>
        </w:tc>
        <w:tc>
          <w:tcPr>
            <w:tcW w:w="567" w:type="dxa"/>
            <w:vAlign w:val="bottom"/>
          </w:tcPr>
          <w:p w:rsidR="00B97965" w:rsidRPr="00C3366A" w:rsidRDefault="00B97965" w:rsidP="00B97965">
            <w:pPr>
              <w:jc w:val="right"/>
              <w:rPr>
                <w:sz w:val="16"/>
                <w:szCs w:val="16"/>
              </w:rPr>
            </w:pPr>
            <w:r w:rsidRPr="00C3366A">
              <w:rPr>
                <w:sz w:val="16"/>
                <w:szCs w:val="16"/>
              </w:rPr>
              <w:t>2008</w:t>
            </w:r>
          </w:p>
        </w:tc>
        <w:tc>
          <w:tcPr>
            <w:tcW w:w="708" w:type="dxa"/>
            <w:vAlign w:val="bottom"/>
          </w:tcPr>
          <w:p w:rsidR="00B97965" w:rsidRPr="00C3366A" w:rsidRDefault="00B97965" w:rsidP="00B97965">
            <w:pPr>
              <w:jc w:val="right"/>
              <w:rPr>
                <w:sz w:val="16"/>
                <w:szCs w:val="16"/>
              </w:rPr>
            </w:pPr>
            <w:r w:rsidRPr="00C3366A">
              <w:rPr>
                <w:sz w:val="16"/>
                <w:szCs w:val="16"/>
              </w:rPr>
              <w:t>1241</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Urrowitz</w:t>
            </w:r>
          </w:p>
        </w:tc>
        <w:tc>
          <w:tcPr>
            <w:tcW w:w="567" w:type="dxa"/>
            <w:vAlign w:val="bottom"/>
          </w:tcPr>
          <w:p w:rsidR="00B97965" w:rsidRPr="00C3366A" w:rsidRDefault="00B97965" w:rsidP="00B97965">
            <w:pPr>
              <w:jc w:val="right"/>
              <w:rPr>
                <w:sz w:val="16"/>
                <w:szCs w:val="16"/>
              </w:rPr>
            </w:pPr>
            <w:r w:rsidRPr="00C3366A">
              <w:rPr>
                <w:sz w:val="16"/>
                <w:szCs w:val="16"/>
              </w:rPr>
              <w:t>1997</w:t>
            </w:r>
          </w:p>
        </w:tc>
        <w:tc>
          <w:tcPr>
            <w:tcW w:w="708" w:type="dxa"/>
            <w:vAlign w:val="bottom"/>
          </w:tcPr>
          <w:p w:rsidR="00B97965" w:rsidRPr="00C3366A" w:rsidRDefault="00B97965" w:rsidP="00B97965">
            <w:pPr>
              <w:jc w:val="right"/>
              <w:rPr>
                <w:sz w:val="16"/>
                <w:szCs w:val="16"/>
              </w:rPr>
            </w:pPr>
            <w:r w:rsidRPr="00C3366A">
              <w:rPr>
                <w:sz w:val="16"/>
                <w:szCs w:val="16"/>
              </w:rPr>
              <w:t>720</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University of Toronto Lupus Clinic</w:t>
            </w:r>
          </w:p>
        </w:tc>
        <w:tc>
          <w:tcPr>
            <w:tcW w:w="1337" w:type="dxa"/>
            <w:vAlign w:val="bottom"/>
          </w:tcPr>
          <w:p w:rsidR="00B97965" w:rsidRPr="00C3366A" w:rsidRDefault="00B97965" w:rsidP="00B97965">
            <w:pPr>
              <w:rPr>
                <w:sz w:val="16"/>
                <w:szCs w:val="16"/>
              </w:rPr>
            </w:pPr>
            <w:r w:rsidRPr="00C3366A">
              <w:rPr>
                <w:sz w:val="16"/>
                <w:szCs w:val="16"/>
              </w:rPr>
              <w:t>Mortality</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Becker-Merok</w:t>
            </w:r>
          </w:p>
        </w:tc>
        <w:tc>
          <w:tcPr>
            <w:tcW w:w="567" w:type="dxa"/>
            <w:vAlign w:val="bottom"/>
          </w:tcPr>
          <w:p w:rsidR="00B97965" w:rsidRPr="00C3366A" w:rsidRDefault="00B97965" w:rsidP="00B97965">
            <w:pPr>
              <w:jc w:val="right"/>
              <w:rPr>
                <w:sz w:val="16"/>
                <w:szCs w:val="16"/>
              </w:rPr>
            </w:pPr>
            <w:r w:rsidRPr="00C3366A">
              <w:rPr>
                <w:sz w:val="16"/>
                <w:szCs w:val="16"/>
              </w:rPr>
              <w:t>2009</w:t>
            </w:r>
          </w:p>
        </w:tc>
        <w:tc>
          <w:tcPr>
            <w:tcW w:w="708" w:type="dxa"/>
            <w:vAlign w:val="bottom"/>
          </w:tcPr>
          <w:p w:rsidR="00B97965" w:rsidRPr="00C3366A" w:rsidRDefault="00B97965" w:rsidP="00B97965">
            <w:pPr>
              <w:jc w:val="right"/>
              <w:rPr>
                <w:sz w:val="16"/>
                <w:szCs w:val="16"/>
              </w:rPr>
            </w:pPr>
            <w:r w:rsidRPr="00C3366A">
              <w:rPr>
                <w:sz w:val="16"/>
                <w:szCs w:val="16"/>
              </w:rPr>
              <w:t>158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Pr>
                <w:sz w:val="16"/>
                <w:szCs w:val="16"/>
              </w:rPr>
              <w:t>Tromso cohort</w:t>
            </w:r>
          </w:p>
        </w:tc>
        <w:tc>
          <w:tcPr>
            <w:tcW w:w="1337" w:type="dxa"/>
            <w:vAlign w:val="bottom"/>
          </w:tcPr>
          <w:p w:rsidR="00B97965" w:rsidRPr="00C3366A" w:rsidRDefault="00B97965" w:rsidP="00B97965">
            <w:pPr>
              <w:rPr>
                <w:sz w:val="16"/>
                <w:szCs w:val="16"/>
              </w:rPr>
            </w:pPr>
            <w:r w:rsidRPr="00C3366A">
              <w:rPr>
                <w:sz w:val="16"/>
                <w:szCs w:val="16"/>
              </w:rPr>
              <w:t>System 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Becker-Merok</w:t>
            </w:r>
          </w:p>
        </w:tc>
        <w:tc>
          <w:tcPr>
            <w:tcW w:w="567" w:type="dxa"/>
            <w:vAlign w:val="bottom"/>
          </w:tcPr>
          <w:p w:rsidR="00B97965" w:rsidRPr="00C3366A" w:rsidRDefault="00B97965" w:rsidP="00B97965">
            <w:pPr>
              <w:jc w:val="right"/>
              <w:rPr>
                <w:sz w:val="16"/>
                <w:szCs w:val="16"/>
              </w:rPr>
            </w:pPr>
            <w:r w:rsidRPr="00C3366A">
              <w:rPr>
                <w:sz w:val="16"/>
                <w:szCs w:val="16"/>
              </w:rPr>
              <w:t>2006</w:t>
            </w:r>
          </w:p>
        </w:tc>
        <w:tc>
          <w:tcPr>
            <w:tcW w:w="708" w:type="dxa"/>
            <w:vAlign w:val="bottom"/>
          </w:tcPr>
          <w:p w:rsidR="00B97965" w:rsidRPr="00C3366A" w:rsidRDefault="00B97965" w:rsidP="00B97965">
            <w:pPr>
              <w:jc w:val="right"/>
              <w:rPr>
                <w:sz w:val="16"/>
                <w:szCs w:val="16"/>
              </w:rPr>
            </w:pPr>
            <w:r w:rsidRPr="00C3366A">
              <w:rPr>
                <w:sz w:val="16"/>
                <w:szCs w:val="16"/>
              </w:rPr>
              <w:t>158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Pr>
                <w:sz w:val="16"/>
                <w:szCs w:val="16"/>
              </w:rPr>
              <w:t>Tromso cohort</w:t>
            </w:r>
          </w:p>
        </w:tc>
        <w:tc>
          <w:tcPr>
            <w:tcW w:w="1337" w:type="dxa"/>
            <w:vAlign w:val="bottom"/>
          </w:tcPr>
          <w:p w:rsidR="00B97965" w:rsidRPr="00C3366A" w:rsidRDefault="00B97965" w:rsidP="00B97965">
            <w:pPr>
              <w:rPr>
                <w:sz w:val="16"/>
                <w:szCs w:val="16"/>
              </w:rPr>
            </w:pPr>
            <w:r w:rsidRPr="00C3366A">
              <w:rPr>
                <w:sz w:val="16"/>
                <w:szCs w:val="16"/>
              </w:rPr>
              <w:t>Damage</w:t>
            </w:r>
          </w:p>
        </w:tc>
      </w:tr>
      <w:tr w:rsidR="00B97965" w:rsidRPr="00482F9B" w:rsidTr="00B97965">
        <w:tc>
          <w:tcPr>
            <w:tcW w:w="1560" w:type="dxa"/>
            <w:vAlign w:val="bottom"/>
          </w:tcPr>
          <w:p w:rsidR="00B97965" w:rsidRPr="00C3366A" w:rsidRDefault="00B97965" w:rsidP="00B97965">
            <w:pPr>
              <w:rPr>
                <w:sz w:val="16"/>
                <w:szCs w:val="16"/>
              </w:rPr>
            </w:pPr>
            <w:r w:rsidRPr="00C3366A">
              <w:rPr>
                <w:sz w:val="16"/>
                <w:szCs w:val="16"/>
              </w:rPr>
              <w:t>Amit</w:t>
            </w:r>
          </w:p>
        </w:tc>
        <w:tc>
          <w:tcPr>
            <w:tcW w:w="567" w:type="dxa"/>
            <w:vAlign w:val="bottom"/>
          </w:tcPr>
          <w:p w:rsidR="00B97965" w:rsidRPr="00C3366A" w:rsidRDefault="00B97965" w:rsidP="00B97965">
            <w:pPr>
              <w:jc w:val="right"/>
              <w:rPr>
                <w:sz w:val="16"/>
                <w:szCs w:val="16"/>
              </w:rPr>
            </w:pPr>
            <w:r w:rsidRPr="00C3366A">
              <w:rPr>
                <w:sz w:val="16"/>
                <w:szCs w:val="16"/>
              </w:rPr>
              <w:t>1999</w:t>
            </w:r>
          </w:p>
        </w:tc>
        <w:tc>
          <w:tcPr>
            <w:tcW w:w="708" w:type="dxa"/>
            <w:vAlign w:val="bottom"/>
          </w:tcPr>
          <w:p w:rsidR="00B97965" w:rsidRPr="00C3366A" w:rsidRDefault="00B97965" w:rsidP="00B97965">
            <w:pPr>
              <w:jc w:val="right"/>
              <w:rPr>
                <w:sz w:val="16"/>
                <w:szCs w:val="16"/>
              </w:rPr>
            </w:pPr>
            <w:r w:rsidRPr="00C3366A">
              <w:rPr>
                <w:sz w:val="16"/>
                <w:szCs w:val="16"/>
              </w:rPr>
              <w:t>148</w:t>
            </w:r>
          </w:p>
        </w:tc>
        <w:tc>
          <w:tcPr>
            <w:tcW w:w="2268" w:type="dxa"/>
            <w:vAlign w:val="bottom"/>
          </w:tcPr>
          <w:p w:rsidR="00B97965" w:rsidRPr="00C3366A" w:rsidRDefault="00B97965" w:rsidP="00B97965">
            <w:pPr>
              <w:rPr>
                <w:sz w:val="16"/>
                <w:szCs w:val="16"/>
              </w:rPr>
            </w:pPr>
            <w:r w:rsidRPr="00C3366A">
              <w:rPr>
                <w:sz w:val="16"/>
                <w:szCs w:val="16"/>
              </w:rPr>
              <w:t>Systemic Lupus Erythematosus</w:t>
            </w:r>
          </w:p>
        </w:tc>
        <w:tc>
          <w:tcPr>
            <w:tcW w:w="2694" w:type="dxa"/>
            <w:vAlign w:val="bottom"/>
          </w:tcPr>
          <w:p w:rsidR="00B97965" w:rsidRPr="00C3366A" w:rsidRDefault="00B97965" w:rsidP="00B97965">
            <w:pPr>
              <w:rPr>
                <w:sz w:val="16"/>
                <w:szCs w:val="16"/>
              </w:rPr>
            </w:pPr>
            <w:r w:rsidRPr="00C3366A">
              <w:rPr>
                <w:sz w:val="16"/>
                <w:szCs w:val="16"/>
              </w:rPr>
              <w:t>Zerifin</w:t>
            </w:r>
          </w:p>
        </w:tc>
        <w:tc>
          <w:tcPr>
            <w:tcW w:w="1337" w:type="dxa"/>
            <w:vAlign w:val="bottom"/>
          </w:tcPr>
          <w:p w:rsidR="00B97965" w:rsidRPr="00C3366A" w:rsidRDefault="00B97965" w:rsidP="00B97965">
            <w:pPr>
              <w:rPr>
                <w:sz w:val="16"/>
                <w:szCs w:val="16"/>
              </w:rPr>
            </w:pPr>
            <w:r w:rsidRPr="00C3366A">
              <w:rPr>
                <w:sz w:val="16"/>
                <w:szCs w:val="16"/>
              </w:rPr>
              <w:t>Headache</w:t>
            </w:r>
          </w:p>
        </w:tc>
      </w:tr>
    </w:tbl>
    <w:p w:rsidR="00B97965" w:rsidRDefault="00B97965" w:rsidP="00B97965">
      <w:pPr>
        <w:rPr>
          <w:sz w:val="18"/>
          <w:szCs w:val="18"/>
        </w:rPr>
        <w:sectPr w:rsidR="00B97965" w:rsidSect="00221DD6">
          <w:footerReference w:type="default" r:id="rId78"/>
          <w:pgSz w:w="11906" w:h="16838"/>
          <w:pgMar w:top="1440" w:right="1440" w:bottom="1440" w:left="2268" w:header="709" w:footer="709" w:gutter="0"/>
          <w:cols w:space="708"/>
          <w:docGrid w:linePitch="360"/>
        </w:sectPr>
      </w:pPr>
    </w:p>
    <w:p w:rsidR="00B97965" w:rsidRPr="00BE457B" w:rsidRDefault="00B97965" w:rsidP="00BE457B">
      <w:pPr>
        <w:pStyle w:val="Heading1"/>
        <w:numPr>
          <w:ilvl w:val="0"/>
          <w:numId w:val="0"/>
        </w:numPr>
        <w:rPr>
          <w:rStyle w:val="Emphasis"/>
          <w:spacing w:val="15"/>
        </w:rPr>
      </w:pPr>
      <w:bookmarkStart w:id="674" w:name="_Toc335043542"/>
      <w:bookmarkStart w:id="675" w:name="_Toc379467710"/>
      <w:r>
        <w:t>Appendix</w:t>
      </w:r>
      <w:bookmarkEnd w:id="674"/>
      <w:r>
        <w:t xml:space="preserve">  </w:t>
      </w:r>
      <w:r w:rsidR="00396982">
        <w:t>6</w:t>
      </w:r>
      <w:r w:rsidR="00BE457B">
        <w:t xml:space="preserve">: </w:t>
      </w:r>
      <w:r w:rsidRPr="00234693">
        <w:rPr>
          <w:rStyle w:val="Emphasis"/>
        </w:rPr>
        <w:t>Characteristics of Patients excluded from analysis</w:t>
      </w:r>
      <w:bookmarkEnd w:id="675"/>
    </w:p>
    <w:p w:rsidR="00B97965" w:rsidRDefault="00B97965" w:rsidP="00234693">
      <w:pPr>
        <w:pStyle w:val="Caption"/>
      </w:pPr>
      <w:bookmarkStart w:id="676" w:name="_Ref334176034"/>
      <w:r>
        <w:t xml:space="preserve">Table </w:t>
      </w:r>
      <w:fldSimple w:instr=" SEQ Table \* ARABIC ">
        <w:r w:rsidR="004911B7">
          <w:rPr>
            <w:noProof/>
          </w:rPr>
          <w:t>59</w:t>
        </w:r>
      </w:fldSimple>
      <w:bookmarkEnd w:id="676"/>
      <w:r>
        <w:t>: Characteristics of patients excluded from the analysis n=639</w:t>
      </w:r>
    </w:p>
    <w:tbl>
      <w:tblPr>
        <w:tblW w:w="0" w:type="auto"/>
        <w:tblInd w:w="2" w:type="dxa"/>
        <w:tblBorders>
          <w:top w:val="single" w:sz="8" w:space="0" w:color="auto"/>
          <w:bottom w:val="single" w:sz="8" w:space="0" w:color="auto"/>
        </w:tblBorders>
        <w:tblLook w:val="00A0"/>
      </w:tblPr>
      <w:tblGrid>
        <w:gridCol w:w="4501"/>
        <w:gridCol w:w="1512"/>
        <w:gridCol w:w="1512"/>
        <w:gridCol w:w="1512"/>
      </w:tblGrid>
      <w:tr w:rsidR="00B97965" w:rsidRPr="00EE66AF" w:rsidTr="00B97965">
        <w:tc>
          <w:tcPr>
            <w:tcW w:w="4501" w:type="dxa"/>
            <w:tcBorders>
              <w:top w:val="single" w:sz="8" w:space="0" w:color="auto"/>
              <w:bottom w:val="single" w:sz="4" w:space="0" w:color="auto"/>
            </w:tcBorders>
          </w:tcPr>
          <w:p w:rsidR="00B97965" w:rsidRPr="00EE66AF" w:rsidRDefault="00B97965" w:rsidP="00B97965">
            <w:pPr>
              <w:pStyle w:val="NoSpacing"/>
            </w:pPr>
          </w:p>
        </w:tc>
        <w:tc>
          <w:tcPr>
            <w:tcW w:w="1512" w:type="dxa"/>
            <w:tcBorders>
              <w:top w:val="single" w:sz="8" w:space="0" w:color="auto"/>
              <w:bottom w:val="single" w:sz="4" w:space="0" w:color="auto"/>
            </w:tcBorders>
          </w:tcPr>
          <w:p w:rsidR="00B97965" w:rsidRPr="00EE66AF" w:rsidRDefault="00B97965" w:rsidP="00B97965">
            <w:pPr>
              <w:pStyle w:val="NoSpacing"/>
            </w:pPr>
            <w:r w:rsidRPr="00EE66AF">
              <w:t>Mean/</w:t>
            </w:r>
          </w:p>
          <w:p w:rsidR="00B97965" w:rsidRPr="00EE66AF" w:rsidRDefault="00B97965" w:rsidP="00B97965">
            <w:pPr>
              <w:pStyle w:val="NoSpacing"/>
            </w:pPr>
            <w:r w:rsidRPr="00EE66AF">
              <w:t>% of cohort</w:t>
            </w:r>
          </w:p>
        </w:tc>
        <w:tc>
          <w:tcPr>
            <w:tcW w:w="1512" w:type="dxa"/>
            <w:tcBorders>
              <w:top w:val="single" w:sz="8" w:space="0" w:color="auto"/>
              <w:bottom w:val="single" w:sz="4" w:space="0" w:color="auto"/>
            </w:tcBorders>
          </w:tcPr>
          <w:p w:rsidR="00B97965" w:rsidRPr="00EE66AF" w:rsidRDefault="00B97965" w:rsidP="00B97965">
            <w:pPr>
              <w:pStyle w:val="NoSpacing"/>
            </w:pPr>
            <w:r w:rsidRPr="00EE66AF">
              <w:t>Standard deviation</w:t>
            </w:r>
          </w:p>
        </w:tc>
        <w:tc>
          <w:tcPr>
            <w:tcW w:w="1512" w:type="dxa"/>
            <w:tcBorders>
              <w:top w:val="single" w:sz="8" w:space="0" w:color="auto"/>
              <w:bottom w:val="single" w:sz="4" w:space="0" w:color="auto"/>
            </w:tcBorders>
          </w:tcPr>
          <w:p w:rsidR="00B97965" w:rsidRPr="00EE66AF" w:rsidRDefault="00B97965" w:rsidP="00B97965">
            <w:pPr>
              <w:pStyle w:val="NoSpacing"/>
            </w:pPr>
            <w:r w:rsidRPr="00EE66AF">
              <w:t>Median</w:t>
            </w:r>
          </w:p>
        </w:tc>
      </w:tr>
      <w:tr w:rsidR="00B97965" w:rsidRPr="00EE66AF" w:rsidTr="00B97965">
        <w:tc>
          <w:tcPr>
            <w:tcW w:w="4501" w:type="dxa"/>
            <w:tcBorders>
              <w:top w:val="single" w:sz="4" w:space="0" w:color="auto"/>
            </w:tcBorders>
          </w:tcPr>
          <w:p w:rsidR="00B97965" w:rsidRPr="00EE66AF" w:rsidRDefault="00B97965" w:rsidP="00B97965">
            <w:pPr>
              <w:pStyle w:val="NoSpacing"/>
            </w:pPr>
            <w:r w:rsidRPr="00EE66AF">
              <w:t xml:space="preserve">Female </w:t>
            </w:r>
          </w:p>
        </w:tc>
        <w:tc>
          <w:tcPr>
            <w:tcW w:w="1512" w:type="dxa"/>
            <w:tcBorders>
              <w:top w:val="single" w:sz="4" w:space="0" w:color="auto"/>
            </w:tcBorders>
          </w:tcPr>
          <w:p w:rsidR="00B97965" w:rsidRPr="00EE66AF" w:rsidRDefault="00B97965" w:rsidP="00B97965">
            <w:pPr>
              <w:pStyle w:val="NoSpacing"/>
            </w:pPr>
            <w:r w:rsidRPr="00EE66AF">
              <w:t>92.</w:t>
            </w:r>
            <w:r>
              <w:t>56</w:t>
            </w:r>
            <w:r w:rsidRPr="00EE66AF">
              <w:t>%</w:t>
            </w:r>
          </w:p>
        </w:tc>
        <w:tc>
          <w:tcPr>
            <w:tcW w:w="1512" w:type="dxa"/>
            <w:tcBorders>
              <w:top w:val="single" w:sz="4" w:space="0" w:color="auto"/>
            </w:tcBorders>
          </w:tcPr>
          <w:p w:rsidR="00B97965" w:rsidRPr="00EE66AF" w:rsidRDefault="00B97965" w:rsidP="00B97965">
            <w:pPr>
              <w:pStyle w:val="NoSpacing"/>
            </w:pPr>
          </w:p>
        </w:tc>
        <w:tc>
          <w:tcPr>
            <w:tcW w:w="1512" w:type="dxa"/>
            <w:tcBorders>
              <w:top w:val="single" w:sz="4" w:space="0" w:color="auto"/>
            </w:tcBorders>
          </w:tcPr>
          <w:p w:rsidR="00B97965" w:rsidRPr="00EE66AF" w:rsidRDefault="00B97965" w:rsidP="00B97965">
            <w:pPr>
              <w:pStyle w:val="NoSpacing"/>
            </w:pPr>
          </w:p>
        </w:tc>
      </w:tr>
      <w:tr w:rsidR="00B97965" w:rsidRPr="00EE66AF" w:rsidTr="00B97965">
        <w:tc>
          <w:tcPr>
            <w:tcW w:w="4501" w:type="dxa"/>
          </w:tcPr>
          <w:p w:rsidR="00B97965" w:rsidRPr="00EE66AF" w:rsidRDefault="00B97965" w:rsidP="00B97965">
            <w:pPr>
              <w:pStyle w:val="NoSpacing"/>
            </w:pPr>
            <w:r w:rsidRPr="00EE66AF">
              <w:t>African American</w:t>
            </w:r>
          </w:p>
        </w:tc>
        <w:tc>
          <w:tcPr>
            <w:tcW w:w="1512" w:type="dxa"/>
          </w:tcPr>
          <w:p w:rsidR="00B97965" w:rsidRPr="00EE66AF" w:rsidRDefault="00B97965" w:rsidP="00B97965">
            <w:pPr>
              <w:pStyle w:val="NoSpacing"/>
            </w:pPr>
            <w:r>
              <w:t>31</w:t>
            </w:r>
            <w:r w:rsidRPr="00EE66AF">
              <w:t>.</w:t>
            </w:r>
            <w:r>
              <w:t>16</w:t>
            </w:r>
            <w:r w:rsidRPr="00EE66AF">
              <w:t>%</w:t>
            </w:r>
          </w:p>
        </w:tc>
        <w:tc>
          <w:tcPr>
            <w:tcW w:w="1512" w:type="dxa"/>
          </w:tcPr>
          <w:p w:rsidR="00B97965" w:rsidRPr="00EE66AF" w:rsidRDefault="00B97965" w:rsidP="00B97965">
            <w:pPr>
              <w:pStyle w:val="NoSpacing"/>
            </w:pPr>
          </w:p>
        </w:tc>
        <w:tc>
          <w:tcPr>
            <w:tcW w:w="1512" w:type="dxa"/>
          </w:tcPr>
          <w:p w:rsidR="00B97965" w:rsidRPr="00EE66AF" w:rsidRDefault="00B97965" w:rsidP="00B97965">
            <w:pPr>
              <w:pStyle w:val="NoSpacing"/>
            </w:pPr>
          </w:p>
        </w:tc>
      </w:tr>
      <w:tr w:rsidR="00B97965" w:rsidRPr="00EE66AF" w:rsidTr="00B97965">
        <w:tc>
          <w:tcPr>
            <w:tcW w:w="4501" w:type="dxa"/>
          </w:tcPr>
          <w:p w:rsidR="00B97965" w:rsidRPr="00EE66AF" w:rsidRDefault="00B97965" w:rsidP="00B97965">
            <w:pPr>
              <w:pStyle w:val="NoSpacing"/>
            </w:pPr>
            <w:r w:rsidRPr="00EE66AF">
              <w:t>Caucasian</w:t>
            </w:r>
          </w:p>
        </w:tc>
        <w:tc>
          <w:tcPr>
            <w:tcW w:w="1512" w:type="dxa"/>
          </w:tcPr>
          <w:p w:rsidR="00B97965" w:rsidRPr="00EE66AF" w:rsidRDefault="00B97965" w:rsidP="00B97965">
            <w:pPr>
              <w:pStyle w:val="NoSpacing"/>
            </w:pPr>
            <w:r>
              <w:t>49.51</w:t>
            </w:r>
            <w:r w:rsidRPr="00EE66AF">
              <w:t>%</w:t>
            </w:r>
          </w:p>
        </w:tc>
        <w:tc>
          <w:tcPr>
            <w:tcW w:w="1512" w:type="dxa"/>
          </w:tcPr>
          <w:p w:rsidR="00B97965" w:rsidRPr="00EE66AF" w:rsidRDefault="00B97965" w:rsidP="00B97965">
            <w:pPr>
              <w:pStyle w:val="NoSpacing"/>
            </w:pPr>
          </w:p>
        </w:tc>
        <w:tc>
          <w:tcPr>
            <w:tcW w:w="1512" w:type="dxa"/>
          </w:tcPr>
          <w:p w:rsidR="00B97965" w:rsidRPr="00EE66AF" w:rsidRDefault="00B97965" w:rsidP="00B97965">
            <w:pPr>
              <w:pStyle w:val="NoSpacing"/>
            </w:pPr>
          </w:p>
        </w:tc>
      </w:tr>
      <w:tr w:rsidR="00B97965" w:rsidRPr="00EE66AF" w:rsidTr="00B97965">
        <w:tc>
          <w:tcPr>
            <w:tcW w:w="4501" w:type="dxa"/>
          </w:tcPr>
          <w:p w:rsidR="00B97965" w:rsidRPr="00EE66AF" w:rsidRDefault="00B97965" w:rsidP="00B97965">
            <w:pPr>
              <w:pStyle w:val="NoSpacing"/>
            </w:pPr>
            <w:r w:rsidRPr="00EE66AF">
              <w:t xml:space="preserve">Age at diagnosis </w:t>
            </w:r>
          </w:p>
        </w:tc>
        <w:tc>
          <w:tcPr>
            <w:tcW w:w="1512" w:type="dxa"/>
          </w:tcPr>
          <w:p w:rsidR="00B97965" w:rsidRPr="00EE66AF" w:rsidRDefault="00B97965" w:rsidP="00B97965">
            <w:pPr>
              <w:pStyle w:val="NoSpacing"/>
            </w:pPr>
            <w:r>
              <w:t>31.84</w:t>
            </w:r>
            <w:r w:rsidRPr="00EE66AF">
              <w:t xml:space="preserve"> </w:t>
            </w:r>
          </w:p>
        </w:tc>
        <w:tc>
          <w:tcPr>
            <w:tcW w:w="1512" w:type="dxa"/>
          </w:tcPr>
          <w:p w:rsidR="00B97965" w:rsidRPr="00EE66AF" w:rsidRDefault="00B97965" w:rsidP="00B97965">
            <w:pPr>
              <w:pStyle w:val="NoSpacing"/>
            </w:pPr>
            <w:r>
              <w:t>12.50</w:t>
            </w:r>
          </w:p>
        </w:tc>
        <w:tc>
          <w:tcPr>
            <w:tcW w:w="1512" w:type="dxa"/>
          </w:tcPr>
          <w:p w:rsidR="00B97965" w:rsidRPr="00EE66AF" w:rsidRDefault="00B97965" w:rsidP="00B97965">
            <w:pPr>
              <w:pStyle w:val="NoSpacing"/>
            </w:pPr>
            <w:r>
              <w:t>29.02</w:t>
            </w:r>
          </w:p>
        </w:tc>
      </w:tr>
      <w:tr w:rsidR="00B97965" w:rsidRPr="00EE66AF" w:rsidTr="00B97965">
        <w:tc>
          <w:tcPr>
            <w:tcW w:w="4501" w:type="dxa"/>
          </w:tcPr>
          <w:p w:rsidR="00B97965" w:rsidRPr="00EE66AF" w:rsidRDefault="00B97965" w:rsidP="00B97965">
            <w:pPr>
              <w:pStyle w:val="NoSpacing"/>
            </w:pPr>
            <w:r w:rsidRPr="00EE66AF">
              <w:t xml:space="preserve">Age at cohort entry </w:t>
            </w:r>
          </w:p>
        </w:tc>
        <w:tc>
          <w:tcPr>
            <w:tcW w:w="1512" w:type="dxa"/>
          </w:tcPr>
          <w:p w:rsidR="00B97965" w:rsidRPr="00EE66AF" w:rsidRDefault="00B97965" w:rsidP="00B97965">
            <w:pPr>
              <w:pStyle w:val="NoSpacing"/>
            </w:pPr>
            <w:r>
              <w:t>36.95</w:t>
            </w:r>
          </w:p>
        </w:tc>
        <w:tc>
          <w:tcPr>
            <w:tcW w:w="1512" w:type="dxa"/>
          </w:tcPr>
          <w:p w:rsidR="00B97965" w:rsidRPr="00EE66AF" w:rsidRDefault="00B97965" w:rsidP="00B97965">
            <w:pPr>
              <w:pStyle w:val="NoSpacing"/>
            </w:pPr>
            <w:r w:rsidRPr="00EE66AF">
              <w:t>12.</w:t>
            </w:r>
            <w:r>
              <w:t>76</w:t>
            </w:r>
          </w:p>
        </w:tc>
        <w:tc>
          <w:tcPr>
            <w:tcW w:w="1512" w:type="dxa"/>
          </w:tcPr>
          <w:p w:rsidR="00B97965" w:rsidRPr="00EE66AF" w:rsidRDefault="00B97965" w:rsidP="00B97965">
            <w:pPr>
              <w:pStyle w:val="NoSpacing"/>
            </w:pPr>
            <w:r>
              <w:t>34.98</w:t>
            </w:r>
          </w:p>
        </w:tc>
      </w:tr>
      <w:tr w:rsidR="00B97965" w:rsidRPr="00EE66AF" w:rsidTr="00B97965">
        <w:tc>
          <w:tcPr>
            <w:tcW w:w="4501" w:type="dxa"/>
          </w:tcPr>
          <w:p w:rsidR="00B97965" w:rsidRPr="00EE66AF" w:rsidRDefault="00B97965" w:rsidP="00B97965">
            <w:pPr>
              <w:pStyle w:val="NoSpacing"/>
            </w:pPr>
            <w:r w:rsidRPr="00EE66AF">
              <w:t xml:space="preserve">Disease duration at cohort entry </w:t>
            </w:r>
          </w:p>
        </w:tc>
        <w:tc>
          <w:tcPr>
            <w:tcW w:w="1512" w:type="dxa"/>
          </w:tcPr>
          <w:p w:rsidR="00B97965" w:rsidRPr="00EE66AF" w:rsidRDefault="00B97965" w:rsidP="00B97965">
            <w:pPr>
              <w:pStyle w:val="NoSpacing"/>
            </w:pPr>
            <w:r>
              <w:t>5.10</w:t>
            </w:r>
            <w:r w:rsidRPr="00EE66AF">
              <w:t xml:space="preserve"> </w:t>
            </w:r>
          </w:p>
        </w:tc>
        <w:tc>
          <w:tcPr>
            <w:tcW w:w="1512" w:type="dxa"/>
          </w:tcPr>
          <w:p w:rsidR="00B97965" w:rsidRPr="00EE66AF" w:rsidRDefault="00B97965" w:rsidP="00B97965">
            <w:pPr>
              <w:pStyle w:val="NoSpacing"/>
            </w:pPr>
            <w:r w:rsidRPr="00EE66AF">
              <w:t>6.</w:t>
            </w:r>
            <w:r>
              <w:t>48</w:t>
            </w:r>
          </w:p>
        </w:tc>
        <w:tc>
          <w:tcPr>
            <w:tcW w:w="1512" w:type="dxa"/>
          </w:tcPr>
          <w:p w:rsidR="00B97965" w:rsidRPr="00EE66AF" w:rsidRDefault="00B97965" w:rsidP="00B97965">
            <w:pPr>
              <w:pStyle w:val="NoSpacing"/>
            </w:pPr>
            <w:r w:rsidRPr="00EE66AF">
              <w:t>2.61</w:t>
            </w:r>
          </w:p>
        </w:tc>
      </w:tr>
      <w:tr w:rsidR="00B97965" w:rsidRPr="00EE66AF" w:rsidTr="00B97965">
        <w:tc>
          <w:tcPr>
            <w:tcW w:w="4501" w:type="dxa"/>
          </w:tcPr>
          <w:p w:rsidR="00B97965" w:rsidRPr="00EE66AF" w:rsidRDefault="00B97965" w:rsidP="00B97965">
            <w:pPr>
              <w:pStyle w:val="NoSpacing"/>
            </w:pPr>
            <w:r w:rsidRPr="00EE66AF">
              <w:t>Disease duration &lt;1 year at cohort entry</w:t>
            </w:r>
          </w:p>
        </w:tc>
        <w:tc>
          <w:tcPr>
            <w:tcW w:w="1512" w:type="dxa"/>
          </w:tcPr>
          <w:p w:rsidR="00B97965" w:rsidRPr="00EE66AF" w:rsidRDefault="00B97965" w:rsidP="00B97965">
            <w:pPr>
              <w:pStyle w:val="NoSpacing"/>
            </w:pPr>
            <w:r>
              <w:t>36.96</w:t>
            </w:r>
            <w:r w:rsidRPr="00EE66AF">
              <w:t>%</w:t>
            </w:r>
          </w:p>
        </w:tc>
        <w:tc>
          <w:tcPr>
            <w:tcW w:w="1512" w:type="dxa"/>
          </w:tcPr>
          <w:p w:rsidR="00B97965" w:rsidRPr="00EE66AF" w:rsidRDefault="00B97965" w:rsidP="00B97965">
            <w:pPr>
              <w:pStyle w:val="NoSpacing"/>
            </w:pPr>
          </w:p>
        </w:tc>
        <w:tc>
          <w:tcPr>
            <w:tcW w:w="1512" w:type="dxa"/>
          </w:tcPr>
          <w:p w:rsidR="00B97965" w:rsidRPr="00EE66AF" w:rsidRDefault="00B97965" w:rsidP="00B97965">
            <w:pPr>
              <w:pStyle w:val="NoSpacing"/>
            </w:pPr>
          </w:p>
        </w:tc>
      </w:tr>
      <w:tr w:rsidR="00B97965" w:rsidRPr="00EE66AF" w:rsidTr="00B97965">
        <w:tc>
          <w:tcPr>
            <w:tcW w:w="4501" w:type="dxa"/>
          </w:tcPr>
          <w:p w:rsidR="00B97965" w:rsidRPr="00EE66AF" w:rsidRDefault="00B97965" w:rsidP="00B97965">
            <w:pPr>
              <w:pStyle w:val="NoSpacing"/>
            </w:pPr>
            <w:r w:rsidRPr="00EE66AF">
              <w:t xml:space="preserve">SLEDAI score at first visit </w:t>
            </w:r>
          </w:p>
        </w:tc>
        <w:tc>
          <w:tcPr>
            <w:tcW w:w="1512" w:type="dxa"/>
          </w:tcPr>
          <w:p w:rsidR="00B97965" w:rsidRPr="00EE66AF" w:rsidRDefault="00B97965" w:rsidP="00B97965">
            <w:pPr>
              <w:pStyle w:val="NoSpacing"/>
            </w:pPr>
            <w:r w:rsidRPr="00EE66AF">
              <w:t>3.</w:t>
            </w:r>
            <w:r>
              <w:t>22</w:t>
            </w:r>
            <w:r w:rsidRPr="00EE66AF">
              <w:t xml:space="preserve"> </w:t>
            </w:r>
          </w:p>
        </w:tc>
        <w:tc>
          <w:tcPr>
            <w:tcW w:w="1512" w:type="dxa"/>
          </w:tcPr>
          <w:p w:rsidR="00B97965" w:rsidRPr="00EE66AF" w:rsidRDefault="00B97965" w:rsidP="00B97965">
            <w:pPr>
              <w:pStyle w:val="NoSpacing"/>
            </w:pPr>
            <w:r w:rsidRPr="00EE66AF">
              <w:t>4.06</w:t>
            </w:r>
          </w:p>
        </w:tc>
        <w:tc>
          <w:tcPr>
            <w:tcW w:w="1512" w:type="dxa"/>
          </w:tcPr>
          <w:p w:rsidR="00B97965" w:rsidRPr="00EE66AF" w:rsidRDefault="00B97965" w:rsidP="00B97965">
            <w:pPr>
              <w:pStyle w:val="NoSpacing"/>
            </w:pPr>
            <w:r w:rsidRPr="00EE66AF">
              <w:t>2.00</w:t>
            </w:r>
          </w:p>
        </w:tc>
      </w:tr>
      <w:tr w:rsidR="00B97965" w:rsidRPr="00EE66AF" w:rsidTr="00B97965">
        <w:tc>
          <w:tcPr>
            <w:tcW w:w="4501" w:type="dxa"/>
          </w:tcPr>
          <w:p w:rsidR="00B97965" w:rsidRPr="00EE66AF" w:rsidRDefault="00B97965" w:rsidP="00B97965">
            <w:pPr>
              <w:pStyle w:val="NoSpacing"/>
            </w:pPr>
            <w:r>
              <w:t>Steroid</w:t>
            </w:r>
            <w:r w:rsidRPr="00EE66AF">
              <w:t xml:space="preserve"> dose at first visit (mg per day)</w:t>
            </w:r>
          </w:p>
        </w:tc>
        <w:tc>
          <w:tcPr>
            <w:tcW w:w="1512" w:type="dxa"/>
          </w:tcPr>
          <w:p w:rsidR="00B97965" w:rsidRPr="00EE66AF" w:rsidRDefault="00B97965" w:rsidP="00B97965">
            <w:pPr>
              <w:pStyle w:val="NoSpacing"/>
            </w:pPr>
            <w:r w:rsidRPr="00EE66AF">
              <w:t>10.</w:t>
            </w:r>
            <w:r>
              <w:t>44</w:t>
            </w:r>
            <w:r w:rsidRPr="00EE66AF">
              <w:t xml:space="preserve"> </w:t>
            </w:r>
          </w:p>
        </w:tc>
        <w:tc>
          <w:tcPr>
            <w:tcW w:w="1512" w:type="dxa"/>
          </w:tcPr>
          <w:p w:rsidR="00B97965" w:rsidRPr="00EE66AF" w:rsidRDefault="00B97965" w:rsidP="00B97965">
            <w:pPr>
              <w:pStyle w:val="NoSpacing"/>
            </w:pPr>
            <w:r>
              <w:t>15.95</w:t>
            </w:r>
          </w:p>
        </w:tc>
        <w:tc>
          <w:tcPr>
            <w:tcW w:w="1512" w:type="dxa"/>
          </w:tcPr>
          <w:p w:rsidR="00B97965" w:rsidRPr="00EE66AF" w:rsidRDefault="00B97965" w:rsidP="00B97965">
            <w:pPr>
              <w:pStyle w:val="NoSpacing"/>
            </w:pPr>
            <w:r>
              <w:t>4</w:t>
            </w:r>
            <w:r w:rsidRPr="00EE66AF">
              <w:t>.00</w:t>
            </w:r>
          </w:p>
        </w:tc>
      </w:tr>
      <w:tr w:rsidR="00B97965" w:rsidRPr="00EE66AF" w:rsidTr="00B97965">
        <w:tc>
          <w:tcPr>
            <w:tcW w:w="4501" w:type="dxa"/>
          </w:tcPr>
          <w:p w:rsidR="00B97965" w:rsidRPr="00E951FC" w:rsidRDefault="00B97965" w:rsidP="00B97965">
            <w:pPr>
              <w:pStyle w:val="NoSpacing"/>
              <w:rPr>
                <w:lang w:val="fr-CA"/>
              </w:rPr>
            </w:pPr>
            <w:r w:rsidRPr="00E951FC">
              <w:rPr>
                <w:lang w:val="fr-CA"/>
              </w:rPr>
              <w:t>Patient visits with immunosuppressants pr</w:t>
            </w:r>
            <w:r>
              <w:rPr>
                <w:lang w:val="fr-CA"/>
              </w:rPr>
              <w:t>escribed</w:t>
            </w:r>
          </w:p>
        </w:tc>
        <w:tc>
          <w:tcPr>
            <w:tcW w:w="1512" w:type="dxa"/>
          </w:tcPr>
          <w:p w:rsidR="00B97965" w:rsidRPr="00EE66AF" w:rsidRDefault="00B97965" w:rsidP="00B97965">
            <w:pPr>
              <w:pStyle w:val="NoSpacing"/>
            </w:pPr>
            <w:r>
              <w:t>30.26%</w:t>
            </w:r>
          </w:p>
        </w:tc>
        <w:tc>
          <w:tcPr>
            <w:tcW w:w="1512" w:type="dxa"/>
          </w:tcPr>
          <w:p w:rsidR="00B97965" w:rsidRPr="00EE66AF" w:rsidRDefault="00B97965" w:rsidP="00B97965">
            <w:pPr>
              <w:pStyle w:val="NoSpacing"/>
            </w:pPr>
          </w:p>
        </w:tc>
        <w:tc>
          <w:tcPr>
            <w:tcW w:w="1512" w:type="dxa"/>
          </w:tcPr>
          <w:p w:rsidR="00B97965" w:rsidRPr="00EE66AF" w:rsidRDefault="00B97965" w:rsidP="00B97965">
            <w:pPr>
              <w:pStyle w:val="NoSpacing"/>
            </w:pPr>
          </w:p>
        </w:tc>
      </w:tr>
      <w:tr w:rsidR="00B97965" w:rsidRPr="00EE66AF" w:rsidTr="00B97965">
        <w:tc>
          <w:tcPr>
            <w:tcW w:w="4501" w:type="dxa"/>
          </w:tcPr>
          <w:p w:rsidR="00B97965" w:rsidRDefault="00B97965" w:rsidP="00B97965">
            <w:pPr>
              <w:pStyle w:val="NoSpacing"/>
            </w:pPr>
            <w:r>
              <w:t>Patient visits with anti-malarials prescribed</w:t>
            </w:r>
          </w:p>
        </w:tc>
        <w:tc>
          <w:tcPr>
            <w:tcW w:w="1512" w:type="dxa"/>
          </w:tcPr>
          <w:p w:rsidR="00B97965" w:rsidRPr="00EE66AF" w:rsidRDefault="00B97965" w:rsidP="00B97965">
            <w:pPr>
              <w:pStyle w:val="NoSpacing"/>
            </w:pPr>
            <w:r>
              <w:t>58.02%</w:t>
            </w:r>
          </w:p>
        </w:tc>
        <w:tc>
          <w:tcPr>
            <w:tcW w:w="1512" w:type="dxa"/>
          </w:tcPr>
          <w:p w:rsidR="00B97965" w:rsidRPr="00EE66AF" w:rsidRDefault="00B97965" w:rsidP="00B97965">
            <w:pPr>
              <w:pStyle w:val="NoSpacing"/>
            </w:pPr>
          </w:p>
        </w:tc>
        <w:tc>
          <w:tcPr>
            <w:tcW w:w="1512" w:type="dxa"/>
          </w:tcPr>
          <w:p w:rsidR="00B97965" w:rsidRPr="00EE66AF" w:rsidRDefault="00B97965" w:rsidP="00B97965">
            <w:pPr>
              <w:pStyle w:val="NoSpacing"/>
            </w:pPr>
          </w:p>
        </w:tc>
      </w:tr>
      <w:tr w:rsidR="00B97965" w:rsidRPr="00EE66AF" w:rsidTr="00B97965">
        <w:tc>
          <w:tcPr>
            <w:tcW w:w="4501" w:type="dxa"/>
          </w:tcPr>
          <w:p w:rsidR="00B97965" w:rsidRPr="00EE66AF" w:rsidRDefault="00B97965" w:rsidP="00B97965">
            <w:pPr>
              <w:pStyle w:val="NoSpacing"/>
            </w:pPr>
            <w:r w:rsidRPr="00EE66AF">
              <w:t xml:space="preserve">Duration of follow-up in years </w:t>
            </w:r>
          </w:p>
        </w:tc>
        <w:tc>
          <w:tcPr>
            <w:tcW w:w="1512" w:type="dxa"/>
          </w:tcPr>
          <w:p w:rsidR="00B97965" w:rsidRPr="00EE66AF" w:rsidRDefault="00B97965" w:rsidP="00B97965">
            <w:pPr>
              <w:pStyle w:val="NoSpacing"/>
            </w:pPr>
            <w:r>
              <w:t>1.02</w:t>
            </w:r>
            <w:r w:rsidRPr="00EE66AF">
              <w:t xml:space="preserve"> </w:t>
            </w:r>
          </w:p>
        </w:tc>
        <w:tc>
          <w:tcPr>
            <w:tcW w:w="1512" w:type="dxa"/>
          </w:tcPr>
          <w:p w:rsidR="00B97965" w:rsidRPr="00EE66AF" w:rsidRDefault="00B97965" w:rsidP="00B97965">
            <w:pPr>
              <w:pStyle w:val="NoSpacing"/>
            </w:pPr>
            <w:r>
              <w:t>0.56</w:t>
            </w:r>
          </w:p>
        </w:tc>
        <w:tc>
          <w:tcPr>
            <w:tcW w:w="1512" w:type="dxa"/>
          </w:tcPr>
          <w:p w:rsidR="00B97965" w:rsidRPr="00EE66AF" w:rsidRDefault="00B97965" w:rsidP="00B97965">
            <w:pPr>
              <w:pStyle w:val="NoSpacing"/>
            </w:pPr>
            <w:r>
              <w:t>1.07</w:t>
            </w:r>
          </w:p>
        </w:tc>
      </w:tr>
    </w:tbl>
    <w:p w:rsidR="00B97965" w:rsidRDefault="00B97965" w:rsidP="00B97965"/>
    <w:p w:rsidR="00B97965" w:rsidRDefault="00B97965" w:rsidP="00B97965">
      <w:pPr>
        <w:sectPr w:rsidR="00B97965" w:rsidSect="00B97965">
          <w:headerReference w:type="default" r:id="rId79"/>
          <w:headerReference w:type="first" r:id="rId80"/>
          <w:pgSz w:w="11906" w:h="16838"/>
          <w:pgMar w:top="1440" w:right="1440" w:bottom="1440" w:left="1440" w:header="708" w:footer="708" w:gutter="0"/>
          <w:cols w:space="708"/>
          <w:titlePg/>
          <w:docGrid w:linePitch="360"/>
        </w:sectPr>
      </w:pPr>
    </w:p>
    <w:p w:rsidR="00221DD6" w:rsidRDefault="00221DD6" w:rsidP="00BE457B">
      <w:pPr>
        <w:pStyle w:val="Heading1"/>
        <w:numPr>
          <w:ilvl w:val="0"/>
          <w:numId w:val="0"/>
        </w:numPr>
      </w:pPr>
      <w:bookmarkStart w:id="677" w:name="_Ref278121452"/>
      <w:bookmarkStart w:id="678" w:name="_Ref278121447"/>
      <w:bookmarkStart w:id="679" w:name="_Toc279009297"/>
    </w:p>
    <w:p w:rsidR="00B97965" w:rsidRPr="00BE457B" w:rsidRDefault="00B97965" w:rsidP="00BE457B">
      <w:pPr>
        <w:pStyle w:val="Heading1"/>
        <w:numPr>
          <w:ilvl w:val="0"/>
          <w:numId w:val="0"/>
        </w:numPr>
        <w:rPr>
          <w:rStyle w:val="Emphasis"/>
          <w:spacing w:val="15"/>
        </w:rPr>
      </w:pPr>
      <w:bookmarkStart w:id="680" w:name="_Toc379467711"/>
      <w:r>
        <w:t xml:space="preserve">Appendix </w:t>
      </w:r>
      <w:r w:rsidR="00396982">
        <w:t>7</w:t>
      </w:r>
      <w:r w:rsidR="00BE457B">
        <w:t xml:space="preserve">: </w:t>
      </w:r>
      <w:r w:rsidRPr="00234693">
        <w:rPr>
          <w:rStyle w:val="Emphasis"/>
        </w:rPr>
        <w:t>Results of Univariate statistical analysis of Organ damage</w:t>
      </w:r>
      <w:bookmarkEnd w:id="680"/>
    </w:p>
    <w:p w:rsidR="00B97965" w:rsidRPr="005D3675" w:rsidRDefault="00B97965" w:rsidP="00234693">
      <w:pPr>
        <w:pStyle w:val="Caption"/>
      </w:pPr>
      <w:r>
        <w:t xml:space="preserve">Table </w:t>
      </w:r>
      <w:fldSimple w:instr=" SEQ Table \* ARABIC ">
        <w:r w:rsidR="004911B7">
          <w:rPr>
            <w:noProof/>
          </w:rPr>
          <w:t>60</w:t>
        </w:r>
      </w:fldSimple>
      <w:bookmarkEnd w:id="677"/>
      <w:r>
        <w:t>: Results of the univariate analyses for each organ system</w:t>
      </w:r>
      <w:bookmarkEnd w:id="678"/>
      <w:bookmarkEnd w:id="679"/>
    </w:p>
    <w:tbl>
      <w:tblPr>
        <w:tblStyle w:val="TableGrid"/>
        <w:tblW w:w="1406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289"/>
        <w:gridCol w:w="897"/>
        <w:gridCol w:w="898"/>
        <w:gridCol w:w="898"/>
        <w:gridCol w:w="898"/>
        <w:gridCol w:w="897"/>
        <w:gridCol w:w="898"/>
        <w:gridCol w:w="898"/>
        <w:gridCol w:w="898"/>
        <w:gridCol w:w="897"/>
        <w:gridCol w:w="898"/>
        <w:gridCol w:w="898"/>
        <w:gridCol w:w="898"/>
      </w:tblGrid>
      <w:tr w:rsidR="00B97965" w:rsidRPr="00126EF4" w:rsidTr="00B97965">
        <w:tc>
          <w:tcPr>
            <w:tcW w:w="3289" w:type="dxa"/>
            <w:tcBorders>
              <w:top w:val="single" w:sz="8" w:space="0" w:color="auto"/>
              <w:bottom w:val="nil"/>
            </w:tcBorders>
          </w:tcPr>
          <w:p w:rsidR="00B97965" w:rsidRPr="00126EF4" w:rsidRDefault="00B97965" w:rsidP="00B97965">
            <w:pPr>
              <w:pStyle w:val="ListParagraph1"/>
              <w:rPr>
                <w:sz w:val="16"/>
                <w:szCs w:val="16"/>
              </w:rPr>
            </w:pPr>
          </w:p>
        </w:tc>
        <w:tc>
          <w:tcPr>
            <w:tcW w:w="897"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1</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2</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3</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4</w:t>
            </w:r>
          </w:p>
        </w:tc>
        <w:tc>
          <w:tcPr>
            <w:tcW w:w="897"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5</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6</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7</w:t>
            </w:r>
          </w:p>
        </w:tc>
        <w:tc>
          <w:tcPr>
            <w:tcW w:w="898"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8</w:t>
            </w:r>
          </w:p>
        </w:tc>
        <w:tc>
          <w:tcPr>
            <w:tcW w:w="897" w:type="dxa"/>
            <w:tcBorders>
              <w:top w:val="single" w:sz="8" w:space="0" w:color="auto"/>
              <w:bottom w:val="nil"/>
            </w:tcBorders>
            <w:vAlign w:val="center"/>
          </w:tcPr>
          <w:p w:rsidR="00B97965" w:rsidRPr="00126EF4" w:rsidRDefault="00B97965" w:rsidP="00B97965">
            <w:pPr>
              <w:pStyle w:val="ListParagraph1"/>
              <w:jc w:val="center"/>
              <w:rPr>
                <w:sz w:val="16"/>
                <w:szCs w:val="16"/>
              </w:rPr>
            </w:pPr>
            <w:r w:rsidRPr="00126EF4">
              <w:rPr>
                <w:sz w:val="16"/>
                <w:szCs w:val="16"/>
              </w:rPr>
              <w:t>9</w:t>
            </w:r>
          </w:p>
        </w:tc>
        <w:tc>
          <w:tcPr>
            <w:tcW w:w="898" w:type="dxa"/>
            <w:tcBorders>
              <w:top w:val="single" w:sz="8" w:space="0" w:color="auto"/>
              <w:bottom w:val="nil"/>
            </w:tcBorders>
          </w:tcPr>
          <w:p w:rsidR="00B97965" w:rsidRPr="00126EF4" w:rsidRDefault="00B97965" w:rsidP="00B97965">
            <w:pPr>
              <w:pStyle w:val="ListParagraph1"/>
              <w:jc w:val="center"/>
              <w:rPr>
                <w:sz w:val="16"/>
                <w:szCs w:val="16"/>
              </w:rPr>
            </w:pPr>
            <w:r>
              <w:rPr>
                <w:sz w:val="16"/>
                <w:szCs w:val="16"/>
              </w:rPr>
              <w:t>10</w:t>
            </w:r>
          </w:p>
        </w:tc>
        <w:tc>
          <w:tcPr>
            <w:tcW w:w="898" w:type="dxa"/>
            <w:tcBorders>
              <w:top w:val="single" w:sz="8" w:space="0" w:color="auto"/>
              <w:bottom w:val="nil"/>
            </w:tcBorders>
          </w:tcPr>
          <w:p w:rsidR="00B97965" w:rsidRPr="00126EF4" w:rsidRDefault="00B97965" w:rsidP="00B97965">
            <w:pPr>
              <w:pStyle w:val="ListParagraph1"/>
              <w:jc w:val="center"/>
              <w:rPr>
                <w:sz w:val="16"/>
                <w:szCs w:val="16"/>
              </w:rPr>
            </w:pPr>
            <w:r>
              <w:rPr>
                <w:sz w:val="16"/>
                <w:szCs w:val="16"/>
              </w:rPr>
              <w:t>11</w:t>
            </w:r>
          </w:p>
        </w:tc>
        <w:tc>
          <w:tcPr>
            <w:tcW w:w="898" w:type="dxa"/>
            <w:tcBorders>
              <w:top w:val="single" w:sz="8" w:space="0" w:color="auto"/>
              <w:bottom w:val="nil"/>
            </w:tcBorders>
          </w:tcPr>
          <w:p w:rsidR="00B97965" w:rsidRPr="00126EF4" w:rsidRDefault="00B97965" w:rsidP="00B97965">
            <w:pPr>
              <w:pStyle w:val="ListParagraph1"/>
              <w:jc w:val="center"/>
              <w:rPr>
                <w:sz w:val="16"/>
                <w:szCs w:val="16"/>
              </w:rPr>
            </w:pPr>
            <w:r>
              <w:rPr>
                <w:sz w:val="16"/>
                <w:szCs w:val="16"/>
              </w:rPr>
              <w:t>12</w:t>
            </w:r>
          </w:p>
        </w:tc>
      </w:tr>
      <w:tr w:rsidR="00B97965" w:rsidRPr="00126EF4" w:rsidTr="00B97965">
        <w:trPr>
          <w:trHeight w:val="138"/>
        </w:trPr>
        <w:tc>
          <w:tcPr>
            <w:tcW w:w="3289" w:type="dxa"/>
            <w:tcBorders>
              <w:top w:val="nil"/>
              <w:bottom w:val="single" w:sz="4" w:space="0" w:color="auto"/>
            </w:tcBorders>
          </w:tcPr>
          <w:p w:rsidR="00B97965" w:rsidRPr="00126EF4" w:rsidRDefault="00B97965" w:rsidP="00B97965">
            <w:pPr>
              <w:pStyle w:val="ListParagraph1"/>
              <w:rPr>
                <w:sz w:val="16"/>
                <w:szCs w:val="16"/>
                <w:lang w:val="fr-CA"/>
              </w:rPr>
            </w:pPr>
          </w:p>
        </w:tc>
        <w:tc>
          <w:tcPr>
            <w:tcW w:w="897"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Cardio</w:t>
            </w:r>
            <w:r>
              <w:rPr>
                <w:sz w:val="16"/>
                <w:szCs w:val="16"/>
              </w:rPr>
              <w:t>.</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Renal</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Pr>
                <w:sz w:val="16"/>
                <w:szCs w:val="16"/>
              </w:rPr>
              <w:t>MSK</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Pr>
                <w:sz w:val="16"/>
                <w:szCs w:val="16"/>
              </w:rPr>
              <w:t>Neuro.</w:t>
            </w:r>
          </w:p>
        </w:tc>
        <w:tc>
          <w:tcPr>
            <w:tcW w:w="897"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Pulmonary</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Peripheral vascular</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Gastro</w:t>
            </w:r>
            <w:r>
              <w:rPr>
                <w:sz w:val="16"/>
                <w:szCs w:val="16"/>
              </w:rPr>
              <w:t>.</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Ocular</w:t>
            </w:r>
          </w:p>
        </w:tc>
        <w:tc>
          <w:tcPr>
            <w:tcW w:w="897" w:type="dxa"/>
            <w:tcBorders>
              <w:top w:val="nil"/>
              <w:bottom w:val="single" w:sz="4" w:space="0" w:color="auto"/>
            </w:tcBorders>
          </w:tcPr>
          <w:p w:rsidR="00B97965" w:rsidRPr="00126EF4" w:rsidRDefault="00B97965" w:rsidP="00B97965">
            <w:pPr>
              <w:pStyle w:val="ListParagraph1"/>
              <w:jc w:val="center"/>
              <w:rPr>
                <w:sz w:val="16"/>
                <w:szCs w:val="16"/>
              </w:rPr>
            </w:pPr>
            <w:r w:rsidRPr="00126EF4">
              <w:rPr>
                <w:sz w:val="16"/>
                <w:szCs w:val="16"/>
              </w:rPr>
              <w:t>Skin</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Pr>
                <w:sz w:val="16"/>
                <w:szCs w:val="16"/>
              </w:rPr>
              <w:t>Diabetes</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Pr>
                <w:sz w:val="16"/>
                <w:szCs w:val="16"/>
              </w:rPr>
              <w:t>Malignancy</w:t>
            </w:r>
          </w:p>
        </w:tc>
        <w:tc>
          <w:tcPr>
            <w:tcW w:w="898" w:type="dxa"/>
            <w:tcBorders>
              <w:top w:val="nil"/>
              <w:bottom w:val="single" w:sz="4" w:space="0" w:color="auto"/>
            </w:tcBorders>
          </w:tcPr>
          <w:p w:rsidR="00B97965" w:rsidRPr="00126EF4" w:rsidRDefault="00B97965" w:rsidP="00B97965">
            <w:pPr>
              <w:pStyle w:val="ListParagraph1"/>
              <w:jc w:val="center"/>
              <w:rPr>
                <w:sz w:val="16"/>
                <w:szCs w:val="16"/>
              </w:rPr>
            </w:pPr>
            <w:r>
              <w:rPr>
                <w:sz w:val="16"/>
                <w:szCs w:val="16"/>
              </w:rPr>
              <w:t>Gonadal Failure</w:t>
            </w:r>
          </w:p>
        </w:tc>
      </w:tr>
      <w:tr w:rsidR="00B97965" w:rsidRPr="00126EF4" w:rsidTr="00B97965">
        <w:tc>
          <w:tcPr>
            <w:tcW w:w="3289" w:type="dxa"/>
            <w:tcBorders>
              <w:top w:val="single" w:sz="4" w:space="0" w:color="auto"/>
            </w:tcBorders>
          </w:tcPr>
          <w:p w:rsidR="00B97965" w:rsidRPr="00126EF4" w:rsidRDefault="00B97965" w:rsidP="00B97965">
            <w:pPr>
              <w:pStyle w:val="ListParagraph1"/>
              <w:rPr>
                <w:sz w:val="16"/>
                <w:szCs w:val="16"/>
              </w:rPr>
            </w:pPr>
            <w:r w:rsidRPr="00126EF4">
              <w:rPr>
                <w:sz w:val="16"/>
                <w:szCs w:val="16"/>
              </w:rPr>
              <w:t>Male</w:t>
            </w:r>
          </w:p>
        </w:tc>
        <w:tc>
          <w:tcPr>
            <w:tcW w:w="897" w:type="dxa"/>
            <w:tcBorders>
              <w:top w:val="single" w:sz="4" w:space="0" w:color="auto"/>
            </w:tcBorders>
          </w:tcPr>
          <w:p w:rsidR="00B97965" w:rsidRPr="00126EF4" w:rsidRDefault="00B97965" w:rsidP="00B97965">
            <w:pPr>
              <w:pStyle w:val="ListParagraph1"/>
              <w:rPr>
                <w:sz w:val="16"/>
                <w:szCs w:val="16"/>
              </w:rPr>
            </w:pPr>
            <w:r w:rsidRPr="00126EF4">
              <w:rPr>
                <w:sz w:val="16"/>
                <w:szCs w:val="16"/>
              </w:rPr>
              <w:t>1.4326</w:t>
            </w:r>
          </w:p>
        </w:tc>
        <w:tc>
          <w:tcPr>
            <w:tcW w:w="898" w:type="dxa"/>
            <w:tcBorders>
              <w:top w:val="single" w:sz="4" w:space="0" w:color="auto"/>
            </w:tcBorders>
          </w:tcPr>
          <w:p w:rsidR="00B97965" w:rsidRPr="00126EF4" w:rsidRDefault="00B97965" w:rsidP="00B97965">
            <w:pPr>
              <w:pStyle w:val="ListParagraph1"/>
              <w:rPr>
                <w:sz w:val="16"/>
                <w:szCs w:val="16"/>
              </w:rPr>
            </w:pPr>
            <w:r w:rsidRPr="00126EF4">
              <w:rPr>
                <w:sz w:val="16"/>
                <w:szCs w:val="16"/>
              </w:rPr>
              <w:t>1.9380*</w:t>
            </w:r>
          </w:p>
        </w:tc>
        <w:tc>
          <w:tcPr>
            <w:tcW w:w="898" w:type="dxa"/>
            <w:tcBorders>
              <w:top w:val="single" w:sz="4" w:space="0" w:color="auto"/>
            </w:tcBorders>
          </w:tcPr>
          <w:p w:rsidR="00B97965" w:rsidRPr="00126EF4" w:rsidRDefault="00B97965" w:rsidP="00B97965">
            <w:pPr>
              <w:pStyle w:val="ListParagraph1"/>
              <w:rPr>
                <w:sz w:val="16"/>
                <w:szCs w:val="16"/>
              </w:rPr>
            </w:pPr>
            <w:r w:rsidRPr="00126EF4">
              <w:rPr>
                <w:sz w:val="16"/>
                <w:szCs w:val="16"/>
              </w:rPr>
              <w:t>1.0091</w:t>
            </w:r>
          </w:p>
        </w:tc>
        <w:tc>
          <w:tcPr>
            <w:tcW w:w="898" w:type="dxa"/>
            <w:tcBorders>
              <w:top w:val="single" w:sz="4" w:space="0" w:color="auto"/>
            </w:tcBorders>
          </w:tcPr>
          <w:p w:rsidR="00B97965" w:rsidRPr="00126EF4" w:rsidRDefault="00B97965" w:rsidP="00B97965">
            <w:pPr>
              <w:pStyle w:val="ListParagraph1"/>
              <w:rPr>
                <w:sz w:val="16"/>
                <w:szCs w:val="16"/>
              </w:rPr>
            </w:pPr>
            <w:r w:rsidRPr="00126EF4">
              <w:rPr>
                <w:sz w:val="16"/>
                <w:szCs w:val="16"/>
              </w:rPr>
              <w:t>1.1554</w:t>
            </w:r>
          </w:p>
        </w:tc>
        <w:tc>
          <w:tcPr>
            <w:tcW w:w="897" w:type="dxa"/>
            <w:tcBorders>
              <w:top w:val="single" w:sz="4" w:space="0" w:color="auto"/>
            </w:tcBorders>
          </w:tcPr>
          <w:p w:rsidR="00B97965" w:rsidRPr="00126EF4" w:rsidRDefault="00B97965" w:rsidP="00B97965">
            <w:pPr>
              <w:pStyle w:val="ListParagraph1"/>
              <w:rPr>
                <w:sz w:val="16"/>
                <w:szCs w:val="16"/>
              </w:rPr>
            </w:pPr>
            <w:r w:rsidRPr="00126EF4">
              <w:rPr>
                <w:sz w:val="16"/>
                <w:szCs w:val="16"/>
              </w:rPr>
              <w:t>0.7193</w:t>
            </w:r>
          </w:p>
        </w:tc>
        <w:tc>
          <w:tcPr>
            <w:tcW w:w="898" w:type="dxa"/>
            <w:tcBorders>
              <w:top w:val="single" w:sz="4" w:space="0" w:color="auto"/>
            </w:tcBorders>
          </w:tcPr>
          <w:p w:rsidR="00B97965" w:rsidRPr="00126EF4" w:rsidRDefault="00B97965" w:rsidP="00B97965">
            <w:pPr>
              <w:pStyle w:val="ListParagraph1"/>
              <w:rPr>
                <w:sz w:val="16"/>
                <w:szCs w:val="16"/>
              </w:rPr>
            </w:pPr>
            <w:r w:rsidRPr="00126EF4">
              <w:rPr>
                <w:sz w:val="16"/>
                <w:szCs w:val="16"/>
              </w:rPr>
              <w:t>0.7693</w:t>
            </w:r>
          </w:p>
        </w:tc>
        <w:tc>
          <w:tcPr>
            <w:tcW w:w="898" w:type="dxa"/>
            <w:tcBorders>
              <w:top w:val="single" w:sz="4" w:space="0" w:color="auto"/>
            </w:tcBorders>
          </w:tcPr>
          <w:p w:rsidR="00B97965" w:rsidRPr="00126EF4" w:rsidRDefault="00B97965" w:rsidP="00B97965">
            <w:pPr>
              <w:pStyle w:val="ListParagraph1"/>
              <w:rPr>
                <w:sz w:val="16"/>
                <w:szCs w:val="16"/>
              </w:rPr>
            </w:pPr>
            <w:r w:rsidRPr="00126EF4">
              <w:rPr>
                <w:sz w:val="16"/>
                <w:szCs w:val="16"/>
              </w:rPr>
              <w:t>0.7993</w:t>
            </w:r>
          </w:p>
        </w:tc>
        <w:tc>
          <w:tcPr>
            <w:tcW w:w="898" w:type="dxa"/>
            <w:tcBorders>
              <w:top w:val="single" w:sz="4" w:space="0" w:color="auto"/>
            </w:tcBorders>
          </w:tcPr>
          <w:p w:rsidR="00B97965" w:rsidRPr="00126EF4" w:rsidRDefault="00B97965" w:rsidP="00B97965">
            <w:pPr>
              <w:pStyle w:val="ListParagraph1"/>
              <w:rPr>
                <w:sz w:val="16"/>
                <w:szCs w:val="16"/>
              </w:rPr>
            </w:pPr>
            <w:r>
              <w:rPr>
                <w:sz w:val="16"/>
                <w:szCs w:val="16"/>
              </w:rPr>
              <w:t>0</w:t>
            </w:r>
            <w:r w:rsidRPr="00126EF4">
              <w:rPr>
                <w:sz w:val="16"/>
                <w:szCs w:val="16"/>
              </w:rPr>
              <w:t>.787</w:t>
            </w:r>
            <w:r>
              <w:rPr>
                <w:sz w:val="16"/>
                <w:szCs w:val="16"/>
              </w:rPr>
              <w:t>4</w:t>
            </w:r>
          </w:p>
        </w:tc>
        <w:tc>
          <w:tcPr>
            <w:tcW w:w="897" w:type="dxa"/>
            <w:tcBorders>
              <w:top w:val="single" w:sz="4" w:space="0" w:color="auto"/>
            </w:tcBorders>
          </w:tcPr>
          <w:p w:rsidR="00B97965" w:rsidRPr="00126EF4" w:rsidRDefault="00B97965" w:rsidP="00B97965">
            <w:pPr>
              <w:pStyle w:val="ListParagraph1"/>
              <w:rPr>
                <w:sz w:val="16"/>
                <w:szCs w:val="16"/>
              </w:rPr>
            </w:pPr>
            <w:r>
              <w:rPr>
                <w:sz w:val="16"/>
                <w:szCs w:val="16"/>
              </w:rPr>
              <w:t>0.3419</w:t>
            </w:r>
          </w:p>
        </w:tc>
        <w:tc>
          <w:tcPr>
            <w:tcW w:w="898" w:type="dxa"/>
            <w:tcBorders>
              <w:top w:val="single" w:sz="4" w:space="0" w:color="auto"/>
            </w:tcBorders>
          </w:tcPr>
          <w:p w:rsidR="00B97965" w:rsidRPr="00126EF4" w:rsidRDefault="00B97965" w:rsidP="00B97965">
            <w:pPr>
              <w:pStyle w:val="ListParagraph1"/>
              <w:rPr>
                <w:sz w:val="16"/>
                <w:szCs w:val="16"/>
              </w:rPr>
            </w:pPr>
            <w:r>
              <w:rPr>
                <w:sz w:val="16"/>
                <w:szCs w:val="16"/>
              </w:rPr>
              <w:t>0</w:t>
            </w:r>
            <w:r w:rsidRPr="002A0178">
              <w:rPr>
                <w:sz w:val="16"/>
                <w:szCs w:val="16"/>
              </w:rPr>
              <w:t>.659</w:t>
            </w:r>
            <w:r>
              <w:rPr>
                <w:sz w:val="16"/>
                <w:szCs w:val="16"/>
              </w:rPr>
              <w:t>3</w:t>
            </w:r>
          </w:p>
        </w:tc>
        <w:tc>
          <w:tcPr>
            <w:tcW w:w="898" w:type="dxa"/>
            <w:tcBorders>
              <w:top w:val="single" w:sz="4" w:space="0" w:color="auto"/>
            </w:tcBorders>
          </w:tcPr>
          <w:p w:rsidR="00B97965" w:rsidRPr="00126EF4" w:rsidRDefault="00B97965" w:rsidP="00B97965">
            <w:pPr>
              <w:pStyle w:val="ListParagraph1"/>
              <w:rPr>
                <w:sz w:val="16"/>
                <w:szCs w:val="16"/>
              </w:rPr>
            </w:pPr>
            <w:r w:rsidRPr="002A0178">
              <w:rPr>
                <w:sz w:val="16"/>
                <w:szCs w:val="16"/>
              </w:rPr>
              <w:t>1.9177</w:t>
            </w:r>
            <w:r>
              <w:rPr>
                <w:sz w:val="16"/>
                <w:szCs w:val="16"/>
              </w:rPr>
              <w:t>**</w:t>
            </w:r>
          </w:p>
        </w:tc>
        <w:tc>
          <w:tcPr>
            <w:tcW w:w="898" w:type="dxa"/>
            <w:tcBorders>
              <w:top w:val="single" w:sz="4" w:space="0" w:color="auto"/>
            </w:tcBorders>
          </w:tcPr>
          <w:p w:rsidR="00B97965" w:rsidRPr="00126EF4" w:rsidRDefault="00B97965" w:rsidP="00B97965">
            <w:pPr>
              <w:pStyle w:val="ListParagraph1"/>
              <w:rPr>
                <w:sz w:val="16"/>
                <w:szCs w:val="16"/>
              </w:rPr>
            </w:pPr>
            <w:r>
              <w:rPr>
                <w:sz w:val="16"/>
                <w:szCs w:val="16"/>
              </w:rPr>
              <w:t>0.0000</w:t>
            </w:r>
          </w:p>
        </w:tc>
      </w:tr>
      <w:tr w:rsidR="00B97965" w:rsidRPr="00126EF4" w:rsidTr="00B97965">
        <w:tc>
          <w:tcPr>
            <w:tcW w:w="3289" w:type="dxa"/>
          </w:tcPr>
          <w:p w:rsidR="00B97965" w:rsidRPr="00126EF4" w:rsidRDefault="00B97965" w:rsidP="00B97965">
            <w:pPr>
              <w:pStyle w:val="ListParagraph1"/>
              <w:rPr>
                <w:sz w:val="16"/>
                <w:szCs w:val="16"/>
              </w:rPr>
            </w:pPr>
            <w:r>
              <w:rPr>
                <w:sz w:val="16"/>
                <w:szCs w:val="16"/>
              </w:rPr>
              <w:t>African American ethnicity</w:t>
            </w:r>
          </w:p>
        </w:tc>
        <w:tc>
          <w:tcPr>
            <w:tcW w:w="897" w:type="dxa"/>
          </w:tcPr>
          <w:p w:rsidR="00B97965" w:rsidRPr="00126EF4" w:rsidRDefault="00B97965" w:rsidP="00B97965">
            <w:pPr>
              <w:pStyle w:val="ListParagraph1"/>
              <w:rPr>
                <w:sz w:val="16"/>
                <w:szCs w:val="16"/>
              </w:rPr>
            </w:pPr>
            <w:r w:rsidRPr="00126EF4">
              <w:rPr>
                <w:sz w:val="16"/>
                <w:szCs w:val="16"/>
              </w:rPr>
              <w:t>1.2880</w:t>
            </w:r>
          </w:p>
        </w:tc>
        <w:tc>
          <w:tcPr>
            <w:tcW w:w="898" w:type="dxa"/>
          </w:tcPr>
          <w:p w:rsidR="00B97965" w:rsidRPr="00126EF4" w:rsidRDefault="00B97965" w:rsidP="00B97965">
            <w:pPr>
              <w:pStyle w:val="ListParagraph1"/>
              <w:rPr>
                <w:sz w:val="16"/>
                <w:szCs w:val="16"/>
              </w:rPr>
            </w:pPr>
            <w:r w:rsidRPr="00126EF4">
              <w:rPr>
                <w:sz w:val="16"/>
                <w:szCs w:val="16"/>
              </w:rPr>
              <w:t>1.9139**</w:t>
            </w:r>
          </w:p>
        </w:tc>
        <w:tc>
          <w:tcPr>
            <w:tcW w:w="898" w:type="dxa"/>
          </w:tcPr>
          <w:p w:rsidR="00B97965" w:rsidRPr="00126EF4" w:rsidRDefault="00B97965" w:rsidP="00B97965">
            <w:pPr>
              <w:pStyle w:val="ListParagraph1"/>
              <w:rPr>
                <w:sz w:val="16"/>
                <w:szCs w:val="16"/>
              </w:rPr>
            </w:pPr>
            <w:r w:rsidRPr="00126EF4">
              <w:rPr>
                <w:sz w:val="16"/>
                <w:szCs w:val="16"/>
              </w:rPr>
              <w:t>1.1299</w:t>
            </w:r>
          </w:p>
        </w:tc>
        <w:tc>
          <w:tcPr>
            <w:tcW w:w="898" w:type="dxa"/>
          </w:tcPr>
          <w:p w:rsidR="00B97965" w:rsidRPr="00126EF4" w:rsidRDefault="00B97965" w:rsidP="00B97965">
            <w:pPr>
              <w:pStyle w:val="ListParagraph1"/>
              <w:rPr>
                <w:sz w:val="16"/>
                <w:szCs w:val="16"/>
              </w:rPr>
            </w:pPr>
            <w:r w:rsidRPr="00126EF4">
              <w:rPr>
                <w:sz w:val="16"/>
                <w:szCs w:val="16"/>
              </w:rPr>
              <w:t>1.2030</w:t>
            </w:r>
          </w:p>
        </w:tc>
        <w:tc>
          <w:tcPr>
            <w:tcW w:w="897" w:type="dxa"/>
          </w:tcPr>
          <w:p w:rsidR="00B97965" w:rsidRPr="00126EF4" w:rsidRDefault="00B97965" w:rsidP="00B97965">
            <w:pPr>
              <w:pStyle w:val="ListParagraph1"/>
              <w:rPr>
                <w:sz w:val="16"/>
                <w:szCs w:val="16"/>
              </w:rPr>
            </w:pPr>
            <w:r w:rsidRPr="00126EF4">
              <w:rPr>
                <w:sz w:val="16"/>
                <w:szCs w:val="16"/>
              </w:rPr>
              <w:t>1.0741</w:t>
            </w:r>
          </w:p>
        </w:tc>
        <w:tc>
          <w:tcPr>
            <w:tcW w:w="898" w:type="dxa"/>
          </w:tcPr>
          <w:p w:rsidR="00B97965" w:rsidRPr="00126EF4" w:rsidRDefault="00B97965" w:rsidP="00B97965">
            <w:pPr>
              <w:pStyle w:val="ListParagraph1"/>
              <w:rPr>
                <w:sz w:val="16"/>
                <w:szCs w:val="16"/>
              </w:rPr>
            </w:pPr>
            <w:r w:rsidRPr="00126EF4">
              <w:rPr>
                <w:sz w:val="16"/>
                <w:szCs w:val="16"/>
              </w:rPr>
              <w:t>1.4891</w:t>
            </w:r>
          </w:p>
        </w:tc>
        <w:tc>
          <w:tcPr>
            <w:tcW w:w="898" w:type="dxa"/>
          </w:tcPr>
          <w:p w:rsidR="00B97965" w:rsidRPr="00126EF4" w:rsidRDefault="00B97965" w:rsidP="00B97965">
            <w:pPr>
              <w:pStyle w:val="ListParagraph1"/>
              <w:rPr>
                <w:sz w:val="16"/>
                <w:szCs w:val="16"/>
              </w:rPr>
            </w:pPr>
            <w:r w:rsidRPr="00126EF4">
              <w:rPr>
                <w:sz w:val="16"/>
                <w:szCs w:val="16"/>
              </w:rPr>
              <w:t>0.8477</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.940</w:t>
            </w:r>
            <w:r>
              <w:rPr>
                <w:sz w:val="16"/>
                <w:szCs w:val="16"/>
              </w:rPr>
              <w:t>7</w:t>
            </w:r>
          </w:p>
        </w:tc>
        <w:tc>
          <w:tcPr>
            <w:tcW w:w="897" w:type="dxa"/>
          </w:tcPr>
          <w:p w:rsidR="00B97965" w:rsidRPr="00126EF4" w:rsidRDefault="00B97965" w:rsidP="00B97965">
            <w:pPr>
              <w:pStyle w:val="ListParagraph1"/>
              <w:rPr>
                <w:sz w:val="16"/>
                <w:szCs w:val="16"/>
              </w:rPr>
            </w:pPr>
            <w:r w:rsidRPr="002A0178">
              <w:rPr>
                <w:sz w:val="16"/>
                <w:szCs w:val="16"/>
              </w:rPr>
              <w:t>4.7997</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2.2263</w:t>
            </w:r>
            <w:r>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.973</w:t>
            </w:r>
            <w:r>
              <w:rPr>
                <w:sz w:val="16"/>
                <w:szCs w:val="16"/>
              </w:rPr>
              <w:t>3</w:t>
            </w:r>
          </w:p>
        </w:tc>
        <w:tc>
          <w:tcPr>
            <w:tcW w:w="898" w:type="dxa"/>
          </w:tcPr>
          <w:p w:rsidR="00B97965" w:rsidRPr="00126EF4" w:rsidRDefault="00B97965" w:rsidP="00B97965">
            <w:pPr>
              <w:pStyle w:val="ListParagraph1"/>
              <w:rPr>
                <w:sz w:val="16"/>
                <w:szCs w:val="16"/>
              </w:rPr>
            </w:pPr>
            <w:r w:rsidRPr="00ED0E4B">
              <w:rPr>
                <w:sz w:val="16"/>
                <w:szCs w:val="16"/>
              </w:rPr>
              <w:t>1.030</w:t>
            </w:r>
            <w:r>
              <w:rPr>
                <w:sz w:val="16"/>
                <w:szCs w:val="16"/>
              </w:rPr>
              <w:t>2</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Age at diagnosis</w:t>
            </w:r>
          </w:p>
        </w:tc>
        <w:tc>
          <w:tcPr>
            <w:tcW w:w="897" w:type="dxa"/>
          </w:tcPr>
          <w:p w:rsidR="00B97965" w:rsidRPr="00126EF4" w:rsidRDefault="00B97965" w:rsidP="00B97965">
            <w:pPr>
              <w:pStyle w:val="ListParagraph1"/>
              <w:rPr>
                <w:sz w:val="16"/>
                <w:szCs w:val="16"/>
              </w:rPr>
            </w:pPr>
            <w:r w:rsidRPr="00126EF4">
              <w:rPr>
                <w:sz w:val="16"/>
                <w:szCs w:val="16"/>
              </w:rPr>
              <w:t>1.0287***</w:t>
            </w:r>
          </w:p>
        </w:tc>
        <w:tc>
          <w:tcPr>
            <w:tcW w:w="898" w:type="dxa"/>
          </w:tcPr>
          <w:p w:rsidR="00B97965" w:rsidRPr="00126EF4" w:rsidRDefault="00B97965" w:rsidP="00B97965">
            <w:pPr>
              <w:pStyle w:val="ListParagraph1"/>
              <w:rPr>
                <w:sz w:val="16"/>
                <w:szCs w:val="16"/>
              </w:rPr>
            </w:pPr>
            <w:r w:rsidRPr="00126EF4">
              <w:rPr>
                <w:sz w:val="16"/>
                <w:szCs w:val="16"/>
              </w:rPr>
              <w:t>0.9833</w:t>
            </w:r>
          </w:p>
        </w:tc>
        <w:tc>
          <w:tcPr>
            <w:tcW w:w="898" w:type="dxa"/>
          </w:tcPr>
          <w:p w:rsidR="00B97965" w:rsidRPr="00126EF4" w:rsidRDefault="00B97965" w:rsidP="00B97965">
            <w:pPr>
              <w:pStyle w:val="ListParagraph1"/>
              <w:rPr>
                <w:sz w:val="16"/>
                <w:szCs w:val="16"/>
              </w:rPr>
            </w:pPr>
            <w:r w:rsidRPr="00126EF4">
              <w:rPr>
                <w:sz w:val="16"/>
                <w:szCs w:val="16"/>
              </w:rPr>
              <w:t>1.0137***</w:t>
            </w:r>
          </w:p>
        </w:tc>
        <w:tc>
          <w:tcPr>
            <w:tcW w:w="898" w:type="dxa"/>
          </w:tcPr>
          <w:p w:rsidR="00B97965" w:rsidRPr="00126EF4" w:rsidRDefault="00B97965" w:rsidP="00B97965">
            <w:pPr>
              <w:pStyle w:val="ListParagraph1"/>
              <w:rPr>
                <w:sz w:val="16"/>
                <w:szCs w:val="16"/>
              </w:rPr>
            </w:pPr>
            <w:r w:rsidRPr="00126EF4">
              <w:rPr>
                <w:sz w:val="16"/>
                <w:szCs w:val="16"/>
              </w:rPr>
              <w:t>1.0213***</w:t>
            </w:r>
          </w:p>
        </w:tc>
        <w:tc>
          <w:tcPr>
            <w:tcW w:w="897" w:type="dxa"/>
          </w:tcPr>
          <w:p w:rsidR="00B97965" w:rsidRPr="00126EF4" w:rsidRDefault="00B97965" w:rsidP="00B97965">
            <w:pPr>
              <w:pStyle w:val="ListParagraph1"/>
              <w:rPr>
                <w:sz w:val="16"/>
                <w:szCs w:val="16"/>
              </w:rPr>
            </w:pPr>
            <w:r w:rsidRPr="00126EF4">
              <w:rPr>
                <w:sz w:val="16"/>
                <w:szCs w:val="16"/>
              </w:rPr>
              <w:t>1.0298***</w:t>
            </w:r>
          </w:p>
        </w:tc>
        <w:tc>
          <w:tcPr>
            <w:tcW w:w="898" w:type="dxa"/>
          </w:tcPr>
          <w:p w:rsidR="00B97965" w:rsidRPr="00126EF4" w:rsidRDefault="00B97965" w:rsidP="00B97965">
            <w:pPr>
              <w:pStyle w:val="ListParagraph1"/>
              <w:rPr>
                <w:sz w:val="16"/>
                <w:szCs w:val="16"/>
              </w:rPr>
            </w:pPr>
            <w:r w:rsidRPr="00126EF4">
              <w:rPr>
                <w:sz w:val="16"/>
                <w:szCs w:val="16"/>
              </w:rPr>
              <w:t>1.0149</w:t>
            </w:r>
          </w:p>
        </w:tc>
        <w:tc>
          <w:tcPr>
            <w:tcW w:w="898" w:type="dxa"/>
          </w:tcPr>
          <w:p w:rsidR="00B97965" w:rsidRPr="00126EF4" w:rsidRDefault="00B97965" w:rsidP="00B97965">
            <w:pPr>
              <w:pStyle w:val="ListParagraph1"/>
              <w:rPr>
                <w:sz w:val="16"/>
                <w:szCs w:val="16"/>
              </w:rPr>
            </w:pPr>
            <w:r w:rsidRPr="00126EF4">
              <w:rPr>
                <w:sz w:val="16"/>
                <w:szCs w:val="16"/>
              </w:rPr>
              <w:t>1.0058</w:t>
            </w:r>
          </w:p>
        </w:tc>
        <w:tc>
          <w:tcPr>
            <w:tcW w:w="898" w:type="dxa"/>
          </w:tcPr>
          <w:p w:rsidR="00B97965" w:rsidRPr="00126EF4" w:rsidRDefault="00B97965" w:rsidP="00B97965">
            <w:pPr>
              <w:pStyle w:val="ListParagraph1"/>
              <w:rPr>
                <w:sz w:val="16"/>
                <w:szCs w:val="16"/>
              </w:rPr>
            </w:pPr>
            <w:r w:rsidRPr="00126EF4">
              <w:rPr>
                <w:sz w:val="16"/>
                <w:szCs w:val="16"/>
              </w:rPr>
              <w:t>1.0415</w:t>
            </w:r>
            <w:r>
              <w:rPr>
                <w:sz w:val="16"/>
                <w:szCs w:val="16"/>
              </w:rPr>
              <w:t>***</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.999</w:t>
            </w:r>
            <w:r>
              <w:rPr>
                <w:sz w:val="16"/>
                <w:szCs w:val="16"/>
              </w:rPr>
              <w:t>7</w:t>
            </w:r>
          </w:p>
        </w:tc>
        <w:tc>
          <w:tcPr>
            <w:tcW w:w="898" w:type="dxa"/>
          </w:tcPr>
          <w:p w:rsidR="00B97965" w:rsidRPr="00126EF4" w:rsidRDefault="00B97965" w:rsidP="00B97965">
            <w:pPr>
              <w:pStyle w:val="ListParagraph1"/>
              <w:rPr>
                <w:sz w:val="16"/>
                <w:szCs w:val="16"/>
              </w:rPr>
            </w:pPr>
            <w:r w:rsidRPr="002A0178">
              <w:rPr>
                <w:sz w:val="16"/>
                <w:szCs w:val="16"/>
              </w:rPr>
              <w:t>1.03</w:t>
            </w:r>
            <w:r>
              <w:rPr>
                <w:sz w:val="16"/>
                <w:szCs w:val="16"/>
              </w:rPr>
              <w:t>40***</w:t>
            </w:r>
          </w:p>
        </w:tc>
        <w:tc>
          <w:tcPr>
            <w:tcW w:w="898" w:type="dxa"/>
          </w:tcPr>
          <w:p w:rsidR="00B97965" w:rsidRPr="00126EF4" w:rsidRDefault="00B97965" w:rsidP="00B97965">
            <w:pPr>
              <w:pStyle w:val="ListParagraph1"/>
              <w:rPr>
                <w:sz w:val="16"/>
                <w:szCs w:val="16"/>
              </w:rPr>
            </w:pPr>
            <w:r w:rsidRPr="002A0178">
              <w:rPr>
                <w:sz w:val="16"/>
                <w:szCs w:val="16"/>
              </w:rPr>
              <w:t>1.0237</w:t>
            </w:r>
            <w:r>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.9621</w:t>
            </w:r>
            <w:r>
              <w:rPr>
                <w:sz w:val="16"/>
                <w:szCs w:val="16"/>
              </w:rPr>
              <w:t>**</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Past smoker at baseline</w:t>
            </w:r>
          </w:p>
        </w:tc>
        <w:tc>
          <w:tcPr>
            <w:tcW w:w="897" w:type="dxa"/>
          </w:tcPr>
          <w:p w:rsidR="00B97965" w:rsidRPr="00126EF4" w:rsidRDefault="00B97965" w:rsidP="00B97965">
            <w:pPr>
              <w:pStyle w:val="ListParagraph1"/>
              <w:rPr>
                <w:sz w:val="16"/>
                <w:szCs w:val="16"/>
              </w:rPr>
            </w:pPr>
            <w:r w:rsidRPr="00126EF4">
              <w:rPr>
                <w:sz w:val="16"/>
                <w:szCs w:val="16"/>
              </w:rPr>
              <w:t>1.6302***</w:t>
            </w:r>
          </w:p>
        </w:tc>
        <w:tc>
          <w:tcPr>
            <w:tcW w:w="898" w:type="dxa"/>
          </w:tcPr>
          <w:p w:rsidR="00B97965" w:rsidRPr="00126EF4" w:rsidRDefault="00B97965" w:rsidP="00B97965">
            <w:pPr>
              <w:pStyle w:val="ListParagraph1"/>
              <w:rPr>
                <w:sz w:val="16"/>
                <w:szCs w:val="16"/>
              </w:rPr>
            </w:pPr>
            <w:r w:rsidRPr="00126EF4">
              <w:rPr>
                <w:sz w:val="16"/>
                <w:szCs w:val="16"/>
              </w:rPr>
              <w:t xml:space="preserve">1.0175 </w:t>
            </w:r>
          </w:p>
        </w:tc>
        <w:tc>
          <w:tcPr>
            <w:tcW w:w="898" w:type="dxa"/>
          </w:tcPr>
          <w:p w:rsidR="00B97965" w:rsidRPr="00126EF4" w:rsidRDefault="00B97965" w:rsidP="00B97965">
            <w:pPr>
              <w:pStyle w:val="ListParagraph1"/>
              <w:rPr>
                <w:sz w:val="16"/>
                <w:szCs w:val="16"/>
              </w:rPr>
            </w:pPr>
            <w:r w:rsidRPr="00126EF4">
              <w:rPr>
                <w:sz w:val="16"/>
                <w:szCs w:val="16"/>
              </w:rPr>
              <w:t>1.0812</w:t>
            </w:r>
          </w:p>
        </w:tc>
        <w:tc>
          <w:tcPr>
            <w:tcW w:w="898" w:type="dxa"/>
          </w:tcPr>
          <w:p w:rsidR="00B97965" w:rsidRPr="00126EF4" w:rsidRDefault="00B97965" w:rsidP="00B97965">
            <w:pPr>
              <w:pStyle w:val="ListParagraph1"/>
              <w:rPr>
                <w:sz w:val="16"/>
                <w:szCs w:val="16"/>
              </w:rPr>
            </w:pPr>
            <w:r w:rsidRPr="00126EF4">
              <w:rPr>
                <w:sz w:val="16"/>
                <w:szCs w:val="16"/>
              </w:rPr>
              <w:t>1.2071</w:t>
            </w:r>
          </w:p>
        </w:tc>
        <w:tc>
          <w:tcPr>
            <w:tcW w:w="897" w:type="dxa"/>
          </w:tcPr>
          <w:p w:rsidR="00B97965" w:rsidRPr="00126EF4" w:rsidRDefault="00B97965" w:rsidP="00B97965">
            <w:pPr>
              <w:pStyle w:val="ListParagraph1"/>
              <w:rPr>
                <w:sz w:val="16"/>
                <w:szCs w:val="16"/>
              </w:rPr>
            </w:pPr>
            <w:r w:rsidRPr="00126EF4">
              <w:rPr>
                <w:sz w:val="16"/>
                <w:szCs w:val="16"/>
              </w:rPr>
              <w:t>0.9877</w:t>
            </w:r>
          </w:p>
        </w:tc>
        <w:tc>
          <w:tcPr>
            <w:tcW w:w="898" w:type="dxa"/>
          </w:tcPr>
          <w:p w:rsidR="00B97965" w:rsidRPr="00126EF4" w:rsidRDefault="00B97965" w:rsidP="00B97965">
            <w:pPr>
              <w:pStyle w:val="ListParagraph1"/>
              <w:rPr>
                <w:sz w:val="16"/>
                <w:szCs w:val="16"/>
              </w:rPr>
            </w:pPr>
            <w:r w:rsidRPr="00126EF4">
              <w:rPr>
                <w:sz w:val="16"/>
                <w:szCs w:val="16"/>
              </w:rPr>
              <w:t>2.1376***</w:t>
            </w:r>
          </w:p>
        </w:tc>
        <w:tc>
          <w:tcPr>
            <w:tcW w:w="898" w:type="dxa"/>
          </w:tcPr>
          <w:p w:rsidR="00B97965" w:rsidRPr="00126EF4" w:rsidRDefault="00B97965" w:rsidP="00B97965">
            <w:pPr>
              <w:pStyle w:val="ListParagraph1"/>
              <w:rPr>
                <w:sz w:val="16"/>
                <w:szCs w:val="16"/>
              </w:rPr>
            </w:pPr>
            <w:r w:rsidRPr="00126EF4">
              <w:rPr>
                <w:sz w:val="16"/>
                <w:szCs w:val="16"/>
              </w:rPr>
              <w:t>1.2516</w:t>
            </w:r>
          </w:p>
        </w:tc>
        <w:tc>
          <w:tcPr>
            <w:tcW w:w="898" w:type="dxa"/>
          </w:tcPr>
          <w:p w:rsidR="00B97965" w:rsidRPr="00126EF4" w:rsidRDefault="00B97965" w:rsidP="00B97965">
            <w:pPr>
              <w:pStyle w:val="ListParagraph1"/>
              <w:rPr>
                <w:sz w:val="16"/>
                <w:szCs w:val="16"/>
              </w:rPr>
            </w:pPr>
            <w:r w:rsidRPr="00126EF4">
              <w:rPr>
                <w:sz w:val="16"/>
                <w:szCs w:val="16"/>
              </w:rPr>
              <w:t>1.277</w:t>
            </w:r>
            <w:r>
              <w:rPr>
                <w:sz w:val="16"/>
                <w:szCs w:val="16"/>
              </w:rPr>
              <w:t>3*</w:t>
            </w:r>
          </w:p>
        </w:tc>
        <w:tc>
          <w:tcPr>
            <w:tcW w:w="897" w:type="dxa"/>
          </w:tcPr>
          <w:p w:rsidR="00B97965" w:rsidRPr="00126EF4" w:rsidRDefault="00B97965" w:rsidP="00B97965">
            <w:pPr>
              <w:pStyle w:val="ListParagraph1"/>
              <w:rPr>
                <w:sz w:val="16"/>
                <w:szCs w:val="16"/>
              </w:rPr>
            </w:pPr>
            <w:r w:rsidRPr="002A0178">
              <w:rPr>
                <w:sz w:val="16"/>
                <w:szCs w:val="16"/>
              </w:rPr>
              <w:t>3.2611</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1.0339</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1.0523</w:t>
            </w:r>
          </w:p>
        </w:tc>
        <w:tc>
          <w:tcPr>
            <w:tcW w:w="898" w:type="dxa"/>
          </w:tcPr>
          <w:p w:rsidR="00B97965" w:rsidRPr="00126EF4" w:rsidRDefault="00B97965" w:rsidP="00B97965">
            <w:pPr>
              <w:pStyle w:val="ListParagraph1"/>
              <w:rPr>
                <w:sz w:val="16"/>
                <w:szCs w:val="16"/>
              </w:rPr>
            </w:pPr>
            <w:r w:rsidRPr="00ED0E4B">
              <w:rPr>
                <w:sz w:val="16"/>
                <w:szCs w:val="16"/>
              </w:rPr>
              <w:t>1.7742</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Cholesterol at last visit</w:t>
            </w:r>
          </w:p>
        </w:tc>
        <w:tc>
          <w:tcPr>
            <w:tcW w:w="897" w:type="dxa"/>
          </w:tcPr>
          <w:p w:rsidR="00B97965" w:rsidRPr="00126EF4" w:rsidRDefault="00B97965" w:rsidP="00B97965">
            <w:pPr>
              <w:pStyle w:val="ListParagraph1"/>
              <w:rPr>
                <w:sz w:val="16"/>
                <w:szCs w:val="16"/>
              </w:rPr>
            </w:pPr>
            <w:r w:rsidRPr="00126EF4">
              <w:rPr>
                <w:sz w:val="16"/>
                <w:szCs w:val="16"/>
              </w:rPr>
              <w:t>1.0055***</w:t>
            </w:r>
          </w:p>
        </w:tc>
        <w:tc>
          <w:tcPr>
            <w:tcW w:w="898" w:type="dxa"/>
          </w:tcPr>
          <w:p w:rsidR="00B97965" w:rsidRPr="00126EF4" w:rsidRDefault="00B97965" w:rsidP="00B97965">
            <w:pPr>
              <w:pStyle w:val="ListParagraph1"/>
              <w:rPr>
                <w:sz w:val="16"/>
                <w:szCs w:val="16"/>
              </w:rPr>
            </w:pPr>
            <w:r w:rsidRPr="00126EF4">
              <w:rPr>
                <w:sz w:val="16"/>
                <w:szCs w:val="16"/>
              </w:rPr>
              <w:t>1.0072***</w:t>
            </w:r>
          </w:p>
        </w:tc>
        <w:tc>
          <w:tcPr>
            <w:tcW w:w="898" w:type="dxa"/>
          </w:tcPr>
          <w:p w:rsidR="00B97965" w:rsidRPr="00126EF4" w:rsidRDefault="00B97965" w:rsidP="00B97965">
            <w:pPr>
              <w:pStyle w:val="ListParagraph1"/>
              <w:rPr>
                <w:sz w:val="16"/>
                <w:szCs w:val="16"/>
              </w:rPr>
            </w:pPr>
            <w:r w:rsidRPr="00126EF4">
              <w:rPr>
                <w:sz w:val="16"/>
                <w:szCs w:val="16"/>
              </w:rPr>
              <w:t>1.0033***</w:t>
            </w:r>
          </w:p>
        </w:tc>
        <w:tc>
          <w:tcPr>
            <w:tcW w:w="898" w:type="dxa"/>
          </w:tcPr>
          <w:p w:rsidR="00B97965" w:rsidRPr="00126EF4" w:rsidRDefault="00B97965" w:rsidP="00B97965">
            <w:pPr>
              <w:pStyle w:val="ListParagraph1"/>
              <w:rPr>
                <w:sz w:val="16"/>
                <w:szCs w:val="16"/>
              </w:rPr>
            </w:pPr>
            <w:r w:rsidRPr="00126EF4">
              <w:rPr>
                <w:sz w:val="16"/>
                <w:szCs w:val="16"/>
              </w:rPr>
              <w:t>1.3344***</w:t>
            </w:r>
          </w:p>
        </w:tc>
        <w:tc>
          <w:tcPr>
            <w:tcW w:w="897" w:type="dxa"/>
          </w:tcPr>
          <w:p w:rsidR="00B97965" w:rsidRPr="00126EF4" w:rsidRDefault="00B97965" w:rsidP="00B97965">
            <w:pPr>
              <w:pStyle w:val="ListParagraph1"/>
              <w:rPr>
                <w:sz w:val="16"/>
                <w:szCs w:val="16"/>
              </w:rPr>
            </w:pPr>
            <w:r w:rsidRPr="00126EF4">
              <w:rPr>
                <w:sz w:val="16"/>
                <w:szCs w:val="16"/>
              </w:rPr>
              <w:t>1.0005</w:t>
            </w:r>
          </w:p>
        </w:tc>
        <w:tc>
          <w:tcPr>
            <w:tcW w:w="898" w:type="dxa"/>
          </w:tcPr>
          <w:p w:rsidR="00B97965" w:rsidRPr="00126EF4" w:rsidRDefault="00B97965" w:rsidP="00B97965">
            <w:pPr>
              <w:pStyle w:val="ListParagraph1"/>
              <w:rPr>
                <w:sz w:val="16"/>
                <w:szCs w:val="16"/>
              </w:rPr>
            </w:pPr>
            <w:r w:rsidRPr="00126EF4">
              <w:rPr>
                <w:sz w:val="16"/>
                <w:szCs w:val="16"/>
              </w:rPr>
              <w:t>1.0058***</w:t>
            </w:r>
          </w:p>
        </w:tc>
        <w:tc>
          <w:tcPr>
            <w:tcW w:w="898" w:type="dxa"/>
          </w:tcPr>
          <w:p w:rsidR="00B97965" w:rsidRPr="00126EF4" w:rsidRDefault="00B97965" w:rsidP="00B97965">
            <w:pPr>
              <w:pStyle w:val="ListParagraph1"/>
              <w:rPr>
                <w:sz w:val="16"/>
                <w:szCs w:val="16"/>
              </w:rPr>
            </w:pPr>
            <w:r w:rsidRPr="00126EF4">
              <w:rPr>
                <w:sz w:val="16"/>
                <w:szCs w:val="16"/>
              </w:rPr>
              <w:t>1.0005</w:t>
            </w:r>
          </w:p>
        </w:tc>
        <w:tc>
          <w:tcPr>
            <w:tcW w:w="898" w:type="dxa"/>
          </w:tcPr>
          <w:p w:rsidR="00B97965" w:rsidRPr="00126EF4" w:rsidRDefault="00B97965" w:rsidP="00B97965">
            <w:pPr>
              <w:pStyle w:val="ListParagraph1"/>
              <w:rPr>
                <w:sz w:val="16"/>
                <w:szCs w:val="16"/>
              </w:rPr>
            </w:pPr>
            <w:r w:rsidRPr="00126EF4">
              <w:rPr>
                <w:sz w:val="16"/>
                <w:szCs w:val="16"/>
              </w:rPr>
              <w:t>1.0035</w:t>
            </w:r>
            <w:r>
              <w:rPr>
                <w:sz w:val="16"/>
                <w:szCs w:val="16"/>
              </w:rPr>
              <w:t>***</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.9990</w:t>
            </w:r>
          </w:p>
        </w:tc>
        <w:tc>
          <w:tcPr>
            <w:tcW w:w="898" w:type="dxa"/>
          </w:tcPr>
          <w:p w:rsidR="00B97965" w:rsidRPr="00126EF4" w:rsidRDefault="00B97965" w:rsidP="00B97965">
            <w:pPr>
              <w:pStyle w:val="ListParagraph1"/>
              <w:rPr>
                <w:sz w:val="16"/>
                <w:szCs w:val="16"/>
              </w:rPr>
            </w:pPr>
            <w:r w:rsidRPr="002A0178">
              <w:rPr>
                <w:sz w:val="16"/>
                <w:szCs w:val="16"/>
              </w:rPr>
              <w:t>1.0060</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1.5200</w:t>
            </w:r>
            <w:r>
              <w:rPr>
                <w:sz w:val="16"/>
                <w:szCs w:val="16"/>
              </w:rPr>
              <w:t>**</w:t>
            </w:r>
          </w:p>
        </w:tc>
        <w:tc>
          <w:tcPr>
            <w:tcW w:w="898" w:type="dxa"/>
          </w:tcPr>
          <w:p w:rsidR="00B97965" w:rsidRPr="00126EF4" w:rsidRDefault="00B97965" w:rsidP="00B97965">
            <w:pPr>
              <w:pStyle w:val="ListParagraph1"/>
              <w:rPr>
                <w:sz w:val="16"/>
                <w:szCs w:val="16"/>
              </w:rPr>
            </w:pPr>
            <w:r w:rsidRPr="00ED0E4B">
              <w:rPr>
                <w:sz w:val="16"/>
                <w:szCs w:val="16"/>
              </w:rPr>
              <w:t>1.00</w:t>
            </w:r>
            <w:r>
              <w:rPr>
                <w:sz w:val="16"/>
                <w:szCs w:val="16"/>
              </w:rPr>
              <w:t>70***</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Hypertension at last visit</w:t>
            </w:r>
          </w:p>
        </w:tc>
        <w:tc>
          <w:tcPr>
            <w:tcW w:w="897" w:type="dxa"/>
          </w:tcPr>
          <w:p w:rsidR="00B97965" w:rsidRPr="00126EF4" w:rsidRDefault="00B97965" w:rsidP="00B97965">
            <w:pPr>
              <w:pStyle w:val="ListParagraph1"/>
              <w:rPr>
                <w:sz w:val="16"/>
                <w:szCs w:val="16"/>
              </w:rPr>
            </w:pPr>
            <w:r w:rsidRPr="00126EF4">
              <w:rPr>
                <w:sz w:val="16"/>
                <w:szCs w:val="16"/>
              </w:rPr>
              <w:t>3.1118***</w:t>
            </w:r>
          </w:p>
        </w:tc>
        <w:tc>
          <w:tcPr>
            <w:tcW w:w="898" w:type="dxa"/>
          </w:tcPr>
          <w:p w:rsidR="00B97965" w:rsidRPr="00126EF4" w:rsidRDefault="00B97965" w:rsidP="00B97965">
            <w:pPr>
              <w:pStyle w:val="ListParagraph1"/>
              <w:rPr>
                <w:sz w:val="16"/>
                <w:szCs w:val="16"/>
              </w:rPr>
            </w:pPr>
            <w:r w:rsidRPr="00126EF4">
              <w:rPr>
                <w:sz w:val="16"/>
                <w:szCs w:val="16"/>
              </w:rPr>
              <w:t>2.6810***</w:t>
            </w:r>
          </w:p>
        </w:tc>
        <w:tc>
          <w:tcPr>
            <w:tcW w:w="898" w:type="dxa"/>
          </w:tcPr>
          <w:p w:rsidR="00B97965" w:rsidRPr="00126EF4" w:rsidRDefault="00B97965" w:rsidP="00B97965">
            <w:pPr>
              <w:pStyle w:val="ListParagraph1"/>
              <w:rPr>
                <w:sz w:val="16"/>
                <w:szCs w:val="16"/>
              </w:rPr>
            </w:pPr>
            <w:r w:rsidRPr="00126EF4">
              <w:rPr>
                <w:sz w:val="16"/>
                <w:szCs w:val="16"/>
              </w:rPr>
              <w:t>1.4597***</w:t>
            </w:r>
          </w:p>
        </w:tc>
        <w:tc>
          <w:tcPr>
            <w:tcW w:w="898" w:type="dxa"/>
          </w:tcPr>
          <w:p w:rsidR="00B97965" w:rsidRPr="00126EF4" w:rsidRDefault="00B97965" w:rsidP="00B97965">
            <w:pPr>
              <w:pStyle w:val="ListParagraph1"/>
              <w:rPr>
                <w:sz w:val="16"/>
                <w:szCs w:val="16"/>
              </w:rPr>
            </w:pPr>
            <w:r w:rsidRPr="00126EF4">
              <w:rPr>
                <w:sz w:val="16"/>
                <w:szCs w:val="16"/>
              </w:rPr>
              <w:t>2.2090***</w:t>
            </w:r>
          </w:p>
        </w:tc>
        <w:tc>
          <w:tcPr>
            <w:tcW w:w="897" w:type="dxa"/>
          </w:tcPr>
          <w:p w:rsidR="00B97965" w:rsidRPr="00126EF4" w:rsidRDefault="00B97965" w:rsidP="00B97965">
            <w:pPr>
              <w:pStyle w:val="ListParagraph1"/>
              <w:rPr>
                <w:sz w:val="16"/>
                <w:szCs w:val="16"/>
              </w:rPr>
            </w:pPr>
            <w:r w:rsidRPr="00126EF4">
              <w:rPr>
                <w:sz w:val="16"/>
                <w:szCs w:val="16"/>
              </w:rPr>
              <w:t>1.3240*</w:t>
            </w:r>
          </w:p>
        </w:tc>
        <w:tc>
          <w:tcPr>
            <w:tcW w:w="898" w:type="dxa"/>
          </w:tcPr>
          <w:p w:rsidR="00B97965" w:rsidRPr="00126EF4" w:rsidRDefault="00B97965" w:rsidP="00B97965">
            <w:pPr>
              <w:pStyle w:val="ListParagraph1"/>
              <w:rPr>
                <w:sz w:val="16"/>
                <w:szCs w:val="16"/>
              </w:rPr>
            </w:pPr>
            <w:r w:rsidRPr="00126EF4">
              <w:rPr>
                <w:sz w:val="16"/>
                <w:szCs w:val="16"/>
              </w:rPr>
              <w:t>2.7058***</w:t>
            </w:r>
          </w:p>
        </w:tc>
        <w:tc>
          <w:tcPr>
            <w:tcW w:w="898" w:type="dxa"/>
          </w:tcPr>
          <w:p w:rsidR="00B97965" w:rsidRPr="00126EF4" w:rsidRDefault="00B97965" w:rsidP="00B97965">
            <w:pPr>
              <w:pStyle w:val="ListParagraph1"/>
              <w:rPr>
                <w:sz w:val="16"/>
                <w:szCs w:val="16"/>
              </w:rPr>
            </w:pPr>
            <w:r w:rsidRPr="00126EF4">
              <w:rPr>
                <w:sz w:val="16"/>
                <w:szCs w:val="16"/>
              </w:rPr>
              <w:t>1.2424</w:t>
            </w:r>
          </w:p>
        </w:tc>
        <w:tc>
          <w:tcPr>
            <w:tcW w:w="898" w:type="dxa"/>
          </w:tcPr>
          <w:p w:rsidR="00B97965" w:rsidRPr="00126EF4" w:rsidRDefault="00B97965" w:rsidP="00B97965">
            <w:pPr>
              <w:pStyle w:val="ListParagraph1"/>
              <w:rPr>
                <w:sz w:val="16"/>
                <w:szCs w:val="16"/>
              </w:rPr>
            </w:pPr>
            <w:r w:rsidRPr="00126EF4">
              <w:rPr>
                <w:sz w:val="16"/>
                <w:szCs w:val="16"/>
              </w:rPr>
              <w:t>2.2105</w:t>
            </w:r>
            <w:r>
              <w:rPr>
                <w:sz w:val="16"/>
                <w:szCs w:val="16"/>
              </w:rPr>
              <w:t>***</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.7864</w:t>
            </w:r>
          </w:p>
        </w:tc>
        <w:tc>
          <w:tcPr>
            <w:tcW w:w="898" w:type="dxa"/>
          </w:tcPr>
          <w:p w:rsidR="00B97965" w:rsidRPr="00126EF4" w:rsidRDefault="00B97965" w:rsidP="00B97965">
            <w:pPr>
              <w:pStyle w:val="ListParagraph1"/>
              <w:rPr>
                <w:sz w:val="16"/>
                <w:szCs w:val="16"/>
              </w:rPr>
            </w:pPr>
            <w:r w:rsidRPr="002A0178">
              <w:rPr>
                <w:sz w:val="16"/>
                <w:szCs w:val="16"/>
              </w:rPr>
              <w:t>1.9494</w:t>
            </w:r>
            <w:r>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.992</w:t>
            </w:r>
            <w:r>
              <w:rPr>
                <w:sz w:val="16"/>
                <w:szCs w:val="16"/>
              </w:rPr>
              <w:t>8***</w:t>
            </w:r>
          </w:p>
        </w:tc>
        <w:tc>
          <w:tcPr>
            <w:tcW w:w="898" w:type="dxa"/>
          </w:tcPr>
          <w:p w:rsidR="00B97965" w:rsidRPr="00126EF4" w:rsidRDefault="00B97965" w:rsidP="00B97965">
            <w:pPr>
              <w:pStyle w:val="ListParagraph1"/>
              <w:rPr>
                <w:sz w:val="16"/>
                <w:szCs w:val="16"/>
              </w:rPr>
            </w:pPr>
            <w:r w:rsidRPr="00ED0E4B">
              <w:rPr>
                <w:sz w:val="16"/>
                <w:szCs w:val="16"/>
              </w:rPr>
              <w:t>1.767</w:t>
            </w:r>
            <w:r>
              <w:rPr>
                <w:sz w:val="16"/>
                <w:szCs w:val="16"/>
              </w:rPr>
              <w:t>9</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Obese at baseline</w:t>
            </w:r>
          </w:p>
        </w:tc>
        <w:tc>
          <w:tcPr>
            <w:tcW w:w="897" w:type="dxa"/>
          </w:tcPr>
          <w:p w:rsidR="00B97965" w:rsidRPr="00126EF4" w:rsidRDefault="00B97965" w:rsidP="00B97965">
            <w:pPr>
              <w:pStyle w:val="ListParagraph1"/>
              <w:rPr>
                <w:sz w:val="16"/>
                <w:szCs w:val="16"/>
              </w:rPr>
            </w:pPr>
            <w:r w:rsidRPr="00126EF4">
              <w:rPr>
                <w:sz w:val="16"/>
                <w:szCs w:val="16"/>
              </w:rPr>
              <w:t>1.4366**</w:t>
            </w:r>
          </w:p>
        </w:tc>
        <w:tc>
          <w:tcPr>
            <w:tcW w:w="898" w:type="dxa"/>
          </w:tcPr>
          <w:p w:rsidR="00B97965" w:rsidRPr="00126EF4" w:rsidRDefault="00B97965" w:rsidP="00B97965">
            <w:pPr>
              <w:pStyle w:val="ListParagraph1"/>
              <w:rPr>
                <w:sz w:val="16"/>
                <w:szCs w:val="16"/>
              </w:rPr>
            </w:pPr>
            <w:r w:rsidRPr="00126EF4">
              <w:rPr>
                <w:sz w:val="16"/>
                <w:szCs w:val="16"/>
              </w:rPr>
              <w:t>1.2686</w:t>
            </w:r>
          </w:p>
        </w:tc>
        <w:tc>
          <w:tcPr>
            <w:tcW w:w="898" w:type="dxa"/>
          </w:tcPr>
          <w:p w:rsidR="00B97965" w:rsidRPr="00126EF4" w:rsidRDefault="00B97965" w:rsidP="00B97965">
            <w:pPr>
              <w:pStyle w:val="ListParagraph1"/>
              <w:rPr>
                <w:sz w:val="16"/>
                <w:szCs w:val="16"/>
              </w:rPr>
            </w:pPr>
            <w:r w:rsidRPr="00126EF4">
              <w:rPr>
                <w:sz w:val="16"/>
                <w:szCs w:val="16"/>
              </w:rPr>
              <w:t>1.32340**</w:t>
            </w:r>
          </w:p>
        </w:tc>
        <w:tc>
          <w:tcPr>
            <w:tcW w:w="898" w:type="dxa"/>
          </w:tcPr>
          <w:p w:rsidR="00B97965" w:rsidRPr="00126EF4" w:rsidRDefault="00B97965" w:rsidP="00B97965">
            <w:pPr>
              <w:pStyle w:val="ListParagraph1"/>
              <w:rPr>
                <w:sz w:val="16"/>
                <w:szCs w:val="16"/>
              </w:rPr>
            </w:pPr>
            <w:r w:rsidRPr="00126EF4">
              <w:rPr>
                <w:sz w:val="16"/>
                <w:szCs w:val="16"/>
              </w:rPr>
              <w:t>0.8760**</w:t>
            </w:r>
          </w:p>
        </w:tc>
        <w:tc>
          <w:tcPr>
            <w:tcW w:w="897" w:type="dxa"/>
          </w:tcPr>
          <w:p w:rsidR="00B97965" w:rsidRPr="00126EF4" w:rsidRDefault="00B97965" w:rsidP="00B97965">
            <w:pPr>
              <w:pStyle w:val="ListParagraph1"/>
              <w:rPr>
                <w:sz w:val="16"/>
                <w:szCs w:val="16"/>
              </w:rPr>
            </w:pPr>
            <w:r w:rsidRPr="00126EF4">
              <w:rPr>
                <w:sz w:val="16"/>
                <w:szCs w:val="16"/>
              </w:rPr>
              <w:t>1.3032</w:t>
            </w:r>
          </w:p>
        </w:tc>
        <w:tc>
          <w:tcPr>
            <w:tcW w:w="898" w:type="dxa"/>
          </w:tcPr>
          <w:p w:rsidR="00B97965" w:rsidRPr="00126EF4" w:rsidRDefault="00B97965" w:rsidP="00B97965">
            <w:pPr>
              <w:pStyle w:val="ListParagraph1"/>
              <w:rPr>
                <w:sz w:val="16"/>
                <w:szCs w:val="16"/>
              </w:rPr>
            </w:pPr>
            <w:r w:rsidRPr="00126EF4">
              <w:rPr>
                <w:sz w:val="16"/>
                <w:szCs w:val="16"/>
              </w:rPr>
              <w:t>0.8896</w:t>
            </w:r>
          </w:p>
        </w:tc>
        <w:tc>
          <w:tcPr>
            <w:tcW w:w="898" w:type="dxa"/>
          </w:tcPr>
          <w:p w:rsidR="00B97965" w:rsidRPr="00126EF4" w:rsidRDefault="00B97965" w:rsidP="00B97965">
            <w:pPr>
              <w:pStyle w:val="ListParagraph1"/>
              <w:rPr>
                <w:sz w:val="16"/>
                <w:szCs w:val="16"/>
              </w:rPr>
            </w:pPr>
            <w:r w:rsidRPr="00126EF4">
              <w:rPr>
                <w:sz w:val="16"/>
                <w:szCs w:val="16"/>
              </w:rPr>
              <w:t>1.1593</w:t>
            </w:r>
          </w:p>
        </w:tc>
        <w:tc>
          <w:tcPr>
            <w:tcW w:w="898" w:type="dxa"/>
          </w:tcPr>
          <w:p w:rsidR="00B97965" w:rsidRPr="00126EF4" w:rsidRDefault="00B97965" w:rsidP="00B97965">
            <w:pPr>
              <w:pStyle w:val="ListParagraph1"/>
              <w:rPr>
                <w:sz w:val="16"/>
                <w:szCs w:val="16"/>
              </w:rPr>
            </w:pPr>
            <w:r w:rsidRPr="00126EF4">
              <w:rPr>
                <w:sz w:val="16"/>
                <w:szCs w:val="16"/>
              </w:rPr>
              <w:t>1.2956</w:t>
            </w:r>
            <w:r>
              <w:rPr>
                <w:sz w:val="16"/>
                <w:szCs w:val="16"/>
              </w:rPr>
              <w:t>*</w:t>
            </w:r>
          </w:p>
        </w:tc>
        <w:tc>
          <w:tcPr>
            <w:tcW w:w="897" w:type="dxa"/>
          </w:tcPr>
          <w:p w:rsidR="00B97965" w:rsidRPr="00126EF4" w:rsidRDefault="00B97965" w:rsidP="00B97965">
            <w:pPr>
              <w:pStyle w:val="ListParagraph1"/>
              <w:rPr>
                <w:sz w:val="16"/>
                <w:szCs w:val="16"/>
              </w:rPr>
            </w:pPr>
            <w:r w:rsidRPr="002A0178">
              <w:rPr>
                <w:sz w:val="16"/>
                <w:szCs w:val="16"/>
              </w:rPr>
              <w:t>1.204</w:t>
            </w:r>
            <w:r>
              <w:rPr>
                <w:sz w:val="16"/>
                <w:szCs w:val="16"/>
              </w:rPr>
              <w:t>2</w:t>
            </w:r>
          </w:p>
        </w:tc>
        <w:tc>
          <w:tcPr>
            <w:tcW w:w="898" w:type="dxa"/>
          </w:tcPr>
          <w:p w:rsidR="00B97965" w:rsidRPr="00126EF4" w:rsidRDefault="00B97965" w:rsidP="00B97965">
            <w:pPr>
              <w:pStyle w:val="ListParagraph1"/>
              <w:rPr>
                <w:sz w:val="16"/>
                <w:szCs w:val="16"/>
              </w:rPr>
            </w:pPr>
            <w:r w:rsidRPr="002A0178">
              <w:rPr>
                <w:sz w:val="16"/>
                <w:szCs w:val="16"/>
              </w:rPr>
              <w:t>1.7280</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1.279</w:t>
            </w:r>
            <w:r>
              <w:rPr>
                <w:sz w:val="16"/>
                <w:szCs w:val="16"/>
              </w:rPr>
              <w:t>6</w:t>
            </w:r>
          </w:p>
        </w:tc>
        <w:tc>
          <w:tcPr>
            <w:tcW w:w="898" w:type="dxa"/>
          </w:tcPr>
          <w:p w:rsidR="00B97965" w:rsidRPr="00126EF4" w:rsidRDefault="00B97965" w:rsidP="00B97965">
            <w:pPr>
              <w:pStyle w:val="ListParagraph1"/>
              <w:rPr>
                <w:sz w:val="16"/>
                <w:szCs w:val="16"/>
              </w:rPr>
            </w:pPr>
            <w:r w:rsidRPr="00ED0E4B">
              <w:rPr>
                <w:sz w:val="16"/>
                <w:szCs w:val="16"/>
              </w:rPr>
              <w:t>1.05</w:t>
            </w:r>
            <w:r>
              <w:rPr>
                <w:sz w:val="16"/>
                <w:szCs w:val="16"/>
              </w:rPr>
              <w:t>60</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Anticardiolipid antibody positive at last visit</w:t>
            </w:r>
          </w:p>
        </w:tc>
        <w:tc>
          <w:tcPr>
            <w:tcW w:w="897" w:type="dxa"/>
          </w:tcPr>
          <w:p w:rsidR="00B97965" w:rsidRPr="00126EF4" w:rsidRDefault="00B97965" w:rsidP="00B97965">
            <w:pPr>
              <w:pStyle w:val="ListParagraph1"/>
              <w:rPr>
                <w:sz w:val="16"/>
                <w:szCs w:val="16"/>
              </w:rPr>
            </w:pPr>
            <w:r w:rsidRPr="00126EF4">
              <w:rPr>
                <w:sz w:val="16"/>
                <w:szCs w:val="16"/>
              </w:rPr>
              <w:t>0.8497</w:t>
            </w:r>
          </w:p>
        </w:tc>
        <w:tc>
          <w:tcPr>
            <w:tcW w:w="898" w:type="dxa"/>
          </w:tcPr>
          <w:p w:rsidR="00B97965" w:rsidRPr="00126EF4" w:rsidRDefault="00B97965" w:rsidP="00B97965">
            <w:pPr>
              <w:pStyle w:val="ListParagraph1"/>
              <w:rPr>
                <w:sz w:val="16"/>
                <w:szCs w:val="16"/>
              </w:rPr>
            </w:pPr>
            <w:r w:rsidRPr="00126EF4">
              <w:rPr>
                <w:sz w:val="16"/>
                <w:szCs w:val="16"/>
              </w:rPr>
              <w:t>0.4553</w:t>
            </w:r>
          </w:p>
        </w:tc>
        <w:tc>
          <w:tcPr>
            <w:tcW w:w="898" w:type="dxa"/>
          </w:tcPr>
          <w:p w:rsidR="00B97965" w:rsidRPr="00126EF4" w:rsidRDefault="00B97965" w:rsidP="00B97965">
            <w:pPr>
              <w:pStyle w:val="ListParagraph1"/>
              <w:rPr>
                <w:sz w:val="16"/>
                <w:szCs w:val="16"/>
              </w:rPr>
            </w:pPr>
            <w:r w:rsidRPr="00126EF4">
              <w:rPr>
                <w:sz w:val="16"/>
                <w:szCs w:val="16"/>
              </w:rPr>
              <w:t>0.5487</w:t>
            </w:r>
          </w:p>
        </w:tc>
        <w:tc>
          <w:tcPr>
            <w:tcW w:w="898" w:type="dxa"/>
          </w:tcPr>
          <w:p w:rsidR="00B97965" w:rsidRPr="00126EF4" w:rsidRDefault="00B97965" w:rsidP="00B97965">
            <w:pPr>
              <w:pStyle w:val="ListParagraph1"/>
              <w:rPr>
                <w:sz w:val="16"/>
                <w:szCs w:val="16"/>
              </w:rPr>
            </w:pPr>
            <w:r w:rsidRPr="00126EF4">
              <w:rPr>
                <w:sz w:val="16"/>
                <w:szCs w:val="16"/>
              </w:rPr>
              <w:t>1.1161</w:t>
            </w:r>
          </w:p>
        </w:tc>
        <w:tc>
          <w:tcPr>
            <w:tcW w:w="897" w:type="dxa"/>
          </w:tcPr>
          <w:p w:rsidR="00B97965" w:rsidRPr="00126EF4" w:rsidRDefault="00B97965" w:rsidP="00B97965">
            <w:pPr>
              <w:pStyle w:val="ListParagraph1"/>
              <w:rPr>
                <w:sz w:val="16"/>
                <w:szCs w:val="16"/>
              </w:rPr>
            </w:pPr>
            <w:r w:rsidRPr="00126EF4">
              <w:rPr>
                <w:sz w:val="16"/>
                <w:szCs w:val="16"/>
              </w:rPr>
              <w:t>2.5759***</w:t>
            </w:r>
          </w:p>
        </w:tc>
        <w:tc>
          <w:tcPr>
            <w:tcW w:w="898" w:type="dxa"/>
          </w:tcPr>
          <w:p w:rsidR="00B97965" w:rsidRPr="00126EF4" w:rsidRDefault="00B97965" w:rsidP="00B97965">
            <w:pPr>
              <w:pStyle w:val="ListParagraph1"/>
              <w:rPr>
                <w:sz w:val="16"/>
                <w:szCs w:val="16"/>
              </w:rPr>
            </w:pPr>
            <w:r w:rsidRPr="00126EF4">
              <w:rPr>
                <w:sz w:val="16"/>
                <w:szCs w:val="16"/>
              </w:rPr>
              <w:t>1.8554</w:t>
            </w:r>
          </w:p>
        </w:tc>
        <w:tc>
          <w:tcPr>
            <w:tcW w:w="898" w:type="dxa"/>
          </w:tcPr>
          <w:p w:rsidR="00B97965" w:rsidRPr="00126EF4" w:rsidRDefault="00B97965" w:rsidP="00B97965">
            <w:pPr>
              <w:pStyle w:val="ListParagraph1"/>
              <w:rPr>
                <w:sz w:val="16"/>
                <w:szCs w:val="16"/>
              </w:rPr>
            </w:pPr>
            <w:r w:rsidRPr="00126EF4">
              <w:rPr>
                <w:sz w:val="16"/>
                <w:szCs w:val="16"/>
              </w:rPr>
              <w:t>0.7403</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.9901</w:t>
            </w:r>
          </w:p>
        </w:tc>
        <w:tc>
          <w:tcPr>
            <w:tcW w:w="897" w:type="dxa"/>
          </w:tcPr>
          <w:p w:rsidR="00B97965" w:rsidRPr="00126EF4" w:rsidRDefault="00B97965" w:rsidP="00B97965">
            <w:pPr>
              <w:pStyle w:val="ListParagraph1"/>
              <w:rPr>
                <w:sz w:val="16"/>
                <w:szCs w:val="16"/>
              </w:rPr>
            </w:pPr>
            <w:r>
              <w:rPr>
                <w:sz w:val="16"/>
                <w:szCs w:val="16"/>
              </w:rPr>
              <w:t>0.0000</w:t>
            </w:r>
          </w:p>
        </w:tc>
        <w:tc>
          <w:tcPr>
            <w:tcW w:w="898" w:type="dxa"/>
          </w:tcPr>
          <w:p w:rsidR="00B97965" w:rsidRPr="00126EF4" w:rsidRDefault="00B97965" w:rsidP="00B97965">
            <w:pPr>
              <w:pStyle w:val="ListParagraph1"/>
              <w:rPr>
                <w:sz w:val="16"/>
                <w:szCs w:val="16"/>
              </w:rPr>
            </w:pPr>
            <w:r w:rsidRPr="002A0178">
              <w:rPr>
                <w:sz w:val="16"/>
                <w:szCs w:val="16"/>
              </w:rPr>
              <w:t>1.0399</w:t>
            </w:r>
          </w:p>
        </w:tc>
        <w:tc>
          <w:tcPr>
            <w:tcW w:w="898" w:type="dxa"/>
          </w:tcPr>
          <w:p w:rsidR="00B97965" w:rsidRPr="00126EF4" w:rsidRDefault="00B97965" w:rsidP="00B97965">
            <w:pPr>
              <w:pStyle w:val="ListParagraph1"/>
              <w:rPr>
                <w:sz w:val="16"/>
                <w:szCs w:val="16"/>
              </w:rPr>
            </w:pPr>
            <w:r>
              <w:rPr>
                <w:sz w:val="16"/>
                <w:szCs w:val="16"/>
              </w:rPr>
              <w:t>0</w:t>
            </w:r>
            <w:r w:rsidRPr="00716D3A">
              <w:rPr>
                <w:sz w:val="16"/>
                <w:szCs w:val="16"/>
              </w:rPr>
              <w:t>.2698</w:t>
            </w:r>
          </w:p>
        </w:tc>
        <w:tc>
          <w:tcPr>
            <w:tcW w:w="898" w:type="dxa"/>
          </w:tcPr>
          <w:p w:rsidR="00B97965" w:rsidRPr="00126EF4" w:rsidRDefault="00B97965" w:rsidP="00B97965">
            <w:pPr>
              <w:pStyle w:val="ListParagraph1"/>
              <w:rPr>
                <w:sz w:val="16"/>
                <w:szCs w:val="16"/>
              </w:rPr>
            </w:pPr>
            <w:r>
              <w:rPr>
                <w:sz w:val="16"/>
                <w:szCs w:val="16"/>
              </w:rPr>
              <w:t>0.0000</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Lupus Anticoagulant positive at last visit</w:t>
            </w:r>
          </w:p>
        </w:tc>
        <w:tc>
          <w:tcPr>
            <w:tcW w:w="897" w:type="dxa"/>
          </w:tcPr>
          <w:p w:rsidR="00B97965" w:rsidRPr="00126EF4" w:rsidRDefault="00B97965" w:rsidP="00B97965">
            <w:pPr>
              <w:pStyle w:val="ListParagraph1"/>
              <w:rPr>
                <w:sz w:val="16"/>
                <w:szCs w:val="16"/>
              </w:rPr>
            </w:pPr>
            <w:r w:rsidRPr="00126EF4">
              <w:rPr>
                <w:sz w:val="16"/>
                <w:szCs w:val="16"/>
              </w:rPr>
              <w:t>1.3139</w:t>
            </w:r>
          </w:p>
        </w:tc>
        <w:tc>
          <w:tcPr>
            <w:tcW w:w="898" w:type="dxa"/>
          </w:tcPr>
          <w:p w:rsidR="00B97965" w:rsidRPr="00126EF4" w:rsidRDefault="00B97965" w:rsidP="00B97965">
            <w:pPr>
              <w:pStyle w:val="ListParagraph1"/>
              <w:rPr>
                <w:sz w:val="16"/>
                <w:szCs w:val="16"/>
              </w:rPr>
            </w:pPr>
            <w:r w:rsidRPr="00126EF4">
              <w:rPr>
                <w:sz w:val="16"/>
                <w:szCs w:val="16"/>
              </w:rPr>
              <w:t>0.5555</w:t>
            </w:r>
          </w:p>
        </w:tc>
        <w:tc>
          <w:tcPr>
            <w:tcW w:w="898" w:type="dxa"/>
          </w:tcPr>
          <w:p w:rsidR="00B97965" w:rsidRPr="00126EF4" w:rsidRDefault="00B97965" w:rsidP="00B97965">
            <w:pPr>
              <w:pStyle w:val="ListParagraph1"/>
              <w:rPr>
                <w:sz w:val="16"/>
                <w:szCs w:val="16"/>
              </w:rPr>
            </w:pPr>
            <w:r w:rsidRPr="00126EF4">
              <w:rPr>
                <w:sz w:val="16"/>
                <w:szCs w:val="16"/>
              </w:rPr>
              <w:t>0.8301</w:t>
            </w:r>
          </w:p>
        </w:tc>
        <w:tc>
          <w:tcPr>
            <w:tcW w:w="898" w:type="dxa"/>
          </w:tcPr>
          <w:p w:rsidR="00B97965" w:rsidRPr="00126EF4" w:rsidRDefault="00B97965" w:rsidP="00B97965">
            <w:pPr>
              <w:pStyle w:val="ListParagraph1"/>
              <w:rPr>
                <w:sz w:val="16"/>
                <w:szCs w:val="16"/>
              </w:rPr>
            </w:pPr>
            <w:r w:rsidRPr="00126EF4">
              <w:rPr>
                <w:sz w:val="16"/>
                <w:szCs w:val="16"/>
              </w:rPr>
              <w:t>1.0048</w:t>
            </w:r>
          </w:p>
        </w:tc>
        <w:tc>
          <w:tcPr>
            <w:tcW w:w="897" w:type="dxa"/>
          </w:tcPr>
          <w:p w:rsidR="00B97965" w:rsidRPr="00126EF4" w:rsidRDefault="00B97965" w:rsidP="00B97965">
            <w:pPr>
              <w:pStyle w:val="ListParagraph1"/>
              <w:rPr>
                <w:sz w:val="16"/>
                <w:szCs w:val="16"/>
              </w:rPr>
            </w:pPr>
            <w:r w:rsidRPr="00126EF4">
              <w:rPr>
                <w:sz w:val="16"/>
                <w:szCs w:val="16"/>
              </w:rPr>
              <w:t>1.2072</w:t>
            </w:r>
          </w:p>
        </w:tc>
        <w:tc>
          <w:tcPr>
            <w:tcW w:w="898" w:type="dxa"/>
          </w:tcPr>
          <w:p w:rsidR="00B97965" w:rsidRPr="00126EF4" w:rsidRDefault="00B97965" w:rsidP="00B97965">
            <w:pPr>
              <w:pStyle w:val="ListParagraph1"/>
              <w:rPr>
                <w:sz w:val="16"/>
                <w:szCs w:val="16"/>
              </w:rPr>
            </w:pPr>
            <w:r w:rsidRPr="00126EF4">
              <w:rPr>
                <w:sz w:val="16"/>
                <w:szCs w:val="16"/>
              </w:rPr>
              <w:t>2.3753**</w:t>
            </w:r>
          </w:p>
        </w:tc>
        <w:tc>
          <w:tcPr>
            <w:tcW w:w="898" w:type="dxa"/>
          </w:tcPr>
          <w:p w:rsidR="00B97965" w:rsidRPr="00126EF4" w:rsidRDefault="00B97965" w:rsidP="00B97965">
            <w:pPr>
              <w:pStyle w:val="ListParagraph1"/>
              <w:rPr>
                <w:sz w:val="16"/>
                <w:szCs w:val="16"/>
              </w:rPr>
            </w:pPr>
            <w:r w:rsidRPr="00126EF4">
              <w:rPr>
                <w:sz w:val="16"/>
                <w:szCs w:val="16"/>
              </w:rPr>
              <w:t>0.8059</w:t>
            </w:r>
          </w:p>
        </w:tc>
        <w:tc>
          <w:tcPr>
            <w:tcW w:w="898" w:type="dxa"/>
          </w:tcPr>
          <w:p w:rsidR="00B97965" w:rsidRPr="00126EF4" w:rsidRDefault="00B97965" w:rsidP="00B97965">
            <w:pPr>
              <w:pStyle w:val="ListParagraph1"/>
              <w:rPr>
                <w:sz w:val="16"/>
                <w:szCs w:val="16"/>
              </w:rPr>
            </w:pPr>
            <w:r w:rsidRPr="00126EF4">
              <w:rPr>
                <w:sz w:val="16"/>
                <w:szCs w:val="16"/>
              </w:rPr>
              <w:t>1.0021</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.2</w:t>
            </w:r>
            <w:r>
              <w:rPr>
                <w:sz w:val="16"/>
                <w:szCs w:val="16"/>
              </w:rPr>
              <w:t>400</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.6278</w:t>
            </w:r>
          </w:p>
        </w:tc>
        <w:tc>
          <w:tcPr>
            <w:tcW w:w="898" w:type="dxa"/>
          </w:tcPr>
          <w:p w:rsidR="00B97965" w:rsidRPr="00126EF4" w:rsidRDefault="00B97965" w:rsidP="00B97965">
            <w:pPr>
              <w:pStyle w:val="ListParagraph1"/>
              <w:rPr>
                <w:sz w:val="16"/>
                <w:szCs w:val="16"/>
              </w:rPr>
            </w:pPr>
            <w:r w:rsidRPr="00ED0E4B">
              <w:rPr>
                <w:sz w:val="16"/>
                <w:szCs w:val="16"/>
              </w:rPr>
              <w:t>1.144</w:t>
            </w:r>
            <w:r>
              <w:rPr>
                <w:sz w:val="16"/>
                <w:szCs w:val="16"/>
              </w:rPr>
              <w:t>3</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.278</w:t>
            </w:r>
            <w:r>
              <w:rPr>
                <w:sz w:val="16"/>
                <w:szCs w:val="16"/>
              </w:rPr>
              <w:t>7</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Log of age</w:t>
            </w:r>
          </w:p>
        </w:tc>
        <w:tc>
          <w:tcPr>
            <w:tcW w:w="897" w:type="dxa"/>
          </w:tcPr>
          <w:p w:rsidR="00B97965" w:rsidRPr="00126EF4" w:rsidRDefault="00B97965" w:rsidP="00B97965">
            <w:pPr>
              <w:pStyle w:val="ListParagraph1"/>
              <w:rPr>
                <w:sz w:val="16"/>
                <w:szCs w:val="16"/>
              </w:rPr>
            </w:pPr>
            <w:r w:rsidRPr="00126EF4">
              <w:rPr>
                <w:sz w:val="16"/>
                <w:szCs w:val="16"/>
              </w:rPr>
              <w:t>4.9119***</w:t>
            </w:r>
          </w:p>
        </w:tc>
        <w:tc>
          <w:tcPr>
            <w:tcW w:w="898" w:type="dxa"/>
          </w:tcPr>
          <w:p w:rsidR="00B97965" w:rsidRPr="00126EF4" w:rsidRDefault="00B97965" w:rsidP="00B97965">
            <w:pPr>
              <w:pStyle w:val="ListParagraph1"/>
              <w:rPr>
                <w:sz w:val="16"/>
                <w:szCs w:val="16"/>
              </w:rPr>
            </w:pPr>
            <w:r w:rsidRPr="00126EF4">
              <w:rPr>
                <w:sz w:val="16"/>
                <w:szCs w:val="16"/>
              </w:rPr>
              <w:t>0.3670**</w:t>
            </w:r>
          </w:p>
        </w:tc>
        <w:tc>
          <w:tcPr>
            <w:tcW w:w="898" w:type="dxa"/>
          </w:tcPr>
          <w:p w:rsidR="00B97965" w:rsidRPr="00126EF4" w:rsidRDefault="00B97965" w:rsidP="00B97965">
            <w:pPr>
              <w:pStyle w:val="ListParagraph1"/>
              <w:rPr>
                <w:sz w:val="16"/>
                <w:szCs w:val="16"/>
              </w:rPr>
            </w:pPr>
            <w:r w:rsidRPr="00126EF4">
              <w:rPr>
                <w:sz w:val="16"/>
                <w:szCs w:val="16"/>
              </w:rPr>
              <w:t>2.1580***</w:t>
            </w:r>
          </w:p>
        </w:tc>
        <w:tc>
          <w:tcPr>
            <w:tcW w:w="898" w:type="dxa"/>
          </w:tcPr>
          <w:p w:rsidR="00B97965" w:rsidRPr="00126EF4" w:rsidRDefault="00B97965" w:rsidP="00B97965">
            <w:pPr>
              <w:pStyle w:val="ListParagraph1"/>
              <w:rPr>
                <w:sz w:val="16"/>
                <w:szCs w:val="16"/>
              </w:rPr>
            </w:pPr>
            <w:r w:rsidRPr="00126EF4">
              <w:rPr>
                <w:sz w:val="16"/>
                <w:szCs w:val="16"/>
              </w:rPr>
              <w:t>2.6685***</w:t>
            </w:r>
          </w:p>
        </w:tc>
        <w:tc>
          <w:tcPr>
            <w:tcW w:w="897" w:type="dxa"/>
          </w:tcPr>
          <w:p w:rsidR="00B97965" w:rsidRPr="00126EF4" w:rsidRDefault="00B97965" w:rsidP="00B97965">
            <w:pPr>
              <w:pStyle w:val="ListParagraph1"/>
              <w:rPr>
                <w:sz w:val="16"/>
                <w:szCs w:val="16"/>
              </w:rPr>
            </w:pPr>
            <w:r w:rsidRPr="00126EF4">
              <w:rPr>
                <w:sz w:val="16"/>
                <w:szCs w:val="16"/>
              </w:rPr>
              <w:t>3.4128***</w:t>
            </w:r>
          </w:p>
        </w:tc>
        <w:tc>
          <w:tcPr>
            <w:tcW w:w="898" w:type="dxa"/>
          </w:tcPr>
          <w:p w:rsidR="00B97965" w:rsidRPr="00126EF4" w:rsidRDefault="00B97965" w:rsidP="00B97965">
            <w:pPr>
              <w:pStyle w:val="ListParagraph1"/>
              <w:rPr>
                <w:sz w:val="16"/>
                <w:szCs w:val="16"/>
              </w:rPr>
            </w:pPr>
            <w:r w:rsidRPr="00126EF4">
              <w:rPr>
                <w:sz w:val="16"/>
                <w:szCs w:val="16"/>
              </w:rPr>
              <w:t>3.1271**</w:t>
            </w:r>
          </w:p>
        </w:tc>
        <w:tc>
          <w:tcPr>
            <w:tcW w:w="898" w:type="dxa"/>
          </w:tcPr>
          <w:p w:rsidR="00B97965" w:rsidRPr="00126EF4" w:rsidRDefault="00B97965" w:rsidP="00B97965">
            <w:pPr>
              <w:pStyle w:val="ListParagraph1"/>
              <w:rPr>
                <w:sz w:val="16"/>
                <w:szCs w:val="16"/>
              </w:rPr>
            </w:pPr>
            <w:r w:rsidRPr="00126EF4">
              <w:rPr>
                <w:sz w:val="16"/>
                <w:szCs w:val="16"/>
              </w:rPr>
              <w:t>1.0895</w:t>
            </w:r>
          </w:p>
        </w:tc>
        <w:tc>
          <w:tcPr>
            <w:tcW w:w="898" w:type="dxa"/>
          </w:tcPr>
          <w:p w:rsidR="00B97965" w:rsidRPr="00126EF4" w:rsidRDefault="00B97965" w:rsidP="00B97965">
            <w:pPr>
              <w:pStyle w:val="ListParagraph1"/>
              <w:rPr>
                <w:sz w:val="16"/>
                <w:szCs w:val="16"/>
              </w:rPr>
            </w:pPr>
            <w:r w:rsidRPr="00126EF4">
              <w:rPr>
                <w:sz w:val="16"/>
                <w:szCs w:val="16"/>
              </w:rPr>
              <w:t>7.7358</w:t>
            </w:r>
            <w:r>
              <w:rPr>
                <w:sz w:val="16"/>
                <w:szCs w:val="16"/>
              </w:rPr>
              <w:t>***</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.7558</w:t>
            </w:r>
          </w:p>
        </w:tc>
        <w:tc>
          <w:tcPr>
            <w:tcW w:w="898" w:type="dxa"/>
          </w:tcPr>
          <w:p w:rsidR="00B97965" w:rsidRPr="00126EF4" w:rsidRDefault="00B97965" w:rsidP="00B97965">
            <w:pPr>
              <w:pStyle w:val="ListParagraph1"/>
              <w:rPr>
                <w:sz w:val="16"/>
                <w:szCs w:val="16"/>
              </w:rPr>
            </w:pPr>
            <w:r w:rsidRPr="002A0178">
              <w:rPr>
                <w:sz w:val="16"/>
                <w:szCs w:val="16"/>
              </w:rPr>
              <w:t>5.0099</w:t>
            </w:r>
            <w:r>
              <w:rPr>
                <w:sz w:val="16"/>
                <w:szCs w:val="16"/>
              </w:rPr>
              <w:t>***</w:t>
            </w:r>
          </w:p>
        </w:tc>
        <w:tc>
          <w:tcPr>
            <w:tcW w:w="898" w:type="dxa"/>
          </w:tcPr>
          <w:p w:rsidR="00B97965" w:rsidRPr="00126EF4" w:rsidRDefault="00B97965" w:rsidP="00B97965">
            <w:pPr>
              <w:pStyle w:val="ListParagraph1"/>
              <w:rPr>
                <w:sz w:val="16"/>
                <w:szCs w:val="16"/>
              </w:rPr>
            </w:pPr>
            <w:r>
              <w:rPr>
                <w:sz w:val="16"/>
                <w:szCs w:val="16"/>
              </w:rPr>
              <w:t>5.2973***</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.202</w:t>
            </w:r>
            <w:r>
              <w:rPr>
                <w:sz w:val="16"/>
                <w:szCs w:val="16"/>
              </w:rPr>
              <w:t>4***</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Log of disease duration</w:t>
            </w:r>
          </w:p>
        </w:tc>
        <w:tc>
          <w:tcPr>
            <w:tcW w:w="897" w:type="dxa"/>
          </w:tcPr>
          <w:p w:rsidR="00B97965" w:rsidRPr="00126EF4" w:rsidRDefault="00B97965" w:rsidP="00B97965">
            <w:pPr>
              <w:pStyle w:val="ListParagraph1"/>
              <w:rPr>
                <w:sz w:val="16"/>
                <w:szCs w:val="16"/>
              </w:rPr>
            </w:pPr>
            <w:r w:rsidRPr="00126EF4">
              <w:rPr>
                <w:sz w:val="16"/>
                <w:szCs w:val="16"/>
              </w:rPr>
              <w:t>1.1397***</w:t>
            </w:r>
          </w:p>
        </w:tc>
        <w:tc>
          <w:tcPr>
            <w:tcW w:w="898" w:type="dxa"/>
          </w:tcPr>
          <w:p w:rsidR="00B97965" w:rsidRPr="00126EF4" w:rsidRDefault="00B97965" w:rsidP="00B97965">
            <w:pPr>
              <w:pStyle w:val="ListParagraph1"/>
              <w:rPr>
                <w:sz w:val="16"/>
                <w:szCs w:val="16"/>
              </w:rPr>
            </w:pPr>
            <w:r w:rsidRPr="00126EF4">
              <w:rPr>
                <w:sz w:val="16"/>
                <w:szCs w:val="16"/>
              </w:rPr>
              <w:t>0.7687**</w:t>
            </w:r>
          </w:p>
        </w:tc>
        <w:tc>
          <w:tcPr>
            <w:tcW w:w="898" w:type="dxa"/>
          </w:tcPr>
          <w:p w:rsidR="00B97965" w:rsidRPr="00126EF4" w:rsidRDefault="00B97965" w:rsidP="00B97965">
            <w:pPr>
              <w:pStyle w:val="ListParagraph1"/>
              <w:rPr>
                <w:sz w:val="16"/>
                <w:szCs w:val="16"/>
              </w:rPr>
            </w:pPr>
            <w:r w:rsidRPr="00126EF4">
              <w:rPr>
                <w:sz w:val="16"/>
                <w:szCs w:val="16"/>
              </w:rPr>
              <w:t>1.0369</w:t>
            </w:r>
          </w:p>
        </w:tc>
        <w:tc>
          <w:tcPr>
            <w:tcW w:w="898" w:type="dxa"/>
          </w:tcPr>
          <w:p w:rsidR="00B97965" w:rsidRPr="00126EF4" w:rsidRDefault="00B97965" w:rsidP="00B97965">
            <w:pPr>
              <w:pStyle w:val="ListParagraph1"/>
              <w:rPr>
                <w:sz w:val="16"/>
                <w:szCs w:val="16"/>
              </w:rPr>
            </w:pPr>
            <w:r w:rsidRPr="00126EF4">
              <w:rPr>
                <w:sz w:val="16"/>
                <w:szCs w:val="16"/>
              </w:rPr>
              <w:t>.8943</w:t>
            </w:r>
          </w:p>
        </w:tc>
        <w:tc>
          <w:tcPr>
            <w:tcW w:w="897" w:type="dxa"/>
          </w:tcPr>
          <w:p w:rsidR="00B97965" w:rsidRPr="00126EF4" w:rsidRDefault="00B97965" w:rsidP="00B97965">
            <w:pPr>
              <w:pStyle w:val="ListParagraph1"/>
              <w:rPr>
                <w:sz w:val="16"/>
                <w:szCs w:val="16"/>
              </w:rPr>
            </w:pPr>
            <w:r w:rsidRPr="00126EF4">
              <w:rPr>
                <w:sz w:val="16"/>
                <w:szCs w:val="16"/>
              </w:rPr>
              <w:t>0.9486</w:t>
            </w:r>
          </w:p>
        </w:tc>
        <w:tc>
          <w:tcPr>
            <w:tcW w:w="898" w:type="dxa"/>
          </w:tcPr>
          <w:p w:rsidR="00B97965" w:rsidRPr="00126EF4" w:rsidRDefault="00B97965" w:rsidP="00B97965">
            <w:pPr>
              <w:pStyle w:val="ListParagraph1"/>
              <w:rPr>
                <w:sz w:val="16"/>
                <w:szCs w:val="16"/>
              </w:rPr>
            </w:pPr>
            <w:r w:rsidRPr="00126EF4">
              <w:rPr>
                <w:sz w:val="16"/>
                <w:szCs w:val="16"/>
              </w:rPr>
              <w:t>1.3013</w:t>
            </w:r>
          </w:p>
        </w:tc>
        <w:tc>
          <w:tcPr>
            <w:tcW w:w="898" w:type="dxa"/>
          </w:tcPr>
          <w:p w:rsidR="00B97965" w:rsidRPr="00126EF4" w:rsidRDefault="00B97965" w:rsidP="00B97965">
            <w:pPr>
              <w:pStyle w:val="ListParagraph1"/>
              <w:rPr>
                <w:sz w:val="16"/>
                <w:szCs w:val="16"/>
              </w:rPr>
            </w:pPr>
            <w:r w:rsidRPr="00126EF4">
              <w:rPr>
                <w:sz w:val="16"/>
                <w:szCs w:val="16"/>
              </w:rPr>
              <w:t>0.9364</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.9602</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.9699</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.9281</w:t>
            </w:r>
          </w:p>
        </w:tc>
        <w:tc>
          <w:tcPr>
            <w:tcW w:w="898" w:type="dxa"/>
          </w:tcPr>
          <w:p w:rsidR="00B97965" w:rsidRPr="00126EF4" w:rsidRDefault="00B97965" w:rsidP="00B97965">
            <w:pPr>
              <w:pStyle w:val="ListParagraph1"/>
              <w:rPr>
                <w:sz w:val="16"/>
                <w:szCs w:val="16"/>
              </w:rPr>
            </w:pPr>
            <w:r w:rsidRPr="00ED0E4B">
              <w:rPr>
                <w:sz w:val="16"/>
                <w:szCs w:val="16"/>
              </w:rPr>
              <w:t>1.388</w:t>
            </w:r>
            <w:r>
              <w:rPr>
                <w:sz w:val="16"/>
                <w:szCs w:val="16"/>
              </w:rPr>
              <w:t>3***</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.827</w:t>
            </w:r>
            <w:r>
              <w:rPr>
                <w:sz w:val="16"/>
                <w:szCs w:val="16"/>
              </w:rPr>
              <w:t>9</w:t>
            </w:r>
          </w:p>
        </w:tc>
      </w:tr>
      <w:tr w:rsidR="00B97965" w:rsidRPr="00126EF4" w:rsidTr="00B97965">
        <w:trPr>
          <w:trHeight w:val="118"/>
        </w:trPr>
        <w:tc>
          <w:tcPr>
            <w:tcW w:w="3289" w:type="dxa"/>
          </w:tcPr>
          <w:p w:rsidR="00B97965" w:rsidRPr="00126EF4" w:rsidRDefault="00B97965" w:rsidP="00B97965">
            <w:pPr>
              <w:pStyle w:val="ListParagraph1"/>
              <w:rPr>
                <w:sz w:val="16"/>
                <w:szCs w:val="16"/>
              </w:rPr>
            </w:pPr>
            <w:r w:rsidRPr="00126EF4">
              <w:rPr>
                <w:sz w:val="16"/>
                <w:szCs w:val="16"/>
              </w:rPr>
              <w:t>Adjusted Mean SLEDAI at last visit</w:t>
            </w:r>
          </w:p>
        </w:tc>
        <w:tc>
          <w:tcPr>
            <w:tcW w:w="897" w:type="dxa"/>
          </w:tcPr>
          <w:p w:rsidR="00B97965" w:rsidRPr="00126EF4" w:rsidRDefault="00B97965" w:rsidP="00B97965">
            <w:pPr>
              <w:pStyle w:val="ListParagraph1"/>
              <w:rPr>
                <w:sz w:val="16"/>
                <w:szCs w:val="16"/>
              </w:rPr>
            </w:pPr>
            <w:r w:rsidRPr="00126EF4">
              <w:rPr>
                <w:sz w:val="16"/>
                <w:szCs w:val="16"/>
              </w:rPr>
              <w:t>1.1976***</w:t>
            </w:r>
          </w:p>
        </w:tc>
        <w:tc>
          <w:tcPr>
            <w:tcW w:w="898" w:type="dxa"/>
          </w:tcPr>
          <w:p w:rsidR="00B97965" w:rsidRPr="00126EF4" w:rsidRDefault="00B97965" w:rsidP="00B97965">
            <w:pPr>
              <w:pStyle w:val="ListParagraph1"/>
              <w:rPr>
                <w:sz w:val="16"/>
                <w:szCs w:val="16"/>
              </w:rPr>
            </w:pPr>
            <w:r w:rsidRPr="00126EF4">
              <w:rPr>
                <w:sz w:val="16"/>
                <w:szCs w:val="16"/>
              </w:rPr>
              <w:t>1.4106***</w:t>
            </w:r>
          </w:p>
        </w:tc>
        <w:tc>
          <w:tcPr>
            <w:tcW w:w="898" w:type="dxa"/>
          </w:tcPr>
          <w:p w:rsidR="00B97965" w:rsidRPr="00126EF4" w:rsidRDefault="00B97965" w:rsidP="00B97965">
            <w:pPr>
              <w:pStyle w:val="ListParagraph1"/>
              <w:rPr>
                <w:sz w:val="16"/>
                <w:szCs w:val="16"/>
              </w:rPr>
            </w:pPr>
            <w:r w:rsidRPr="00126EF4">
              <w:rPr>
                <w:sz w:val="16"/>
                <w:szCs w:val="16"/>
              </w:rPr>
              <w:t>1.1005***</w:t>
            </w:r>
          </w:p>
        </w:tc>
        <w:tc>
          <w:tcPr>
            <w:tcW w:w="898" w:type="dxa"/>
          </w:tcPr>
          <w:p w:rsidR="00B97965" w:rsidRPr="00126EF4" w:rsidRDefault="00B97965" w:rsidP="00B97965">
            <w:pPr>
              <w:pStyle w:val="ListParagraph1"/>
              <w:rPr>
                <w:sz w:val="16"/>
                <w:szCs w:val="16"/>
              </w:rPr>
            </w:pPr>
            <w:r w:rsidRPr="00126EF4">
              <w:rPr>
                <w:sz w:val="16"/>
                <w:szCs w:val="16"/>
              </w:rPr>
              <w:t>1.0835**</w:t>
            </w:r>
          </w:p>
        </w:tc>
        <w:tc>
          <w:tcPr>
            <w:tcW w:w="897" w:type="dxa"/>
          </w:tcPr>
          <w:p w:rsidR="00B97965" w:rsidRPr="00126EF4" w:rsidRDefault="00B97965" w:rsidP="00B97965">
            <w:pPr>
              <w:pStyle w:val="ListParagraph1"/>
              <w:rPr>
                <w:sz w:val="16"/>
                <w:szCs w:val="16"/>
              </w:rPr>
            </w:pPr>
            <w:r w:rsidRPr="00126EF4">
              <w:rPr>
                <w:sz w:val="16"/>
                <w:szCs w:val="16"/>
              </w:rPr>
              <w:t>1.0788**</w:t>
            </w:r>
          </w:p>
        </w:tc>
        <w:tc>
          <w:tcPr>
            <w:tcW w:w="898" w:type="dxa"/>
          </w:tcPr>
          <w:p w:rsidR="00B97965" w:rsidRPr="00126EF4" w:rsidRDefault="00B97965" w:rsidP="00B97965">
            <w:pPr>
              <w:pStyle w:val="ListParagraph1"/>
              <w:rPr>
                <w:sz w:val="16"/>
                <w:szCs w:val="16"/>
              </w:rPr>
            </w:pPr>
            <w:r w:rsidRPr="00126EF4">
              <w:rPr>
                <w:sz w:val="16"/>
                <w:szCs w:val="16"/>
              </w:rPr>
              <w:t>1.1301*</w:t>
            </w:r>
          </w:p>
        </w:tc>
        <w:tc>
          <w:tcPr>
            <w:tcW w:w="898" w:type="dxa"/>
          </w:tcPr>
          <w:p w:rsidR="00B97965" w:rsidRPr="00126EF4" w:rsidRDefault="00B97965" w:rsidP="00B97965">
            <w:pPr>
              <w:pStyle w:val="ListParagraph1"/>
              <w:rPr>
                <w:sz w:val="16"/>
                <w:szCs w:val="16"/>
              </w:rPr>
            </w:pPr>
            <w:r w:rsidRPr="00126EF4">
              <w:rPr>
                <w:sz w:val="16"/>
                <w:szCs w:val="16"/>
              </w:rPr>
              <w:t>1.0093</w:t>
            </w:r>
          </w:p>
        </w:tc>
        <w:tc>
          <w:tcPr>
            <w:tcW w:w="898" w:type="dxa"/>
          </w:tcPr>
          <w:p w:rsidR="00B97965" w:rsidRPr="00126EF4" w:rsidRDefault="00B97965" w:rsidP="00B97965">
            <w:pPr>
              <w:pStyle w:val="ListParagraph1"/>
              <w:rPr>
                <w:sz w:val="16"/>
                <w:szCs w:val="16"/>
              </w:rPr>
            </w:pPr>
            <w:r w:rsidRPr="00126EF4">
              <w:rPr>
                <w:sz w:val="16"/>
                <w:szCs w:val="16"/>
              </w:rPr>
              <w:t>1.06</w:t>
            </w:r>
            <w:r>
              <w:rPr>
                <w:sz w:val="16"/>
                <w:szCs w:val="16"/>
              </w:rPr>
              <w:t>90*</w:t>
            </w:r>
          </w:p>
        </w:tc>
        <w:tc>
          <w:tcPr>
            <w:tcW w:w="897" w:type="dxa"/>
          </w:tcPr>
          <w:p w:rsidR="00B97965" w:rsidRPr="00126EF4" w:rsidRDefault="00B97965" w:rsidP="00B97965">
            <w:pPr>
              <w:pStyle w:val="ListParagraph1"/>
              <w:rPr>
                <w:sz w:val="16"/>
                <w:szCs w:val="16"/>
              </w:rPr>
            </w:pPr>
            <w:r w:rsidRPr="002A0178">
              <w:rPr>
                <w:sz w:val="16"/>
                <w:szCs w:val="16"/>
              </w:rPr>
              <w:t>1.2438</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1.0045</w:t>
            </w:r>
          </w:p>
        </w:tc>
        <w:tc>
          <w:tcPr>
            <w:tcW w:w="898" w:type="dxa"/>
          </w:tcPr>
          <w:p w:rsidR="00B97965" w:rsidRPr="00126EF4" w:rsidRDefault="00B97965" w:rsidP="00B97965">
            <w:pPr>
              <w:pStyle w:val="ListParagraph1"/>
              <w:rPr>
                <w:sz w:val="16"/>
                <w:szCs w:val="16"/>
              </w:rPr>
            </w:pPr>
            <w:r w:rsidRPr="00ED0E4B">
              <w:rPr>
                <w:sz w:val="16"/>
                <w:szCs w:val="16"/>
              </w:rPr>
              <w:t>1.091</w:t>
            </w:r>
            <w:r>
              <w:rPr>
                <w:sz w:val="16"/>
                <w:szCs w:val="16"/>
              </w:rPr>
              <w:t>1**</w:t>
            </w:r>
          </w:p>
        </w:tc>
        <w:tc>
          <w:tcPr>
            <w:tcW w:w="898" w:type="dxa"/>
          </w:tcPr>
          <w:p w:rsidR="00B97965" w:rsidRPr="00126EF4" w:rsidRDefault="00B97965" w:rsidP="00B97965">
            <w:pPr>
              <w:pStyle w:val="ListParagraph1"/>
              <w:rPr>
                <w:sz w:val="16"/>
                <w:szCs w:val="16"/>
              </w:rPr>
            </w:pP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 xml:space="preserve">Cumulative average </w:t>
            </w:r>
            <w:r>
              <w:rPr>
                <w:sz w:val="16"/>
                <w:szCs w:val="16"/>
              </w:rPr>
              <w:t>steroid</w:t>
            </w:r>
            <w:r w:rsidRPr="00126EF4">
              <w:rPr>
                <w:sz w:val="16"/>
                <w:szCs w:val="16"/>
              </w:rPr>
              <w:t xml:space="preserve"> dose at last visit</w:t>
            </w:r>
          </w:p>
        </w:tc>
        <w:tc>
          <w:tcPr>
            <w:tcW w:w="897" w:type="dxa"/>
          </w:tcPr>
          <w:p w:rsidR="00B97965" w:rsidRPr="00126EF4" w:rsidRDefault="00B97965" w:rsidP="00B97965">
            <w:pPr>
              <w:pStyle w:val="ListParagraph1"/>
              <w:rPr>
                <w:sz w:val="16"/>
                <w:szCs w:val="16"/>
              </w:rPr>
            </w:pPr>
            <w:r w:rsidRPr="00126EF4">
              <w:rPr>
                <w:sz w:val="16"/>
                <w:szCs w:val="16"/>
              </w:rPr>
              <w:t>1.0011***</w:t>
            </w:r>
          </w:p>
        </w:tc>
        <w:tc>
          <w:tcPr>
            <w:tcW w:w="898" w:type="dxa"/>
          </w:tcPr>
          <w:p w:rsidR="00B97965" w:rsidRPr="00126EF4" w:rsidRDefault="00B97965" w:rsidP="00B97965">
            <w:pPr>
              <w:pStyle w:val="ListParagraph1"/>
              <w:rPr>
                <w:sz w:val="16"/>
                <w:szCs w:val="16"/>
              </w:rPr>
            </w:pPr>
            <w:r w:rsidRPr="00126EF4">
              <w:rPr>
                <w:sz w:val="16"/>
                <w:szCs w:val="16"/>
              </w:rPr>
              <w:t>1.0021***</w:t>
            </w:r>
          </w:p>
        </w:tc>
        <w:tc>
          <w:tcPr>
            <w:tcW w:w="898" w:type="dxa"/>
          </w:tcPr>
          <w:p w:rsidR="00B97965" w:rsidRPr="00126EF4" w:rsidRDefault="00B97965" w:rsidP="00B97965">
            <w:pPr>
              <w:pStyle w:val="ListParagraph1"/>
              <w:rPr>
                <w:sz w:val="16"/>
                <w:szCs w:val="16"/>
              </w:rPr>
            </w:pPr>
            <w:r w:rsidRPr="00126EF4">
              <w:rPr>
                <w:sz w:val="16"/>
                <w:szCs w:val="16"/>
              </w:rPr>
              <w:t>1.0013***</w:t>
            </w:r>
          </w:p>
        </w:tc>
        <w:tc>
          <w:tcPr>
            <w:tcW w:w="898" w:type="dxa"/>
          </w:tcPr>
          <w:p w:rsidR="00B97965" w:rsidRPr="00126EF4" w:rsidRDefault="00B97965" w:rsidP="00B97965">
            <w:pPr>
              <w:pStyle w:val="ListParagraph1"/>
              <w:rPr>
                <w:sz w:val="16"/>
                <w:szCs w:val="16"/>
              </w:rPr>
            </w:pPr>
            <w:r w:rsidRPr="00126EF4">
              <w:rPr>
                <w:sz w:val="16"/>
                <w:szCs w:val="16"/>
              </w:rPr>
              <w:t>1.0008***</w:t>
            </w:r>
          </w:p>
        </w:tc>
        <w:tc>
          <w:tcPr>
            <w:tcW w:w="897" w:type="dxa"/>
          </w:tcPr>
          <w:p w:rsidR="00B97965" w:rsidRPr="00126EF4" w:rsidRDefault="00B97965" w:rsidP="00B97965">
            <w:pPr>
              <w:pStyle w:val="ListParagraph1"/>
              <w:rPr>
                <w:sz w:val="16"/>
                <w:szCs w:val="16"/>
              </w:rPr>
            </w:pPr>
            <w:r w:rsidRPr="00126EF4">
              <w:rPr>
                <w:sz w:val="16"/>
                <w:szCs w:val="16"/>
              </w:rPr>
              <w:t>1.0003</w:t>
            </w:r>
          </w:p>
        </w:tc>
        <w:tc>
          <w:tcPr>
            <w:tcW w:w="898" w:type="dxa"/>
          </w:tcPr>
          <w:p w:rsidR="00B97965" w:rsidRPr="00126EF4" w:rsidRDefault="00B97965" w:rsidP="00B97965">
            <w:pPr>
              <w:pStyle w:val="ListParagraph1"/>
              <w:rPr>
                <w:sz w:val="16"/>
                <w:szCs w:val="16"/>
              </w:rPr>
            </w:pPr>
            <w:r w:rsidRPr="00126EF4">
              <w:rPr>
                <w:sz w:val="16"/>
                <w:szCs w:val="16"/>
              </w:rPr>
              <w:t>1.0010**</w:t>
            </w:r>
          </w:p>
        </w:tc>
        <w:tc>
          <w:tcPr>
            <w:tcW w:w="898" w:type="dxa"/>
          </w:tcPr>
          <w:p w:rsidR="00B97965" w:rsidRPr="00126EF4" w:rsidRDefault="00B97965" w:rsidP="00B97965">
            <w:pPr>
              <w:pStyle w:val="ListParagraph1"/>
              <w:rPr>
                <w:sz w:val="16"/>
                <w:szCs w:val="16"/>
              </w:rPr>
            </w:pPr>
            <w:r w:rsidRPr="00126EF4">
              <w:rPr>
                <w:sz w:val="16"/>
                <w:szCs w:val="16"/>
              </w:rPr>
              <w:t>1.0008**</w:t>
            </w:r>
          </w:p>
        </w:tc>
        <w:tc>
          <w:tcPr>
            <w:tcW w:w="898" w:type="dxa"/>
          </w:tcPr>
          <w:p w:rsidR="00B97965" w:rsidRPr="00126EF4" w:rsidRDefault="00B97965" w:rsidP="00B97965">
            <w:pPr>
              <w:pStyle w:val="ListParagraph1"/>
              <w:rPr>
                <w:sz w:val="16"/>
                <w:szCs w:val="16"/>
              </w:rPr>
            </w:pPr>
            <w:r w:rsidRPr="00126EF4">
              <w:rPr>
                <w:sz w:val="16"/>
                <w:szCs w:val="16"/>
              </w:rPr>
              <w:t>1.0011</w:t>
            </w:r>
            <w:r>
              <w:rPr>
                <w:sz w:val="16"/>
                <w:szCs w:val="16"/>
              </w:rPr>
              <w:t>***</w:t>
            </w:r>
          </w:p>
        </w:tc>
        <w:tc>
          <w:tcPr>
            <w:tcW w:w="897" w:type="dxa"/>
          </w:tcPr>
          <w:p w:rsidR="00B97965" w:rsidRPr="00126EF4" w:rsidRDefault="00B97965" w:rsidP="00B97965">
            <w:pPr>
              <w:pStyle w:val="ListParagraph1"/>
              <w:rPr>
                <w:sz w:val="16"/>
                <w:szCs w:val="16"/>
              </w:rPr>
            </w:pPr>
            <w:r w:rsidRPr="002A0178">
              <w:rPr>
                <w:sz w:val="16"/>
                <w:szCs w:val="16"/>
              </w:rPr>
              <w:t>1.0012</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1.0011</w:t>
            </w:r>
            <w:r>
              <w:rPr>
                <w:sz w:val="16"/>
                <w:szCs w:val="16"/>
              </w:rPr>
              <w:t>***</w:t>
            </w:r>
          </w:p>
        </w:tc>
        <w:tc>
          <w:tcPr>
            <w:tcW w:w="898" w:type="dxa"/>
          </w:tcPr>
          <w:p w:rsidR="00B97965" w:rsidRPr="00126EF4" w:rsidRDefault="00B97965" w:rsidP="00B97965">
            <w:pPr>
              <w:pStyle w:val="ListParagraph1"/>
              <w:rPr>
                <w:sz w:val="16"/>
                <w:szCs w:val="16"/>
              </w:rPr>
            </w:pPr>
            <w:r w:rsidRPr="00ED0E4B">
              <w:rPr>
                <w:sz w:val="16"/>
                <w:szCs w:val="16"/>
              </w:rPr>
              <w:t>1.000</w:t>
            </w:r>
            <w:r>
              <w:rPr>
                <w:sz w:val="16"/>
                <w:szCs w:val="16"/>
              </w:rPr>
              <w:t>3</w:t>
            </w:r>
          </w:p>
        </w:tc>
        <w:tc>
          <w:tcPr>
            <w:tcW w:w="898" w:type="dxa"/>
          </w:tcPr>
          <w:p w:rsidR="00B97965" w:rsidRPr="00126EF4" w:rsidRDefault="00B97965" w:rsidP="00B97965">
            <w:pPr>
              <w:pStyle w:val="ListParagraph1"/>
              <w:rPr>
                <w:sz w:val="16"/>
                <w:szCs w:val="16"/>
              </w:rPr>
            </w:pPr>
            <w:r w:rsidRPr="00ED0E4B">
              <w:rPr>
                <w:sz w:val="16"/>
                <w:szCs w:val="16"/>
              </w:rPr>
              <w:t>1.0023</w:t>
            </w:r>
            <w:r>
              <w:rPr>
                <w:sz w:val="16"/>
                <w:szCs w:val="16"/>
              </w:rPr>
              <w:t>***</w:t>
            </w:r>
          </w:p>
        </w:tc>
      </w:tr>
      <w:tr w:rsidR="00B97965" w:rsidRPr="00126EF4" w:rsidTr="00B97965">
        <w:trPr>
          <w:trHeight w:val="187"/>
        </w:trPr>
        <w:tc>
          <w:tcPr>
            <w:tcW w:w="3289" w:type="dxa"/>
          </w:tcPr>
          <w:p w:rsidR="00B97965" w:rsidRPr="00126EF4" w:rsidRDefault="00B97965" w:rsidP="00B97965">
            <w:pPr>
              <w:pStyle w:val="ListParagraph1"/>
              <w:rPr>
                <w:sz w:val="16"/>
                <w:szCs w:val="16"/>
              </w:rPr>
            </w:pPr>
            <w:r w:rsidRPr="00126EF4">
              <w:rPr>
                <w:sz w:val="16"/>
                <w:szCs w:val="16"/>
              </w:rPr>
              <w:t>Cytotoxic treatment at last visit</w:t>
            </w:r>
          </w:p>
        </w:tc>
        <w:tc>
          <w:tcPr>
            <w:tcW w:w="897" w:type="dxa"/>
          </w:tcPr>
          <w:p w:rsidR="00B97965" w:rsidRPr="00126EF4" w:rsidRDefault="00B97965" w:rsidP="00B97965">
            <w:pPr>
              <w:pStyle w:val="ListParagraph1"/>
              <w:rPr>
                <w:sz w:val="16"/>
                <w:szCs w:val="16"/>
              </w:rPr>
            </w:pPr>
            <w:r w:rsidRPr="00D870D2">
              <w:rPr>
                <w:sz w:val="16"/>
                <w:szCs w:val="16"/>
              </w:rPr>
              <w:t>1.164</w:t>
            </w:r>
          </w:p>
        </w:tc>
        <w:tc>
          <w:tcPr>
            <w:tcW w:w="898" w:type="dxa"/>
          </w:tcPr>
          <w:p w:rsidR="00B97965" w:rsidRPr="00126EF4" w:rsidRDefault="00B97965" w:rsidP="00B97965">
            <w:pPr>
              <w:pStyle w:val="ListParagraph1"/>
              <w:rPr>
                <w:sz w:val="16"/>
                <w:szCs w:val="16"/>
              </w:rPr>
            </w:pPr>
            <w:r w:rsidRPr="00D870D2">
              <w:rPr>
                <w:sz w:val="16"/>
                <w:szCs w:val="16"/>
              </w:rPr>
              <w:t>2.516</w:t>
            </w:r>
            <w:r w:rsidRPr="00126EF4">
              <w:rPr>
                <w:sz w:val="16"/>
                <w:szCs w:val="16"/>
              </w:rPr>
              <w:t>**</w:t>
            </w:r>
          </w:p>
        </w:tc>
        <w:tc>
          <w:tcPr>
            <w:tcW w:w="898" w:type="dxa"/>
          </w:tcPr>
          <w:p w:rsidR="00B97965" w:rsidRPr="00126EF4" w:rsidRDefault="00B97965" w:rsidP="00B97965">
            <w:pPr>
              <w:pStyle w:val="ListParagraph1"/>
              <w:rPr>
                <w:sz w:val="16"/>
                <w:szCs w:val="16"/>
              </w:rPr>
            </w:pPr>
            <w:r w:rsidRPr="00213D46">
              <w:rPr>
                <w:sz w:val="16"/>
                <w:szCs w:val="16"/>
              </w:rPr>
              <w:t>1.645</w:t>
            </w:r>
            <w:r w:rsidRPr="00126EF4">
              <w:rPr>
                <w:sz w:val="16"/>
                <w:szCs w:val="16"/>
              </w:rPr>
              <w:t>***</w:t>
            </w:r>
          </w:p>
        </w:tc>
        <w:tc>
          <w:tcPr>
            <w:tcW w:w="898" w:type="dxa"/>
          </w:tcPr>
          <w:p w:rsidR="00B97965" w:rsidRPr="00126EF4" w:rsidRDefault="00B97965" w:rsidP="00B97965">
            <w:pPr>
              <w:pStyle w:val="ListParagraph1"/>
              <w:rPr>
                <w:sz w:val="16"/>
                <w:szCs w:val="16"/>
              </w:rPr>
            </w:pPr>
            <w:r w:rsidRPr="00213D46">
              <w:rPr>
                <w:sz w:val="16"/>
                <w:szCs w:val="16"/>
              </w:rPr>
              <w:t>1.1273</w:t>
            </w:r>
          </w:p>
        </w:tc>
        <w:tc>
          <w:tcPr>
            <w:tcW w:w="897" w:type="dxa"/>
          </w:tcPr>
          <w:p w:rsidR="00B97965" w:rsidRPr="00126EF4" w:rsidRDefault="00B97965" w:rsidP="00B97965">
            <w:pPr>
              <w:pStyle w:val="ListParagraph1"/>
              <w:rPr>
                <w:sz w:val="16"/>
                <w:szCs w:val="16"/>
              </w:rPr>
            </w:pPr>
            <w:r w:rsidRPr="00213D46">
              <w:rPr>
                <w:sz w:val="16"/>
                <w:szCs w:val="16"/>
              </w:rPr>
              <w:t>1.3550</w:t>
            </w:r>
            <w:r w:rsidRPr="00126EF4">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213D46">
              <w:rPr>
                <w:sz w:val="16"/>
                <w:szCs w:val="16"/>
              </w:rPr>
              <w:t>.8635</w:t>
            </w:r>
          </w:p>
        </w:tc>
        <w:tc>
          <w:tcPr>
            <w:tcW w:w="898" w:type="dxa"/>
          </w:tcPr>
          <w:p w:rsidR="00B97965" w:rsidRPr="00126EF4" w:rsidRDefault="00B97965" w:rsidP="00B97965">
            <w:pPr>
              <w:pStyle w:val="ListParagraph1"/>
              <w:rPr>
                <w:sz w:val="16"/>
                <w:szCs w:val="16"/>
              </w:rPr>
            </w:pPr>
            <w:r w:rsidRPr="00C63517">
              <w:rPr>
                <w:sz w:val="16"/>
                <w:szCs w:val="16"/>
              </w:rPr>
              <w:t>1.7985</w:t>
            </w:r>
            <w:r>
              <w:rPr>
                <w:sz w:val="16"/>
                <w:szCs w:val="16"/>
              </w:rPr>
              <w:t>**</w:t>
            </w:r>
          </w:p>
        </w:tc>
        <w:tc>
          <w:tcPr>
            <w:tcW w:w="898" w:type="dxa"/>
          </w:tcPr>
          <w:p w:rsidR="00B97965" w:rsidRPr="00126EF4" w:rsidRDefault="00B97965" w:rsidP="00B97965">
            <w:pPr>
              <w:pStyle w:val="ListParagraph1"/>
              <w:rPr>
                <w:sz w:val="16"/>
                <w:szCs w:val="16"/>
              </w:rPr>
            </w:pPr>
            <w:r w:rsidRPr="00C63517">
              <w:rPr>
                <w:sz w:val="16"/>
                <w:szCs w:val="16"/>
              </w:rPr>
              <w:t>1.4431</w:t>
            </w:r>
            <w:r>
              <w:rPr>
                <w:sz w:val="16"/>
                <w:szCs w:val="16"/>
              </w:rPr>
              <w:t>**</w:t>
            </w:r>
          </w:p>
        </w:tc>
        <w:tc>
          <w:tcPr>
            <w:tcW w:w="897" w:type="dxa"/>
          </w:tcPr>
          <w:p w:rsidR="00B97965" w:rsidRPr="00126EF4" w:rsidRDefault="00B97965" w:rsidP="00B97965">
            <w:pPr>
              <w:pStyle w:val="ListParagraph1"/>
              <w:rPr>
                <w:sz w:val="16"/>
                <w:szCs w:val="16"/>
              </w:rPr>
            </w:pPr>
            <w:r w:rsidRPr="00C63517">
              <w:rPr>
                <w:sz w:val="16"/>
                <w:szCs w:val="16"/>
              </w:rPr>
              <w:t>1.5746</w:t>
            </w:r>
          </w:p>
        </w:tc>
        <w:tc>
          <w:tcPr>
            <w:tcW w:w="898" w:type="dxa"/>
          </w:tcPr>
          <w:p w:rsidR="00B97965" w:rsidRPr="00126EF4" w:rsidRDefault="00B97965" w:rsidP="00B97965">
            <w:pPr>
              <w:pStyle w:val="ListParagraph1"/>
              <w:rPr>
                <w:sz w:val="16"/>
                <w:szCs w:val="16"/>
              </w:rPr>
            </w:pPr>
            <w:r w:rsidRPr="00C63517">
              <w:rPr>
                <w:sz w:val="16"/>
                <w:szCs w:val="16"/>
              </w:rPr>
              <w:t>1.0543</w:t>
            </w:r>
          </w:p>
        </w:tc>
        <w:tc>
          <w:tcPr>
            <w:tcW w:w="898" w:type="dxa"/>
          </w:tcPr>
          <w:p w:rsidR="00B97965" w:rsidRPr="00126EF4" w:rsidRDefault="00B97965" w:rsidP="00B97965">
            <w:pPr>
              <w:pStyle w:val="ListParagraph1"/>
              <w:rPr>
                <w:sz w:val="16"/>
                <w:szCs w:val="16"/>
              </w:rPr>
            </w:pPr>
            <w:r w:rsidRPr="00C63517">
              <w:rPr>
                <w:sz w:val="16"/>
                <w:szCs w:val="16"/>
              </w:rPr>
              <w:t>1.5755</w:t>
            </w:r>
            <w:r>
              <w:rPr>
                <w:sz w:val="16"/>
                <w:szCs w:val="16"/>
              </w:rPr>
              <w:t>**</w:t>
            </w:r>
          </w:p>
        </w:tc>
        <w:tc>
          <w:tcPr>
            <w:tcW w:w="898" w:type="dxa"/>
          </w:tcPr>
          <w:p w:rsidR="00B97965" w:rsidRPr="00126EF4" w:rsidRDefault="00B97965" w:rsidP="00B97965">
            <w:pPr>
              <w:pStyle w:val="ListParagraph1"/>
              <w:rPr>
                <w:sz w:val="16"/>
                <w:szCs w:val="16"/>
              </w:rPr>
            </w:pPr>
            <w:r>
              <w:rPr>
                <w:sz w:val="16"/>
                <w:szCs w:val="16"/>
              </w:rPr>
              <w:t>3.4201***</w:t>
            </w:r>
          </w:p>
        </w:tc>
      </w:tr>
      <w:tr w:rsidR="00B97965" w:rsidRPr="00126EF4" w:rsidTr="00B97965">
        <w:tc>
          <w:tcPr>
            <w:tcW w:w="3289" w:type="dxa"/>
          </w:tcPr>
          <w:p w:rsidR="00B97965" w:rsidRPr="00126EF4" w:rsidRDefault="00B97965" w:rsidP="00B97965">
            <w:pPr>
              <w:pStyle w:val="ListParagraph1"/>
              <w:rPr>
                <w:sz w:val="16"/>
                <w:szCs w:val="16"/>
              </w:rPr>
            </w:pPr>
            <w:r>
              <w:rPr>
                <w:sz w:val="16"/>
                <w:szCs w:val="16"/>
              </w:rPr>
              <w:t>Anti-malarials</w:t>
            </w:r>
            <w:r w:rsidRPr="00126EF4">
              <w:rPr>
                <w:sz w:val="16"/>
                <w:szCs w:val="16"/>
              </w:rPr>
              <w:t xml:space="preserve"> treatment at last visit</w:t>
            </w:r>
          </w:p>
        </w:tc>
        <w:tc>
          <w:tcPr>
            <w:tcW w:w="897" w:type="dxa"/>
          </w:tcPr>
          <w:p w:rsidR="00B97965" w:rsidRPr="00126EF4" w:rsidRDefault="00B97965" w:rsidP="00B97965">
            <w:pPr>
              <w:pStyle w:val="ListParagraph1"/>
              <w:rPr>
                <w:sz w:val="16"/>
                <w:szCs w:val="16"/>
              </w:rPr>
            </w:pPr>
            <w:r w:rsidRPr="00126EF4">
              <w:rPr>
                <w:sz w:val="16"/>
                <w:szCs w:val="16"/>
              </w:rPr>
              <w:t>0.701**</w:t>
            </w:r>
          </w:p>
        </w:tc>
        <w:tc>
          <w:tcPr>
            <w:tcW w:w="898" w:type="dxa"/>
          </w:tcPr>
          <w:p w:rsidR="00B97965" w:rsidRPr="00126EF4" w:rsidRDefault="00B97965" w:rsidP="00B97965">
            <w:pPr>
              <w:pStyle w:val="ListParagraph1"/>
              <w:rPr>
                <w:sz w:val="16"/>
                <w:szCs w:val="16"/>
              </w:rPr>
            </w:pPr>
            <w:r w:rsidRPr="00126EF4">
              <w:rPr>
                <w:sz w:val="16"/>
                <w:szCs w:val="16"/>
              </w:rPr>
              <w:t>0.2979***</w:t>
            </w:r>
          </w:p>
        </w:tc>
        <w:tc>
          <w:tcPr>
            <w:tcW w:w="898" w:type="dxa"/>
          </w:tcPr>
          <w:p w:rsidR="00B97965" w:rsidRPr="00126EF4" w:rsidRDefault="00B97965" w:rsidP="00B97965">
            <w:pPr>
              <w:pStyle w:val="ListParagraph1"/>
              <w:rPr>
                <w:sz w:val="16"/>
                <w:szCs w:val="16"/>
              </w:rPr>
            </w:pPr>
            <w:r w:rsidRPr="00126EF4">
              <w:rPr>
                <w:sz w:val="16"/>
                <w:szCs w:val="16"/>
              </w:rPr>
              <w:t>0.9244</w:t>
            </w:r>
          </w:p>
        </w:tc>
        <w:tc>
          <w:tcPr>
            <w:tcW w:w="898" w:type="dxa"/>
          </w:tcPr>
          <w:p w:rsidR="00B97965" w:rsidRPr="00126EF4" w:rsidRDefault="00B97965" w:rsidP="00B97965">
            <w:pPr>
              <w:pStyle w:val="ListParagraph1"/>
              <w:rPr>
                <w:sz w:val="16"/>
                <w:szCs w:val="16"/>
              </w:rPr>
            </w:pPr>
            <w:r w:rsidRPr="00126EF4">
              <w:rPr>
                <w:sz w:val="16"/>
                <w:szCs w:val="16"/>
              </w:rPr>
              <w:t>.9845</w:t>
            </w:r>
          </w:p>
        </w:tc>
        <w:tc>
          <w:tcPr>
            <w:tcW w:w="897" w:type="dxa"/>
          </w:tcPr>
          <w:p w:rsidR="00B97965" w:rsidRPr="00126EF4" w:rsidRDefault="00B97965" w:rsidP="00B97965">
            <w:pPr>
              <w:pStyle w:val="ListParagraph1"/>
              <w:rPr>
                <w:sz w:val="16"/>
                <w:szCs w:val="16"/>
              </w:rPr>
            </w:pPr>
            <w:r w:rsidRPr="00126EF4">
              <w:rPr>
                <w:sz w:val="16"/>
                <w:szCs w:val="16"/>
              </w:rPr>
              <w:t>1.3410*</w:t>
            </w:r>
          </w:p>
        </w:tc>
        <w:tc>
          <w:tcPr>
            <w:tcW w:w="898" w:type="dxa"/>
          </w:tcPr>
          <w:p w:rsidR="00B97965" w:rsidRPr="00126EF4" w:rsidRDefault="00B97965" w:rsidP="00B97965">
            <w:pPr>
              <w:pStyle w:val="ListParagraph1"/>
              <w:rPr>
                <w:sz w:val="16"/>
                <w:szCs w:val="16"/>
              </w:rPr>
            </w:pPr>
            <w:r w:rsidRPr="00126EF4">
              <w:rPr>
                <w:sz w:val="16"/>
                <w:szCs w:val="16"/>
              </w:rPr>
              <w:t>0.6562</w:t>
            </w:r>
          </w:p>
        </w:tc>
        <w:tc>
          <w:tcPr>
            <w:tcW w:w="898" w:type="dxa"/>
          </w:tcPr>
          <w:p w:rsidR="00B97965" w:rsidRPr="00126EF4" w:rsidRDefault="00B97965" w:rsidP="00B97965">
            <w:pPr>
              <w:pStyle w:val="ListParagraph1"/>
              <w:rPr>
                <w:sz w:val="16"/>
                <w:szCs w:val="16"/>
              </w:rPr>
            </w:pPr>
            <w:r w:rsidRPr="00126EF4">
              <w:rPr>
                <w:sz w:val="16"/>
                <w:szCs w:val="16"/>
              </w:rPr>
              <w:t>0.8709</w:t>
            </w:r>
          </w:p>
        </w:tc>
        <w:tc>
          <w:tcPr>
            <w:tcW w:w="898" w:type="dxa"/>
          </w:tcPr>
          <w:p w:rsidR="00B97965" w:rsidRPr="00126EF4" w:rsidRDefault="00B97965" w:rsidP="00B97965">
            <w:pPr>
              <w:pStyle w:val="ListParagraph1"/>
              <w:rPr>
                <w:sz w:val="16"/>
                <w:szCs w:val="16"/>
              </w:rPr>
            </w:pPr>
            <w:r w:rsidRPr="00126EF4">
              <w:rPr>
                <w:sz w:val="16"/>
                <w:szCs w:val="16"/>
              </w:rPr>
              <w:t>1.12</w:t>
            </w:r>
            <w:r>
              <w:rPr>
                <w:sz w:val="16"/>
                <w:szCs w:val="16"/>
              </w:rPr>
              <w:t>90</w:t>
            </w:r>
          </w:p>
        </w:tc>
        <w:tc>
          <w:tcPr>
            <w:tcW w:w="897" w:type="dxa"/>
          </w:tcPr>
          <w:p w:rsidR="00B97965" w:rsidRPr="00126EF4" w:rsidRDefault="00B97965" w:rsidP="00B97965">
            <w:pPr>
              <w:pStyle w:val="ListParagraph1"/>
              <w:rPr>
                <w:sz w:val="16"/>
                <w:szCs w:val="16"/>
              </w:rPr>
            </w:pPr>
            <w:r>
              <w:rPr>
                <w:sz w:val="16"/>
                <w:szCs w:val="16"/>
              </w:rPr>
              <w:t>0</w:t>
            </w:r>
            <w:r w:rsidRPr="002A0178">
              <w:rPr>
                <w:sz w:val="16"/>
                <w:szCs w:val="16"/>
              </w:rPr>
              <w:t>.4655</w:t>
            </w:r>
            <w:r>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.6156</w:t>
            </w:r>
            <w:r>
              <w:rPr>
                <w:sz w:val="16"/>
                <w:szCs w:val="16"/>
              </w:rPr>
              <w:t>*</w:t>
            </w:r>
          </w:p>
        </w:tc>
        <w:tc>
          <w:tcPr>
            <w:tcW w:w="898" w:type="dxa"/>
          </w:tcPr>
          <w:p w:rsidR="00B97965" w:rsidRPr="00126EF4" w:rsidRDefault="00B97965" w:rsidP="00B97965">
            <w:pPr>
              <w:pStyle w:val="ListParagraph1"/>
              <w:rPr>
                <w:sz w:val="16"/>
                <w:szCs w:val="16"/>
              </w:rPr>
            </w:pPr>
            <w:r w:rsidRPr="00ED0E4B">
              <w:rPr>
                <w:sz w:val="16"/>
                <w:szCs w:val="16"/>
              </w:rPr>
              <w:t>1.081</w:t>
            </w:r>
            <w:r>
              <w:rPr>
                <w:sz w:val="16"/>
                <w:szCs w:val="16"/>
              </w:rPr>
              <w:t>1</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.357</w:t>
            </w:r>
            <w:r>
              <w:rPr>
                <w:sz w:val="16"/>
                <w:szCs w:val="16"/>
              </w:rPr>
              <w:t>6***</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Neuropsychiatric involvement at last visit</w:t>
            </w:r>
          </w:p>
        </w:tc>
        <w:tc>
          <w:tcPr>
            <w:tcW w:w="897" w:type="dxa"/>
          </w:tcPr>
          <w:p w:rsidR="00B97965" w:rsidRPr="00126EF4" w:rsidRDefault="00B97965" w:rsidP="00B97965">
            <w:pPr>
              <w:pStyle w:val="ListParagraph1"/>
              <w:rPr>
                <w:sz w:val="16"/>
                <w:szCs w:val="16"/>
              </w:rPr>
            </w:pPr>
            <w:r w:rsidRPr="00126EF4">
              <w:rPr>
                <w:sz w:val="16"/>
                <w:szCs w:val="16"/>
              </w:rPr>
              <w:t>1.4326</w:t>
            </w:r>
          </w:p>
        </w:tc>
        <w:tc>
          <w:tcPr>
            <w:tcW w:w="898" w:type="dxa"/>
          </w:tcPr>
          <w:p w:rsidR="00B97965" w:rsidRPr="00126EF4" w:rsidRDefault="00B97965" w:rsidP="00B97965">
            <w:pPr>
              <w:pStyle w:val="ListParagraph1"/>
              <w:rPr>
                <w:sz w:val="16"/>
                <w:szCs w:val="16"/>
              </w:rPr>
            </w:pPr>
            <w:r w:rsidRPr="00126EF4">
              <w:rPr>
                <w:sz w:val="16"/>
                <w:szCs w:val="16"/>
              </w:rPr>
              <w:t>0.000</w:t>
            </w:r>
          </w:p>
        </w:tc>
        <w:tc>
          <w:tcPr>
            <w:tcW w:w="898" w:type="dxa"/>
          </w:tcPr>
          <w:p w:rsidR="00B97965" w:rsidRPr="00126EF4" w:rsidRDefault="00B97965" w:rsidP="00B97965">
            <w:pPr>
              <w:pStyle w:val="ListParagraph1"/>
              <w:rPr>
                <w:sz w:val="16"/>
                <w:szCs w:val="16"/>
              </w:rPr>
            </w:pPr>
            <w:r w:rsidRPr="00126EF4">
              <w:rPr>
                <w:sz w:val="16"/>
                <w:szCs w:val="16"/>
              </w:rPr>
              <w:t>2.4116***</w:t>
            </w:r>
          </w:p>
        </w:tc>
        <w:tc>
          <w:tcPr>
            <w:tcW w:w="898" w:type="dxa"/>
          </w:tcPr>
          <w:p w:rsidR="00B97965" w:rsidRPr="00126EF4" w:rsidRDefault="00B97965" w:rsidP="00B97965">
            <w:pPr>
              <w:pStyle w:val="ListParagraph1"/>
              <w:rPr>
                <w:sz w:val="16"/>
                <w:szCs w:val="16"/>
              </w:rPr>
            </w:pPr>
            <w:r w:rsidRPr="00126EF4">
              <w:rPr>
                <w:sz w:val="16"/>
                <w:szCs w:val="16"/>
              </w:rPr>
              <w:t>8.7535***</w:t>
            </w:r>
          </w:p>
        </w:tc>
        <w:tc>
          <w:tcPr>
            <w:tcW w:w="897" w:type="dxa"/>
          </w:tcPr>
          <w:p w:rsidR="00B97965" w:rsidRPr="00126EF4" w:rsidRDefault="00B97965" w:rsidP="00B97965">
            <w:pPr>
              <w:pStyle w:val="ListParagraph1"/>
              <w:rPr>
                <w:sz w:val="16"/>
                <w:szCs w:val="16"/>
              </w:rPr>
            </w:pPr>
            <w:r w:rsidRPr="00126EF4">
              <w:rPr>
                <w:sz w:val="16"/>
                <w:szCs w:val="16"/>
              </w:rPr>
              <w:t>0.8364</w:t>
            </w:r>
          </w:p>
        </w:tc>
        <w:tc>
          <w:tcPr>
            <w:tcW w:w="898" w:type="dxa"/>
          </w:tcPr>
          <w:p w:rsidR="00B97965" w:rsidRPr="00126EF4" w:rsidRDefault="00B97965" w:rsidP="00B97965">
            <w:pPr>
              <w:pStyle w:val="ListParagraph1"/>
              <w:rPr>
                <w:sz w:val="16"/>
                <w:szCs w:val="16"/>
              </w:rPr>
            </w:pPr>
            <w:r w:rsidRPr="00126EF4">
              <w:rPr>
                <w:sz w:val="16"/>
                <w:szCs w:val="16"/>
              </w:rPr>
              <w:t>0.0000</w:t>
            </w:r>
          </w:p>
        </w:tc>
        <w:tc>
          <w:tcPr>
            <w:tcW w:w="898" w:type="dxa"/>
          </w:tcPr>
          <w:p w:rsidR="00B97965" w:rsidRPr="00126EF4" w:rsidRDefault="00B97965" w:rsidP="00B97965">
            <w:pPr>
              <w:pStyle w:val="ListParagraph1"/>
              <w:rPr>
                <w:sz w:val="16"/>
                <w:szCs w:val="16"/>
              </w:rPr>
            </w:pPr>
            <w:r w:rsidRPr="00126EF4">
              <w:rPr>
                <w:sz w:val="16"/>
                <w:szCs w:val="16"/>
              </w:rPr>
              <w:t>0.8323</w:t>
            </w:r>
          </w:p>
        </w:tc>
        <w:tc>
          <w:tcPr>
            <w:tcW w:w="898" w:type="dxa"/>
          </w:tcPr>
          <w:p w:rsidR="00B97965" w:rsidRPr="00126EF4" w:rsidRDefault="00B97965" w:rsidP="00B97965">
            <w:pPr>
              <w:pStyle w:val="ListParagraph1"/>
              <w:rPr>
                <w:sz w:val="16"/>
                <w:szCs w:val="16"/>
              </w:rPr>
            </w:pPr>
            <w:r w:rsidRPr="00126EF4">
              <w:rPr>
                <w:sz w:val="16"/>
                <w:szCs w:val="16"/>
              </w:rPr>
              <w:t>2.6596</w:t>
            </w:r>
            <w:r>
              <w:rPr>
                <w:sz w:val="16"/>
                <w:szCs w:val="16"/>
              </w:rPr>
              <w:t>**</w:t>
            </w:r>
          </w:p>
        </w:tc>
        <w:tc>
          <w:tcPr>
            <w:tcW w:w="897" w:type="dxa"/>
          </w:tcPr>
          <w:p w:rsidR="00B97965" w:rsidRPr="00126EF4" w:rsidRDefault="00B97965" w:rsidP="00B97965">
            <w:pPr>
              <w:pStyle w:val="ListParagraph1"/>
              <w:rPr>
                <w:sz w:val="16"/>
                <w:szCs w:val="16"/>
              </w:rPr>
            </w:pPr>
            <w:r w:rsidRPr="002A0178">
              <w:rPr>
                <w:sz w:val="16"/>
                <w:szCs w:val="16"/>
              </w:rPr>
              <w:t>5.9423</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1.1592</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.611</w:t>
            </w:r>
            <w:r>
              <w:rPr>
                <w:sz w:val="16"/>
                <w:szCs w:val="16"/>
              </w:rPr>
              <w:t>8</w:t>
            </w:r>
          </w:p>
        </w:tc>
        <w:tc>
          <w:tcPr>
            <w:tcW w:w="898" w:type="dxa"/>
          </w:tcPr>
          <w:p w:rsidR="00B97965" w:rsidRPr="00126EF4" w:rsidRDefault="00B97965" w:rsidP="00B97965">
            <w:pPr>
              <w:pStyle w:val="ListParagraph1"/>
              <w:rPr>
                <w:sz w:val="16"/>
                <w:szCs w:val="16"/>
              </w:rPr>
            </w:pPr>
            <w:r w:rsidRPr="007F6D8A">
              <w:rPr>
                <w:sz w:val="16"/>
                <w:szCs w:val="16"/>
              </w:rPr>
              <w:t>4.4676</w:t>
            </w:r>
            <w:r>
              <w:rPr>
                <w:sz w:val="16"/>
                <w:szCs w:val="16"/>
              </w:rPr>
              <w:t>***</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Musculoskeletal involvement at last visit</w:t>
            </w:r>
          </w:p>
        </w:tc>
        <w:tc>
          <w:tcPr>
            <w:tcW w:w="897" w:type="dxa"/>
          </w:tcPr>
          <w:p w:rsidR="00B97965" w:rsidRPr="00126EF4" w:rsidRDefault="00B97965" w:rsidP="00B97965">
            <w:pPr>
              <w:pStyle w:val="ListParagraph1"/>
              <w:rPr>
                <w:sz w:val="16"/>
                <w:szCs w:val="16"/>
              </w:rPr>
            </w:pPr>
            <w:r w:rsidRPr="00126EF4">
              <w:rPr>
                <w:sz w:val="16"/>
                <w:szCs w:val="16"/>
              </w:rPr>
              <w:t>1.9818***</w:t>
            </w:r>
          </w:p>
        </w:tc>
        <w:tc>
          <w:tcPr>
            <w:tcW w:w="898" w:type="dxa"/>
          </w:tcPr>
          <w:p w:rsidR="00B97965" w:rsidRPr="00126EF4" w:rsidRDefault="00B97965" w:rsidP="00B97965">
            <w:pPr>
              <w:pStyle w:val="ListParagraph1"/>
              <w:rPr>
                <w:sz w:val="16"/>
                <w:szCs w:val="16"/>
              </w:rPr>
            </w:pPr>
            <w:r w:rsidRPr="00126EF4">
              <w:rPr>
                <w:sz w:val="16"/>
                <w:szCs w:val="16"/>
              </w:rPr>
              <w:t>0.3823</w:t>
            </w:r>
          </w:p>
        </w:tc>
        <w:tc>
          <w:tcPr>
            <w:tcW w:w="898" w:type="dxa"/>
          </w:tcPr>
          <w:p w:rsidR="00B97965" w:rsidRPr="00126EF4" w:rsidRDefault="00B97965" w:rsidP="00B97965">
            <w:pPr>
              <w:pStyle w:val="ListParagraph1"/>
              <w:rPr>
                <w:sz w:val="16"/>
                <w:szCs w:val="16"/>
              </w:rPr>
            </w:pPr>
            <w:r w:rsidRPr="00126EF4">
              <w:rPr>
                <w:sz w:val="16"/>
                <w:szCs w:val="16"/>
              </w:rPr>
              <w:t>1.5936***</w:t>
            </w:r>
          </w:p>
        </w:tc>
        <w:tc>
          <w:tcPr>
            <w:tcW w:w="898" w:type="dxa"/>
          </w:tcPr>
          <w:p w:rsidR="00B97965" w:rsidRPr="00126EF4" w:rsidRDefault="00B97965" w:rsidP="00B97965">
            <w:pPr>
              <w:pStyle w:val="ListParagraph1"/>
              <w:rPr>
                <w:sz w:val="16"/>
                <w:szCs w:val="16"/>
              </w:rPr>
            </w:pPr>
            <w:r w:rsidRPr="00126EF4">
              <w:rPr>
                <w:sz w:val="16"/>
                <w:szCs w:val="16"/>
              </w:rPr>
              <w:t>1.1510</w:t>
            </w:r>
          </w:p>
        </w:tc>
        <w:tc>
          <w:tcPr>
            <w:tcW w:w="897" w:type="dxa"/>
          </w:tcPr>
          <w:p w:rsidR="00B97965" w:rsidRPr="00126EF4" w:rsidRDefault="00B97965" w:rsidP="00B97965">
            <w:pPr>
              <w:pStyle w:val="ListParagraph1"/>
              <w:rPr>
                <w:sz w:val="16"/>
                <w:szCs w:val="16"/>
              </w:rPr>
            </w:pPr>
            <w:r w:rsidRPr="00126EF4">
              <w:rPr>
                <w:sz w:val="16"/>
                <w:szCs w:val="16"/>
              </w:rPr>
              <w:t>1.3335</w:t>
            </w:r>
          </w:p>
        </w:tc>
        <w:tc>
          <w:tcPr>
            <w:tcW w:w="898" w:type="dxa"/>
          </w:tcPr>
          <w:p w:rsidR="00B97965" w:rsidRPr="00126EF4" w:rsidRDefault="00B97965" w:rsidP="00B97965">
            <w:pPr>
              <w:pStyle w:val="ListParagraph1"/>
              <w:rPr>
                <w:sz w:val="16"/>
                <w:szCs w:val="16"/>
              </w:rPr>
            </w:pPr>
            <w:r w:rsidRPr="00126EF4">
              <w:rPr>
                <w:sz w:val="16"/>
                <w:szCs w:val="16"/>
              </w:rPr>
              <w:t>0.5006</w:t>
            </w:r>
          </w:p>
        </w:tc>
        <w:tc>
          <w:tcPr>
            <w:tcW w:w="898" w:type="dxa"/>
          </w:tcPr>
          <w:p w:rsidR="00B97965" w:rsidRPr="00126EF4" w:rsidRDefault="00B97965" w:rsidP="00B97965">
            <w:pPr>
              <w:pStyle w:val="ListParagraph1"/>
              <w:rPr>
                <w:sz w:val="16"/>
                <w:szCs w:val="16"/>
              </w:rPr>
            </w:pPr>
            <w:r w:rsidRPr="00126EF4">
              <w:rPr>
                <w:sz w:val="16"/>
                <w:szCs w:val="16"/>
              </w:rPr>
              <w:t>0.7978</w:t>
            </w:r>
          </w:p>
        </w:tc>
        <w:tc>
          <w:tcPr>
            <w:tcW w:w="898" w:type="dxa"/>
          </w:tcPr>
          <w:p w:rsidR="00B97965" w:rsidRPr="00126EF4" w:rsidRDefault="00B97965" w:rsidP="00B97965">
            <w:pPr>
              <w:pStyle w:val="ListParagraph1"/>
              <w:rPr>
                <w:sz w:val="16"/>
                <w:szCs w:val="16"/>
              </w:rPr>
            </w:pPr>
            <w:r w:rsidRPr="00126EF4">
              <w:rPr>
                <w:sz w:val="16"/>
                <w:szCs w:val="16"/>
              </w:rPr>
              <w:t>1.3353</w:t>
            </w:r>
          </w:p>
        </w:tc>
        <w:tc>
          <w:tcPr>
            <w:tcW w:w="897" w:type="dxa"/>
          </w:tcPr>
          <w:p w:rsidR="00B97965" w:rsidRPr="00126EF4" w:rsidRDefault="00B97965" w:rsidP="00B97965">
            <w:pPr>
              <w:pStyle w:val="ListParagraph1"/>
              <w:rPr>
                <w:sz w:val="16"/>
                <w:szCs w:val="16"/>
              </w:rPr>
            </w:pPr>
            <w:r w:rsidRPr="002A0178">
              <w:rPr>
                <w:sz w:val="16"/>
                <w:szCs w:val="16"/>
              </w:rPr>
              <w:t>2.8457</w:t>
            </w:r>
            <w:r>
              <w:rPr>
                <w:sz w:val="16"/>
                <w:szCs w:val="16"/>
              </w:rPr>
              <w:t>**</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.6573</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.578</w:t>
            </w:r>
            <w:r>
              <w:rPr>
                <w:sz w:val="16"/>
                <w:szCs w:val="16"/>
              </w:rPr>
              <w:t>2</w:t>
            </w:r>
          </w:p>
        </w:tc>
        <w:tc>
          <w:tcPr>
            <w:tcW w:w="898" w:type="dxa"/>
          </w:tcPr>
          <w:p w:rsidR="00B97965" w:rsidRPr="00126EF4" w:rsidRDefault="00B97965" w:rsidP="00B97965">
            <w:pPr>
              <w:pStyle w:val="ListParagraph1"/>
              <w:rPr>
                <w:sz w:val="16"/>
                <w:szCs w:val="16"/>
              </w:rPr>
            </w:pPr>
            <w:r w:rsidRPr="007F6D8A">
              <w:rPr>
                <w:sz w:val="16"/>
                <w:szCs w:val="16"/>
              </w:rPr>
              <w:t>1.2664</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Renal involvement at last visit</w:t>
            </w:r>
          </w:p>
        </w:tc>
        <w:tc>
          <w:tcPr>
            <w:tcW w:w="897" w:type="dxa"/>
          </w:tcPr>
          <w:p w:rsidR="00B97965" w:rsidRPr="00126EF4" w:rsidRDefault="00B97965" w:rsidP="00B97965">
            <w:pPr>
              <w:pStyle w:val="ListParagraph1"/>
              <w:rPr>
                <w:sz w:val="16"/>
                <w:szCs w:val="16"/>
              </w:rPr>
            </w:pPr>
            <w:r w:rsidRPr="00126EF4">
              <w:rPr>
                <w:sz w:val="16"/>
                <w:szCs w:val="16"/>
              </w:rPr>
              <w:t>1.8721***</w:t>
            </w:r>
          </w:p>
        </w:tc>
        <w:tc>
          <w:tcPr>
            <w:tcW w:w="898" w:type="dxa"/>
          </w:tcPr>
          <w:p w:rsidR="00B97965" w:rsidRPr="00126EF4" w:rsidRDefault="00B97965" w:rsidP="00B97965">
            <w:pPr>
              <w:pStyle w:val="ListParagraph1"/>
              <w:rPr>
                <w:sz w:val="16"/>
                <w:szCs w:val="16"/>
              </w:rPr>
            </w:pPr>
            <w:r w:rsidRPr="00126EF4">
              <w:rPr>
                <w:sz w:val="16"/>
                <w:szCs w:val="16"/>
              </w:rPr>
              <w:t>14.795***</w:t>
            </w:r>
          </w:p>
        </w:tc>
        <w:tc>
          <w:tcPr>
            <w:tcW w:w="898" w:type="dxa"/>
          </w:tcPr>
          <w:p w:rsidR="00B97965" w:rsidRPr="00126EF4" w:rsidRDefault="00B97965" w:rsidP="00B97965">
            <w:pPr>
              <w:pStyle w:val="ListParagraph1"/>
              <w:rPr>
                <w:sz w:val="16"/>
                <w:szCs w:val="16"/>
              </w:rPr>
            </w:pPr>
            <w:r w:rsidRPr="00126EF4">
              <w:rPr>
                <w:sz w:val="16"/>
                <w:szCs w:val="16"/>
              </w:rPr>
              <w:t>1.0064</w:t>
            </w:r>
          </w:p>
        </w:tc>
        <w:tc>
          <w:tcPr>
            <w:tcW w:w="898" w:type="dxa"/>
          </w:tcPr>
          <w:p w:rsidR="00B97965" w:rsidRPr="00126EF4" w:rsidRDefault="00B97965" w:rsidP="00B97965">
            <w:pPr>
              <w:pStyle w:val="ListParagraph1"/>
              <w:rPr>
                <w:sz w:val="16"/>
                <w:szCs w:val="16"/>
              </w:rPr>
            </w:pPr>
            <w:r w:rsidRPr="00126EF4">
              <w:rPr>
                <w:sz w:val="16"/>
                <w:szCs w:val="16"/>
              </w:rPr>
              <w:t>1.3576</w:t>
            </w:r>
          </w:p>
        </w:tc>
        <w:tc>
          <w:tcPr>
            <w:tcW w:w="897" w:type="dxa"/>
          </w:tcPr>
          <w:p w:rsidR="00B97965" w:rsidRPr="00126EF4" w:rsidRDefault="00B97965" w:rsidP="00B97965">
            <w:pPr>
              <w:pStyle w:val="ListParagraph1"/>
              <w:rPr>
                <w:sz w:val="16"/>
                <w:szCs w:val="16"/>
              </w:rPr>
            </w:pPr>
            <w:r w:rsidRPr="00126EF4">
              <w:rPr>
                <w:sz w:val="16"/>
                <w:szCs w:val="16"/>
              </w:rPr>
              <w:t>1.9120***</w:t>
            </w:r>
          </w:p>
        </w:tc>
        <w:tc>
          <w:tcPr>
            <w:tcW w:w="898" w:type="dxa"/>
          </w:tcPr>
          <w:p w:rsidR="00B97965" w:rsidRPr="00126EF4" w:rsidRDefault="00B97965" w:rsidP="00B97965">
            <w:pPr>
              <w:pStyle w:val="ListParagraph1"/>
              <w:rPr>
                <w:sz w:val="16"/>
                <w:szCs w:val="16"/>
              </w:rPr>
            </w:pPr>
            <w:r w:rsidRPr="00126EF4">
              <w:rPr>
                <w:sz w:val="16"/>
                <w:szCs w:val="16"/>
              </w:rPr>
              <w:t>1.8173</w:t>
            </w:r>
          </w:p>
        </w:tc>
        <w:tc>
          <w:tcPr>
            <w:tcW w:w="898" w:type="dxa"/>
          </w:tcPr>
          <w:p w:rsidR="00B97965" w:rsidRPr="00126EF4" w:rsidRDefault="00B97965" w:rsidP="00B97965">
            <w:pPr>
              <w:pStyle w:val="ListParagraph1"/>
              <w:rPr>
                <w:sz w:val="16"/>
                <w:szCs w:val="16"/>
              </w:rPr>
            </w:pPr>
            <w:r w:rsidRPr="00126EF4">
              <w:rPr>
                <w:sz w:val="16"/>
                <w:szCs w:val="16"/>
              </w:rPr>
              <w:t>0.6693</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.9250</w:t>
            </w:r>
            <w:r>
              <w:t xml:space="preserve"> </w:t>
            </w:r>
          </w:p>
        </w:tc>
        <w:tc>
          <w:tcPr>
            <w:tcW w:w="897" w:type="dxa"/>
          </w:tcPr>
          <w:p w:rsidR="00B97965" w:rsidRPr="00126EF4" w:rsidRDefault="00B97965" w:rsidP="00B97965">
            <w:pPr>
              <w:pStyle w:val="ListParagraph1"/>
              <w:rPr>
                <w:sz w:val="16"/>
                <w:szCs w:val="16"/>
              </w:rPr>
            </w:pPr>
            <w:r w:rsidRPr="002A0178">
              <w:rPr>
                <w:sz w:val="16"/>
                <w:szCs w:val="16"/>
              </w:rPr>
              <w:t>1.9791</w:t>
            </w:r>
          </w:p>
        </w:tc>
        <w:tc>
          <w:tcPr>
            <w:tcW w:w="898" w:type="dxa"/>
          </w:tcPr>
          <w:p w:rsidR="00B97965" w:rsidRPr="00126EF4" w:rsidRDefault="00B97965" w:rsidP="00B97965">
            <w:pPr>
              <w:pStyle w:val="ListParagraph1"/>
              <w:rPr>
                <w:sz w:val="16"/>
                <w:szCs w:val="16"/>
              </w:rPr>
            </w:pPr>
            <w:r w:rsidRPr="002A0178">
              <w:rPr>
                <w:sz w:val="16"/>
                <w:szCs w:val="16"/>
              </w:rPr>
              <w:t>2.637</w:t>
            </w:r>
            <w:r>
              <w:rPr>
                <w:sz w:val="16"/>
                <w:szCs w:val="16"/>
              </w:rPr>
              <w:t>9***</w:t>
            </w:r>
          </w:p>
        </w:tc>
        <w:tc>
          <w:tcPr>
            <w:tcW w:w="898" w:type="dxa"/>
          </w:tcPr>
          <w:p w:rsidR="00B97965" w:rsidRPr="00126EF4" w:rsidRDefault="00B97965" w:rsidP="00B97965">
            <w:pPr>
              <w:pStyle w:val="ListParagraph1"/>
              <w:rPr>
                <w:sz w:val="16"/>
                <w:szCs w:val="16"/>
              </w:rPr>
            </w:pPr>
            <w:r w:rsidRPr="00ED0E4B">
              <w:rPr>
                <w:sz w:val="16"/>
                <w:szCs w:val="16"/>
              </w:rPr>
              <w:t>1.3311</w:t>
            </w:r>
          </w:p>
        </w:tc>
        <w:tc>
          <w:tcPr>
            <w:tcW w:w="898" w:type="dxa"/>
          </w:tcPr>
          <w:p w:rsidR="00B97965" w:rsidRPr="00126EF4" w:rsidRDefault="00B97965" w:rsidP="00B97965">
            <w:pPr>
              <w:pStyle w:val="ListParagraph1"/>
              <w:rPr>
                <w:sz w:val="16"/>
                <w:szCs w:val="16"/>
              </w:rPr>
            </w:pPr>
            <w:r w:rsidRPr="007F6D8A">
              <w:rPr>
                <w:sz w:val="16"/>
                <w:szCs w:val="16"/>
              </w:rPr>
              <w:t>5.0869</w:t>
            </w:r>
            <w:r>
              <w:rPr>
                <w:sz w:val="16"/>
                <w:szCs w:val="16"/>
              </w:rPr>
              <w:t>***</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Skin involvement at last visit</w:t>
            </w:r>
          </w:p>
        </w:tc>
        <w:tc>
          <w:tcPr>
            <w:tcW w:w="897" w:type="dxa"/>
          </w:tcPr>
          <w:p w:rsidR="00B97965" w:rsidRPr="00126EF4" w:rsidRDefault="00B97965" w:rsidP="00B97965">
            <w:pPr>
              <w:pStyle w:val="ListParagraph1"/>
              <w:rPr>
                <w:sz w:val="16"/>
                <w:szCs w:val="16"/>
              </w:rPr>
            </w:pPr>
            <w:r w:rsidRPr="00126EF4">
              <w:rPr>
                <w:sz w:val="16"/>
                <w:szCs w:val="16"/>
              </w:rPr>
              <w:t>0.6892</w:t>
            </w:r>
          </w:p>
        </w:tc>
        <w:tc>
          <w:tcPr>
            <w:tcW w:w="898" w:type="dxa"/>
          </w:tcPr>
          <w:p w:rsidR="00B97965" w:rsidRPr="00126EF4" w:rsidRDefault="00B97965" w:rsidP="00B97965">
            <w:pPr>
              <w:pStyle w:val="ListParagraph1"/>
              <w:rPr>
                <w:sz w:val="16"/>
                <w:szCs w:val="16"/>
              </w:rPr>
            </w:pPr>
            <w:r w:rsidRPr="00126EF4">
              <w:rPr>
                <w:sz w:val="16"/>
                <w:szCs w:val="16"/>
              </w:rPr>
              <w:t>0.5362</w:t>
            </w:r>
          </w:p>
        </w:tc>
        <w:tc>
          <w:tcPr>
            <w:tcW w:w="898" w:type="dxa"/>
          </w:tcPr>
          <w:p w:rsidR="00B97965" w:rsidRPr="00126EF4" w:rsidRDefault="00B97965" w:rsidP="00B97965">
            <w:pPr>
              <w:pStyle w:val="ListParagraph1"/>
              <w:rPr>
                <w:sz w:val="16"/>
                <w:szCs w:val="16"/>
              </w:rPr>
            </w:pPr>
            <w:r w:rsidRPr="00126EF4">
              <w:rPr>
                <w:sz w:val="16"/>
                <w:szCs w:val="16"/>
              </w:rPr>
              <w:t>0.7950</w:t>
            </w:r>
          </w:p>
        </w:tc>
        <w:tc>
          <w:tcPr>
            <w:tcW w:w="898" w:type="dxa"/>
          </w:tcPr>
          <w:p w:rsidR="00B97965" w:rsidRPr="00126EF4" w:rsidRDefault="00B97965" w:rsidP="00B97965">
            <w:pPr>
              <w:pStyle w:val="ListParagraph1"/>
              <w:rPr>
                <w:sz w:val="16"/>
                <w:szCs w:val="16"/>
              </w:rPr>
            </w:pPr>
            <w:r w:rsidRPr="00126EF4">
              <w:rPr>
                <w:sz w:val="16"/>
                <w:szCs w:val="16"/>
              </w:rPr>
              <w:t>.6970*</w:t>
            </w:r>
          </w:p>
        </w:tc>
        <w:tc>
          <w:tcPr>
            <w:tcW w:w="897" w:type="dxa"/>
          </w:tcPr>
          <w:p w:rsidR="00B97965" w:rsidRPr="00126EF4" w:rsidRDefault="00B97965" w:rsidP="00B97965">
            <w:pPr>
              <w:pStyle w:val="ListParagraph1"/>
              <w:rPr>
                <w:sz w:val="16"/>
                <w:szCs w:val="16"/>
              </w:rPr>
            </w:pPr>
            <w:r w:rsidRPr="00126EF4">
              <w:rPr>
                <w:sz w:val="16"/>
                <w:szCs w:val="16"/>
              </w:rPr>
              <w:t>1.1519</w:t>
            </w:r>
          </w:p>
        </w:tc>
        <w:tc>
          <w:tcPr>
            <w:tcW w:w="898" w:type="dxa"/>
          </w:tcPr>
          <w:p w:rsidR="00B97965" w:rsidRPr="00126EF4" w:rsidRDefault="00B97965" w:rsidP="00B97965">
            <w:pPr>
              <w:pStyle w:val="ListParagraph1"/>
              <w:rPr>
                <w:sz w:val="16"/>
                <w:szCs w:val="16"/>
              </w:rPr>
            </w:pPr>
            <w:r w:rsidRPr="00126EF4">
              <w:rPr>
                <w:sz w:val="16"/>
                <w:szCs w:val="16"/>
              </w:rPr>
              <w:t>1.2477</w:t>
            </w:r>
          </w:p>
        </w:tc>
        <w:tc>
          <w:tcPr>
            <w:tcW w:w="898" w:type="dxa"/>
          </w:tcPr>
          <w:p w:rsidR="00B97965" w:rsidRPr="00126EF4" w:rsidRDefault="00B97965" w:rsidP="00B97965">
            <w:pPr>
              <w:pStyle w:val="ListParagraph1"/>
              <w:rPr>
                <w:sz w:val="16"/>
                <w:szCs w:val="16"/>
              </w:rPr>
            </w:pPr>
            <w:r w:rsidRPr="00126EF4">
              <w:rPr>
                <w:sz w:val="16"/>
                <w:szCs w:val="16"/>
              </w:rPr>
              <w:t>1.1000</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.9630</w:t>
            </w:r>
          </w:p>
        </w:tc>
        <w:tc>
          <w:tcPr>
            <w:tcW w:w="897" w:type="dxa"/>
          </w:tcPr>
          <w:p w:rsidR="00B97965" w:rsidRPr="00126EF4" w:rsidRDefault="00B97965" w:rsidP="00B97965">
            <w:pPr>
              <w:pStyle w:val="ListParagraph1"/>
              <w:rPr>
                <w:sz w:val="16"/>
                <w:szCs w:val="16"/>
              </w:rPr>
            </w:pPr>
            <w:r w:rsidRPr="002A0178">
              <w:rPr>
                <w:sz w:val="16"/>
                <w:szCs w:val="16"/>
              </w:rPr>
              <w:t>3.8781</w:t>
            </w:r>
            <w:r>
              <w:rPr>
                <w:sz w:val="16"/>
                <w:szCs w:val="16"/>
              </w:rPr>
              <w:t>***</w:t>
            </w:r>
          </w:p>
        </w:tc>
        <w:tc>
          <w:tcPr>
            <w:tcW w:w="898" w:type="dxa"/>
          </w:tcPr>
          <w:p w:rsidR="00B97965" w:rsidRPr="00126EF4" w:rsidRDefault="00B97965" w:rsidP="00B97965">
            <w:pPr>
              <w:pStyle w:val="ListParagraph1"/>
              <w:rPr>
                <w:sz w:val="16"/>
                <w:szCs w:val="16"/>
              </w:rPr>
            </w:pPr>
            <w:r w:rsidRPr="002A0178">
              <w:rPr>
                <w:sz w:val="16"/>
                <w:szCs w:val="16"/>
              </w:rPr>
              <w:t>1.0397</w:t>
            </w:r>
          </w:p>
        </w:tc>
        <w:tc>
          <w:tcPr>
            <w:tcW w:w="898" w:type="dxa"/>
          </w:tcPr>
          <w:p w:rsidR="00B97965" w:rsidRPr="00126EF4" w:rsidRDefault="00B97965" w:rsidP="00B97965">
            <w:pPr>
              <w:pStyle w:val="ListParagraph1"/>
              <w:rPr>
                <w:sz w:val="16"/>
                <w:szCs w:val="16"/>
              </w:rPr>
            </w:pPr>
            <w:r>
              <w:rPr>
                <w:sz w:val="16"/>
                <w:szCs w:val="16"/>
              </w:rPr>
              <w:t>0</w:t>
            </w:r>
            <w:r w:rsidRPr="00ED0E4B">
              <w:rPr>
                <w:sz w:val="16"/>
                <w:szCs w:val="16"/>
              </w:rPr>
              <w:t>.881</w:t>
            </w:r>
            <w:r>
              <w:rPr>
                <w:sz w:val="16"/>
                <w:szCs w:val="16"/>
              </w:rPr>
              <w:t>2</w:t>
            </w:r>
          </w:p>
        </w:tc>
        <w:tc>
          <w:tcPr>
            <w:tcW w:w="898" w:type="dxa"/>
          </w:tcPr>
          <w:p w:rsidR="00B97965" w:rsidRPr="00126EF4" w:rsidRDefault="00B97965" w:rsidP="00B97965">
            <w:pPr>
              <w:pStyle w:val="ListParagraph1"/>
              <w:rPr>
                <w:sz w:val="16"/>
                <w:szCs w:val="16"/>
              </w:rPr>
            </w:pPr>
            <w:r>
              <w:rPr>
                <w:sz w:val="16"/>
                <w:szCs w:val="16"/>
              </w:rPr>
              <w:t>0</w:t>
            </w:r>
            <w:r w:rsidRPr="007F6D8A">
              <w:rPr>
                <w:sz w:val="16"/>
                <w:szCs w:val="16"/>
              </w:rPr>
              <w:t>.3026</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Vasculitis at last visit</w:t>
            </w:r>
          </w:p>
        </w:tc>
        <w:tc>
          <w:tcPr>
            <w:tcW w:w="897" w:type="dxa"/>
          </w:tcPr>
          <w:p w:rsidR="00B97965" w:rsidRPr="00126EF4" w:rsidRDefault="00B97965" w:rsidP="00B97965">
            <w:pPr>
              <w:pStyle w:val="ListParagraph1"/>
              <w:rPr>
                <w:sz w:val="16"/>
                <w:szCs w:val="16"/>
              </w:rPr>
            </w:pPr>
            <w:r w:rsidRPr="00126EF4">
              <w:rPr>
                <w:sz w:val="16"/>
                <w:szCs w:val="16"/>
              </w:rPr>
              <w:t>0.6194</w:t>
            </w:r>
          </w:p>
        </w:tc>
        <w:tc>
          <w:tcPr>
            <w:tcW w:w="898" w:type="dxa"/>
          </w:tcPr>
          <w:p w:rsidR="00B97965" w:rsidRPr="00126EF4" w:rsidRDefault="00B97965" w:rsidP="00B97965">
            <w:pPr>
              <w:pStyle w:val="ListParagraph1"/>
              <w:rPr>
                <w:sz w:val="16"/>
                <w:szCs w:val="16"/>
              </w:rPr>
            </w:pPr>
            <w:r w:rsidRPr="00126EF4">
              <w:rPr>
                <w:sz w:val="16"/>
                <w:szCs w:val="16"/>
              </w:rPr>
              <w:t>1.3958</w:t>
            </w:r>
          </w:p>
        </w:tc>
        <w:tc>
          <w:tcPr>
            <w:tcW w:w="898" w:type="dxa"/>
          </w:tcPr>
          <w:p w:rsidR="00B97965" w:rsidRPr="00126EF4" w:rsidRDefault="00B97965" w:rsidP="00B97965">
            <w:pPr>
              <w:pStyle w:val="ListParagraph1"/>
              <w:rPr>
                <w:sz w:val="16"/>
                <w:szCs w:val="16"/>
              </w:rPr>
            </w:pPr>
            <w:r w:rsidRPr="00126EF4">
              <w:rPr>
                <w:sz w:val="16"/>
                <w:szCs w:val="16"/>
              </w:rPr>
              <w:t>0.8090</w:t>
            </w:r>
          </w:p>
        </w:tc>
        <w:tc>
          <w:tcPr>
            <w:tcW w:w="898" w:type="dxa"/>
          </w:tcPr>
          <w:p w:rsidR="00B97965" w:rsidRPr="00126EF4" w:rsidRDefault="00B97965" w:rsidP="00B97965">
            <w:pPr>
              <w:pStyle w:val="ListParagraph1"/>
              <w:rPr>
                <w:sz w:val="16"/>
                <w:szCs w:val="16"/>
              </w:rPr>
            </w:pPr>
            <w:r w:rsidRPr="00126EF4">
              <w:rPr>
                <w:sz w:val="16"/>
                <w:szCs w:val="16"/>
              </w:rPr>
              <w:t>1.2792</w:t>
            </w:r>
          </w:p>
        </w:tc>
        <w:tc>
          <w:tcPr>
            <w:tcW w:w="897" w:type="dxa"/>
          </w:tcPr>
          <w:p w:rsidR="00B97965" w:rsidRPr="00126EF4" w:rsidRDefault="00B97965" w:rsidP="00B97965">
            <w:pPr>
              <w:pStyle w:val="ListParagraph1"/>
              <w:rPr>
                <w:sz w:val="16"/>
                <w:szCs w:val="16"/>
              </w:rPr>
            </w:pPr>
            <w:r w:rsidRPr="00126EF4">
              <w:rPr>
                <w:sz w:val="16"/>
                <w:szCs w:val="16"/>
              </w:rPr>
              <w:t>2.8064**</w:t>
            </w:r>
          </w:p>
        </w:tc>
        <w:tc>
          <w:tcPr>
            <w:tcW w:w="898" w:type="dxa"/>
          </w:tcPr>
          <w:p w:rsidR="00B97965" w:rsidRPr="00126EF4" w:rsidRDefault="00B97965" w:rsidP="00B97965">
            <w:pPr>
              <w:pStyle w:val="ListParagraph1"/>
              <w:rPr>
                <w:sz w:val="16"/>
                <w:szCs w:val="16"/>
              </w:rPr>
            </w:pPr>
            <w:r w:rsidRPr="00126EF4">
              <w:rPr>
                <w:sz w:val="16"/>
                <w:szCs w:val="16"/>
              </w:rPr>
              <w:t>3.5777*</w:t>
            </w:r>
          </w:p>
        </w:tc>
        <w:tc>
          <w:tcPr>
            <w:tcW w:w="898" w:type="dxa"/>
          </w:tcPr>
          <w:p w:rsidR="00B97965" w:rsidRPr="00126EF4" w:rsidRDefault="00B97965" w:rsidP="00B97965">
            <w:pPr>
              <w:pStyle w:val="ListParagraph1"/>
              <w:rPr>
                <w:sz w:val="16"/>
                <w:szCs w:val="16"/>
              </w:rPr>
            </w:pPr>
            <w:r w:rsidRPr="00126EF4">
              <w:rPr>
                <w:sz w:val="16"/>
                <w:szCs w:val="16"/>
              </w:rPr>
              <w:t>4.5541***</w:t>
            </w:r>
          </w:p>
        </w:tc>
        <w:tc>
          <w:tcPr>
            <w:tcW w:w="898" w:type="dxa"/>
          </w:tcPr>
          <w:p w:rsidR="00B97965" w:rsidRPr="00126EF4" w:rsidRDefault="00B97965" w:rsidP="00B97965">
            <w:pPr>
              <w:pStyle w:val="ListParagraph1"/>
              <w:rPr>
                <w:sz w:val="16"/>
                <w:szCs w:val="16"/>
              </w:rPr>
            </w:pPr>
            <w:r w:rsidRPr="00126EF4">
              <w:rPr>
                <w:sz w:val="16"/>
                <w:szCs w:val="16"/>
              </w:rPr>
              <w:t>1.4694</w:t>
            </w:r>
          </w:p>
        </w:tc>
        <w:tc>
          <w:tcPr>
            <w:tcW w:w="897" w:type="dxa"/>
          </w:tcPr>
          <w:p w:rsidR="00B97965" w:rsidRPr="00126EF4" w:rsidRDefault="00B97965" w:rsidP="00B97965">
            <w:pPr>
              <w:pStyle w:val="ListParagraph1"/>
              <w:rPr>
                <w:sz w:val="16"/>
                <w:szCs w:val="16"/>
              </w:rPr>
            </w:pPr>
            <w:r w:rsidRPr="002A0178">
              <w:rPr>
                <w:sz w:val="16"/>
                <w:szCs w:val="16"/>
              </w:rPr>
              <w:t>2.4628</w:t>
            </w:r>
          </w:p>
        </w:tc>
        <w:tc>
          <w:tcPr>
            <w:tcW w:w="898" w:type="dxa"/>
          </w:tcPr>
          <w:p w:rsidR="00B97965" w:rsidRPr="00126EF4" w:rsidRDefault="00B97965" w:rsidP="00B97965">
            <w:pPr>
              <w:pStyle w:val="ListParagraph1"/>
              <w:rPr>
                <w:sz w:val="16"/>
                <w:szCs w:val="16"/>
              </w:rPr>
            </w:pPr>
            <w:r>
              <w:rPr>
                <w:sz w:val="16"/>
                <w:szCs w:val="16"/>
              </w:rPr>
              <w:t>0.0000</w:t>
            </w:r>
          </w:p>
        </w:tc>
        <w:tc>
          <w:tcPr>
            <w:tcW w:w="898" w:type="dxa"/>
          </w:tcPr>
          <w:p w:rsidR="00B97965" w:rsidRPr="00126EF4" w:rsidRDefault="00B97965" w:rsidP="00B97965">
            <w:pPr>
              <w:pStyle w:val="ListParagraph1"/>
              <w:rPr>
                <w:sz w:val="16"/>
                <w:szCs w:val="16"/>
              </w:rPr>
            </w:pPr>
            <w:r w:rsidRPr="00ED0E4B">
              <w:rPr>
                <w:sz w:val="16"/>
                <w:szCs w:val="16"/>
              </w:rPr>
              <w:t>1.623</w:t>
            </w:r>
            <w:r>
              <w:rPr>
                <w:sz w:val="16"/>
                <w:szCs w:val="16"/>
              </w:rPr>
              <w:t>7</w:t>
            </w:r>
          </w:p>
        </w:tc>
        <w:tc>
          <w:tcPr>
            <w:tcW w:w="898" w:type="dxa"/>
          </w:tcPr>
          <w:p w:rsidR="00B97965" w:rsidRPr="00126EF4" w:rsidRDefault="00B97965" w:rsidP="00B97965">
            <w:pPr>
              <w:pStyle w:val="ListParagraph1"/>
              <w:rPr>
                <w:sz w:val="16"/>
                <w:szCs w:val="16"/>
              </w:rPr>
            </w:pPr>
            <w:r>
              <w:rPr>
                <w:sz w:val="16"/>
                <w:szCs w:val="16"/>
              </w:rPr>
              <w:t>0.0000</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Haematological involvement at last visit</w:t>
            </w:r>
          </w:p>
        </w:tc>
        <w:tc>
          <w:tcPr>
            <w:tcW w:w="897" w:type="dxa"/>
          </w:tcPr>
          <w:p w:rsidR="00B97965" w:rsidRPr="00126EF4" w:rsidRDefault="00B97965" w:rsidP="00B97965">
            <w:pPr>
              <w:pStyle w:val="ListParagraph1"/>
              <w:rPr>
                <w:sz w:val="16"/>
                <w:szCs w:val="16"/>
              </w:rPr>
            </w:pPr>
            <w:r w:rsidRPr="00126EF4">
              <w:rPr>
                <w:sz w:val="16"/>
                <w:szCs w:val="16"/>
              </w:rPr>
              <w:t>0.8162</w:t>
            </w:r>
          </w:p>
        </w:tc>
        <w:tc>
          <w:tcPr>
            <w:tcW w:w="898" w:type="dxa"/>
          </w:tcPr>
          <w:p w:rsidR="00B97965" w:rsidRPr="00126EF4" w:rsidRDefault="00B97965" w:rsidP="00B97965">
            <w:pPr>
              <w:pStyle w:val="ListParagraph1"/>
              <w:rPr>
                <w:sz w:val="16"/>
                <w:szCs w:val="16"/>
              </w:rPr>
            </w:pPr>
            <w:r w:rsidRPr="00126EF4">
              <w:rPr>
                <w:sz w:val="16"/>
                <w:szCs w:val="16"/>
              </w:rPr>
              <w:t>1.0031</w:t>
            </w:r>
          </w:p>
        </w:tc>
        <w:tc>
          <w:tcPr>
            <w:tcW w:w="898" w:type="dxa"/>
          </w:tcPr>
          <w:p w:rsidR="00B97965" w:rsidRPr="00126EF4" w:rsidRDefault="00B97965" w:rsidP="00B97965">
            <w:pPr>
              <w:pStyle w:val="ListParagraph1"/>
              <w:rPr>
                <w:sz w:val="16"/>
                <w:szCs w:val="16"/>
              </w:rPr>
            </w:pPr>
            <w:r w:rsidRPr="00126EF4">
              <w:rPr>
                <w:sz w:val="16"/>
                <w:szCs w:val="16"/>
              </w:rPr>
              <w:t>1.1800</w:t>
            </w:r>
          </w:p>
        </w:tc>
        <w:tc>
          <w:tcPr>
            <w:tcW w:w="898" w:type="dxa"/>
          </w:tcPr>
          <w:p w:rsidR="00B97965" w:rsidRPr="00126EF4" w:rsidRDefault="00B97965" w:rsidP="00B97965">
            <w:pPr>
              <w:pStyle w:val="ListParagraph1"/>
              <w:rPr>
                <w:sz w:val="16"/>
                <w:szCs w:val="16"/>
              </w:rPr>
            </w:pPr>
            <w:r w:rsidRPr="00126EF4">
              <w:rPr>
                <w:sz w:val="16"/>
                <w:szCs w:val="16"/>
              </w:rPr>
              <w:t>1.0087</w:t>
            </w:r>
          </w:p>
        </w:tc>
        <w:tc>
          <w:tcPr>
            <w:tcW w:w="897" w:type="dxa"/>
          </w:tcPr>
          <w:p w:rsidR="00B97965" w:rsidRPr="00126EF4" w:rsidRDefault="00B97965" w:rsidP="00B97965">
            <w:pPr>
              <w:pStyle w:val="ListParagraph1"/>
              <w:rPr>
                <w:sz w:val="16"/>
                <w:szCs w:val="16"/>
              </w:rPr>
            </w:pPr>
            <w:r w:rsidRPr="00126EF4">
              <w:rPr>
                <w:sz w:val="16"/>
                <w:szCs w:val="16"/>
              </w:rPr>
              <w:t>1.0613</w:t>
            </w:r>
          </w:p>
        </w:tc>
        <w:tc>
          <w:tcPr>
            <w:tcW w:w="898" w:type="dxa"/>
          </w:tcPr>
          <w:p w:rsidR="00B97965" w:rsidRPr="00126EF4" w:rsidRDefault="00B97965" w:rsidP="00B97965">
            <w:pPr>
              <w:pStyle w:val="ListParagraph1"/>
              <w:rPr>
                <w:sz w:val="16"/>
                <w:szCs w:val="16"/>
              </w:rPr>
            </w:pPr>
            <w:r w:rsidRPr="00126EF4">
              <w:rPr>
                <w:sz w:val="16"/>
                <w:szCs w:val="16"/>
              </w:rPr>
              <w:t>0.7647</w:t>
            </w:r>
          </w:p>
        </w:tc>
        <w:tc>
          <w:tcPr>
            <w:tcW w:w="898" w:type="dxa"/>
          </w:tcPr>
          <w:p w:rsidR="00B97965" w:rsidRPr="00126EF4" w:rsidRDefault="00B97965" w:rsidP="00B97965">
            <w:pPr>
              <w:pStyle w:val="ListParagraph1"/>
              <w:rPr>
                <w:sz w:val="16"/>
                <w:szCs w:val="16"/>
              </w:rPr>
            </w:pPr>
            <w:r w:rsidRPr="00126EF4">
              <w:rPr>
                <w:sz w:val="16"/>
                <w:szCs w:val="16"/>
              </w:rPr>
              <w:t>0.4652</w:t>
            </w:r>
          </w:p>
        </w:tc>
        <w:tc>
          <w:tcPr>
            <w:tcW w:w="898" w:type="dxa"/>
          </w:tcPr>
          <w:p w:rsidR="00B97965" w:rsidRPr="00126EF4" w:rsidRDefault="00B97965" w:rsidP="00B97965">
            <w:pPr>
              <w:pStyle w:val="ListParagraph1"/>
              <w:rPr>
                <w:sz w:val="16"/>
                <w:szCs w:val="16"/>
              </w:rPr>
            </w:pPr>
            <w:r w:rsidRPr="00126EF4">
              <w:rPr>
                <w:sz w:val="16"/>
                <w:szCs w:val="16"/>
              </w:rPr>
              <w:t>1.0176</w:t>
            </w:r>
          </w:p>
        </w:tc>
        <w:tc>
          <w:tcPr>
            <w:tcW w:w="897" w:type="dxa"/>
          </w:tcPr>
          <w:p w:rsidR="00B97965" w:rsidRPr="00126EF4" w:rsidRDefault="00B97965" w:rsidP="00B97965">
            <w:pPr>
              <w:pStyle w:val="ListParagraph1"/>
              <w:rPr>
                <w:sz w:val="16"/>
                <w:szCs w:val="16"/>
              </w:rPr>
            </w:pPr>
            <w:r w:rsidRPr="002A0178">
              <w:rPr>
                <w:sz w:val="16"/>
                <w:szCs w:val="16"/>
              </w:rPr>
              <w:t>1.914</w:t>
            </w:r>
            <w:r>
              <w:rPr>
                <w:sz w:val="16"/>
                <w:szCs w:val="16"/>
              </w:rPr>
              <w:t>1</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.891</w:t>
            </w:r>
            <w:r>
              <w:rPr>
                <w:sz w:val="16"/>
                <w:szCs w:val="16"/>
              </w:rPr>
              <w:t>5</w:t>
            </w:r>
          </w:p>
        </w:tc>
        <w:tc>
          <w:tcPr>
            <w:tcW w:w="898" w:type="dxa"/>
          </w:tcPr>
          <w:p w:rsidR="00B97965" w:rsidRPr="00126EF4" w:rsidRDefault="00B97965" w:rsidP="00B97965">
            <w:pPr>
              <w:pStyle w:val="ListParagraph1"/>
              <w:rPr>
                <w:sz w:val="16"/>
                <w:szCs w:val="16"/>
              </w:rPr>
            </w:pPr>
            <w:r w:rsidRPr="00ED0E4B">
              <w:rPr>
                <w:sz w:val="16"/>
                <w:szCs w:val="16"/>
              </w:rPr>
              <w:t>1.34</w:t>
            </w:r>
            <w:r>
              <w:rPr>
                <w:sz w:val="16"/>
                <w:szCs w:val="16"/>
              </w:rPr>
              <w:t>10</w:t>
            </w:r>
          </w:p>
        </w:tc>
        <w:tc>
          <w:tcPr>
            <w:tcW w:w="898" w:type="dxa"/>
          </w:tcPr>
          <w:p w:rsidR="00B97965" w:rsidRPr="00126EF4" w:rsidRDefault="00B97965" w:rsidP="00B97965">
            <w:pPr>
              <w:pStyle w:val="ListParagraph1"/>
              <w:rPr>
                <w:sz w:val="16"/>
                <w:szCs w:val="16"/>
              </w:rPr>
            </w:pPr>
            <w:r w:rsidRPr="007F6D8A">
              <w:rPr>
                <w:sz w:val="16"/>
                <w:szCs w:val="16"/>
              </w:rPr>
              <w:t>4.7953</w:t>
            </w:r>
            <w:r>
              <w:rPr>
                <w:sz w:val="16"/>
                <w:szCs w:val="16"/>
              </w:rPr>
              <w:t>***</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Serositis involvement at last visit</w:t>
            </w:r>
          </w:p>
        </w:tc>
        <w:tc>
          <w:tcPr>
            <w:tcW w:w="897" w:type="dxa"/>
          </w:tcPr>
          <w:p w:rsidR="00B97965" w:rsidRPr="00126EF4" w:rsidRDefault="00B97965" w:rsidP="00B97965">
            <w:pPr>
              <w:pStyle w:val="ListParagraph1"/>
              <w:rPr>
                <w:sz w:val="16"/>
                <w:szCs w:val="16"/>
              </w:rPr>
            </w:pPr>
            <w:r w:rsidRPr="00126EF4">
              <w:rPr>
                <w:sz w:val="16"/>
                <w:szCs w:val="16"/>
              </w:rPr>
              <w:t>2.8107***</w:t>
            </w:r>
          </w:p>
        </w:tc>
        <w:tc>
          <w:tcPr>
            <w:tcW w:w="898" w:type="dxa"/>
          </w:tcPr>
          <w:p w:rsidR="00B97965" w:rsidRPr="00126EF4" w:rsidRDefault="00B97965" w:rsidP="00B97965">
            <w:pPr>
              <w:pStyle w:val="ListParagraph1"/>
              <w:rPr>
                <w:sz w:val="16"/>
                <w:szCs w:val="16"/>
              </w:rPr>
            </w:pPr>
            <w:r w:rsidRPr="00126EF4">
              <w:rPr>
                <w:sz w:val="16"/>
                <w:szCs w:val="16"/>
              </w:rPr>
              <w:t>1.3089</w:t>
            </w:r>
          </w:p>
        </w:tc>
        <w:tc>
          <w:tcPr>
            <w:tcW w:w="898" w:type="dxa"/>
          </w:tcPr>
          <w:p w:rsidR="00B97965" w:rsidRPr="00126EF4" w:rsidRDefault="00B97965" w:rsidP="00B97965">
            <w:pPr>
              <w:pStyle w:val="ListParagraph1"/>
              <w:rPr>
                <w:sz w:val="16"/>
                <w:szCs w:val="16"/>
              </w:rPr>
            </w:pPr>
            <w:r w:rsidRPr="00126EF4">
              <w:rPr>
                <w:sz w:val="16"/>
                <w:szCs w:val="16"/>
              </w:rPr>
              <w:t>1.4566</w:t>
            </w:r>
          </w:p>
        </w:tc>
        <w:tc>
          <w:tcPr>
            <w:tcW w:w="898" w:type="dxa"/>
          </w:tcPr>
          <w:p w:rsidR="00B97965" w:rsidRPr="00126EF4" w:rsidRDefault="00B97965" w:rsidP="00B97965">
            <w:pPr>
              <w:pStyle w:val="ListParagraph1"/>
              <w:rPr>
                <w:sz w:val="16"/>
                <w:szCs w:val="16"/>
              </w:rPr>
            </w:pPr>
            <w:r w:rsidRPr="00126EF4">
              <w:rPr>
                <w:sz w:val="16"/>
                <w:szCs w:val="16"/>
              </w:rPr>
              <w:t>.4037</w:t>
            </w:r>
          </w:p>
        </w:tc>
        <w:tc>
          <w:tcPr>
            <w:tcW w:w="897" w:type="dxa"/>
          </w:tcPr>
          <w:p w:rsidR="00B97965" w:rsidRPr="00126EF4" w:rsidRDefault="00B97965" w:rsidP="00B97965">
            <w:pPr>
              <w:pStyle w:val="ListParagraph1"/>
              <w:rPr>
                <w:sz w:val="16"/>
                <w:szCs w:val="16"/>
              </w:rPr>
            </w:pPr>
            <w:r w:rsidRPr="00126EF4">
              <w:rPr>
                <w:sz w:val="16"/>
                <w:szCs w:val="16"/>
              </w:rPr>
              <w:t>4.8941***</w:t>
            </w:r>
          </w:p>
        </w:tc>
        <w:tc>
          <w:tcPr>
            <w:tcW w:w="898" w:type="dxa"/>
          </w:tcPr>
          <w:p w:rsidR="00B97965" w:rsidRPr="00126EF4" w:rsidRDefault="00B97965" w:rsidP="00B97965">
            <w:pPr>
              <w:pStyle w:val="ListParagraph1"/>
              <w:rPr>
                <w:sz w:val="16"/>
                <w:szCs w:val="16"/>
              </w:rPr>
            </w:pPr>
            <w:r w:rsidRPr="00126EF4">
              <w:rPr>
                <w:sz w:val="16"/>
                <w:szCs w:val="16"/>
              </w:rPr>
              <w:t>0.0000</w:t>
            </w:r>
          </w:p>
        </w:tc>
        <w:tc>
          <w:tcPr>
            <w:tcW w:w="898" w:type="dxa"/>
          </w:tcPr>
          <w:p w:rsidR="00B97965" w:rsidRPr="00126EF4" w:rsidRDefault="00B97965" w:rsidP="00B97965">
            <w:pPr>
              <w:pStyle w:val="ListParagraph1"/>
              <w:rPr>
                <w:sz w:val="16"/>
                <w:szCs w:val="16"/>
              </w:rPr>
            </w:pPr>
            <w:r w:rsidRPr="00126EF4">
              <w:rPr>
                <w:sz w:val="16"/>
                <w:szCs w:val="16"/>
              </w:rPr>
              <w:t>1.0475</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.93</w:t>
            </w:r>
            <w:r>
              <w:rPr>
                <w:sz w:val="16"/>
                <w:szCs w:val="16"/>
              </w:rPr>
              <w:t>60</w:t>
            </w:r>
          </w:p>
        </w:tc>
        <w:tc>
          <w:tcPr>
            <w:tcW w:w="897" w:type="dxa"/>
          </w:tcPr>
          <w:p w:rsidR="00B97965" w:rsidRPr="00126EF4" w:rsidRDefault="00B97965" w:rsidP="00B97965">
            <w:pPr>
              <w:pStyle w:val="ListParagraph1"/>
              <w:rPr>
                <w:sz w:val="16"/>
                <w:szCs w:val="16"/>
              </w:rPr>
            </w:pPr>
            <w:r>
              <w:rPr>
                <w:sz w:val="16"/>
                <w:szCs w:val="16"/>
              </w:rPr>
              <w:t>0.0000</w:t>
            </w:r>
          </w:p>
        </w:tc>
        <w:tc>
          <w:tcPr>
            <w:tcW w:w="898" w:type="dxa"/>
          </w:tcPr>
          <w:p w:rsidR="00B97965" w:rsidRPr="00126EF4" w:rsidRDefault="00B97965" w:rsidP="00B97965">
            <w:pPr>
              <w:pStyle w:val="ListParagraph1"/>
              <w:rPr>
                <w:sz w:val="16"/>
                <w:szCs w:val="16"/>
              </w:rPr>
            </w:pPr>
            <w:r w:rsidRPr="002A0178">
              <w:rPr>
                <w:sz w:val="16"/>
                <w:szCs w:val="16"/>
              </w:rPr>
              <w:t>1.468</w:t>
            </w:r>
            <w:r>
              <w:rPr>
                <w:sz w:val="16"/>
                <w:szCs w:val="16"/>
              </w:rPr>
              <w:t>5</w:t>
            </w:r>
          </w:p>
        </w:tc>
        <w:tc>
          <w:tcPr>
            <w:tcW w:w="898" w:type="dxa"/>
          </w:tcPr>
          <w:p w:rsidR="00B97965" w:rsidRPr="00126EF4" w:rsidRDefault="00B97965" w:rsidP="00B97965">
            <w:pPr>
              <w:pStyle w:val="ListParagraph1"/>
              <w:rPr>
                <w:sz w:val="16"/>
                <w:szCs w:val="16"/>
              </w:rPr>
            </w:pPr>
            <w:r>
              <w:rPr>
                <w:sz w:val="16"/>
                <w:szCs w:val="16"/>
              </w:rPr>
              <w:t>0.0000</w:t>
            </w:r>
          </w:p>
        </w:tc>
        <w:tc>
          <w:tcPr>
            <w:tcW w:w="898" w:type="dxa"/>
          </w:tcPr>
          <w:p w:rsidR="00B97965" w:rsidRPr="00126EF4" w:rsidRDefault="00B97965" w:rsidP="00B97965">
            <w:pPr>
              <w:pStyle w:val="ListParagraph1"/>
              <w:rPr>
                <w:sz w:val="16"/>
                <w:szCs w:val="16"/>
              </w:rPr>
            </w:pPr>
            <w:r w:rsidRPr="007F6D8A">
              <w:rPr>
                <w:sz w:val="16"/>
                <w:szCs w:val="16"/>
              </w:rPr>
              <w:t>1.35</w:t>
            </w:r>
            <w:r>
              <w:rPr>
                <w:sz w:val="16"/>
                <w:szCs w:val="16"/>
              </w:rPr>
              <w:t>50</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DNA binding at last visit</w:t>
            </w:r>
          </w:p>
        </w:tc>
        <w:tc>
          <w:tcPr>
            <w:tcW w:w="897" w:type="dxa"/>
          </w:tcPr>
          <w:p w:rsidR="00B97965" w:rsidRPr="00126EF4" w:rsidRDefault="00B97965" w:rsidP="00B97965">
            <w:pPr>
              <w:pStyle w:val="ListParagraph1"/>
              <w:rPr>
                <w:sz w:val="16"/>
                <w:szCs w:val="16"/>
              </w:rPr>
            </w:pPr>
            <w:r w:rsidRPr="00126EF4">
              <w:rPr>
                <w:sz w:val="16"/>
                <w:szCs w:val="16"/>
              </w:rPr>
              <w:t>1.8484***</w:t>
            </w:r>
          </w:p>
        </w:tc>
        <w:tc>
          <w:tcPr>
            <w:tcW w:w="898" w:type="dxa"/>
          </w:tcPr>
          <w:p w:rsidR="00B97965" w:rsidRPr="00126EF4" w:rsidRDefault="00B97965" w:rsidP="00B97965">
            <w:pPr>
              <w:pStyle w:val="ListParagraph1"/>
              <w:rPr>
                <w:sz w:val="16"/>
                <w:szCs w:val="16"/>
              </w:rPr>
            </w:pPr>
            <w:r w:rsidRPr="00126EF4">
              <w:rPr>
                <w:sz w:val="16"/>
                <w:szCs w:val="16"/>
              </w:rPr>
              <w:t>2.4724***</w:t>
            </w:r>
          </w:p>
        </w:tc>
        <w:tc>
          <w:tcPr>
            <w:tcW w:w="898" w:type="dxa"/>
          </w:tcPr>
          <w:p w:rsidR="00B97965" w:rsidRPr="00126EF4" w:rsidRDefault="00B97965" w:rsidP="00B97965">
            <w:pPr>
              <w:pStyle w:val="ListParagraph1"/>
              <w:rPr>
                <w:sz w:val="16"/>
                <w:szCs w:val="16"/>
              </w:rPr>
            </w:pPr>
            <w:r w:rsidRPr="00126EF4">
              <w:rPr>
                <w:sz w:val="16"/>
                <w:szCs w:val="16"/>
              </w:rPr>
              <w:t>1.0812</w:t>
            </w:r>
          </w:p>
        </w:tc>
        <w:tc>
          <w:tcPr>
            <w:tcW w:w="898" w:type="dxa"/>
          </w:tcPr>
          <w:p w:rsidR="00B97965" w:rsidRPr="00126EF4" w:rsidRDefault="00B97965" w:rsidP="00B97965">
            <w:pPr>
              <w:pStyle w:val="ListParagraph1"/>
              <w:rPr>
                <w:sz w:val="16"/>
                <w:szCs w:val="16"/>
              </w:rPr>
            </w:pPr>
            <w:r w:rsidRPr="00126EF4">
              <w:rPr>
                <w:sz w:val="16"/>
                <w:szCs w:val="16"/>
              </w:rPr>
              <w:t>1.2097</w:t>
            </w:r>
          </w:p>
        </w:tc>
        <w:tc>
          <w:tcPr>
            <w:tcW w:w="897" w:type="dxa"/>
          </w:tcPr>
          <w:p w:rsidR="00B97965" w:rsidRPr="00126EF4" w:rsidRDefault="00B97965" w:rsidP="00B97965">
            <w:pPr>
              <w:pStyle w:val="ListParagraph1"/>
              <w:rPr>
                <w:sz w:val="16"/>
                <w:szCs w:val="16"/>
              </w:rPr>
            </w:pPr>
            <w:r w:rsidRPr="00126EF4">
              <w:rPr>
                <w:sz w:val="16"/>
                <w:szCs w:val="16"/>
              </w:rPr>
              <w:t>1.4028**</w:t>
            </w:r>
          </w:p>
        </w:tc>
        <w:tc>
          <w:tcPr>
            <w:tcW w:w="898" w:type="dxa"/>
          </w:tcPr>
          <w:p w:rsidR="00B97965" w:rsidRPr="00126EF4" w:rsidRDefault="00B97965" w:rsidP="00B97965">
            <w:pPr>
              <w:pStyle w:val="ListParagraph1"/>
              <w:rPr>
                <w:sz w:val="16"/>
                <w:szCs w:val="16"/>
              </w:rPr>
            </w:pPr>
            <w:r w:rsidRPr="00126EF4">
              <w:rPr>
                <w:sz w:val="16"/>
                <w:szCs w:val="16"/>
              </w:rPr>
              <w:t>0.9744</w:t>
            </w:r>
          </w:p>
        </w:tc>
        <w:tc>
          <w:tcPr>
            <w:tcW w:w="898" w:type="dxa"/>
          </w:tcPr>
          <w:p w:rsidR="00B97965" w:rsidRPr="00126EF4" w:rsidRDefault="00B97965" w:rsidP="00B97965">
            <w:pPr>
              <w:pStyle w:val="ListParagraph1"/>
              <w:rPr>
                <w:sz w:val="16"/>
                <w:szCs w:val="16"/>
              </w:rPr>
            </w:pPr>
            <w:r w:rsidRPr="00126EF4">
              <w:rPr>
                <w:sz w:val="16"/>
                <w:szCs w:val="16"/>
              </w:rPr>
              <w:t>1.1651</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.9702</w:t>
            </w:r>
          </w:p>
        </w:tc>
        <w:tc>
          <w:tcPr>
            <w:tcW w:w="897" w:type="dxa"/>
          </w:tcPr>
          <w:p w:rsidR="00B97965" w:rsidRPr="00126EF4" w:rsidRDefault="00B97965" w:rsidP="00B97965">
            <w:pPr>
              <w:pStyle w:val="ListParagraph1"/>
              <w:rPr>
                <w:sz w:val="16"/>
                <w:szCs w:val="16"/>
              </w:rPr>
            </w:pPr>
            <w:r w:rsidRPr="002A0178">
              <w:rPr>
                <w:sz w:val="16"/>
                <w:szCs w:val="16"/>
              </w:rPr>
              <w:t>1.018</w:t>
            </w:r>
            <w:r>
              <w:rPr>
                <w:sz w:val="16"/>
                <w:szCs w:val="16"/>
              </w:rPr>
              <w:t>7</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.7276</w:t>
            </w:r>
          </w:p>
        </w:tc>
        <w:tc>
          <w:tcPr>
            <w:tcW w:w="898" w:type="dxa"/>
          </w:tcPr>
          <w:p w:rsidR="00B97965" w:rsidRPr="00126EF4" w:rsidRDefault="00B97965" w:rsidP="00B97965">
            <w:pPr>
              <w:pStyle w:val="ListParagraph1"/>
              <w:rPr>
                <w:sz w:val="16"/>
                <w:szCs w:val="16"/>
              </w:rPr>
            </w:pPr>
            <w:r w:rsidRPr="00ED0E4B">
              <w:rPr>
                <w:sz w:val="16"/>
                <w:szCs w:val="16"/>
              </w:rPr>
              <w:t>1.1231</w:t>
            </w:r>
          </w:p>
        </w:tc>
        <w:tc>
          <w:tcPr>
            <w:tcW w:w="898" w:type="dxa"/>
          </w:tcPr>
          <w:p w:rsidR="00B97965" w:rsidRPr="00126EF4" w:rsidRDefault="00B97965" w:rsidP="00B97965">
            <w:pPr>
              <w:pStyle w:val="ListParagraph1"/>
              <w:rPr>
                <w:sz w:val="16"/>
                <w:szCs w:val="16"/>
              </w:rPr>
            </w:pPr>
            <w:r w:rsidRPr="007F6D8A">
              <w:rPr>
                <w:sz w:val="16"/>
                <w:szCs w:val="16"/>
              </w:rPr>
              <w:t>2.1690</w:t>
            </w:r>
            <w:r>
              <w:rPr>
                <w:sz w:val="16"/>
                <w:szCs w:val="16"/>
              </w:rPr>
              <w:t>**</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Low complement at last visit</w:t>
            </w:r>
          </w:p>
        </w:tc>
        <w:tc>
          <w:tcPr>
            <w:tcW w:w="897" w:type="dxa"/>
          </w:tcPr>
          <w:p w:rsidR="00B97965" w:rsidRPr="00126EF4" w:rsidRDefault="00B97965" w:rsidP="00B97965">
            <w:pPr>
              <w:pStyle w:val="ListParagraph1"/>
              <w:rPr>
                <w:sz w:val="16"/>
                <w:szCs w:val="16"/>
              </w:rPr>
            </w:pPr>
            <w:r w:rsidRPr="00126EF4">
              <w:rPr>
                <w:sz w:val="16"/>
                <w:szCs w:val="16"/>
              </w:rPr>
              <w:t>1.1596</w:t>
            </w:r>
          </w:p>
        </w:tc>
        <w:tc>
          <w:tcPr>
            <w:tcW w:w="898" w:type="dxa"/>
          </w:tcPr>
          <w:p w:rsidR="00B97965" w:rsidRPr="00126EF4" w:rsidRDefault="00B97965" w:rsidP="00B97965">
            <w:pPr>
              <w:pStyle w:val="ListParagraph1"/>
              <w:rPr>
                <w:sz w:val="16"/>
                <w:szCs w:val="16"/>
              </w:rPr>
            </w:pPr>
            <w:r w:rsidRPr="00126EF4">
              <w:rPr>
                <w:sz w:val="16"/>
                <w:szCs w:val="16"/>
              </w:rPr>
              <w:t>1.4037</w:t>
            </w:r>
          </w:p>
        </w:tc>
        <w:tc>
          <w:tcPr>
            <w:tcW w:w="898" w:type="dxa"/>
          </w:tcPr>
          <w:p w:rsidR="00B97965" w:rsidRPr="00126EF4" w:rsidRDefault="00B97965" w:rsidP="00B97965">
            <w:pPr>
              <w:pStyle w:val="ListParagraph1"/>
              <w:rPr>
                <w:sz w:val="16"/>
                <w:szCs w:val="16"/>
              </w:rPr>
            </w:pPr>
            <w:r w:rsidRPr="00126EF4">
              <w:rPr>
                <w:sz w:val="16"/>
                <w:szCs w:val="16"/>
              </w:rPr>
              <w:t>1.0725</w:t>
            </w:r>
          </w:p>
        </w:tc>
        <w:tc>
          <w:tcPr>
            <w:tcW w:w="898" w:type="dxa"/>
          </w:tcPr>
          <w:p w:rsidR="00B97965" w:rsidRPr="00126EF4" w:rsidRDefault="00B97965" w:rsidP="00B97965">
            <w:pPr>
              <w:pStyle w:val="ListParagraph1"/>
              <w:rPr>
                <w:sz w:val="16"/>
                <w:szCs w:val="16"/>
              </w:rPr>
            </w:pPr>
            <w:r w:rsidRPr="00126EF4">
              <w:rPr>
                <w:sz w:val="16"/>
                <w:szCs w:val="16"/>
              </w:rPr>
              <w:t>1.2340</w:t>
            </w:r>
          </w:p>
        </w:tc>
        <w:tc>
          <w:tcPr>
            <w:tcW w:w="897" w:type="dxa"/>
          </w:tcPr>
          <w:p w:rsidR="00B97965" w:rsidRPr="00126EF4" w:rsidRDefault="00B97965" w:rsidP="00B97965">
            <w:pPr>
              <w:pStyle w:val="ListParagraph1"/>
              <w:rPr>
                <w:sz w:val="16"/>
                <w:szCs w:val="16"/>
              </w:rPr>
            </w:pPr>
            <w:r w:rsidRPr="00126EF4">
              <w:rPr>
                <w:sz w:val="16"/>
                <w:szCs w:val="16"/>
              </w:rPr>
              <w:t>1.1416</w:t>
            </w:r>
          </w:p>
        </w:tc>
        <w:tc>
          <w:tcPr>
            <w:tcW w:w="898" w:type="dxa"/>
          </w:tcPr>
          <w:p w:rsidR="00B97965" w:rsidRPr="00126EF4" w:rsidRDefault="00B97965" w:rsidP="00B97965">
            <w:pPr>
              <w:pStyle w:val="ListParagraph1"/>
              <w:rPr>
                <w:sz w:val="16"/>
                <w:szCs w:val="16"/>
              </w:rPr>
            </w:pPr>
            <w:r w:rsidRPr="00126EF4">
              <w:rPr>
                <w:sz w:val="16"/>
                <w:szCs w:val="16"/>
              </w:rPr>
              <w:t>1.0654</w:t>
            </w:r>
          </w:p>
        </w:tc>
        <w:tc>
          <w:tcPr>
            <w:tcW w:w="898" w:type="dxa"/>
          </w:tcPr>
          <w:p w:rsidR="00B97965" w:rsidRPr="00126EF4" w:rsidRDefault="00B97965" w:rsidP="00B97965">
            <w:pPr>
              <w:pStyle w:val="ListParagraph1"/>
              <w:rPr>
                <w:sz w:val="16"/>
                <w:szCs w:val="16"/>
              </w:rPr>
            </w:pPr>
            <w:r w:rsidRPr="00126EF4">
              <w:rPr>
                <w:sz w:val="16"/>
                <w:szCs w:val="16"/>
              </w:rPr>
              <w:t>0.7924</w:t>
            </w:r>
          </w:p>
        </w:tc>
        <w:tc>
          <w:tcPr>
            <w:tcW w:w="898" w:type="dxa"/>
          </w:tcPr>
          <w:p w:rsidR="00B97965" w:rsidRPr="00126EF4" w:rsidRDefault="00B97965" w:rsidP="00B97965">
            <w:pPr>
              <w:pStyle w:val="ListParagraph1"/>
              <w:rPr>
                <w:sz w:val="16"/>
                <w:szCs w:val="16"/>
              </w:rPr>
            </w:pPr>
            <w:r>
              <w:rPr>
                <w:sz w:val="16"/>
                <w:szCs w:val="16"/>
              </w:rPr>
              <w:t>0</w:t>
            </w:r>
            <w:r w:rsidRPr="00126EF4">
              <w:rPr>
                <w:sz w:val="16"/>
                <w:szCs w:val="16"/>
              </w:rPr>
              <w:t>.836</w:t>
            </w:r>
            <w:r>
              <w:rPr>
                <w:sz w:val="16"/>
                <w:szCs w:val="16"/>
              </w:rPr>
              <w:t>2</w:t>
            </w:r>
          </w:p>
        </w:tc>
        <w:tc>
          <w:tcPr>
            <w:tcW w:w="897" w:type="dxa"/>
          </w:tcPr>
          <w:p w:rsidR="00B97965" w:rsidRPr="00126EF4" w:rsidRDefault="00B97965" w:rsidP="00B97965">
            <w:pPr>
              <w:pStyle w:val="ListParagraph1"/>
              <w:rPr>
                <w:sz w:val="16"/>
                <w:szCs w:val="16"/>
              </w:rPr>
            </w:pPr>
            <w:r w:rsidRPr="002A0178">
              <w:rPr>
                <w:sz w:val="16"/>
                <w:szCs w:val="16"/>
              </w:rPr>
              <w:t>1.524</w:t>
            </w:r>
            <w:r>
              <w:rPr>
                <w:sz w:val="16"/>
                <w:szCs w:val="16"/>
              </w:rPr>
              <w:t>7</w:t>
            </w:r>
          </w:p>
        </w:tc>
        <w:tc>
          <w:tcPr>
            <w:tcW w:w="898" w:type="dxa"/>
          </w:tcPr>
          <w:p w:rsidR="00B97965" w:rsidRPr="00126EF4" w:rsidRDefault="00B97965" w:rsidP="00B97965">
            <w:pPr>
              <w:pStyle w:val="ListParagraph1"/>
              <w:rPr>
                <w:sz w:val="16"/>
                <w:szCs w:val="16"/>
              </w:rPr>
            </w:pPr>
            <w:r>
              <w:rPr>
                <w:sz w:val="16"/>
                <w:szCs w:val="16"/>
              </w:rPr>
              <w:t>0</w:t>
            </w:r>
            <w:r w:rsidRPr="002A0178">
              <w:rPr>
                <w:sz w:val="16"/>
                <w:szCs w:val="16"/>
              </w:rPr>
              <w:t>.876</w:t>
            </w:r>
            <w:r>
              <w:rPr>
                <w:sz w:val="16"/>
                <w:szCs w:val="16"/>
              </w:rPr>
              <w:t>2</w:t>
            </w:r>
          </w:p>
        </w:tc>
        <w:tc>
          <w:tcPr>
            <w:tcW w:w="898" w:type="dxa"/>
          </w:tcPr>
          <w:p w:rsidR="00B97965" w:rsidRPr="00126EF4" w:rsidRDefault="00B97965" w:rsidP="00B97965">
            <w:pPr>
              <w:pStyle w:val="ListParagraph1"/>
              <w:rPr>
                <w:sz w:val="16"/>
                <w:szCs w:val="16"/>
              </w:rPr>
            </w:pPr>
            <w:r w:rsidRPr="00ED0E4B">
              <w:rPr>
                <w:sz w:val="16"/>
                <w:szCs w:val="16"/>
              </w:rPr>
              <w:t>1.0943</w:t>
            </w:r>
          </w:p>
        </w:tc>
        <w:tc>
          <w:tcPr>
            <w:tcW w:w="898" w:type="dxa"/>
          </w:tcPr>
          <w:p w:rsidR="00B97965" w:rsidRPr="00126EF4" w:rsidRDefault="00B97965" w:rsidP="00B97965">
            <w:pPr>
              <w:pStyle w:val="ListParagraph1"/>
              <w:rPr>
                <w:sz w:val="16"/>
                <w:szCs w:val="16"/>
              </w:rPr>
            </w:pPr>
            <w:r w:rsidRPr="007F6D8A">
              <w:rPr>
                <w:sz w:val="16"/>
                <w:szCs w:val="16"/>
              </w:rPr>
              <w:t>1.1023</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SLICC/ACR score at last visit</w:t>
            </w:r>
          </w:p>
        </w:tc>
        <w:tc>
          <w:tcPr>
            <w:tcW w:w="897" w:type="dxa"/>
          </w:tcPr>
          <w:p w:rsidR="00B97965" w:rsidRPr="00126EF4" w:rsidRDefault="00B97965" w:rsidP="00B97965">
            <w:pPr>
              <w:pStyle w:val="ListParagraph1"/>
              <w:rPr>
                <w:sz w:val="16"/>
                <w:szCs w:val="16"/>
              </w:rPr>
            </w:pPr>
            <w:r w:rsidRPr="00126EF4">
              <w:rPr>
                <w:sz w:val="16"/>
                <w:szCs w:val="16"/>
              </w:rPr>
              <w:t>1.2506***</w:t>
            </w:r>
          </w:p>
        </w:tc>
        <w:tc>
          <w:tcPr>
            <w:tcW w:w="898" w:type="dxa"/>
          </w:tcPr>
          <w:p w:rsidR="00B97965" w:rsidRPr="00126EF4" w:rsidRDefault="00B97965" w:rsidP="00B97965">
            <w:pPr>
              <w:pStyle w:val="ListParagraph1"/>
              <w:rPr>
                <w:sz w:val="16"/>
                <w:szCs w:val="16"/>
              </w:rPr>
            </w:pPr>
            <w:r w:rsidRPr="00126EF4">
              <w:rPr>
                <w:sz w:val="16"/>
                <w:szCs w:val="16"/>
              </w:rPr>
              <w:t>0.9718</w:t>
            </w:r>
          </w:p>
        </w:tc>
        <w:tc>
          <w:tcPr>
            <w:tcW w:w="898" w:type="dxa"/>
          </w:tcPr>
          <w:p w:rsidR="00B97965" w:rsidRPr="00126EF4" w:rsidRDefault="00B97965" w:rsidP="00B97965">
            <w:pPr>
              <w:pStyle w:val="ListParagraph1"/>
              <w:rPr>
                <w:sz w:val="16"/>
                <w:szCs w:val="16"/>
              </w:rPr>
            </w:pPr>
            <w:r w:rsidRPr="00126EF4">
              <w:rPr>
                <w:sz w:val="16"/>
                <w:szCs w:val="16"/>
              </w:rPr>
              <w:t>1.0725***</w:t>
            </w:r>
          </w:p>
        </w:tc>
        <w:tc>
          <w:tcPr>
            <w:tcW w:w="898" w:type="dxa"/>
          </w:tcPr>
          <w:p w:rsidR="00B97965" w:rsidRPr="00126EF4" w:rsidRDefault="00B97965" w:rsidP="00B97965">
            <w:pPr>
              <w:pStyle w:val="ListParagraph1"/>
              <w:rPr>
                <w:sz w:val="16"/>
                <w:szCs w:val="16"/>
              </w:rPr>
            </w:pPr>
            <w:r w:rsidRPr="00126EF4">
              <w:rPr>
                <w:sz w:val="16"/>
                <w:szCs w:val="16"/>
              </w:rPr>
              <w:t>1.1340***</w:t>
            </w:r>
          </w:p>
        </w:tc>
        <w:tc>
          <w:tcPr>
            <w:tcW w:w="897" w:type="dxa"/>
          </w:tcPr>
          <w:p w:rsidR="00B97965" w:rsidRPr="00126EF4" w:rsidRDefault="00B97965" w:rsidP="00B97965">
            <w:pPr>
              <w:pStyle w:val="ListParagraph1"/>
              <w:rPr>
                <w:sz w:val="16"/>
                <w:szCs w:val="16"/>
              </w:rPr>
            </w:pPr>
            <w:r w:rsidRPr="00126EF4">
              <w:rPr>
                <w:sz w:val="16"/>
                <w:szCs w:val="16"/>
              </w:rPr>
              <w:t>1.1493***</w:t>
            </w:r>
          </w:p>
        </w:tc>
        <w:tc>
          <w:tcPr>
            <w:tcW w:w="898" w:type="dxa"/>
          </w:tcPr>
          <w:p w:rsidR="00B97965" w:rsidRPr="00126EF4" w:rsidRDefault="00B97965" w:rsidP="00B97965">
            <w:pPr>
              <w:pStyle w:val="ListParagraph1"/>
              <w:rPr>
                <w:sz w:val="16"/>
                <w:szCs w:val="16"/>
              </w:rPr>
            </w:pPr>
            <w:r w:rsidRPr="00126EF4">
              <w:rPr>
                <w:sz w:val="16"/>
                <w:szCs w:val="16"/>
              </w:rPr>
              <w:t>1.1183*</w:t>
            </w:r>
          </w:p>
        </w:tc>
        <w:tc>
          <w:tcPr>
            <w:tcW w:w="898" w:type="dxa"/>
          </w:tcPr>
          <w:p w:rsidR="00B97965" w:rsidRPr="00126EF4" w:rsidRDefault="00B97965" w:rsidP="00B97965">
            <w:pPr>
              <w:pStyle w:val="ListParagraph1"/>
              <w:rPr>
                <w:sz w:val="16"/>
                <w:szCs w:val="16"/>
              </w:rPr>
            </w:pPr>
            <w:r w:rsidRPr="00126EF4">
              <w:rPr>
                <w:sz w:val="16"/>
                <w:szCs w:val="16"/>
              </w:rPr>
              <w:t>1.0718</w:t>
            </w:r>
          </w:p>
        </w:tc>
        <w:tc>
          <w:tcPr>
            <w:tcW w:w="898" w:type="dxa"/>
          </w:tcPr>
          <w:p w:rsidR="00B97965" w:rsidRPr="00126EF4" w:rsidRDefault="00B97965" w:rsidP="00B97965">
            <w:pPr>
              <w:pStyle w:val="ListParagraph1"/>
              <w:rPr>
                <w:sz w:val="16"/>
                <w:szCs w:val="16"/>
              </w:rPr>
            </w:pPr>
            <w:r w:rsidRPr="00126EF4">
              <w:rPr>
                <w:sz w:val="16"/>
                <w:szCs w:val="16"/>
              </w:rPr>
              <w:t>1.1449</w:t>
            </w:r>
            <w:r>
              <w:rPr>
                <w:sz w:val="16"/>
                <w:szCs w:val="16"/>
              </w:rPr>
              <w:t>***</w:t>
            </w:r>
          </w:p>
        </w:tc>
        <w:tc>
          <w:tcPr>
            <w:tcW w:w="897" w:type="dxa"/>
          </w:tcPr>
          <w:p w:rsidR="00B97965" w:rsidRPr="00126EF4" w:rsidRDefault="00B97965" w:rsidP="00B97965">
            <w:pPr>
              <w:pStyle w:val="ListParagraph1"/>
              <w:rPr>
                <w:sz w:val="16"/>
                <w:szCs w:val="16"/>
              </w:rPr>
            </w:pPr>
            <w:r w:rsidRPr="002A0178">
              <w:rPr>
                <w:sz w:val="16"/>
                <w:szCs w:val="16"/>
              </w:rPr>
              <w:t>1.005</w:t>
            </w:r>
            <w:r>
              <w:rPr>
                <w:sz w:val="16"/>
                <w:szCs w:val="16"/>
              </w:rPr>
              <w:t>9</w:t>
            </w:r>
          </w:p>
        </w:tc>
        <w:tc>
          <w:tcPr>
            <w:tcW w:w="898" w:type="dxa"/>
          </w:tcPr>
          <w:p w:rsidR="00B97965" w:rsidRPr="00126EF4" w:rsidRDefault="00B97965" w:rsidP="00B97965">
            <w:pPr>
              <w:pStyle w:val="ListParagraph1"/>
              <w:rPr>
                <w:sz w:val="16"/>
                <w:szCs w:val="16"/>
              </w:rPr>
            </w:pPr>
            <w:r w:rsidRPr="002A0178">
              <w:rPr>
                <w:sz w:val="16"/>
                <w:szCs w:val="16"/>
              </w:rPr>
              <w:t>1.0531</w:t>
            </w:r>
          </w:p>
        </w:tc>
        <w:tc>
          <w:tcPr>
            <w:tcW w:w="898" w:type="dxa"/>
          </w:tcPr>
          <w:p w:rsidR="00B97965" w:rsidRPr="00126EF4" w:rsidRDefault="00B97965" w:rsidP="00B97965">
            <w:pPr>
              <w:pStyle w:val="ListParagraph1"/>
              <w:rPr>
                <w:sz w:val="16"/>
                <w:szCs w:val="16"/>
              </w:rPr>
            </w:pPr>
            <w:r w:rsidRPr="00ED0E4B">
              <w:rPr>
                <w:sz w:val="16"/>
                <w:szCs w:val="16"/>
              </w:rPr>
              <w:t>1.254</w:t>
            </w:r>
            <w:r>
              <w:rPr>
                <w:sz w:val="16"/>
                <w:szCs w:val="16"/>
              </w:rPr>
              <w:t>7***</w:t>
            </w:r>
          </w:p>
        </w:tc>
        <w:tc>
          <w:tcPr>
            <w:tcW w:w="898" w:type="dxa"/>
          </w:tcPr>
          <w:p w:rsidR="00B97965" w:rsidRPr="00126EF4" w:rsidRDefault="00B97965" w:rsidP="00B97965">
            <w:pPr>
              <w:pStyle w:val="ListParagraph1"/>
              <w:rPr>
                <w:sz w:val="16"/>
                <w:szCs w:val="16"/>
              </w:rPr>
            </w:pPr>
            <w:r w:rsidRPr="007F6D8A">
              <w:rPr>
                <w:sz w:val="16"/>
                <w:szCs w:val="16"/>
              </w:rPr>
              <w:t>1.0498</w:t>
            </w:r>
          </w:p>
        </w:tc>
      </w:tr>
      <w:tr w:rsidR="00B97965" w:rsidRPr="00126EF4" w:rsidTr="00B97965">
        <w:tc>
          <w:tcPr>
            <w:tcW w:w="3289" w:type="dxa"/>
          </w:tcPr>
          <w:p w:rsidR="00B97965" w:rsidRPr="00126EF4" w:rsidRDefault="00B97965" w:rsidP="00B97965">
            <w:pPr>
              <w:pStyle w:val="ListParagraph1"/>
              <w:rPr>
                <w:sz w:val="16"/>
                <w:szCs w:val="16"/>
              </w:rPr>
            </w:pPr>
            <w:r w:rsidRPr="00126EF4">
              <w:rPr>
                <w:sz w:val="16"/>
                <w:szCs w:val="16"/>
              </w:rPr>
              <w:t>Renal damage score at last visit</w:t>
            </w:r>
          </w:p>
        </w:tc>
        <w:tc>
          <w:tcPr>
            <w:tcW w:w="897" w:type="dxa"/>
          </w:tcPr>
          <w:p w:rsidR="00B97965" w:rsidRPr="00126EF4" w:rsidRDefault="00B97965" w:rsidP="00B97965">
            <w:pPr>
              <w:pStyle w:val="ListParagraph1"/>
              <w:rPr>
                <w:sz w:val="16"/>
                <w:szCs w:val="16"/>
              </w:rPr>
            </w:pPr>
            <w:r w:rsidRPr="00126EF4">
              <w:rPr>
                <w:sz w:val="16"/>
                <w:szCs w:val="16"/>
              </w:rPr>
              <w:t>1.6088**</w:t>
            </w: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7"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7"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c>
          <w:tcPr>
            <w:tcW w:w="898" w:type="dxa"/>
          </w:tcPr>
          <w:p w:rsidR="00B97965" w:rsidRPr="00126EF4" w:rsidRDefault="00B97965" w:rsidP="00B97965">
            <w:pPr>
              <w:pStyle w:val="ListParagraph1"/>
              <w:rPr>
                <w:sz w:val="16"/>
                <w:szCs w:val="16"/>
              </w:rPr>
            </w:pPr>
          </w:p>
        </w:tc>
      </w:tr>
      <w:tr w:rsidR="00B97965" w:rsidRPr="00126EF4" w:rsidTr="00B97965">
        <w:tc>
          <w:tcPr>
            <w:tcW w:w="3289" w:type="dxa"/>
            <w:tcBorders>
              <w:bottom w:val="single" w:sz="4" w:space="0" w:color="auto"/>
            </w:tcBorders>
          </w:tcPr>
          <w:p w:rsidR="00B97965" w:rsidRPr="00126EF4" w:rsidRDefault="00B97965" w:rsidP="00B97965">
            <w:pPr>
              <w:pStyle w:val="ListParagraph1"/>
              <w:rPr>
                <w:sz w:val="16"/>
                <w:szCs w:val="16"/>
              </w:rPr>
            </w:pPr>
            <w:r w:rsidRPr="00126EF4">
              <w:rPr>
                <w:sz w:val="16"/>
                <w:szCs w:val="16"/>
              </w:rPr>
              <w:t>Diabetes score at last visit</w:t>
            </w:r>
          </w:p>
        </w:tc>
        <w:tc>
          <w:tcPr>
            <w:tcW w:w="897" w:type="dxa"/>
            <w:tcBorders>
              <w:bottom w:val="single" w:sz="4" w:space="0" w:color="auto"/>
            </w:tcBorders>
          </w:tcPr>
          <w:p w:rsidR="00B97965" w:rsidRPr="00126EF4" w:rsidRDefault="00B97965" w:rsidP="00B97965">
            <w:pPr>
              <w:pStyle w:val="ListParagraph1"/>
              <w:rPr>
                <w:sz w:val="16"/>
                <w:szCs w:val="16"/>
              </w:rPr>
            </w:pPr>
            <w:r w:rsidRPr="00126EF4">
              <w:rPr>
                <w:sz w:val="16"/>
                <w:szCs w:val="16"/>
              </w:rPr>
              <w:t>2.9019***</w:t>
            </w:r>
          </w:p>
        </w:tc>
        <w:tc>
          <w:tcPr>
            <w:tcW w:w="898" w:type="dxa"/>
            <w:tcBorders>
              <w:bottom w:val="single" w:sz="4" w:space="0" w:color="auto"/>
            </w:tcBorders>
          </w:tcPr>
          <w:p w:rsidR="00B97965" w:rsidRPr="00126EF4" w:rsidRDefault="00B97965" w:rsidP="00B97965">
            <w:pPr>
              <w:pStyle w:val="ListParagraph1"/>
              <w:rPr>
                <w:sz w:val="16"/>
                <w:szCs w:val="16"/>
              </w:rPr>
            </w:pPr>
            <w:r w:rsidRPr="00126EF4">
              <w:rPr>
                <w:sz w:val="16"/>
                <w:szCs w:val="16"/>
              </w:rPr>
              <w:t>1.4486</w:t>
            </w:r>
          </w:p>
        </w:tc>
        <w:tc>
          <w:tcPr>
            <w:tcW w:w="898"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c>
          <w:tcPr>
            <w:tcW w:w="897"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r w:rsidRPr="00126EF4">
              <w:rPr>
                <w:sz w:val="16"/>
                <w:szCs w:val="16"/>
              </w:rPr>
              <w:t>1.8774</w:t>
            </w:r>
            <w:r>
              <w:rPr>
                <w:sz w:val="16"/>
                <w:szCs w:val="16"/>
              </w:rPr>
              <w:t>***</w:t>
            </w:r>
          </w:p>
        </w:tc>
        <w:tc>
          <w:tcPr>
            <w:tcW w:w="897"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c>
          <w:tcPr>
            <w:tcW w:w="898" w:type="dxa"/>
            <w:tcBorders>
              <w:bottom w:val="single" w:sz="4" w:space="0" w:color="auto"/>
            </w:tcBorders>
          </w:tcPr>
          <w:p w:rsidR="00B97965" w:rsidRPr="00126EF4" w:rsidRDefault="00B97965" w:rsidP="00B97965">
            <w:pPr>
              <w:pStyle w:val="ListParagraph1"/>
              <w:rPr>
                <w:sz w:val="16"/>
                <w:szCs w:val="16"/>
              </w:rPr>
            </w:pPr>
          </w:p>
        </w:tc>
      </w:tr>
      <w:tr w:rsidR="00B97965" w:rsidRPr="00126EF4" w:rsidTr="00B97965">
        <w:tc>
          <w:tcPr>
            <w:tcW w:w="14062" w:type="dxa"/>
            <w:gridSpan w:val="13"/>
            <w:tcBorders>
              <w:top w:val="single" w:sz="4" w:space="0" w:color="auto"/>
              <w:bottom w:val="single" w:sz="8" w:space="0" w:color="auto"/>
            </w:tcBorders>
          </w:tcPr>
          <w:p w:rsidR="00B97965" w:rsidRPr="00126EF4" w:rsidRDefault="00B97965" w:rsidP="00B97965">
            <w:pPr>
              <w:pStyle w:val="ListParagraph1"/>
              <w:rPr>
                <w:sz w:val="16"/>
                <w:szCs w:val="16"/>
              </w:rPr>
            </w:pPr>
            <w:r w:rsidRPr="00126EF4">
              <w:rPr>
                <w:sz w:val="16"/>
                <w:szCs w:val="16"/>
              </w:rPr>
              <w:t>*** statistically significant at p&lt;0.001; ** statistically significant at p&lt;0.05; * statistically significant at P&lt;0.1; AIC Akaike Information Criterion</w:t>
            </w:r>
          </w:p>
        </w:tc>
      </w:tr>
    </w:tbl>
    <w:p w:rsidR="00B97965" w:rsidRDefault="00B97965" w:rsidP="00B97965"/>
    <w:p w:rsidR="00B97965" w:rsidRPr="00F51BF0" w:rsidRDefault="00B97965" w:rsidP="00B97965"/>
    <w:p w:rsidR="00B97965" w:rsidRDefault="00B97965" w:rsidP="00B97965">
      <w:pPr>
        <w:pStyle w:val="Heading2"/>
        <w:sectPr w:rsidR="00B97965" w:rsidSect="00B97965">
          <w:pgSz w:w="16838" w:h="11906" w:orient="landscape"/>
          <w:pgMar w:top="1440" w:right="1440" w:bottom="1440" w:left="1440" w:header="708" w:footer="708" w:gutter="0"/>
          <w:cols w:space="708"/>
          <w:titlePg/>
          <w:docGrid w:linePitch="360"/>
        </w:sectPr>
      </w:pPr>
      <w:bookmarkStart w:id="681" w:name="_Toc335043543"/>
    </w:p>
    <w:p w:rsidR="00B97965" w:rsidRPr="00BE457B" w:rsidRDefault="00B97965" w:rsidP="00BE457B">
      <w:pPr>
        <w:pStyle w:val="Heading1"/>
        <w:numPr>
          <w:ilvl w:val="0"/>
          <w:numId w:val="0"/>
        </w:numPr>
        <w:rPr>
          <w:rStyle w:val="Emphasis"/>
          <w:spacing w:val="15"/>
        </w:rPr>
      </w:pPr>
      <w:bookmarkStart w:id="682" w:name="_Toc379467712"/>
      <w:bookmarkEnd w:id="681"/>
      <w:r>
        <w:t>Appendix</w:t>
      </w:r>
      <w:r w:rsidR="00396982">
        <w:t xml:space="preserve"> 8</w:t>
      </w:r>
      <w:r w:rsidR="00BE457B">
        <w:t xml:space="preserve">: </w:t>
      </w:r>
      <w:r w:rsidRPr="00234693">
        <w:rPr>
          <w:rStyle w:val="Emphasis"/>
        </w:rPr>
        <w:t>Organ Damage Frailty Survival Analysis</w:t>
      </w:r>
      <w:bookmarkEnd w:id="682"/>
    </w:p>
    <w:p w:rsidR="00B97965" w:rsidRDefault="00B97965" w:rsidP="00234693">
      <w:pPr>
        <w:pStyle w:val="Caption"/>
      </w:pPr>
      <w:r>
        <w:t xml:space="preserve">Table </w:t>
      </w:r>
      <w:fldSimple w:instr=" SEQ Table \* ARABIC ">
        <w:r w:rsidR="004911B7">
          <w:rPr>
            <w:noProof/>
          </w:rPr>
          <w:t>61</w:t>
        </w:r>
      </w:fldSimple>
      <w:r>
        <w:t>:</w:t>
      </w:r>
      <w:r w:rsidRPr="002F6EC2">
        <w:t xml:space="preserve"> </w:t>
      </w:r>
      <w:r>
        <w:t>Regression results for organ damage risk models with frailty (Clinical trial analysis)</w:t>
      </w:r>
    </w:p>
    <w:tbl>
      <w:tblPr>
        <w:tblStyle w:val="TableGrid"/>
        <w:tblW w:w="1406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289"/>
        <w:gridCol w:w="897"/>
        <w:gridCol w:w="898"/>
        <w:gridCol w:w="898"/>
        <w:gridCol w:w="898"/>
        <w:gridCol w:w="897"/>
        <w:gridCol w:w="898"/>
        <w:gridCol w:w="898"/>
        <w:gridCol w:w="898"/>
        <w:gridCol w:w="897"/>
        <w:gridCol w:w="898"/>
        <w:gridCol w:w="898"/>
        <w:gridCol w:w="898"/>
      </w:tblGrid>
      <w:tr w:rsidR="00B97965" w:rsidRPr="005A09E3" w:rsidTr="00B97965">
        <w:trPr>
          <w:trHeight w:val="20"/>
        </w:trPr>
        <w:tc>
          <w:tcPr>
            <w:tcW w:w="3289" w:type="dxa"/>
            <w:tcBorders>
              <w:top w:val="single" w:sz="8" w:space="0" w:color="auto"/>
              <w:bottom w:val="nil"/>
            </w:tcBorders>
          </w:tcPr>
          <w:p w:rsidR="00B97965" w:rsidRPr="005A09E3" w:rsidRDefault="00B97965" w:rsidP="00B97965">
            <w:pPr>
              <w:pStyle w:val="ListParagraph1"/>
              <w:rPr>
                <w:sz w:val="14"/>
                <w:szCs w:val="14"/>
              </w:rPr>
            </w:pPr>
          </w:p>
        </w:tc>
        <w:tc>
          <w:tcPr>
            <w:tcW w:w="897"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Cardio.</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Renal</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MSK</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Neuro.</w:t>
            </w:r>
          </w:p>
        </w:tc>
        <w:tc>
          <w:tcPr>
            <w:tcW w:w="897"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Pulmonary</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P. Vascular</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Gastro.</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Ocular</w:t>
            </w:r>
          </w:p>
        </w:tc>
        <w:tc>
          <w:tcPr>
            <w:tcW w:w="897"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Skin</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Diabetes</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Malignancy</w:t>
            </w:r>
          </w:p>
        </w:tc>
        <w:tc>
          <w:tcPr>
            <w:tcW w:w="898" w:type="dxa"/>
            <w:tcBorders>
              <w:top w:val="single" w:sz="8" w:space="0" w:color="auto"/>
              <w:bottom w:val="nil"/>
            </w:tcBorders>
          </w:tcPr>
          <w:p w:rsidR="00B97965" w:rsidRPr="005A09E3" w:rsidRDefault="00B97965" w:rsidP="00B97965">
            <w:pPr>
              <w:pStyle w:val="ListParagraph1"/>
              <w:jc w:val="center"/>
              <w:rPr>
                <w:sz w:val="14"/>
                <w:szCs w:val="14"/>
              </w:rPr>
            </w:pPr>
            <w:r w:rsidRPr="005A09E3">
              <w:rPr>
                <w:sz w:val="14"/>
                <w:szCs w:val="14"/>
              </w:rPr>
              <w:t xml:space="preserve">Gonadal </w:t>
            </w:r>
          </w:p>
        </w:tc>
      </w:tr>
      <w:tr w:rsidR="00B97965" w:rsidRPr="005A09E3" w:rsidTr="00B97965">
        <w:trPr>
          <w:trHeight w:val="20"/>
        </w:trPr>
        <w:tc>
          <w:tcPr>
            <w:tcW w:w="3289" w:type="dxa"/>
            <w:tcBorders>
              <w:top w:val="nil"/>
              <w:bottom w:val="single" w:sz="4" w:space="0" w:color="auto"/>
            </w:tcBorders>
          </w:tcPr>
          <w:p w:rsidR="00B97965" w:rsidRPr="005A09E3" w:rsidRDefault="00B97965" w:rsidP="00B97965">
            <w:pPr>
              <w:pStyle w:val="ListParagraph1"/>
              <w:rPr>
                <w:sz w:val="14"/>
                <w:szCs w:val="14"/>
              </w:rPr>
            </w:pPr>
          </w:p>
        </w:tc>
        <w:tc>
          <w:tcPr>
            <w:tcW w:w="897"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Gompertz</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Loglogistic</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Weibull</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Weibull</w:t>
            </w:r>
          </w:p>
        </w:tc>
        <w:tc>
          <w:tcPr>
            <w:tcW w:w="897"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Loglogistic</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Exponential</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Exponential</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Weibull</w:t>
            </w:r>
          </w:p>
        </w:tc>
        <w:tc>
          <w:tcPr>
            <w:tcW w:w="897"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Loglogistic</w:t>
            </w:r>
          </w:p>
        </w:tc>
        <w:tc>
          <w:tcPr>
            <w:tcW w:w="898" w:type="dxa"/>
            <w:tcBorders>
              <w:top w:val="nil"/>
              <w:bottom w:val="single" w:sz="4" w:space="0" w:color="auto"/>
            </w:tcBorders>
          </w:tcPr>
          <w:p w:rsidR="00B97965" w:rsidRPr="005A09E3" w:rsidRDefault="00B97965" w:rsidP="00B97965">
            <w:pPr>
              <w:pStyle w:val="ListParagraph1"/>
              <w:jc w:val="center"/>
              <w:rPr>
                <w:sz w:val="14"/>
                <w:szCs w:val="14"/>
              </w:rPr>
            </w:pPr>
            <w:r w:rsidRPr="005A09E3">
              <w:rPr>
                <w:sz w:val="14"/>
                <w:szCs w:val="14"/>
              </w:rPr>
              <w:t>Exponential</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Exponential</w:t>
            </w:r>
          </w:p>
        </w:tc>
        <w:tc>
          <w:tcPr>
            <w:tcW w:w="898" w:type="dxa"/>
            <w:tcBorders>
              <w:top w:val="nil"/>
              <w:bottom w:val="single" w:sz="4" w:space="0" w:color="auto"/>
            </w:tcBorders>
          </w:tcPr>
          <w:p w:rsidR="00B97965" w:rsidRPr="005A09E3" w:rsidRDefault="00B97965" w:rsidP="00B97965">
            <w:pPr>
              <w:pStyle w:val="ListParagraph1"/>
              <w:jc w:val="center"/>
              <w:rPr>
                <w:color w:val="000000"/>
                <w:sz w:val="14"/>
                <w:szCs w:val="14"/>
              </w:rPr>
            </w:pPr>
            <w:r w:rsidRPr="005A09E3">
              <w:rPr>
                <w:color w:val="000000"/>
                <w:sz w:val="14"/>
                <w:szCs w:val="14"/>
              </w:rPr>
              <w:t>Exponential</w:t>
            </w:r>
          </w:p>
        </w:tc>
      </w:tr>
      <w:tr w:rsidR="00B97965" w:rsidRPr="005A09E3" w:rsidTr="00B97965">
        <w:trPr>
          <w:trHeight w:val="20"/>
        </w:trPr>
        <w:tc>
          <w:tcPr>
            <w:tcW w:w="3289" w:type="dxa"/>
            <w:tcBorders>
              <w:top w:val="single" w:sz="4" w:space="0" w:color="auto"/>
            </w:tcBorders>
          </w:tcPr>
          <w:p w:rsidR="00B97965" w:rsidRPr="00396982" w:rsidRDefault="00B97965" w:rsidP="00B97965">
            <w:pPr>
              <w:pStyle w:val="ListParagraph1"/>
              <w:rPr>
                <w:sz w:val="14"/>
                <w:szCs w:val="14"/>
              </w:rPr>
            </w:pPr>
            <w:r w:rsidRPr="00396982">
              <w:rPr>
                <w:sz w:val="14"/>
                <w:szCs w:val="14"/>
              </w:rPr>
              <w:t>African American ethnicity</w:t>
            </w:r>
          </w:p>
        </w:tc>
        <w:tc>
          <w:tcPr>
            <w:tcW w:w="897"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7"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7" w:type="dxa"/>
            <w:tcBorders>
              <w:top w:val="single" w:sz="4" w:space="0" w:color="auto"/>
            </w:tcBorders>
            <w:vAlign w:val="bottom"/>
          </w:tcPr>
          <w:p w:rsidR="00B97965" w:rsidRPr="00396982" w:rsidRDefault="00B97965" w:rsidP="00B97965">
            <w:pPr>
              <w:pStyle w:val="ListParagraph1"/>
              <w:rPr>
                <w:color w:val="000000"/>
                <w:sz w:val="14"/>
                <w:szCs w:val="14"/>
              </w:rPr>
            </w:pPr>
            <w:r w:rsidRPr="00396982">
              <w:rPr>
                <w:color w:val="000000"/>
                <w:sz w:val="14"/>
                <w:szCs w:val="14"/>
              </w:rPr>
              <w:t>0.0829 (0.0663)</w:t>
            </w:r>
          </w:p>
        </w:tc>
        <w:tc>
          <w:tcPr>
            <w:tcW w:w="898" w:type="dxa"/>
            <w:tcBorders>
              <w:top w:val="single" w:sz="4" w:space="0" w:color="auto"/>
            </w:tcBorders>
          </w:tcPr>
          <w:p w:rsidR="00B97965" w:rsidRPr="00396982" w:rsidRDefault="00B97965" w:rsidP="00B97965">
            <w:pPr>
              <w:pStyle w:val="ListParagraph1"/>
              <w:rPr>
                <w:sz w:val="14"/>
                <w:szCs w:val="14"/>
              </w:rPr>
            </w:pPr>
            <w:r w:rsidRPr="00396982">
              <w:rPr>
                <w:sz w:val="14"/>
                <w:szCs w:val="14"/>
              </w:rPr>
              <w:t>2.0703 (0.5885)</w:t>
            </w:r>
          </w:p>
        </w:tc>
        <w:tc>
          <w:tcPr>
            <w:tcW w:w="898" w:type="dxa"/>
            <w:tcBorders>
              <w:top w:val="single" w:sz="4" w:space="0" w:color="auto"/>
            </w:tcBorders>
            <w:vAlign w:val="bottom"/>
          </w:tcPr>
          <w:p w:rsidR="00B97965" w:rsidRPr="00396982" w:rsidRDefault="00B97965" w:rsidP="00B97965">
            <w:pPr>
              <w:pStyle w:val="ListParagraph1"/>
              <w:rPr>
                <w:color w:val="000000"/>
                <w:sz w:val="14"/>
                <w:szCs w:val="14"/>
              </w:rPr>
            </w:pPr>
          </w:p>
        </w:tc>
        <w:tc>
          <w:tcPr>
            <w:tcW w:w="898" w:type="dxa"/>
            <w:tcBorders>
              <w:top w:val="single" w:sz="4" w:space="0" w:color="auto"/>
            </w:tcBorders>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Age at diagnosis</w:t>
            </w:r>
          </w:p>
        </w:tc>
        <w:tc>
          <w:tcPr>
            <w:tcW w:w="897" w:type="dxa"/>
          </w:tcPr>
          <w:p w:rsidR="00B97965" w:rsidRPr="00396982" w:rsidRDefault="00B97965" w:rsidP="00B97965">
            <w:pPr>
              <w:pStyle w:val="ListParagraph1"/>
              <w:rPr>
                <w:sz w:val="14"/>
                <w:szCs w:val="14"/>
              </w:rPr>
            </w:pPr>
            <w:r w:rsidRPr="00396982">
              <w:rPr>
                <w:sz w:val="14"/>
                <w:szCs w:val="14"/>
              </w:rPr>
              <w:t>1.0481 (0.0081)</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1.0259 (0.0077)</w:t>
            </w: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Past smoker at baseline</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2.0054 (0.6155)</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r w:rsidRPr="00396982">
              <w:rPr>
                <w:sz w:val="14"/>
                <w:szCs w:val="14"/>
              </w:rPr>
              <w:t>0.1553 (0.1098)</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Cholesterol at last visit</w:t>
            </w:r>
          </w:p>
        </w:tc>
        <w:tc>
          <w:tcPr>
            <w:tcW w:w="897" w:type="dxa"/>
          </w:tcPr>
          <w:p w:rsidR="00B97965" w:rsidRPr="00396982" w:rsidRDefault="00B97965" w:rsidP="00B97965">
            <w:pPr>
              <w:pStyle w:val="ListParagraph1"/>
              <w:rPr>
                <w:sz w:val="14"/>
                <w:szCs w:val="14"/>
              </w:rPr>
            </w:pPr>
            <w:r w:rsidRPr="00396982">
              <w:rPr>
                <w:sz w:val="14"/>
                <w:szCs w:val="14"/>
              </w:rPr>
              <w:t>1.0027 (0.0013)</w:t>
            </w:r>
          </w:p>
        </w:tc>
        <w:tc>
          <w:tcPr>
            <w:tcW w:w="898" w:type="dxa"/>
          </w:tcPr>
          <w:p w:rsidR="00B97965" w:rsidRPr="00396982" w:rsidRDefault="00B97965" w:rsidP="00B97965">
            <w:pPr>
              <w:pStyle w:val="ListParagraph1"/>
              <w:rPr>
                <w:sz w:val="14"/>
                <w:szCs w:val="14"/>
              </w:rPr>
            </w:pPr>
            <w:r w:rsidRPr="00396982">
              <w:rPr>
                <w:sz w:val="14"/>
                <w:szCs w:val="14"/>
              </w:rPr>
              <w:t>0.9922 (0.0037)</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1.0035 (0.0012)</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1.0058 (0.0020)</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0.9906 (0.0024)</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1.0044 (0.0017)</w:t>
            </w: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Hypertension at last visit</w:t>
            </w:r>
          </w:p>
        </w:tc>
        <w:tc>
          <w:tcPr>
            <w:tcW w:w="897" w:type="dxa"/>
          </w:tcPr>
          <w:p w:rsidR="00B97965" w:rsidRPr="00396982" w:rsidRDefault="00B97965" w:rsidP="00B97965">
            <w:pPr>
              <w:pStyle w:val="ListParagraph1"/>
              <w:rPr>
                <w:sz w:val="14"/>
                <w:szCs w:val="14"/>
              </w:rPr>
            </w:pPr>
            <w:r w:rsidRPr="00396982">
              <w:rPr>
                <w:sz w:val="14"/>
                <w:szCs w:val="14"/>
              </w:rPr>
              <w:t>2.2665 (0.5414)</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1.8043 (0.2990)</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2.2430 (0.7481)</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Anticardiolipid antibody positive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r w:rsidRPr="00396982">
              <w:rPr>
                <w:sz w:val="14"/>
                <w:szCs w:val="14"/>
              </w:rPr>
              <w:t>0.3133 (0.1387)</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Lupus Anticoagulant positive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2.2758 (0.7800)</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Log of age</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2.6446 (0.5583)</w:t>
            </w: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2.4330 (0.6504)</w:t>
            </w:r>
          </w:p>
        </w:tc>
        <w:tc>
          <w:tcPr>
            <w:tcW w:w="897" w:type="dxa"/>
          </w:tcPr>
          <w:p w:rsidR="00B97965" w:rsidRPr="00396982" w:rsidRDefault="00B97965" w:rsidP="00B97965">
            <w:pPr>
              <w:pStyle w:val="ListParagraph1"/>
              <w:rPr>
                <w:sz w:val="14"/>
                <w:szCs w:val="14"/>
              </w:rPr>
            </w:pPr>
            <w:r w:rsidRPr="00396982">
              <w:rPr>
                <w:sz w:val="14"/>
                <w:szCs w:val="14"/>
              </w:rPr>
              <w:t>0.1723 (0.0738)</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9.8192 (4.9752)</w:t>
            </w: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Log of disease duration</w:t>
            </w:r>
          </w:p>
        </w:tc>
        <w:tc>
          <w:tcPr>
            <w:tcW w:w="897" w:type="dxa"/>
          </w:tcPr>
          <w:p w:rsidR="00B97965" w:rsidRPr="00396982" w:rsidRDefault="00B97965" w:rsidP="00B97965">
            <w:pPr>
              <w:pStyle w:val="ListParagraph1"/>
              <w:rPr>
                <w:sz w:val="14"/>
                <w:szCs w:val="14"/>
              </w:rPr>
            </w:pPr>
            <w:r w:rsidRPr="00396982">
              <w:rPr>
                <w:sz w:val="14"/>
                <w:szCs w:val="14"/>
              </w:rPr>
              <w:t>1.8593 (0.2675)</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1.3486 (0.1867)</w:t>
            </w: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Adjusted Mean SLEDAI at last visit</w:t>
            </w:r>
          </w:p>
        </w:tc>
        <w:tc>
          <w:tcPr>
            <w:tcW w:w="897" w:type="dxa"/>
          </w:tcPr>
          <w:p w:rsidR="00B97965" w:rsidRPr="00396982" w:rsidRDefault="00B97965" w:rsidP="00B97965">
            <w:pPr>
              <w:pStyle w:val="ListParagraph1"/>
              <w:rPr>
                <w:sz w:val="14"/>
                <w:szCs w:val="14"/>
              </w:rPr>
            </w:pPr>
            <w:r w:rsidRPr="00396982">
              <w:rPr>
                <w:sz w:val="14"/>
                <w:szCs w:val="14"/>
              </w:rPr>
              <w:t>1.1597 (0.0463)</w:t>
            </w:r>
          </w:p>
        </w:tc>
        <w:tc>
          <w:tcPr>
            <w:tcW w:w="898" w:type="dxa"/>
          </w:tcPr>
          <w:p w:rsidR="00B97965" w:rsidRPr="00396982" w:rsidRDefault="00B97965" w:rsidP="00B97965">
            <w:pPr>
              <w:pStyle w:val="ListParagraph1"/>
              <w:rPr>
                <w:sz w:val="14"/>
                <w:szCs w:val="14"/>
              </w:rPr>
            </w:pPr>
            <w:r w:rsidRPr="00396982">
              <w:rPr>
                <w:sz w:val="14"/>
                <w:szCs w:val="14"/>
              </w:rPr>
              <w:t>0.8190 (0.0658)</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Cumulative average steroid dose at last visit</w:t>
            </w:r>
          </w:p>
        </w:tc>
        <w:tc>
          <w:tcPr>
            <w:tcW w:w="897" w:type="dxa"/>
          </w:tcPr>
          <w:p w:rsidR="00B97965" w:rsidRPr="00396982" w:rsidRDefault="00B97965" w:rsidP="00B97965">
            <w:pPr>
              <w:pStyle w:val="ListParagraph1"/>
              <w:rPr>
                <w:sz w:val="14"/>
                <w:szCs w:val="14"/>
              </w:rPr>
            </w:pPr>
            <w:r w:rsidRPr="00396982">
              <w:rPr>
                <w:sz w:val="14"/>
                <w:szCs w:val="14"/>
              </w:rPr>
              <w:t>1.0012 (0.0004)</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1.0012 (0.0002)</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1.0004 (0.0027)</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1.0008 (0.0004)</w:t>
            </w: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1.0012 (0.0004)</w:t>
            </w:r>
          </w:p>
        </w:tc>
        <w:tc>
          <w:tcPr>
            <w:tcW w:w="898" w:type="dxa"/>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1.0017 (0.0004)</w:t>
            </w: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Cytotoxic treatment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1.2955 (0.1624)</w:t>
            </w: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2.3074 (0.9870)</w:t>
            </w: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Plaquenil treatment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r w:rsidRPr="00396982">
              <w:rPr>
                <w:sz w:val="14"/>
                <w:szCs w:val="14"/>
              </w:rPr>
              <w:t>5.0263 (3.2089)</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0.3896 (0.1604)</w:t>
            </w: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Neuropsychiatric involvement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8.0571 (1.8171)</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Renal involvement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0.0257 (0.0226)</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r w:rsidRPr="00396982">
              <w:rPr>
                <w:sz w:val="14"/>
                <w:szCs w:val="14"/>
              </w:rPr>
              <w:t>0.4120 (0.1173)</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2.4083 (0.0812)</w:t>
            </w: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Skin involvement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r w:rsidRPr="00396982">
              <w:rPr>
                <w:sz w:val="14"/>
                <w:szCs w:val="14"/>
              </w:rPr>
              <w:t>0.0851  (0.0608)</w:t>
            </w: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Vasculitis at last visit</w:t>
            </w: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r w:rsidRPr="00396982">
              <w:rPr>
                <w:sz w:val="14"/>
                <w:szCs w:val="14"/>
              </w:rPr>
              <w:t>5.2827 (2.7295)</w:t>
            </w: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Serositis involvement at last visit</w:t>
            </w:r>
          </w:p>
        </w:tc>
        <w:tc>
          <w:tcPr>
            <w:tcW w:w="897" w:type="dxa"/>
          </w:tcPr>
          <w:p w:rsidR="00B97965" w:rsidRPr="00396982" w:rsidRDefault="00B97965" w:rsidP="00B97965">
            <w:pPr>
              <w:pStyle w:val="ListParagraph1"/>
              <w:rPr>
                <w:sz w:val="14"/>
                <w:szCs w:val="14"/>
              </w:rPr>
            </w:pPr>
            <w:r w:rsidRPr="00396982">
              <w:rPr>
                <w:sz w:val="14"/>
                <w:szCs w:val="14"/>
              </w:rPr>
              <w:t>3.0610 (1.2160)</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sz w:val="14"/>
                <w:szCs w:val="14"/>
              </w:rPr>
            </w:pPr>
            <w:r w:rsidRPr="00396982">
              <w:rPr>
                <w:sz w:val="14"/>
                <w:szCs w:val="14"/>
              </w:rPr>
              <w:t>0.1194 (0.0495)</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7"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DNA binding at last visit</w:t>
            </w:r>
          </w:p>
        </w:tc>
        <w:tc>
          <w:tcPr>
            <w:tcW w:w="897"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vAlign w:val="bottom"/>
          </w:tcPr>
          <w:p w:rsidR="00B97965" w:rsidRPr="00396982" w:rsidRDefault="00B97965" w:rsidP="00B97965">
            <w:pPr>
              <w:pStyle w:val="ListParagraph1"/>
              <w:rPr>
                <w:color w:val="000000"/>
                <w:sz w:val="14"/>
                <w:szCs w:val="14"/>
              </w:rPr>
            </w:pPr>
            <w:r w:rsidRPr="00396982">
              <w:rPr>
                <w:color w:val="000000"/>
                <w:sz w:val="14"/>
                <w:szCs w:val="14"/>
              </w:rPr>
              <w:t>0.6129 (0.1444)</w:t>
            </w: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SLICC/ACR score at last visit</w:t>
            </w:r>
          </w:p>
        </w:tc>
        <w:tc>
          <w:tcPr>
            <w:tcW w:w="897"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1.1084 (0.0308)</w:t>
            </w:r>
          </w:p>
        </w:tc>
        <w:tc>
          <w:tcPr>
            <w:tcW w:w="898" w:type="dxa"/>
            <w:vAlign w:val="bottom"/>
          </w:tcPr>
          <w:p w:rsidR="00B97965" w:rsidRPr="00396982" w:rsidRDefault="00B97965" w:rsidP="00B97965">
            <w:pPr>
              <w:pStyle w:val="ListParagraph1"/>
              <w:rPr>
                <w:color w:val="000000"/>
                <w:sz w:val="14"/>
                <w:szCs w:val="14"/>
              </w:rPr>
            </w:pPr>
          </w:p>
        </w:tc>
        <w:tc>
          <w:tcPr>
            <w:tcW w:w="897" w:type="dxa"/>
            <w:vAlign w:val="bottom"/>
          </w:tcPr>
          <w:p w:rsidR="00B97965" w:rsidRPr="00396982" w:rsidRDefault="00B97965" w:rsidP="00B97965">
            <w:pPr>
              <w:pStyle w:val="ListParagraph1"/>
              <w:rPr>
                <w:color w:val="000000"/>
                <w:sz w:val="14"/>
                <w:szCs w:val="14"/>
              </w:rPr>
            </w:pPr>
            <w:r w:rsidRPr="00396982">
              <w:rPr>
                <w:color w:val="000000"/>
                <w:sz w:val="14"/>
                <w:szCs w:val="14"/>
              </w:rPr>
              <w:t>0.8776 (0.0526)</w:t>
            </w: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vAlign w:val="bottom"/>
          </w:tcPr>
          <w:p w:rsidR="00B97965" w:rsidRPr="00396982" w:rsidRDefault="00B97965" w:rsidP="00B97965">
            <w:pPr>
              <w:pStyle w:val="ListParagraph1"/>
              <w:rPr>
                <w:color w:val="000000"/>
                <w:sz w:val="14"/>
                <w:szCs w:val="14"/>
              </w:rPr>
            </w:pPr>
          </w:p>
        </w:tc>
        <w:tc>
          <w:tcPr>
            <w:tcW w:w="898" w:type="dxa"/>
          </w:tcPr>
          <w:p w:rsidR="00B97965" w:rsidRPr="00396982" w:rsidRDefault="00B97965" w:rsidP="00B97965">
            <w:pPr>
              <w:pStyle w:val="ListParagraph1"/>
              <w:rPr>
                <w:sz w:val="14"/>
                <w:szCs w:val="14"/>
              </w:rPr>
            </w:pP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1.2014 (1.2014)</w:t>
            </w:r>
          </w:p>
        </w:tc>
        <w:tc>
          <w:tcPr>
            <w:tcW w:w="898" w:type="dxa"/>
          </w:tcPr>
          <w:p w:rsidR="00B97965" w:rsidRPr="00396982" w:rsidRDefault="00B97965" w:rsidP="00B97965">
            <w:pPr>
              <w:pStyle w:val="ListParagraph1"/>
              <w:rPr>
                <w:color w:val="000000"/>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Baseline hazard</w:t>
            </w:r>
          </w:p>
        </w:tc>
        <w:tc>
          <w:tcPr>
            <w:tcW w:w="897" w:type="dxa"/>
          </w:tcPr>
          <w:p w:rsidR="00B97965" w:rsidRPr="00396982" w:rsidRDefault="00B97965" w:rsidP="00B97965">
            <w:pPr>
              <w:pStyle w:val="ListParagraph1"/>
              <w:rPr>
                <w:color w:val="000000"/>
                <w:sz w:val="14"/>
                <w:szCs w:val="14"/>
              </w:rPr>
            </w:pPr>
            <w:r w:rsidRPr="00396982">
              <w:rPr>
                <w:sz w:val="14"/>
                <w:szCs w:val="14"/>
              </w:rPr>
              <w:t>-8.9072 (0.5679)</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10.2551 (1.6553)</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-7.4545 (0.8019)</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-8.1285 (1.0017)</w:t>
            </w:r>
          </w:p>
        </w:tc>
        <w:tc>
          <w:tcPr>
            <w:tcW w:w="897" w:type="dxa"/>
          </w:tcPr>
          <w:p w:rsidR="00B97965" w:rsidRPr="00396982" w:rsidRDefault="00B97965" w:rsidP="00B97965">
            <w:pPr>
              <w:pStyle w:val="ListParagraph1"/>
              <w:rPr>
                <w:color w:val="000000"/>
                <w:sz w:val="14"/>
                <w:szCs w:val="14"/>
              </w:rPr>
            </w:pPr>
            <w:r w:rsidRPr="00396982">
              <w:rPr>
                <w:color w:val="000000"/>
                <w:sz w:val="14"/>
                <w:szCs w:val="14"/>
              </w:rPr>
              <w:t>11.5193 (1.6366)</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-7.5132 (0.5073)</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-5.0532 (0.1526)</w:t>
            </w:r>
          </w:p>
        </w:tc>
        <w:tc>
          <w:tcPr>
            <w:tcW w:w="898" w:type="dxa"/>
          </w:tcPr>
          <w:p w:rsidR="00B97965" w:rsidRPr="00396982" w:rsidRDefault="00B97965" w:rsidP="00B97965">
            <w:pPr>
              <w:pStyle w:val="ListParagraph1"/>
              <w:rPr>
                <w:color w:val="000000"/>
                <w:sz w:val="14"/>
                <w:szCs w:val="14"/>
              </w:rPr>
            </w:pPr>
          </w:p>
        </w:tc>
        <w:tc>
          <w:tcPr>
            <w:tcW w:w="897" w:type="dxa"/>
          </w:tcPr>
          <w:p w:rsidR="00B97965" w:rsidRPr="00396982" w:rsidRDefault="00B97965" w:rsidP="00B97965">
            <w:pPr>
              <w:pStyle w:val="ListParagraph1"/>
              <w:rPr>
                <w:color w:val="000000"/>
                <w:sz w:val="14"/>
                <w:szCs w:val="14"/>
              </w:rPr>
            </w:pPr>
            <w:r w:rsidRPr="00396982">
              <w:rPr>
                <w:color w:val="000000"/>
                <w:sz w:val="14"/>
                <w:szCs w:val="14"/>
              </w:rPr>
              <w:t>10.3180 (1.5288)</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-14.672 (2.0155)</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-4.8090 (0.6016)</w:t>
            </w:r>
          </w:p>
        </w:tc>
        <w:tc>
          <w:tcPr>
            <w:tcW w:w="898" w:type="dxa"/>
          </w:tcPr>
          <w:p w:rsidR="00B97965" w:rsidRPr="00396982" w:rsidRDefault="00B97965" w:rsidP="00B97965">
            <w:pPr>
              <w:pStyle w:val="ListParagraph1"/>
              <w:rPr>
                <w:color w:val="000000"/>
                <w:sz w:val="14"/>
                <w:szCs w:val="14"/>
              </w:rPr>
            </w:pPr>
            <w:r w:rsidRPr="00396982">
              <w:rPr>
                <w:color w:val="000000"/>
                <w:sz w:val="14"/>
                <w:szCs w:val="14"/>
              </w:rPr>
              <w:t>-7.2659 (0.5077)</w:t>
            </w:r>
          </w:p>
        </w:tc>
      </w:tr>
      <w:tr w:rsidR="00B97965" w:rsidRPr="005A09E3" w:rsidTr="00B97965">
        <w:trPr>
          <w:trHeight w:val="20"/>
        </w:trPr>
        <w:tc>
          <w:tcPr>
            <w:tcW w:w="3289" w:type="dxa"/>
          </w:tcPr>
          <w:p w:rsidR="00B97965" w:rsidRPr="00396982" w:rsidRDefault="00B97965" w:rsidP="00B97965">
            <w:pPr>
              <w:pStyle w:val="ListParagraph1"/>
              <w:rPr>
                <w:sz w:val="14"/>
                <w:szCs w:val="14"/>
              </w:rPr>
            </w:pPr>
            <w:r w:rsidRPr="00396982">
              <w:rPr>
                <w:sz w:val="14"/>
                <w:szCs w:val="14"/>
              </w:rPr>
              <w:t>Parametric distribution parameter</w:t>
            </w:r>
          </w:p>
        </w:tc>
        <w:tc>
          <w:tcPr>
            <w:tcW w:w="897" w:type="dxa"/>
            <w:vAlign w:val="bottom"/>
          </w:tcPr>
          <w:p w:rsidR="00B97965" w:rsidRPr="00396982" w:rsidRDefault="00B97965" w:rsidP="00B97965">
            <w:pPr>
              <w:pStyle w:val="ListParagraph1"/>
              <w:rPr>
                <w:color w:val="000000"/>
                <w:sz w:val="14"/>
                <w:szCs w:val="14"/>
              </w:rPr>
            </w:pPr>
            <w:r w:rsidRPr="00396982">
              <w:rPr>
                <w:color w:val="000000"/>
                <w:sz w:val="14"/>
                <w:szCs w:val="14"/>
              </w:rPr>
              <w:t>-0.04446 (0.0253)</w:t>
            </w: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1.4937 (0.2949)</w:t>
            </w: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0.8544 (0.0483)</w:t>
            </w:r>
          </w:p>
        </w:tc>
        <w:tc>
          <w:tcPr>
            <w:tcW w:w="898" w:type="dxa"/>
            <w:vAlign w:val="bottom"/>
          </w:tcPr>
          <w:p w:rsidR="00B97965" w:rsidRPr="00396982" w:rsidRDefault="00B97965" w:rsidP="00B97965">
            <w:pPr>
              <w:pStyle w:val="ListParagraph1"/>
              <w:rPr>
                <w:color w:val="000000"/>
                <w:sz w:val="14"/>
                <w:szCs w:val="14"/>
              </w:rPr>
            </w:pPr>
            <w:r w:rsidRPr="00396982">
              <w:rPr>
                <w:color w:val="000000"/>
                <w:sz w:val="14"/>
                <w:szCs w:val="14"/>
              </w:rPr>
              <w:t>0.8254 (0.0546)</w:t>
            </w:r>
          </w:p>
        </w:tc>
        <w:tc>
          <w:tcPr>
            <w:tcW w:w="897" w:type="dxa"/>
            <w:vAlign w:val="bottom"/>
          </w:tcPr>
          <w:p w:rsidR="00B97965" w:rsidRPr="00396982" w:rsidRDefault="00B97965" w:rsidP="00B97965">
            <w:pPr>
              <w:pStyle w:val="ListParagraph1"/>
              <w:rPr>
                <w:color w:val="000000"/>
                <w:sz w:val="14"/>
                <w:szCs w:val="14"/>
              </w:rPr>
            </w:pPr>
            <w:r w:rsidRPr="00396982">
              <w:rPr>
                <w:color w:val="000000"/>
                <w:sz w:val="14"/>
                <w:szCs w:val="14"/>
              </w:rPr>
              <w:t>1.1402 (0.0845)</w:t>
            </w: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8" w:type="dxa"/>
            <w:vAlign w:val="bottom"/>
          </w:tcPr>
          <w:p w:rsidR="00B97965" w:rsidRPr="00396982" w:rsidRDefault="00B97965" w:rsidP="00B97965">
            <w:pPr>
              <w:pStyle w:val="ListParagraph1"/>
              <w:rPr>
                <w:color w:val="000000"/>
                <w:sz w:val="14"/>
                <w:szCs w:val="14"/>
              </w:rPr>
            </w:pPr>
          </w:p>
        </w:tc>
        <w:tc>
          <w:tcPr>
            <w:tcW w:w="897" w:type="dxa"/>
            <w:vAlign w:val="bottom"/>
          </w:tcPr>
          <w:p w:rsidR="00B97965" w:rsidRPr="00396982" w:rsidRDefault="00B97965" w:rsidP="00B97965">
            <w:pPr>
              <w:pStyle w:val="ListParagraph1"/>
              <w:rPr>
                <w:color w:val="000000"/>
                <w:sz w:val="14"/>
                <w:szCs w:val="14"/>
              </w:rPr>
            </w:pPr>
            <w:r w:rsidRPr="00396982">
              <w:rPr>
                <w:color w:val="000000"/>
                <w:sz w:val="14"/>
                <w:szCs w:val="14"/>
              </w:rPr>
              <w:t>1.6042 (0.2449)</w:t>
            </w: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c>
          <w:tcPr>
            <w:tcW w:w="898" w:type="dxa"/>
          </w:tcPr>
          <w:p w:rsidR="00B97965" w:rsidRPr="00396982" w:rsidRDefault="00B97965" w:rsidP="00B97965">
            <w:pPr>
              <w:pStyle w:val="ListParagraph1"/>
              <w:rPr>
                <w:sz w:val="14"/>
                <w:szCs w:val="14"/>
              </w:rPr>
            </w:pPr>
          </w:p>
        </w:tc>
      </w:tr>
      <w:tr w:rsidR="00B97965" w:rsidRPr="005A09E3" w:rsidTr="00B97965">
        <w:trPr>
          <w:trHeight w:val="20"/>
        </w:trPr>
        <w:tc>
          <w:tcPr>
            <w:tcW w:w="3289" w:type="dxa"/>
          </w:tcPr>
          <w:p w:rsidR="00B97965" w:rsidRPr="00396982" w:rsidRDefault="00B97965" w:rsidP="00B97965">
            <w:pPr>
              <w:pStyle w:val="ListParagraph1"/>
              <w:rPr>
                <w:sz w:val="13"/>
                <w:szCs w:val="13"/>
              </w:rPr>
            </w:pPr>
            <w:r w:rsidRPr="00396982">
              <w:rPr>
                <w:sz w:val="13"/>
                <w:szCs w:val="13"/>
              </w:rPr>
              <w:t>Frailty Parameter (theta)</w:t>
            </w:r>
          </w:p>
        </w:tc>
        <w:tc>
          <w:tcPr>
            <w:tcW w:w="897" w:type="dxa"/>
            <w:vAlign w:val="bottom"/>
          </w:tcPr>
          <w:p w:rsidR="00B97965" w:rsidRPr="00396982" w:rsidRDefault="00B97965" w:rsidP="00B97965">
            <w:pPr>
              <w:pStyle w:val="ListParagraph1"/>
              <w:rPr>
                <w:color w:val="000000"/>
                <w:sz w:val="13"/>
                <w:szCs w:val="13"/>
              </w:rPr>
            </w:pPr>
            <w:r w:rsidRPr="00396982">
              <w:rPr>
                <w:color w:val="000000"/>
                <w:sz w:val="13"/>
                <w:szCs w:val="13"/>
              </w:rPr>
              <w:t>0.0820 (0.2705)</w:t>
            </w:r>
          </w:p>
        </w:tc>
        <w:tc>
          <w:tcPr>
            <w:tcW w:w="898" w:type="dxa"/>
            <w:vAlign w:val="bottom"/>
          </w:tcPr>
          <w:p w:rsidR="00B97965" w:rsidRPr="00396982" w:rsidRDefault="00B97965" w:rsidP="00B97965">
            <w:pPr>
              <w:pStyle w:val="ListParagraph1"/>
              <w:rPr>
                <w:color w:val="000000"/>
                <w:sz w:val="13"/>
                <w:szCs w:val="13"/>
              </w:rPr>
            </w:pPr>
            <w:r w:rsidRPr="00396982">
              <w:rPr>
                <w:color w:val="000000"/>
                <w:sz w:val="13"/>
                <w:szCs w:val="13"/>
              </w:rPr>
              <w:t>0.0000 (0.0007)</w:t>
            </w:r>
          </w:p>
        </w:tc>
        <w:tc>
          <w:tcPr>
            <w:tcW w:w="898" w:type="dxa"/>
            <w:vAlign w:val="bottom"/>
          </w:tcPr>
          <w:p w:rsidR="00B97965" w:rsidRPr="00396982" w:rsidRDefault="00B97965" w:rsidP="00B97965">
            <w:pPr>
              <w:pStyle w:val="ListParagraph1"/>
              <w:rPr>
                <w:color w:val="000000"/>
                <w:sz w:val="13"/>
                <w:szCs w:val="13"/>
              </w:rPr>
            </w:pPr>
            <w:r w:rsidRPr="00396982">
              <w:rPr>
                <w:color w:val="000000"/>
                <w:sz w:val="13"/>
                <w:szCs w:val="13"/>
              </w:rPr>
              <w:t>0.0000 (0.0002)</w:t>
            </w:r>
          </w:p>
        </w:tc>
        <w:tc>
          <w:tcPr>
            <w:tcW w:w="898" w:type="dxa"/>
            <w:vAlign w:val="bottom"/>
          </w:tcPr>
          <w:p w:rsidR="00B97965" w:rsidRPr="00396982" w:rsidRDefault="00B97965" w:rsidP="00B97965">
            <w:pPr>
              <w:pStyle w:val="ListParagraph1"/>
              <w:rPr>
                <w:color w:val="000000"/>
                <w:sz w:val="13"/>
                <w:szCs w:val="13"/>
              </w:rPr>
            </w:pPr>
            <w:r w:rsidRPr="00396982">
              <w:rPr>
                <w:color w:val="000000"/>
                <w:sz w:val="13"/>
                <w:szCs w:val="13"/>
              </w:rPr>
              <w:t>0.1171 (0.2286)</w:t>
            </w:r>
          </w:p>
        </w:tc>
        <w:tc>
          <w:tcPr>
            <w:tcW w:w="897" w:type="dxa"/>
            <w:vAlign w:val="bottom"/>
          </w:tcPr>
          <w:p w:rsidR="00B97965" w:rsidRPr="00396982" w:rsidRDefault="00B97965" w:rsidP="00B97965">
            <w:pPr>
              <w:pStyle w:val="ListParagraph1"/>
              <w:rPr>
                <w:color w:val="000000"/>
                <w:sz w:val="13"/>
                <w:szCs w:val="13"/>
              </w:rPr>
            </w:pPr>
            <w:r w:rsidRPr="00396982">
              <w:rPr>
                <w:color w:val="000000"/>
                <w:sz w:val="13"/>
                <w:szCs w:val="13"/>
              </w:rPr>
              <w:t>0.8849 (0.4080)</w:t>
            </w:r>
          </w:p>
        </w:tc>
        <w:tc>
          <w:tcPr>
            <w:tcW w:w="898" w:type="dxa"/>
            <w:vAlign w:val="bottom"/>
          </w:tcPr>
          <w:p w:rsidR="00B97965" w:rsidRPr="00396982" w:rsidRDefault="00B97965" w:rsidP="00B97965">
            <w:pPr>
              <w:pStyle w:val="ListParagraph1"/>
              <w:rPr>
                <w:color w:val="000000"/>
                <w:sz w:val="13"/>
                <w:szCs w:val="13"/>
              </w:rPr>
            </w:pPr>
            <w:r w:rsidRPr="00396982">
              <w:rPr>
                <w:color w:val="000000"/>
                <w:sz w:val="13"/>
                <w:szCs w:val="13"/>
              </w:rPr>
              <w:t>2.2502 (1.6640)</w:t>
            </w:r>
          </w:p>
        </w:tc>
        <w:tc>
          <w:tcPr>
            <w:tcW w:w="898" w:type="dxa"/>
            <w:vAlign w:val="bottom"/>
          </w:tcPr>
          <w:p w:rsidR="00B97965" w:rsidRPr="00396982" w:rsidRDefault="00B97965" w:rsidP="00B97965">
            <w:pPr>
              <w:pStyle w:val="ListParagraph1"/>
              <w:rPr>
                <w:color w:val="000000"/>
                <w:sz w:val="13"/>
                <w:szCs w:val="13"/>
              </w:rPr>
            </w:pPr>
            <w:r w:rsidRPr="00396982">
              <w:rPr>
                <w:color w:val="000000"/>
                <w:sz w:val="13"/>
                <w:szCs w:val="13"/>
              </w:rPr>
              <w:t>0.0000 (0.0027)</w:t>
            </w:r>
          </w:p>
        </w:tc>
        <w:tc>
          <w:tcPr>
            <w:tcW w:w="898" w:type="dxa"/>
            <w:vAlign w:val="bottom"/>
          </w:tcPr>
          <w:p w:rsidR="00B97965" w:rsidRPr="00396982" w:rsidRDefault="00B97965" w:rsidP="00B97965">
            <w:pPr>
              <w:pStyle w:val="ListParagraph1"/>
              <w:rPr>
                <w:color w:val="000000"/>
                <w:sz w:val="13"/>
                <w:szCs w:val="13"/>
              </w:rPr>
            </w:pPr>
          </w:p>
        </w:tc>
        <w:tc>
          <w:tcPr>
            <w:tcW w:w="897" w:type="dxa"/>
            <w:vAlign w:val="bottom"/>
          </w:tcPr>
          <w:p w:rsidR="00B97965" w:rsidRPr="00396982" w:rsidRDefault="00B97965" w:rsidP="00B97965">
            <w:pPr>
              <w:pStyle w:val="ListParagraph1"/>
              <w:rPr>
                <w:color w:val="000000"/>
                <w:sz w:val="13"/>
                <w:szCs w:val="13"/>
              </w:rPr>
            </w:pPr>
            <w:r w:rsidRPr="00396982">
              <w:rPr>
                <w:color w:val="000000"/>
                <w:sz w:val="13"/>
                <w:szCs w:val="13"/>
              </w:rPr>
              <w:t>2.6719 (1.8938)</w:t>
            </w:r>
          </w:p>
        </w:tc>
        <w:tc>
          <w:tcPr>
            <w:tcW w:w="898" w:type="dxa"/>
          </w:tcPr>
          <w:p w:rsidR="00B97965" w:rsidRPr="00396982" w:rsidRDefault="00B97965" w:rsidP="00B97965">
            <w:pPr>
              <w:pStyle w:val="ListParagraph1"/>
              <w:rPr>
                <w:sz w:val="13"/>
                <w:szCs w:val="13"/>
              </w:rPr>
            </w:pPr>
            <w:r w:rsidRPr="00396982">
              <w:rPr>
                <w:sz w:val="13"/>
                <w:szCs w:val="13"/>
              </w:rPr>
              <w:t>0.0000 (0.0006)</w:t>
            </w:r>
          </w:p>
        </w:tc>
        <w:tc>
          <w:tcPr>
            <w:tcW w:w="898" w:type="dxa"/>
          </w:tcPr>
          <w:p w:rsidR="00B97965" w:rsidRPr="00396982" w:rsidRDefault="00B97965" w:rsidP="00B97965">
            <w:pPr>
              <w:pStyle w:val="ListParagraph1"/>
              <w:rPr>
                <w:sz w:val="13"/>
                <w:szCs w:val="13"/>
              </w:rPr>
            </w:pPr>
            <w:r w:rsidRPr="00396982">
              <w:rPr>
                <w:sz w:val="13"/>
                <w:szCs w:val="13"/>
              </w:rPr>
              <w:t>0.2068 (0.4335)</w:t>
            </w:r>
          </w:p>
        </w:tc>
        <w:tc>
          <w:tcPr>
            <w:tcW w:w="898" w:type="dxa"/>
          </w:tcPr>
          <w:p w:rsidR="00B97965" w:rsidRPr="00396982" w:rsidRDefault="00B97965" w:rsidP="00B97965">
            <w:pPr>
              <w:pStyle w:val="ListParagraph1"/>
              <w:rPr>
                <w:sz w:val="13"/>
                <w:szCs w:val="13"/>
              </w:rPr>
            </w:pPr>
            <w:r w:rsidRPr="00396982">
              <w:rPr>
                <w:color w:val="000000"/>
                <w:sz w:val="13"/>
                <w:szCs w:val="13"/>
              </w:rPr>
              <w:t>0.0000 (0.0027)</w:t>
            </w:r>
          </w:p>
        </w:tc>
      </w:tr>
      <w:tr w:rsidR="00B97965" w:rsidRPr="005A09E3" w:rsidTr="00B97965">
        <w:trPr>
          <w:trHeight w:val="20"/>
        </w:trPr>
        <w:tc>
          <w:tcPr>
            <w:tcW w:w="3289" w:type="dxa"/>
          </w:tcPr>
          <w:p w:rsidR="00B97965" w:rsidRPr="00396982" w:rsidRDefault="00B97965" w:rsidP="00B97965">
            <w:pPr>
              <w:pStyle w:val="ListParagraph1"/>
              <w:rPr>
                <w:sz w:val="13"/>
                <w:szCs w:val="13"/>
              </w:rPr>
            </w:pPr>
            <w:r w:rsidRPr="00396982">
              <w:rPr>
                <w:sz w:val="13"/>
                <w:szCs w:val="13"/>
              </w:rPr>
              <w:t xml:space="preserve">Chi-squared </w:t>
            </w:r>
          </w:p>
        </w:tc>
        <w:tc>
          <w:tcPr>
            <w:tcW w:w="897" w:type="dxa"/>
          </w:tcPr>
          <w:p w:rsidR="00B97965" w:rsidRPr="00396982" w:rsidRDefault="00B97965" w:rsidP="00B97965">
            <w:pPr>
              <w:pStyle w:val="ListParagraph1"/>
              <w:rPr>
                <w:sz w:val="13"/>
                <w:szCs w:val="13"/>
              </w:rPr>
            </w:pPr>
            <w:r w:rsidRPr="00396982">
              <w:rPr>
                <w:sz w:val="13"/>
                <w:szCs w:val="13"/>
              </w:rPr>
              <w:t>112.10</w:t>
            </w:r>
          </w:p>
        </w:tc>
        <w:tc>
          <w:tcPr>
            <w:tcW w:w="898" w:type="dxa"/>
          </w:tcPr>
          <w:p w:rsidR="00B97965" w:rsidRPr="00396982" w:rsidRDefault="00B97965" w:rsidP="00B97965">
            <w:pPr>
              <w:pStyle w:val="ListParagraph1"/>
              <w:rPr>
                <w:sz w:val="13"/>
                <w:szCs w:val="13"/>
              </w:rPr>
            </w:pPr>
            <w:r w:rsidRPr="00396982">
              <w:rPr>
                <w:sz w:val="13"/>
                <w:szCs w:val="13"/>
              </w:rPr>
              <w:t>101.06</w:t>
            </w:r>
          </w:p>
        </w:tc>
        <w:tc>
          <w:tcPr>
            <w:tcW w:w="898" w:type="dxa"/>
          </w:tcPr>
          <w:p w:rsidR="00B97965" w:rsidRPr="00396982" w:rsidRDefault="00B97965" w:rsidP="00B97965">
            <w:pPr>
              <w:pStyle w:val="ListParagraph1"/>
              <w:rPr>
                <w:sz w:val="13"/>
                <w:szCs w:val="13"/>
              </w:rPr>
            </w:pPr>
            <w:r w:rsidRPr="00396982">
              <w:rPr>
                <w:sz w:val="13"/>
                <w:szCs w:val="13"/>
              </w:rPr>
              <w:t>99.72</w:t>
            </w:r>
          </w:p>
        </w:tc>
        <w:tc>
          <w:tcPr>
            <w:tcW w:w="898" w:type="dxa"/>
          </w:tcPr>
          <w:p w:rsidR="00B97965" w:rsidRPr="00396982" w:rsidRDefault="00B97965" w:rsidP="00B97965">
            <w:pPr>
              <w:pStyle w:val="ListParagraph1"/>
              <w:rPr>
                <w:sz w:val="13"/>
                <w:szCs w:val="13"/>
              </w:rPr>
            </w:pPr>
            <w:r w:rsidRPr="00396982">
              <w:rPr>
                <w:sz w:val="13"/>
                <w:szCs w:val="13"/>
              </w:rPr>
              <w:t>110.17</w:t>
            </w:r>
          </w:p>
        </w:tc>
        <w:tc>
          <w:tcPr>
            <w:tcW w:w="897" w:type="dxa"/>
          </w:tcPr>
          <w:p w:rsidR="00B97965" w:rsidRPr="00396982" w:rsidRDefault="00B97965" w:rsidP="00B97965">
            <w:pPr>
              <w:pStyle w:val="ListParagraph1"/>
              <w:rPr>
                <w:sz w:val="13"/>
                <w:szCs w:val="13"/>
              </w:rPr>
            </w:pPr>
            <w:r w:rsidRPr="00396982">
              <w:rPr>
                <w:sz w:val="13"/>
                <w:szCs w:val="13"/>
              </w:rPr>
              <w:t>72.65</w:t>
            </w:r>
          </w:p>
        </w:tc>
        <w:tc>
          <w:tcPr>
            <w:tcW w:w="898" w:type="dxa"/>
          </w:tcPr>
          <w:p w:rsidR="00B97965" w:rsidRPr="00396982" w:rsidRDefault="00B97965" w:rsidP="00B97965">
            <w:pPr>
              <w:pStyle w:val="ListParagraph1"/>
              <w:rPr>
                <w:sz w:val="13"/>
                <w:szCs w:val="13"/>
              </w:rPr>
            </w:pPr>
            <w:r w:rsidRPr="00396982">
              <w:rPr>
                <w:sz w:val="13"/>
                <w:szCs w:val="13"/>
              </w:rPr>
              <w:t>27.39</w:t>
            </w:r>
          </w:p>
        </w:tc>
        <w:tc>
          <w:tcPr>
            <w:tcW w:w="898" w:type="dxa"/>
          </w:tcPr>
          <w:p w:rsidR="00B97965" w:rsidRPr="00396982" w:rsidRDefault="00B97965" w:rsidP="00B97965">
            <w:pPr>
              <w:pStyle w:val="ListParagraph1"/>
              <w:rPr>
                <w:sz w:val="13"/>
                <w:szCs w:val="13"/>
              </w:rPr>
            </w:pPr>
            <w:r w:rsidRPr="00396982">
              <w:rPr>
                <w:sz w:val="13"/>
                <w:szCs w:val="13"/>
              </w:rPr>
              <w:t>10.83</w:t>
            </w:r>
          </w:p>
        </w:tc>
        <w:tc>
          <w:tcPr>
            <w:tcW w:w="898" w:type="dxa"/>
          </w:tcPr>
          <w:p w:rsidR="00B97965" w:rsidRPr="00396982" w:rsidRDefault="00B97965" w:rsidP="00B97965">
            <w:pPr>
              <w:pStyle w:val="ListParagraph1"/>
              <w:rPr>
                <w:sz w:val="13"/>
                <w:szCs w:val="13"/>
              </w:rPr>
            </w:pPr>
          </w:p>
        </w:tc>
        <w:tc>
          <w:tcPr>
            <w:tcW w:w="897" w:type="dxa"/>
          </w:tcPr>
          <w:p w:rsidR="00B97965" w:rsidRPr="00396982" w:rsidRDefault="00B97965" w:rsidP="00B97965">
            <w:pPr>
              <w:pStyle w:val="ListParagraph1"/>
              <w:rPr>
                <w:sz w:val="13"/>
                <w:szCs w:val="13"/>
              </w:rPr>
            </w:pPr>
            <w:r w:rsidRPr="00396982">
              <w:rPr>
                <w:sz w:val="13"/>
                <w:szCs w:val="13"/>
              </w:rPr>
              <w:t>35.15</w:t>
            </w:r>
          </w:p>
        </w:tc>
        <w:tc>
          <w:tcPr>
            <w:tcW w:w="898" w:type="dxa"/>
          </w:tcPr>
          <w:p w:rsidR="00B97965" w:rsidRPr="00396982" w:rsidRDefault="00B97965" w:rsidP="00B97965">
            <w:pPr>
              <w:pStyle w:val="ListParagraph1"/>
              <w:rPr>
                <w:sz w:val="13"/>
                <w:szCs w:val="13"/>
              </w:rPr>
            </w:pPr>
            <w:r w:rsidRPr="00396982">
              <w:rPr>
                <w:sz w:val="13"/>
                <w:szCs w:val="13"/>
              </w:rPr>
              <w:t>39.86</w:t>
            </w:r>
          </w:p>
        </w:tc>
        <w:tc>
          <w:tcPr>
            <w:tcW w:w="898" w:type="dxa"/>
          </w:tcPr>
          <w:p w:rsidR="00B97965" w:rsidRPr="00396982" w:rsidRDefault="00B97965" w:rsidP="00B97965">
            <w:pPr>
              <w:pStyle w:val="ListParagraph1"/>
              <w:rPr>
                <w:sz w:val="13"/>
                <w:szCs w:val="13"/>
              </w:rPr>
            </w:pPr>
            <w:r w:rsidRPr="00396982">
              <w:rPr>
                <w:sz w:val="13"/>
                <w:szCs w:val="13"/>
              </w:rPr>
              <w:t>58.34</w:t>
            </w:r>
          </w:p>
        </w:tc>
        <w:tc>
          <w:tcPr>
            <w:tcW w:w="898" w:type="dxa"/>
          </w:tcPr>
          <w:p w:rsidR="00B97965" w:rsidRPr="00396982" w:rsidRDefault="00B97965" w:rsidP="00B97965">
            <w:pPr>
              <w:pStyle w:val="ListParagraph1"/>
              <w:rPr>
                <w:sz w:val="13"/>
                <w:szCs w:val="13"/>
              </w:rPr>
            </w:pPr>
            <w:r w:rsidRPr="00396982">
              <w:rPr>
                <w:sz w:val="13"/>
                <w:szCs w:val="13"/>
              </w:rPr>
              <w:t>43.80</w:t>
            </w:r>
          </w:p>
        </w:tc>
      </w:tr>
    </w:tbl>
    <w:p w:rsidR="00BE457B" w:rsidRDefault="00BE457B" w:rsidP="00234693">
      <w:pPr>
        <w:pStyle w:val="Caption"/>
      </w:pPr>
    </w:p>
    <w:p w:rsidR="00BE457B" w:rsidRDefault="00BE457B" w:rsidP="00BE457B">
      <w:pPr>
        <w:rPr>
          <w:sz w:val="18"/>
          <w:szCs w:val="16"/>
        </w:rPr>
      </w:pPr>
      <w:r>
        <w:br w:type="page"/>
      </w:r>
    </w:p>
    <w:p w:rsidR="00221DD6" w:rsidRDefault="00221DD6" w:rsidP="00234693">
      <w:pPr>
        <w:pStyle w:val="Caption"/>
      </w:pPr>
    </w:p>
    <w:p w:rsidR="00B97965" w:rsidRDefault="00B97965" w:rsidP="00234693">
      <w:pPr>
        <w:pStyle w:val="Caption"/>
      </w:pPr>
      <w:r>
        <w:t xml:space="preserve">Table </w:t>
      </w:r>
      <w:fldSimple w:instr=" SEQ Table \* ARABIC ">
        <w:r w:rsidR="004911B7">
          <w:rPr>
            <w:noProof/>
          </w:rPr>
          <w:t>62</w:t>
        </w:r>
      </w:fldSimple>
      <w:r>
        <w:t>: Regression results for organ damage risk models with frailty (CE model analysis)</w:t>
      </w:r>
    </w:p>
    <w:tbl>
      <w:tblPr>
        <w:tblStyle w:val="TableGrid"/>
        <w:tblW w:w="14062"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3147"/>
        <w:gridCol w:w="909"/>
        <w:gridCol w:w="910"/>
        <w:gridCol w:w="909"/>
        <w:gridCol w:w="910"/>
        <w:gridCol w:w="909"/>
        <w:gridCol w:w="910"/>
        <w:gridCol w:w="910"/>
        <w:gridCol w:w="909"/>
        <w:gridCol w:w="910"/>
        <w:gridCol w:w="909"/>
        <w:gridCol w:w="910"/>
        <w:gridCol w:w="910"/>
      </w:tblGrid>
      <w:tr w:rsidR="00B97965" w:rsidRPr="006B3ED2" w:rsidTr="00B97965">
        <w:trPr>
          <w:trHeight w:val="138"/>
        </w:trPr>
        <w:tc>
          <w:tcPr>
            <w:tcW w:w="3147" w:type="dxa"/>
            <w:tcBorders>
              <w:top w:val="single" w:sz="8" w:space="0" w:color="auto"/>
              <w:bottom w:val="nil"/>
            </w:tcBorders>
          </w:tcPr>
          <w:p w:rsidR="00B97965" w:rsidRPr="00C54DED" w:rsidRDefault="00B97965" w:rsidP="00B97965">
            <w:pPr>
              <w:pStyle w:val="ListParagraph1"/>
              <w:rPr>
                <w:sz w:val="16"/>
                <w:szCs w:val="16"/>
              </w:rPr>
            </w:pPr>
          </w:p>
        </w:tc>
        <w:tc>
          <w:tcPr>
            <w:tcW w:w="909"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Cardio.</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Renal</w:t>
            </w:r>
          </w:p>
        </w:tc>
        <w:tc>
          <w:tcPr>
            <w:tcW w:w="909"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MSK</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Neuro.</w:t>
            </w:r>
          </w:p>
        </w:tc>
        <w:tc>
          <w:tcPr>
            <w:tcW w:w="909"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Pulmonary</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P</w:t>
            </w:r>
            <w:r>
              <w:rPr>
                <w:sz w:val="16"/>
                <w:szCs w:val="16"/>
              </w:rPr>
              <w:t>. V</w:t>
            </w:r>
            <w:r w:rsidRPr="006B3ED2">
              <w:rPr>
                <w:sz w:val="16"/>
                <w:szCs w:val="16"/>
              </w:rPr>
              <w:t>ascular</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Gastro.</w:t>
            </w:r>
          </w:p>
        </w:tc>
        <w:tc>
          <w:tcPr>
            <w:tcW w:w="909"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Ocular</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Skin</w:t>
            </w:r>
          </w:p>
        </w:tc>
        <w:tc>
          <w:tcPr>
            <w:tcW w:w="909"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Diabetes</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Malignancy</w:t>
            </w:r>
          </w:p>
        </w:tc>
        <w:tc>
          <w:tcPr>
            <w:tcW w:w="910" w:type="dxa"/>
            <w:tcBorders>
              <w:top w:val="single" w:sz="8" w:space="0" w:color="auto"/>
              <w:bottom w:val="nil"/>
            </w:tcBorders>
          </w:tcPr>
          <w:p w:rsidR="00B97965" w:rsidRPr="006B3ED2" w:rsidRDefault="00B97965" w:rsidP="00B97965">
            <w:pPr>
              <w:pStyle w:val="ListParagraph1"/>
              <w:jc w:val="center"/>
              <w:rPr>
                <w:sz w:val="16"/>
                <w:szCs w:val="16"/>
              </w:rPr>
            </w:pPr>
            <w:r w:rsidRPr="006B3ED2">
              <w:rPr>
                <w:sz w:val="16"/>
                <w:szCs w:val="16"/>
              </w:rPr>
              <w:t xml:space="preserve">Gonadal </w:t>
            </w:r>
          </w:p>
        </w:tc>
      </w:tr>
      <w:tr w:rsidR="00B97965" w:rsidRPr="006B3ED2" w:rsidTr="00B97965">
        <w:tc>
          <w:tcPr>
            <w:tcW w:w="3147" w:type="dxa"/>
            <w:tcBorders>
              <w:top w:val="nil"/>
              <w:bottom w:val="single" w:sz="4" w:space="0" w:color="auto"/>
            </w:tcBorders>
          </w:tcPr>
          <w:p w:rsidR="00B97965" w:rsidRPr="006B3ED2" w:rsidRDefault="00B97965" w:rsidP="00B97965">
            <w:pPr>
              <w:pStyle w:val="ListParagraph1"/>
              <w:rPr>
                <w:sz w:val="16"/>
                <w:szCs w:val="16"/>
              </w:rPr>
            </w:pPr>
          </w:p>
        </w:tc>
        <w:tc>
          <w:tcPr>
            <w:tcW w:w="909"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Gompertz</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Pr>
                <w:color w:val="000000"/>
                <w:sz w:val="16"/>
                <w:szCs w:val="16"/>
              </w:rPr>
              <w:t>Loglogistic</w:t>
            </w:r>
          </w:p>
        </w:tc>
        <w:tc>
          <w:tcPr>
            <w:tcW w:w="909"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Weibull</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Weibull</w:t>
            </w:r>
          </w:p>
        </w:tc>
        <w:tc>
          <w:tcPr>
            <w:tcW w:w="909" w:type="dxa"/>
            <w:tcBorders>
              <w:top w:val="nil"/>
              <w:bottom w:val="single" w:sz="4" w:space="0" w:color="auto"/>
            </w:tcBorders>
          </w:tcPr>
          <w:p w:rsidR="00B97965" w:rsidRPr="006B3ED2" w:rsidRDefault="00B97965" w:rsidP="00B97965">
            <w:pPr>
              <w:pStyle w:val="ListParagraph1"/>
              <w:jc w:val="center"/>
              <w:rPr>
                <w:color w:val="000000"/>
                <w:sz w:val="16"/>
                <w:szCs w:val="16"/>
              </w:rPr>
            </w:pPr>
            <w:r>
              <w:rPr>
                <w:color w:val="000000"/>
                <w:sz w:val="16"/>
                <w:szCs w:val="16"/>
              </w:rPr>
              <w:t>Loglogistic</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Exponential</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Exponential</w:t>
            </w:r>
          </w:p>
        </w:tc>
        <w:tc>
          <w:tcPr>
            <w:tcW w:w="909"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Weibull</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Pr>
                <w:color w:val="000000"/>
                <w:sz w:val="16"/>
                <w:szCs w:val="16"/>
              </w:rPr>
              <w:t>Loglogistic</w:t>
            </w:r>
          </w:p>
        </w:tc>
        <w:tc>
          <w:tcPr>
            <w:tcW w:w="909" w:type="dxa"/>
            <w:tcBorders>
              <w:top w:val="nil"/>
              <w:bottom w:val="single" w:sz="4" w:space="0" w:color="auto"/>
            </w:tcBorders>
          </w:tcPr>
          <w:p w:rsidR="00B97965" w:rsidRPr="006B3ED2" w:rsidRDefault="00B97965" w:rsidP="00B97965">
            <w:pPr>
              <w:pStyle w:val="ListParagraph1"/>
              <w:jc w:val="center"/>
              <w:rPr>
                <w:sz w:val="16"/>
                <w:szCs w:val="16"/>
              </w:rPr>
            </w:pPr>
            <w:r w:rsidRPr="006B3ED2">
              <w:rPr>
                <w:sz w:val="16"/>
                <w:szCs w:val="16"/>
              </w:rPr>
              <w:t>Exponential</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Exponential</w:t>
            </w:r>
          </w:p>
        </w:tc>
        <w:tc>
          <w:tcPr>
            <w:tcW w:w="910" w:type="dxa"/>
            <w:tcBorders>
              <w:top w:val="nil"/>
              <w:bottom w:val="single" w:sz="4" w:space="0" w:color="auto"/>
            </w:tcBorders>
          </w:tcPr>
          <w:p w:rsidR="00B97965" w:rsidRPr="006B3ED2" w:rsidRDefault="00B97965" w:rsidP="00B97965">
            <w:pPr>
              <w:pStyle w:val="ListParagraph1"/>
              <w:jc w:val="center"/>
              <w:rPr>
                <w:color w:val="000000"/>
                <w:sz w:val="16"/>
                <w:szCs w:val="16"/>
              </w:rPr>
            </w:pPr>
            <w:r w:rsidRPr="006B3ED2">
              <w:rPr>
                <w:color w:val="000000"/>
                <w:sz w:val="16"/>
                <w:szCs w:val="16"/>
              </w:rPr>
              <w:t>Exponential</w:t>
            </w:r>
          </w:p>
        </w:tc>
      </w:tr>
      <w:tr w:rsidR="00B97965" w:rsidRPr="006B3ED2" w:rsidTr="00B97965">
        <w:tc>
          <w:tcPr>
            <w:tcW w:w="3147" w:type="dxa"/>
            <w:tcBorders>
              <w:top w:val="single" w:sz="4" w:space="0" w:color="auto"/>
            </w:tcBorders>
          </w:tcPr>
          <w:p w:rsidR="00B97965" w:rsidRPr="006B3ED2" w:rsidRDefault="00B97965" w:rsidP="00B97965">
            <w:pPr>
              <w:pStyle w:val="ListParagraph1"/>
              <w:rPr>
                <w:sz w:val="16"/>
                <w:szCs w:val="16"/>
              </w:rPr>
            </w:pPr>
            <w:r>
              <w:rPr>
                <w:sz w:val="16"/>
                <w:szCs w:val="16"/>
              </w:rPr>
              <w:t>African American ethnicity</w:t>
            </w:r>
          </w:p>
        </w:tc>
        <w:tc>
          <w:tcPr>
            <w:tcW w:w="909" w:type="dxa"/>
            <w:tcBorders>
              <w:top w:val="single" w:sz="4" w:space="0" w:color="auto"/>
            </w:tcBorders>
            <w:vAlign w:val="bottom"/>
          </w:tcPr>
          <w:p w:rsidR="00B97965" w:rsidRPr="006B3ED2" w:rsidRDefault="00B97965" w:rsidP="00B97965">
            <w:pPr>
              <w:pStyle w:val="ListParagraph1"/>
              <w:rPr>
                <w:color w:val="000000"/>
                <w:sz w:val="16"/>
                <w:szCs w:val="16"/>
              </w:rPr>
            </w:pPr>
          </w:p>
        </w:tc>
        <w:tc>
          <w:tcPr>
            <w:tcW w:w="910" w:type="dxa"/>
            <w:tcBorders>
              <w:top w:val="single" w:sz="4" w:space="0" w:color="auto"/>
            </w:tcBorders>
          </w:tcPr>
          <w:p w:rsidR="00B97965" w:rsidRPr="006B3ED2" w:rsidRDefault="00B97965" w:rsidP="00B97965">
            <w:pPr>
              <w:pStyle w:val="ListParagraph1"/>
              <w:rPr>
                <w:color w:val="000000"/>
                <w:sz w:val="16"/>
                <w:szCs w:val="16"/>
              </w:rPr>
            </w:pPr>
          </w:p>
        </w:tc>
        <w:tc>
          <w:tcPr>
            <w:tcW w:w="909" w:type="dxa"/>
            <w:tcBorders>
              <w:top w:val="single" w:sz="4" w:space="0" w:color="auto"/>
            </w:tcBorders>
          </w:tcPr>
          <w:p w:rsidR="00B97965" w:rsidRPr="006B3ED2" w:rsidRDefault="00B97965" w:rsidP="00B97965">
            <w:pPr>
              <w:pStyle w:val="ListParagraph1"/>
              <w:rPr>
                <w:color w:val="000000"/>
                <w:sz w:val="16"/>
                <w:szCs w:val="16"/>
              </w:rPr>
            </w:pPr>
          </w:p>
        </w:tc>
        <w:tc>
          <w:tcPr>
            <w:tcW w:w="910" w:type="dxa"/>
            <w:tcBorders>
              <w:top w:val="single" w:sz="4" w:space="0" w:color="auto"/>
            </w:tcBorders>
          </w:tcPr>
          <w:p w:rsidR="00B97965" w:rsidRPr="006B3ED2" w:rsidRDefault="00B97965" w:rsidP="00B97965">
            <w:pPr>
              <w:pStyle w:val="ListParagraph1"/>
              <w:rPr>
                <w:color w:val="000000"/>
                <w:sz w:val="16"/>
                <w:szCs w:val="16"/>
              </w:rPr>
            </w:pPr>
          </w:p>
        </w:tc>
        <w:tc>
          <w:tcPr>
            <w:tcW w:w="909" w:type="dxa"/>
            <w:tcBorders>
              <w:top w:val="single" w:sz="4" w:space="0" w:color="auto"/>
            </w:tcBorders>
            <w:vAlign w:val="bottom"/>
          </w:tcPr>
          <w:p w:rsidR="00B97965" w:rsidRPr="006B3ED2" w:rsidRDefault="00B97965" w:rsidP="00B97965">
            <w:pPr>
              <w:pStyle w:val="ListParagraph1"/>
              <w:rPr>
                <w:color w:val="000000"/>
                <w:sz w:val="16"/>
                <w:szCs w:val="16"/>
              </w:rPr>
            </w:pPr>
          </w:p>
        </w:tc>
        <w:tc>
          <w:tcPr>
            <w:tcW w:w="910" w:type="dxa"/>
            <w:tcBorders>
              <w:top w:val="single" w:sz="4" w:space="0" w:color="auto"/>
            </w:tcBorders>
            <w:vAlign w:val="bottom"/>
          </w:tcPr>
          <w:p w:rsidR="00B97965" w:rsidRPr="006B3ED2" w:rsidRDefault="00B97965" w:rsidP="00B97965">
            <w:pPr>
              <w:pStyle w:val="ListParagraph1"/>
              <w:rPr>
                <w:color w:val="000000"/>
                <w:sz w:val="16"/>
                <w:szCs w:val="16"/>
              </w:rPr>
            </w:pPr>
          </w:p>
        </w:tc>
        <w:tc>
          <w:tcPr>
            <w:tcW w:w="910" w:type="dxa"/>
            <w:tcBorders>
              <w:top w:val="single" w:sz="4" w:space="0" w:color="auto"/>
            </w:tcBorders>
          </w:tcPr>
          <w:p w:rsidR="00B97965" w:rsidRPr="006B3ED2" w:rsidRDefault="00B97965" w:rsidP="00B97965">
            <w:pPr>
              <w:pStyle w:val="ListParagraph1"/>
              <w:rPr>
                <w:color w:val="000000"/>
                <w:sz w:val="16"/>
                <w:szCs w:val="16"/>
              </w:rPr>
            </w:pPr>
          </w:p>
        </w:tc>
        <w:tc>
          <w:tcPr>
            <w:tcW w:w="909" w:type="dxa"/>
            <w:tcBorders>
              <w:top w:val="single" w:sz="4" w:space="0" w:color="auto"/>
            </w:tcBorders>
          </w:tcPr>
          <w:p w:rsidR="00B97965" w:rsidRPr="006B3ED2" w:rsidRDefault="00B97965" w:rsidP="00B97965">
            <w:pPr>
              <w:pStyle w:val="ListParagraph1"/>
              <w:rPr>
                <w:color w:val="000000"/>
                <w:sz w:val="16"/>
                <w:szCs w:val="16"/>
              </w:rPr>
            </w:pPr>
          </w:p>
        </w:tc>
        <w:tc>
          <w:tcPr>
            <w:tcW w:w="910" w:type="dxa"/>
            <w:tcBorders>
              <w:top w:val="single" w:sz="4" w:space="0" w:color="auto"/>
            </w:tcBorders>
          </w:tcPr>
          <w:p w:rsidR="00B97965" w:rsidRPr="006B3ED2" w:rsidRDefault="00B97965" w:rsidP="00B97965">
            <w:pPr>
              <w:pStyle w:val="ListParagraph1"/>
              <w:rPr>
                <w:color w:val="000000"/>
                <w:sz w:val="16"/>
                <w:szCs w:val="16"/>
              </w:rPr>
            </w:pPr>
            <w:r>
              <w:rPr>
                <w:color w:val="000000"/>
                <w:sz w:val="16"/>
                <w:szCs w:val="16"/>
              </w:rPr>
              <w:t>0.1953 (0.1728)</w:t>
            </w:r>
          </w:p>
        </w:tc>
        <w:tc>
          <w:tcPr>
            <w:tcW w:w="909" w:type="dxa"/>
            <w:tcBorders>
              <w:top w:val="single" w:sz="4" w:space="0" w:color="auto"/>
            </w:tcBorders>
          </w:tcPr>
          <w:p w:rsidR="00B97965" w:rsidRPr="006B3ED2" w:rsidRDefault="00B97965" w:rsidP="00B97965">
            <w:pPr>
              <w:pStyle w:val="ListParagraph1"/>
              <w:rPr>
                <w:sz w:val="16"/>
                <w:szCs w:val="16"/>
              </w:rPr>
            </w:pPr>
            <w:r w:rsidRPr="006B3ED2">
              <w:rPr>
                <w:sz w:val="16"/>
                <w:szCs w:val="16"/>
              </w:rPr>
              <w:t>2.183</w:t>
            </w:r>
            <w:r>
              <w:rPr>
                <w:sz w:val="16"/>
                <w:szCs w:val="16"/>
              </w:rPr>
              <w:t>7 (0.6174)</w:t>
            </w:r>
          </w:p>
        </w:tc>
        <w:tc>
          <w:tcPr>
            <w:tcW w:w="910" w:type="dxa"/>
            <w:tcBorders>
              <w:top w:val="single" w:sz="4" w:space="0" w:color="auto"/>
            </w:tcBorders>
            <w:vAlign w:val="bottom"/>
          </w:tcPr>
          <w:p w:rsidR="00B97965" w:rsidRPr="006B3ED2" w:rsidRDefault="00B97965" w:rsidP="00B97965">
            <w:pPr>
              <w:pStyle w:val="ListParagraph1"/>
              <w:rPr>
                <w:color w:val="000000"/>
                <w:sz w:val="16"/>
                <w:szCs w:val="16"/>
              </w:rPr>
            </w:pPr>
          </w:p>
        </w:tc>
        <w:tc>
          <w:tcPr>
            <w:tcW w:w="910" w:type="dxa"/>
            <w:tcBorders>
              <w:top w:val="single" w:sz="4" w:space="0" w:color="auto"/>
            </w:tcBorders>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Age at diagnosis</w:t>
            </w:r>
          </w:p>
        </w:tc>
        <w:tc>
          <w:tcPr>
            <w:tcW w:w="909" w:type="dxa"/>
            <w:vAlign w:val="bottom"/>
          </w:tcPr>
          <w:p w:rsidR="00B97965" w:rsidRPr="006B3ED2" w:rsidRDefault="00B97965" w:rsidP="00B97965">
            <w:pPr>
              <w:pStyle w:val="ListParagraph1"/>
              <w:rPr>
                <w:color w:val="000000"/>
                <w:sz w:val="16"/>
                <w:szCs w:val="16"/>
              </w:rPr>
            </w:pPr>
            <w:r w:rsidRPr="006B3ED2">
              <w:rPr>
                <w:color w:val="000000"/>
                <w:sz w:val="16"/>
                <w:szCs w:val="16"/>
              </w:rPr>
              <w:t>1.04</w:t>
            </w:r>
            <w:r>
              <w:rPr>
                <w:color w:val="000000"/>
                <w:sz w:val="16"/>
                <w:szCs w:val="16"/>
              </w:rPr>
              <w:t>69 (0.0081)</w:t>
            </w: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r w:rsidRPr="006B3ED2">
              <w:rPr>
                <w:color w:val="000000"/>
                <w:sz w:val="16"/>
                <w:szCs w:val="16"/>
              </w:rPr>
              <w:t>1.02</w:t>
            </w:r>
            <w:r>
              <w:rPr>
                <w:color w:val="000000"/>
                <w:sz w:val="16"/>
                <w:szCs w:val="16"/>
              </w:rPr>
              <w:t>64 (0.0077)</w:t>
            </w: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Past smoker at baseline</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r>
              <w:rPr>
                <w:sz w:val="16"/>
                <w:szCs w:val="16"/>
              </w:rPr>
              <w:t>2.0054 (0.6155)</w:t>
            </w: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0.1836 (0.1605)</w:t>
            </w: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Cholesterol at last visit</w:t>
            </w:r>
          </w:p>
        </w:tc>
        <w:tc>
          <w:tcPr>
            <w:tcW w:w="909" w:type="dxa"/>
            <w:vAlign w:val="bottom"/>
          </w:tcPr>
          <w:p w:rsidR="00B97965" w:rsidRPr="006B3ED2" w:rsidRDefault="00B97965" w:rsidP="00B97965">
            <w:pPr>
              <w:pStyle w:val="ListParagraph1"/>
              <w:rPr>
                <w:color w:val="000000"/>
                <w:sz w:val="16"/>
                <w:szCs w:val="16"/>
              </w:rPr>
            </w:pPr>
            <w:r w:rsidRPr="006B3ED2">
              <w:rPr>
                <w:color w:val="000000"/>
                <w:sz w:val="16"/>
                <w:szCs w:val="16"/>
              </w:rPr>
              <w:t>1.002</w:t>
            </w:r>
            <w:r>
              <w:rPr>
                <w:color w:val="000000"/>
                <w:sz w:val="16"/>
                <w:szCs w:val="16"/>
              </w:rPr>
              <w:t>5 (0.0013)</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0.9842 (0.0062)</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1.0034</w:t>
            </w:r>
            <w:r>
              <w:rPr>
                <w:color w:val="000000"/>
                <w:sz w:val="16"/>
                <w:szCs w:val="16"/>
              </w:rPr>
              <w:t xml:space="preserve"> (0.0012)</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r>
              <w:rPr>
                <w:sz w:val="16"/>
                <w:szCs w:val="16"/>
              </w:rPr>
              <w:t>1.0058 (0.0020)</w:t>
            </w: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r>
              <w:rPr>
                <w:color w:val="000000"/>
                <w:sz w:val="16"/>
                <w:szCs w:val="16"/>
              </w:rPr>
              <w:t>0.9905 (0.0024)</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1.0053</w:t>
            </w:r>
            <w:r>
              <w:rPr>
                <w:color w:val="000000"/>
                <w:sz w:val="16"/>
                <w:szCs w:val="16"/>
              </w:rPr>
              <w:t xml:space="preserve"> (0.0017)</w:t>
            </w: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Hypertension at last visit</w:t>
            </w: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2.2563 (0.5389)</w:t>
            </w: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1.7816 (0.2951)</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r>
              <w:rPr>
                <w:sz w:val="16"/>
                <w:szCs w:val="16"/>
              </w:rPr>
              <w:t>2.2430 (0.7481)</w:t>
            </w: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Anticardiolipid antibody positive at last visit</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0</w:t>
            </w:r>
            <w:r w:rsidRPr="006B3ED2">
              <w:rPr>
                <w:color w:val="000000"/>
                <w:sz w:val="16"/>
                <w:szCs w:val="16"/>
              </w:rPr>
              <w:t>.2</w:t>
            </w:r>
            <w:r>
              <w:rPr>
                <w:color w:val="000000"/>
                <w:sz w:val="16"/>
                <w:szCs w:val="16"/>
              </w:rPr>
              <w:t>674 (0.1268)</w:t>
            </w: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Lupus Anticoagulant positive at last visit</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r>
              <w:rPr>
                <w:sz w:val="16"/>
                <w:szCs w:val="16"/>
              </w:rPr>
              <w:t>2.3511 (0.8452)</w:t>
            </w: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Log of age</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r w:rsidRPr="006B3ED2">
              <w:rPr>
                <w:color w:val="000000"/>
                <w:sz w:val="16"/>
                <w:szCs w:val="16"/>
              </w:rPr>
              <w:t>2.590</w:t>
            </w:r>
            <w:r>
              <w:rPr>
                <w:color w:val="000000"/>
                <w:sz w:val="16"/>
                <w:szCs w:val="16"/>
              </w:rPr>
              <w:t>7 (0.5476)</w:t>
            </w:r>
          </w:p>
        </w:tc>
        <w:tc>
          <w:tcPr>
            <w:tcW w:w="910" w:type="dxa"/>
          </w:tcPr>
          <w:p w:rsidR="00B97965" w:rsidRPr="006B3ED2" w:rsidRDefault="00B97965" w:rsidP="00B97965">
            <w:pPr>
              <w:pStyle w:val="ListParagraph1"/>
              <w:rPr>
                <w:color w:val="000000"/>
                <w:sz w:val="16"/>
                <w:szCs w:val="16"/>
              </w:rPr>
            </w:pPr>
            <w:r>
              <w:rPr>
                <w:color w:val="000000"/>
                <w:sz w:val="16"/>
                <w:szCs w:val="16"/>
              </w:rPr>
              <w:t>2.4621 (0.6469)</w:t>
            </w: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0.2275 (0.1011)</w:t>
            </w: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r w:rsidRPr="006B3ED2">
              <w:rPr>
                <w:sz w:val="16"/>
                <w:szCs w:val="16"/>
              </w:rPr>
              <w:t>9.0</w:t>
            </w:r>
            <w:r>
              <w:rPr>
                <w:sz w:val="16"/>
                <w:szCs w:val="16"/>
              </w:rPr>
              <w:t>296 (4.5999)</w:t>
            </w: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Log of disease duration</w:t>
            </w:r>
          </w:p>
        </w:tc>
        <w:tc>
          <w:tcPr>
            <w:tcW w:w="909" w:type="dxa"/>
            <w:vAlign w:val="bottom"/>
          </w:tcPr>
          <w:p w:rsidR="00B97965" w:rsidRPr="006B3ED2" w:rsidRDefault="00B97965" w:rsidP="00B97965">
            <w:pPr>
              <w:pStyle w:val="ListParagraph1"/>
              <w:rPr>
                <w:color w:val="000000"/>
                <w:sz w:val="16"/>
                <w:szCs w:val="16"/>
              </w:rPr>
            </w:pPr>
            <w:r w:rsidRPr="006B3ED2">
              <w:rPr>
                <w:color w:val="000000"/>
                <w:sz w:val="16"/>
                <w:szCs w:val="16"/>
              </w:rPr>
              <w:t>1.8</w:t>
            </w:r>
            <w:r>
              <w:rPr>
                <w:color w:val="000000"/>
                <w:sz w:val="16"/>
                <w:szCs w:val="16"/>
              </w:rPr>
              <w:t>234 (0.2621)</w:t>
            </w: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r>
              <w:rPr>
                <w:color w:val="000000"/>
                <w:sz w:val="16"/>
                <w:szCs w:val="16"/>
              </w:rPr>
              <w:t>1.3578 (0.1906)</w:t>
            </w:r>
          </w:p>
        </w:tc>
        <w:tc>
          <w:tcPr>
            <w:tcW w:w="910" w:type="dxa"/>
          </w:tcPr>
          <w:p w:rsidR="00B97965" w:rsidRPr="006B3ED2" w:rsidRDefault="00B97965" w:rsidP="00B97965">
            <w:pPr>
              <w:pStyle w:val="ListParagraph1"/>
              <w:rPr>
                <w:color w:val="000000"/>
                <w:sz w:val="16"/>
                <w:szCs w:val="16"/>
              </w:rPr>
            </w:pPr>
          </w:p>
        </w:tc>
      </w:tr>
      <w:tr w:rsidR="00B97965" w:rsidRPr="006B3ED2" w:rsidTr="00B97965">
        <w:trPr>
          <w:trHeight w:val="118"/>
        </w:trPr>
        <w:tc>
          <w:tcPr>
            <w:tcW w:w="3147" w:type="dxa"/>
          </w:tcPr>
          <w:p w:rsidR="00B97965" w:rsidRPr="006B3ED2" w:rsidRDefault="00B97965" w:rsidP="00B97965">
            <w:pPr>
              <w:pStyle w:val="ListParagraph1"/>
              <w:rPr>
                <w:sz w:val="16"/>
                <w:szCs w:val="16"/>
              </w:rPr>
            </w:pPr>
            <w:r w:rsidRPr="006B3ED2">
              <w:rPr>
                <w:sz w:val="16"/>
                <w:szCs w:val="16"/>
              </w:rPr>
              <w:t>Adjusted Mean SLEDAI at last visit</w:t>
            </w: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1.1703 (0.0468)</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0.6361 (0.0701)</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0.8883 (0.0421)</w:t>
            </w: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0.8305 (0.0975)</w:t>
            </w: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 xml:space="preserve">Cumulative average </w:t>
            </w:r>
            <w:r>
              <w:rPr>
                <w:sz w:val="16"/>
                <w:szCs w:val="16"/>
              </w:rPr>
              <w:t>steroid</w:t>
            </w:r>
            <w:r w:rsidRPr="006B3ED2">
              <w:rPr>
                <w:sz w:val="16"/>
                <w:szCs w:val="16"/>
              </w:rPr>
              <w:t xml:space="preserve"> dose at last visit</w:t>
            </w:r>
          </w:p>
        </w:tc>
        <w:tc>
          <w:tcPr>
            <w:tcW w:w="909" w:type="dxa"/>
          </w:tcPr>
          <w:p w:rsidR="00B97965" w:rsidRPr="006B3ED2" w:rsidRDefault="00B97965" w:rsidP="00B97965">
            <w:pPr>
              <w:pStyle w:val="ListParagraph1"/>
              <w:rPr>
                <w:color w:val="000000"/>
                <w:sz w:val="16"/>
                <w:szCs w:val="16"/>
              </w:rPr>
            </w:pPr>
            <w:r w:rsidRPr="006B3ED2">
              <w:rPr>
                <w:color w:val="000000"/>
                <w:sz w:val="16"/>
                <w:szCs w:val="16"/>
              </w:rPr>
              <w:t>1.0011</w:t>
            </w:r>
            <w:r>
              <w:rPr>
                <w:color w:val="000000"/>
                <w:sz w:val="16"/>
                <w:szCs w:val="16"/>
              </w:rPr>
              <w:t xml:space="preserve"> (0.0004)</w:t>
            </w: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r>
              <w:rPr>
                <w:color w:val="000000"/>
                <w:sz w:val="16"/>
                <w:szCs w:val="16"/>
              </w:rPr>
              <w:t>1.0014 (0.0002)</w:t>
            </w:r>
          </w:p>
        </w:tc>
        <w:tc>
          <w:tcPr>
            <w:tcW w:w="910" w:type="dxa"/>
          </w:tcPr>
          <w:p w:rsidR="00B97965" w:rsidRPr="006B3ED2" w:rsidRDefault="00B97965" w:rsidP="00B97965">
            <w:pPr>
              <w:pStyle w:val="ListParagraph1"/>
              <w:rPr>
                <w:color w:val="000000"/>
                <w:sz w:val="16"/>
                <w:szCs w:val="16"/>
              </w:rPr>
            </w:pPr>
            <w:r>
              <w:rPr>
                <w:color w:val="000000"/>
                <w:sz w:val="16"/>
                <w:szCs w:val="16"/>
              </w:rPr>
              <w:t>1.0006 (0.0003)</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r w:rsidRPr="006B3ED2">
              <w:rPr>
                <w:sz w:val="16"/>
                <w:szCs w:val="16"/>
              </w:rPr>
              <w:t>1.00084</w:t>
            </w:r>
            <w:r>
              <w:rPr>
                <w:sz w:val="16"/>
                <w:szCs w:val="16"/>
              </w:rPr>
              <w:t xml:space="preserve"> (0.0004)</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r>
              <w:rPr>
                <w:sz w:val="16"/>
                <w:szCs w:val="16"/>
              </w:rPr>
              <w:t>1.0015 (0.0004)</w:t>
            </w:r>
          </w:p>
        </w:tc>
        <w:tc>
          <w:tcPr>
            <w:tcW w:w="910"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1.0020 (0.0004)</w:t>
            </w: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SLICC/ACR score at last visit</w:t>
            </w:r>
          </w:p>
        </w:tc>
        <w:tc>
          <w:tcPr>
            <w:tcW w:w="909"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r>
              <w:rPr>
                <w:color w:val="000000"/>
                <w:sz w:val="16"/>
                <w:szCs w:val="16"/>
              </w:rPr>
              <w:t>1.1157 (0.0307)</w:t>
            </w:r>
          </w:p>
        </w:tc>
        <w:tc>
          <w:tcPr>
            <w:tcW w:w="910" w:type="dxa"/>
          </w:tcPr>
          <w:p w:rsidR="00B97965" w:rsidRPr="006B3ED2" w:rsidRDefault="00B97965" w:rsidP="00B97965">
            <w:pPr>
              <w:pStyle w:val="ListParagraph1"/>
              <w:rPr>
                <w:color w:val="000000"/>
                <w:sz w:val="16"/>
                <w:szCs w:val="16"/>
              </w:rPr>
            </w:pP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0.8685 (0.0545)</w:t>
            </w: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Diabetes score at last visit</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c>
          <w:tcPr>
            <w:tcW w:w="909" w:type="dxa"/>
          </w:tcPr>
          <w:p w:rsidR="00B97965" w:rsidRPr="006B3ED2" w:rsidRDefault="00B97965" w:rsidP="00B97965">
            <w:pPr>
              <w:pStyle w:val="ListParagraph1"/>
              <w:rPr>
                <w:color w:val="000000"/>
                <w:sz w:val="16"/>
                <w:szCs w:val="16"/>
              </w:rPr>
            </w:pPr>
          </w:p>
        </w:tc>
        <w:tc>
          <w:tcPr>
            <w:tcW w:w="910" w:type="dxa"/>
            <w:vAlign w:val="bottom"/>
          </w:tcPr>
          <w:p w:rsidR="00B97965" w:rsidRPr="006B3ED2" w:rsidRDefault="00B97965" w:rsidP="00B97965">
            <w:pPr>
              <w:pStyle w:val="ListParagraph1"/>
              <w:rPr>
                <w:color w:val="000000"/>
                <w:sz w:val="16"/>
                <w:szCs w:val="16"/>
              </w:rPr>
            </w:pPr>
            <w:r>
              <w:rPr>
                <w:color w:val="000000"/>
                <w:sz w:val="16"/>
                <w:szCs w:val="16"/>
              </w:rPr>
              <w:t>1.1995 (0.0491)</w:t>
            </w: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Baseline hazard</w:t>
            </w:r>
          </w:p>
        </w:tc>
        <w:tc>
          <w:tcPr>
            <w:tcW w:w="909" w:type="dxa"/>
          </w:tcPr>
          <w:p w:rsidR="00B97965" w:rsidRPr="006B3ED2" w:rsidRDefault="00B97965" w:rsidP="00B97965">
            <w:pPr>
              <w:pStyle w:val="ListParagraph1"/>
              <w:rPr>
                <w:color w:val="000000"/>
                <w:sz w:val="16"/>
                <w:szCs w:val="16"/>
              </w:rPr>
            </w:pPr>
            <w:r>
              <w:rPr>
                <w:color w:val="000000"/>
                <w:sz w:val="16"/>
                <w:szCs w:val="16"/>
              </w:rPr>
              <w:t>-8.7768 (0.5635)</w:t>
            </w:r>
          </w:p>
        </w:tc>
        <w:tc>
          <w:tcPr>
            <w:tcW w:w="910" w:type="dxa"/>
          </w:tcPr>
          <w:p w:rsidR="00B97965" w:rsidRPr="006B3ED2" w:rsidRDefault="00B97965" w:rsidP="00B97965">
            <w:pPr>
              <w:pStyle w:val="ListParagraph1"/>
              <w:rPr>
                <w:color w:val="000000"/>
                <w:sz w:val="16"/>
                <w:szCs w:val="16"/>
              </w:rPr>
            </w:pPr>
            <w:r>
              <w:rPr>
                <w:color w:val="000000"/>
                <w:sz w:val="16"/>
                <w:szCs w:val="16"/>
              </w:rPr>
              <w:t>12.229</w:t>
            </w:r>
            <w:r w:rsidRPr="006B3ED2">
              <w:rPr>
                <w:color w:val="000000"/>
                <w:sz w:val="16"/>
                <w:szCs w:val="16"/>
              </w:rPr>
              <w:t xml:space="preserve"> (2.57</w:t>
            </w:r>
            <w:r>
              <w:rPr>
                <w:color w:val="000000"/>
                <w:sz w:val="16"/>
                <w:szCs w:val="16"/>
              </w:rPr>
              <w:t>10</w:t>
            </w:r>
            <w:r w:rsidRPr="006B3ED2">
              <w:rPr>
                <w:color w:val="000000"/>
                <w:sz w:val="16"/>
                <w:szCs w:val="16"/>
              </w:rPr>
              <w:t>)</w:t>
            </w:r>
          </w:p>
        </w:tc>
        <w:tc>
          <w:tcPr>
            <w:tcW w:w="909" w:type="dxa"/>
          </w:tcPr>
          <w:p w:rsidR="00B97965" w:rsidRPr="006B3ED2" w:rsidRDefault="00B97965" w:rsidP="00B97965">
            <w:pPr>
              <w:pStyle w:val="ListParagraph1"/>
              <w:rPr>
                <w:color w:val="000000"/>
                <w:sz w:val="16"/>
                <w:szCs w:val="16"/>
              </w:rPr>
            </w:pPr>
            <w:r>
              <w:rPr>
                <w:color w:val="000000"/>
                <w:sz w:val="16"/>
                <w:szCs w:val="16"/>
              </w:rPr>
              <w:t>-7.3413 (0.8012)</w:t>
            </w:r>
          </w:p>
        </w:tc>
        <w:tc>
          <w:tcPr>
            <w:tcW w:w="910" w:type="dxa"/>
          </w:tcPr>
          <w:p w:rsidR="00B97965" w:rsidRPr="006B3ED2" w:rsidRDefault="00B97965" w:rsidP="00B97965">
            <w:pPr>
              <w:pStyle w:val="ListParagraph1"/>
              <w:rPr>
                <w:color w:val="000000"/>
                <w:sz w:val="16"/>
                <w:szCs w:val="16"/>
              </w:rPr>
            </w:pPr>
            <w:r>
              <w:rPr>
                <w:color w:val="000000"/>
                <w:sz w:val="16"/>
                <w:szCs w:val="16"/>
              </w:rPr>
              <w:t>-8.0321 (0.9938)</w:t>
            </w:r>
          </w:p>
        </w:tc>
        <w:tc>
          <w:tcPr>
            <w:tcW w:w="909" w:type="dxa"/>
          </w:tcPr>
          <w:p w:rsidR="00B97965" w:rsidRPr="006B3ED2" w:rsidRDefault="00B97965" w:rsidP="00B97965">
            <w:pPr>
              <w:pStyle w:val="ListParagraph1"/>
              <w:rPr>
                <w:color w:val="000000"/>
                <w:sz w:val="16"/>
                <w:szCs w:val="16"/>
              </w:rPr>
            </w:pPr>
            <w:r>
              <w:rPr>
                <w:color w:val="000000"/>
                <w:sz w:val="16"/>
                <w:szCs w:val="16"/>
              </w:rPr>
              <w:t>10.4957 (1.8234)</w:t>
            </w:r>
          </w:p>
        </w:tc>
        <w:tc>
          <w:tcPr>
            <w:tcW w:w="910" w:type="dxa"/>
          </w:tcPr>
          <w:p w:rsidR="00B97965" w:rsidRPr="006B3ED2" w:rsidRDefault="00B97965" w:rsidP="00B97965">
            <w:pPr>
              <w:pStyle w:val="ListParagraph1"/>
              <w:rPr>
                <w:color w:val="000000"/>
                <w:sz w:val="16"/>
                <w:szCs w:val="16"/>
              </w:rPr>
            </w:pPr>
            <w:r>
              <w:rPr>
                <w:color w:val="000000"/>
                <w:sz w:val="16"/>
                <w:szCs w:val="16"/>
              </w:rPr>
              <w:t>-7.5132 (0.5073)</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-5.0300</w:t>
            </w:r>
            <w:r>
              <w:rPr>
                <w:color w:val="000000"/>
                <w:sz w:val="16"/>
                <w:szCs w:val="16"/>
              </w:rPr>
              <w:t xml:space="preserve"> (0.1512)</w:t>
            </w: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10.2414 (2.1835)</w:t>
            </w:r>
          </w:p>
        </w:tc>
        <w:tc>
          <w:tcPr>
            <w:tcW w:w="909" w:type="dxa"/>
          </w:tcPr>
          <w:p w:rsidR="00B97965" w:rsidRPr="006B3ED2" w:rsidRDefault="00B97965" w:rsidP="00B97965">
            <w:pPr>
              <w:pStyle w:val="ListParagraph1"/>
              <w:rPr>
                <w:color w:val="000000"/>
                <w:sz w:val="16"/>
                <w:szCs w:val="16"/>
              </w:rPr>
            </w:pPr>
            <w:r>
              <w:rPr>
                <w:color w:val="000000"/>
                <w:sz w:val="16"/>
                <w:szCs w:val="16"/>
              </w:rPr>
              <w:t>-14.2973 (2.0218)</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-4.8</w:t>
            </w:r>
            <w:r>
              <w:rPr>
                <w:color w:val="000000"/>
                <w:sz w:val="16"/>
                <w:szCs w:val="16"/>
              </w:rPr>
              <w:t>219 (0.6068)</w:t>
            </w:r>
          </w:p>
        </w:tc>
        <w:tc>
          <w:tcPr>
            <w:tcW w:w="910" w:type="dxa"/>
          </w:tcPr>
          <w:p w:rsidR="00B97965" w:rsidRPr="006B3ED2" w:rsidRDefault="00B97965" w:rsidP="00B97965">
            <w:pPr>
              <w:pStyle w:val="ListParagraph1"/>
              <w:rPr>
                <w:color w:val="000000"/>
                <w:sz w:val="16"/>
                <w:szCs w:val="16"/>
              </w:rPr>
            </w:pPr>
            <w:r>
              <w:rPr>
                <w:color w:val="000000"/>
                <w:sz w:val="16"/>
                <w:szCs w:val="16"/>
              </w:rPr>
              <w:t>-7.4850 (0.3877)</w:t>
            </w: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Parametric distribution parameter</w:t>
            </w:r>
          </w:p>
        </w:tc>
        <w:tc>
          <w:tcPr>
            <w:tcW w:w="909" w:type="dxa"/>
            <w:vAlign w:val="bottom"/>
          </w:tcPr>
          <w:p w:rsidR="00B97965" w:rsidRPr="006B3ED2" w:rsidRDefault="00B97965" w:rsidP="00B97965">
            <w:pPr>
              <w:pStyle w:val="ListParagraph1"/>
              <w:rPr>
                <w:color w:val="000000"/>
                <w:sz w:val="16"/>
                <w:szCs w:val="16"/>
              </w:rPr>
            </w:pPr>
            <w:r w:rsidRPr="006B3ED2">
              <w:rPr>
                <w:color w:val="000000"/>
                <w:sz w:val="16"/>
                <w:szCs w:val="16"/>
              </w:rPr>
              <w:t>-0.044</w:t>
            </w:r>
            <w:r>
              <w:rPr>
                <w:color w:val="000000"/>
                <w:sz w:val="16"/>
                <w:szCs w:val="16"/>
              </w:rPr>
              <w:t>37 (0.0254)</w:t>
            </w:r>
          </w:p>
        </w:tc>
        <w:tc>
          <w:tcPr>
            <w:tcW w:w="910" w:type="dxa"/>
          </w:tcPr>
          <w:p w:rsidR="00B97965" w:rsidRPr="006B3ED2" w:rsidRDefault="00B97965" w:rsidP="00B97965">
            <w:pPr>
              <w:pStyle w:val="ListParagraph1"/>
              <w:rPr>
                <w:color w:val="000000"/>
                <w:sz w:val="16"/>
                <w:szCs w:val="16"/>
              </w:rPr>
            </w:pPr>
            <w:r w:rsidRPr="006B3ED2">
              <w:rPr>
                <w:color w:val="000000"/>
                <w:sz w:val="16"/>
                <w:szCs w:val="16"/>
              </w:rPr>
              <w:t>1.7293 (0.2385)</w:t>
            </w:r>
          </w:p>
        </w:tc>
        <w:tc>
          <w:tcPr>
            <w:tcW w:w="909" w:type="dxa"/>
          </w:tcPr>
          <w:p w:rsidR="00B97965" w:rsidRPr="006B3ED2" w:rsidRDefault="00B97965" w:rsidP="00B97965">
            <w:pPr>
              <w:pStyle w:val="ListParagraph1"/>
              <w:rPr>
                <w:color w:val="000000"/>
                <w:sz w:val="16"/>
                <w:szCs w:val="16"/>
              </w:rPr>
            </w:pPr>
            <w:r>
              <w:rPr>
                <w:color w:val="000000"/>
                <w:sz w:val="16"/>
                <w:szCs w:val="16"/>
              </w:rPr>
              <w:t>0.8758 (0.0474)</w:t>
            </w:r>
          </w:p>
        </w:tc>
        <w:tc>
          <w:tcPr>
            <w:tcW w:w="910" w:type="dxa"/>
          </w:tcPr>
          <w:p w:rsidR="00B97965" w:rsidRPr="006B3ED2" w:rsidRDefault="00B97965" w:rsidP="00B97965">
            <w:pPr>
              <w:pStyle w:val="ListParagraph1"/>
              <w:rPr>
                <w:color w:val="000000"/>
                <w:sz w:val="16"/>
                <w:szCs w:val="16"/>
              </w:rPr>
            </w:pPr>
            <w:r>
              <w:rPr>
                <w:color w:val="000000"/>
                <w:sz w:val="16"/>
                <w:szCs w:val="16"/>
              </w:rPr>
              <w:t>0.8114 (0.0541)</w:t>
            </w: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1.1059 (0.1108)</w:t>
            </w: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sz w:val="16"/>
                <w:szCs w:val="16"/>
              </w:rPr>
            </w:pPr>
          </w:p>
        </w:tc>
        <w:tc>
          <w:tcPr>
            <w:tcW w:w="909" w:type="dxa"/>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r>
              <w:rPr>
                <w:color w:val="000000"/>
                <w:sz w:val="16"/>
                <w:szCs w:val="16"/>
              </w:rPr>
              <w:t>1.5666 (0.3533)</w:t>
            </w:r>
          </w:p>
        </w:tc>
        <w:tc>
          <w:tcPr>
            <w:tcW w:w="909" w:type="dxa"/>
          </w:tcPr>
          <w:p w:rsidR="00B97965" w:rsidRPr="006B3ED2" w:rsidRDefault="00B97965" w:rsidP="00B97965">
            <w:pPr>
              <w:pStyle w:val="ListParagraph1"/>
              <w:rPr>
                <w:color w:val="000000"/>
                <w:sz w:val="16"/>
                <w:szCs w:val="16"/>
              </w:rPr>
            </w:pPr>
          </w:p>
        </w:tc>
        <w:tc>
          <w:tcPr>
            <w:tcW w:w="910" w:type="dxa"/>
            <w:vAlign w:val="bottom"/>
          </w:tcPr>
          <w:p w:rsidR="00B97965" w:rsidRPr="006B3ED2" w:rsidRDefault="00B97965" w:rsidP="00B97965">
            <w:pPr>
              <w:pStyle w:val="ListParagraph1"/>
              <w:rPr>
                <w:color w:val="000000"/>
                <w:sz w:val="16"/>
                <w:szCs w:val="16"/>
              </w:rPr>
            </w:pPr>
          </w:p>
        </w:tc>
        <w:tc>
          <w:tcPr>
            <w:tcW w:w="910" w:type="dxa"/>
          </w:tcPr>
          <w:p w:rsidR="00B97965" w:rsidRPr="006B3ED2" w:rsidRDefault="00B97965" w:rsidP="00B97965">
            <w:pPr>
              <w:pStyle w:val="ListParagraph1"/>
              <w:rPr>
                <w:color w:val="000000"/>
                <w:sz w:val="16"/>
                <w:szCs w:val="16"/>
              </w:rPr>
            </w:pPr>
          </w:p>
        </w:tc>
      </w:tr>
      <w:tr w:rsidR="00B97965" w:rsidRPr="006B3ED2" w:rsidTr="00B97965">
        <w:tc>
          <w:tcPr>
            <w:tcW w:w="3147" w:type="dxa"/>
          </w:tcPr>
          <w:p w:rsidR="00B97965" w:rsidRPr="006B3ED2" w:rsidRDefault="00B97965" w:rsidP="00B97965">
            <w:pPr>
              <w:pStyle w:val="ListParagraph1"/>
              <w:rPr>
                <w:sz w:val="16"/>
                <w:szCs w:val="16"/>
              </w:rPr>
            </w:pPr>
            <w:r>
              <w:rPr>
                <w:sz w:val="16"/>
                <w:szCs w:val="16"/>
              </w:rPr>
              <w:t>Frailty Parameter (theta)</w:t>
            </w:r>
          </w:p>
        </w:tc>
        <w:tc>
          <w:tcPr>
            <w:tcW w:w="909" w:type="dxa"/>
            <w:vAlign w:val="bottom"/>
          </w:tcPr>
          <w:p w:rsidR="00B97965" w:rsidRPr="006B3ED2" w:rsidRDefault="00B97965" w:rsidP="00B97965">
            <w:pPr>
              <w:pStyle w:val="ListParagraph1"/>
              <w:rPr>
                <w:color w:val="000000"/>
                <w:sz w:val="16"/>
                <w:szCs w:val="16"/>
              </w:rPr>
            </w:pPr>
            <w:r>
              <w:rPr>
                <w:color w:val="000000"/>
                <w:sz w:val="16"/>
                <w:szCs w:val="16"/>
              </w:rPr>
              <w:t>0.0942 (0.27422)</w:t>
            </w:r>
          </w:p>
        </w:tc>
        <w:tc>
          <w:tcPr>
            <w:tcW w:w="910" w:type="dxa"/>
          </w:tcPr>
          <w:p w:rsidR="00B97965" w:rsidRPr="006B3ED2" w:rsidRDefault="00B97965" w:rsidP="00B97965">
            <w:pPr>
              <w:pStyle w:val="ListParagraph1"/>
              <w:rPr>
                <w:color w:val="000000"/>
                <w:sz w:val="16"/>
                <w:szCs w:val="16"/>
              </w:rPr>
            </w:pPr>
            <w:r>
              <w:rPr>
                <w:color w:val="000000"/>
                <w:sz w:val="16"/>
                <w:szCs w:val="16"/>
              </w:rPr>
              <w:t>0.0000 (0.0052)</w:t>
            </w:r>
          </w:p>
        </w:tc>
        <w:tc>
          <w:tcPr>
            <w:tcW w:w="909" w:type="dxa"/>
          </w:tcPr>
          <w:p w:rsidR="00B97965" w:rsidRDefault="00B97965" w:rsidP="00B97965">
            <w:pPr>
              <w:pStyle w:val="ListParagraph1"/>
              <w:rPr>
                <w:color w:val="000000"/>
                <w:sz w:val="16"/>
                <w:szCs w:val="16"/>
              </w:rPr>
            </w:pPr>
            <w:r>
              <w:rPr>
                <w:color w:val="000000"/>
                <w:sz w:val="16"/>
                <w:szCs w:val="16"/>
              </w:rPr>
              <w:t>0.0000 (0.0001)</w:t>
            </w:r>
          </w:p>
        </w:tc>
        <w:tc>
          <w:tcPr>
            <w:tcW w:w="910" w:type="dxa"/>
          </w:tcPr>
          <w:p w:rsidR="00B97965" w:rsidRDefault="00B97965" w:rsidP="00B97965">
            <w:pPr>
              <w:pStyle w:val="ListParagraph1"/>
              <w:rPr>
                <w:color w:val="000000"/>
                <w:sz w:val="16"/>
                <w:szCs w:val="16"/>
              </w:rPr>
            </w:pPr>
            <w:r>
              <w:rPr>
                <w:color w:val="000000"/>
                <w:sz w:val="16"/>
                <w:szCs w:val="16"/>
              </w:rPr>
              <w:t>0.1489 (0.2412)</w:t>
            </w:r>
          </w:p>
        </w:tc>
        <w:tc>
          <w:tcPr>
            <w:tcW w:w="909" w:type="dxa"/>
            <w:vAlign w:val="bottom"/>
          </w:tcPr>
          <w:p w:rsidR="00B97965" w:rsidRDefault="00B97965" w:rsidP="00B97965">
            <w:pPr>
              <w:pStyle w:val="ListParagraph1"/>
              <w:rPr>
                <w:color w:val="000000"/>
                <w:sz w:val="16"/>
                <w:szCs w:val="16"/>
              </w:rPr>
            </w:pPr>
            <w:r>
              <w:rPr>
                <w:color w:val="000000"/>
                <w:sz w:val="16"/>
                <w:szCs w:val="16"/>
              </w:rPr>
              <w:t>0.6898 (0.4097)</w:t>
            </w:r>
          </w:p>
        </w:tc>
        <w:tc>
          <w:tcPr>
            <w:tcW w:w="910" w:type="dxa"/>
            <w:vAlign w:val="bottom"/>
          </w:tcPr>
          <w:p w:rsidR="00B97965" w:rsidRPr="006B3ED2" w:rsidRDefault="00B97965" w:rsidP="00B97965">
            <w:pPr>
              <w:pStyle w:val="ListParagraph1"/>
              <w:rPr>
                <w:color w:val="000000"/>
                <w:sz w:val="16"/>
                <w:szCs w:val="16"/>
              </w:rPr>
            </w:pPr>
            <w:r>
              <w:rPr>
                <w:color w:val="000000"/>
                <w:sz w:val="15"/>
                <w:szCs w:val="15"/>
              </w:rPr>
              <w:t>2.2502 (1.6640)</w:t>
            </w:r>
          </w:p>
        </w:tc>
        <w:tc>
          <w:tcPr>
            <w:tcW w:w="910" w:type="dxa"/>
          </w:tcPr>
          <w:p w:rsidR="00B97965" w:rsidRPr="006B3ED2" w:rsidRDefault="00B97965" w:rsidP="00B97965">
            <w:pPr>
              <w:pStyle w:val="ListParagraph1"/>
              <w:rPr>
                <w:sz w:val="16"/>
                <w:szCs w:val="16"/>
              </w:rPr>
            </w:pPr>
            <w:r>
              <w:rPr>
                <w:sz w:val="16"/>
                <w:szCs w:val="16"/>
              </w:rPr>
              <w:t>0.0000 (0.0025)</w:t>
            </w:r>
          </w:p>
        </w:tc>
        <w:tc>
          <w:tcPr>
            <w:tcW w:w="909" w:type="dxa"/>
          </w:tcPr>
          <w:p w:rsidR="00B97965" w:rsidRDefault="00B97965" w:rsidP="00B97965">
            <w:pPr>
              <w:pStyle w:val="ListParagraph1"/>
              <w:rPr>
                <w:color w:val="000000"/>
                <w:sz w:val="16"/>
                <w:szCs w:val="16"/>
              </w:rPr>
            </w:pPr>
          </w:p>
        </w:tc>
        <w:tc>
          <w:tcPr>
            <w:tcW w:w="910" w:type="dxa"/>
          </w:tcPr>
          <w:p w:rsidR="00B97965" w:rsidRDefault="00B97965" w:rsidP="00B97965">
            <w:pPr>
              <w:pStyle w:val="ListParagraph1"/>
              <w:rPr>
                <w:color w:val="000000"/>
                <w:sz w:val="16"/>
                <w:szCs w:val="16"/>
              </w:rPr>
            </w:pPr>
            <w:r>
              <w:rPr>
                <w:color w:val="000000"/>
                <w:sz w:val="16"/>
                <w:szCs w:val="16"/>
              </w:rPr>
              <w:t>5.2215 (3.5448)</w:t>
            </w:r>
          </w:p>
        </w:tc>
        <w:tc>
          <w:tcPr>
            <w:tcW w:w="909" w:type="dxa"/>
          </w:tcPr>
          <w:p w:rsidR="00B97965" w:rsidRPr="006B3ED2" w:rsidRDefault="00B97965" w:rsidP="00B97965">
            <w:pPr>
              <w:pStyle w:val="ListParagraph1"/>
              <w:rPr>
                <w:color w:val="000000"/>
                <w:sz w:val="16"/>
                <w:szCs w:val="16"/>
              </w:rPr>
            </w:pPr>
            <w:r>
              <w:rPr>
                <w:color w:val="000000"/>
                <w:sz w:val="16"/>
                <w:szCs w:val="16"/>
              </w:rPr>
              <w:t>0.0000 (0.0006)</w:t>
            </w:r>
          </w:p>
        </w:tc>
        <w:tc>
          <w:tcPr>
            <w:tcW w:w="910" w:type="dxa"/>
            <w:vAlign w:val="bottom"/>
          </w:tcPr>
          <w:p w:rsidR="00B97965" w:rsidRPr="006B3ED2" w:rsidRDefault="00B97965" w:rsidP="00B97965">
            <w:pPr>
              <w:pStyle w:val="ListParagraph1"/>
              <w:rPr>
                <w:color w:val="000000"/>
                <w:sz w:val="16"/>
                <w:szCs w:val="16"/>
              </w:rPr>
            </w:pPr>
            <w:r>
              <w:rPr>
                <w:color w:val="000000"/>
                <w:sz w:val="16"/>
                <w:szCs w:val="16"/>
              </w:rPr>
              <w:t>0.2068 (0.4335)</w:t>
            </w:r>
          </w:p>
        </w:tc>
        <w:tc>
          <w:tcPr>
            <w:tcW w:w="910" w:type="dxa"/>
          </w:tcPr>
          <w:p w:rsidR="00B97965" w:rsidRPr="006B3ED2" w:rsidRDefault="00B97965" w:rsidP="00B97965">
            <w:pPr>
              <w:pStyle w:val="ListParagraph1"/>
              <w:rPr>
                <w:color w:val="000000"/>
                <w:sz w:val="16"/>
                <w:szCs w:val="16"/>
              </w:rPr>
            </w:pPr>
            <w:r>
              <w:rPr>
                <w:color w:val="000000"/>
                <w:sz w:val="16"/>
                <w:szCs w:val="16"/>
              </w:rPr>
              <w:t>0.0000 (0.0027)</w:t>
            </w:r>
          </w:p>
        </w:tc>
      </w:tr>
      <w:tr w:rsidR="00B97965" w:rsidRPr="006B3ED2" w:rsidTr="00B97965">
        <w:tc>
          <w:tcPr>
            <w:tcW w:w="3147" w:type="dxa"/>
          </w:tcPr>
          <w:p w:rsidR="00B97965" w:rsidRPr="006B3ED2" w:rsidRDefault="00B97965" w:rsidP="00B97965">
            <w:pPr>
              <w:pStyle w:val="ListParagraph1"/>
              <w:rPr>
                <w:sz w:val="16"/>
                <w:szCs w:val="16"/>
              </w:rPr>
            </w:pPr>
            <w:r w:rsidRPr="006B3ED2">
              <w:rPr>
                <w:sz w:val="16"/>
                <w:szCs w:val="16"/>
              </w:rPr>
              <w:t xml:space="preserve">Chi-squared </w:t>
            </w:r>
          </w:p>
        </w:tc>
        <w:tc>
          <w:tcPr>
            <w:tcW w:w="909" w:type="dxa"/>
          </w:tcPr>
          <w:p w:rsidR="00B97965" w:rsidRPr="006B3ED2" w:rsidRDefault="00B97965" w:rsidP="00B97965">
            <w:pPr>
              <w:pStyle w:val="ListParagraph1"/>
              <w:rPr>
                <w:sz w:val="16"/>
                <w:szCs w:val="16"/>
              </w:rPr>
            </w:pPr>
            <w:r>
              <w:rPr>
                <w:sz w:val="16"/>
                <w:szCs w:val="16"/>
              </w:rPr>
              <w:t>106.18</w:t>
            </w:r>
          </w:p>
        </w:tc>
        <w:tc>
          <w:tcPr>
            <w:tcW w:w="910" w:type="dxa"/>
          </w:tcPr>
          <w:p w:rsidR="00B97965" w:rsidRPr="006B3ED2" w:rsidRDefault="00B97965" w:rsidP="00B97965">
            <w:pPr>
              <w:pStyle w:val="ListParagraph1"/>
              <w:rPr>
                <w:sz w:val="16"/>
                <w:szCs w:val="16"/>
              </w:rPr>
            </w:pPr>
            <w:r>
              <w:rPr>
                <w:sz w:val="16"/>
                <w:szCs w:val="16"/>
              </w:rPr>
              <w:t>54.1</w:t>
            </w:r>
          </w:p>
        </w:tc>
        <w:tc>
          <w:tcPr>
            <w:tcW w:w="909" w:type="dxa"/>
          </w:tcPr>
          <w:p w:rsidR="00B97965" w:rsidRPr="006B3ED2" w:rsidRDefault="00B97965" w:rsidP="00B97965">
            <w:pPr>
              <w:pStyle w:val="ListParagraph1"/>
              <w:rPr>
                <w:sz w:val="16"/>
                <w:szCs w:val="16"/>
              </w:rPr>
            </w:pPr>
            <w:r>
              <w:rPr>
                <w:sz w:val="16"/>
                <w:szCs w:val="16"/>
              </w:rPr>
              <w:t>95.43</w:t>
            </w:r>
          </w:p>
        </w:tc>
        <w:tc>
          <w:tcPr>
            <w:tcW w:w="910" w:type="dxa"/>
          </w:tcPr>
          <w:p w:rsidR="00B97965" w:rsidRPr="006B3ED2" w:rsidRDefault="00B97965" w:rsidP="00B97965">
            <w:pPr>
              <w:pStyle w:val="ListParagraph1"/>
              <w:rPr>
                <w:sz w:val="16"/>
                <w:szCs w:val="16"/>
              </w:rPr>
            </w:pPr>
            <w:r>
              <w:rPr>
                <w:sz w:val="16"/>
                <w:szCs w:val="16"/>
              </w:rPr>
              <w:t>54.15</w:t>
            </w:r>
          </w:p>
        </w:tc>
        <w:tc>
          <w:tcPr>
            <w:tcW w:w="909" w:type="dxa"/>
          </w:tcPr>
          <w:p w:rsidR="00B97965" w:rsidRPr="006B3ED2" w:rsidRDefault="00B97965" w:rsidP="00B97965">
            <w:pPr>
              <w:pStyle w:val="ListParagraph1"/>
              <w:rPr>
                <w:sz w:val="16"/>
                <w:szCs w:val="16"/>
              </w:rPr>
            </w:pPr>
            <w:r>
              <w:rPr>
                <w:sz w:val="16"/>
                <w:szCs w:val="16"/>
              </w:rPr>
              <w:t>38.66</w:t>
            </w:r>
          </w:p>
        </w:tc>
        <w:tc>
          <w:tcPr>
            <w:tcW w:w="910" w:type="dxa"/>
          </w:tcPr>
          <w:p w:rsidR="00B97965" w:rsidRPr="006B3ED2" w:rsidRDefault="00B97965" w:rsidP="00B97965">
            <w:pPr>
              <w:pStyle w:val="ListParagraph1"/>
              <w:rPr>
                <w:sz w:val="16"/>
                <w:szCs w:val="16"/>
              </w:rPr>
            </w:pPr>
            <w:r>
              <w:rPr>
                <w:sz w:val="16"/>
                <w:szCs w:val="16"/>
              </w:rPr>
              <w:t>27.95</w:t>
            </w:r>
          </w:p>
        </w:tc>
        <w:tc>
          <w:tcPr>
            <w:tcW w:w="910" w:type="dxa"/>
          </w:tcPr>
          <w:p w:rsidR="00B97965" w:rsidRPr="006B3ED2" w:rsidRDefault="00B97965" w:rsidP="00B97965">
            <w:pPr>
              <w:pStyle w:val="ListParagraph1"/>
              <w:rPr>
                <w:color w:val="000000"/>
                <w:sz w:val="16"/>
                <w:szCs w:val="16"/>
              </w:rPr>
            </w:pPr>
            <w:r>
              <w:rPr>
                <w:color w:val="000000"/>
                <w:sz w:val="16"/>
                <w:szCs w:val="16"/>
              </w:rPr>
              <w:t>4.17</w:t>
            </w:r>
          </w:p>
        </w:tc>
        <w:tc>
          <w:tcPr>
            <w:tcW w:w="909" w:type="dxa"/>
          </w:tcPr>
          <w:p w:rsidR="00B97965" w:rsidRPr="006B3ED2" w:rsidRDefault="00B97965" w:rsidP="00B97965">
            <w:pPr>
              <w:pStyle w:val="ListParagraph1"/>
              <w:rPr>
                <w:sz w:val="16"/>
                <w:szCs w:val="16"/>
              </w:rPr>
            </w:pPr>
          </w:p>
        </w:tc>
        <w:tc>
          <w:tcPr>
            <w:tcW w:w="910" w:type="dxa"/>
          </w:tcPr>
          <w:p w:rsidR="00B97965" w:rsidRPr="006B3ED2" w:rsidRDefault="00B97965" w:rsidP="00B97965">
            <w:pPr>
              <w:pStyle w:val="ListParagraph1"/>
              <w:rPr>
                <w:sz w:val="16"/>
                <w:szCs w:val="16"/>
              </w:rPr>
            </w:pPr>
            <w:r>
              <w:rPr>
                <w:sz w:val="16"/>
                <w:szCs w:val="16"/>
              </w:rPr>
              <w:t>15.64</w:t>
            </w:r>
          </w:p>
        </w:tc>
        <w:tc>
          <w:tcPr>
            <w:tcW w:w="909" w:type="dxa"/>
          </w:tcPr>
          <w:p w:rsidR="00B97965" w:rsidRPr="006B3ED2" w:rsidRDefault="00B97965" w:rsidP="00B97965">
            <w:pPr>
              <w:pStyle w:val="ListParagraph1"/>
              <w:rPr>
                <w:sz w:val="16"/>
                <w:szCs w:val="16"/>
              </w:rPr>
            </w:pPr>
            <w:r w:rsidRPr="006B3ED2">
              <w:rPr>
                <w:sz w:val="16"/>
                <w:szCs w:val="16"/>
              </w:rPr>
              <w:t>33.82</w:t>
            </w:r>
          </w:p>
        </w:tc>
        <w:tc>
          <w:tcPr>
            <w:tcW w:w="910" w:type="dxa"/>
          </w:tcPr>
          <w:p w:rsidR="00B97965" w:rsidRPr="006B3ED2" w:rsidRDefault="00B97965" w:rsidP="00B97965">
            <w:pPr>
              <w:pStyle w:val="ListParagraph1"/>
              <w:rPr>
                <w:sz w:val="16"/>
                <w:szCs w:val="16"/>
              </w:rPr>
            </w:pPr>
            <w:r>
              <w:rPr>
                <w:sz w:val="16"/>
                <w:szCs w:val="16"/>
              </w:rPr>
              <w:t>56.75</w:t>
            </w:r>
          </w:p>
        </w:tc>
        <w:tc>
          <w:tcPr>
            <w:tcW w:w="910" w:type="dxa"/>
          </w:tcPr>
          <w:p w:rsidR="00B97965" w:rsidRPr="006B3ED2" w:rsidRDefault="00B97965" w:rsidP="00B97965">
            <w:pPr>
              <w:pStyle w:val="ListParagraph1"/>
              <w:rPr>
                <w:sz w:val="16"/>
                <w:szCs w:val="16"/>
              </w:rPr>
            </w:pPr>
            <w:r w:rsidRPr="006B3ED2">
              <w:rPr>
                <w:sz w:val="16"/>
                <w:szCs w:val="16"/>
              </w:rPr>
              <w:t>34.27</w:t>
            </w:r>
          </w:p>
        </w:tc>
      </w:tr>
    </w:tbl>
    <w:p w:rsidR="00B97965" w:rsidRDefault="00B97965" w:rsidP="00B97965">
      <w:pPr>
        <w:spacing w:after="0" w:afterAutospacing="0" w:line="240" w:lineRule="auto"/>
        <w:sectPr w:rsidR="00B97965" w:rsidSect="00B97965">
          <w:pgSz w:w="16838" w:h="11906" w:orient="landscape"/>
          <w:pgMar w:top="1440" w:right="1440" w:bottom="1440" w:left="1440" w:header="708" w:footer="708" w:gutter="0"/>
          <w:cols w:space="708"/>
          <w:titlePg/>
          <w:docGrid w:linePitch="360"/>
        </w:sectPr>
      </w:pPr>
    </w:p>
    <w:p w:rsidR="00B97965" w:rsidRPr="00BE457B" w:rsidRDefault="00B97965" w:rsidP="00BE457B">
      <w:pPr>
        <w:pStyle w:val="Heading1"/>
        <w:numPr>
          <w:ilvl w:val="0"/>
          <w:numId w:val="0"/>
        </w:numPr>
        <w:rPr>
          <w:rStyle w:val="Emphasis"/>
          <w:spacing w:val="15"/>
        </w:rPr>
      </w:pPr>
      <w:bookmarkStart w:id="683" w:name="_Toc335043544"/>
      <w:bookmarkStart w:id="684" w:name="_Toc379467713"/>
      <w:r>
        <w:t>Appendix</w:t>
      </w:r>
      <w:r w:rsidR="00396982">
        <w:t xml:space="preserve"> 9</w:t>
      </w:r>
      <w:r w:rsidR="00BE457B">
        <w:t xml:space="preserve">: </w:t>
      </w:r>
      <w:r w:rsidRPr="00234693">
        <w:rPr>
          <w:rStyle w:val="Emphasis"/>
        </w:rPr>
        <w:t>VALIDATION OF AN INDIVIDUAL PATIENT LEVEL SIMULATION OF THE NATURAL HISTORY OF SYSTEMIC LUPUS ERYTHEMATOSUS AGAINST AN ALTERNATIVE LONGITUDINAL COHORT</w:t>
      </w:r>
      <w:bookmarkEnd w:id="683"/>
      <w:bookmarkEnd w:id="684"/>
    </w:p>
    <w:p w:rsidR="00B97965" w:rsidRPr="002B673F" w:rsidRDefault="00B97965" w:rsidP="00B97965">
      <w:pPr>
        <w:rPr>
          <w:b/>
          <w:bCs/>
        </w:rPr>
      </w:pPr>
      <w:bookmarkStart w:id="685" w:name="_Toc278533928"/>
      <w:bookmarkStart w:id="686" w:name="_Toc278533988"/>
      <w:bookmarkStart w:id="687" w:name="_Toc279009259"/>
      <w:r w:rsidRPr="002B673F">
        <w:rPr>
          <w:b/>
          <w:bCs/>
        </w:rPr>
        <w:t xml:space="preserve"> METHODS</w:t>
      </w:r>
    </w:p>
    <w:p w:rsidR="00B97965" w:rsidRPr="002B673F" w:rsidRDefault="00B97965" w:rsidP="00B97965">
      <w:pPr>
        <w:rPr>
          <w:b/>
          <w:bCs/>
        </w:rPr>
      </w:pPr>
      <w:r w:rsidRPr="002B673F">
        <w:rPr>
          <w:b/>
          <w:bCs/>
        </w:rPr>
        <w:t>Model description</w:t>
      </w:r>
    </w:p>
    <w:p w:rsidR="00B97965" w:rsidRPr="002B673F" w:rsidRDefault="00B97965" w:rsidP="00B97965">
      <w:r w:rsidRPr="002B673F">
        <w:t xml:space="preserve">An individual patient simulation with Markov structure was used to model the natural history of the cohort of patients in Simul8®. A hypothetical cohort of 100,000 patients is modelled in the simulation and each patient’s disease status is monitored in annual cycles. </w:t>
      </w:r>
    </w:p>
    <w:p w:rsidR="00B97965" w:rsidRPr="002B673F" w:rsidRDefault="00B97965" w:rsidP="00B97965">
      <w:r w:rsidRPr="002B673F">
        <w:t xml:space="preserve">When patients enter the simulation they are allocated a profile of demographic characteristics and a profile of their disease status. Demographic details include sex, ethnicity, and smoking status. Their health status is described by their age of diagnosis, disease duration, cholesterol, whether they have hypertension, antiphospholipid syndrome, or an infection. Their SLE Disease Activity Index (SLEDAI) score and prednisone dose are set and binary variables indicate which organ systems are currently active. Patients may enter the simulation with permanent organ damage to each organ system listed in the Systemic Lupus International Collaborating Centres/American College of Rheumatology Damage Index (SLICC/ACR DI). Independent sampling of the baseline characteristics was used but may not account for correlations between patient characteristics. Due to the number of characteristics and distribution types it was too complex to incorporate correlation and bootstrapping the Hopkins cohort would not be useful in validating the models against other cohorts with different baseline characteristics. </w:t>
      </w:r>
    </w:p>
    <w:p w:rsidR="00B97965" w:rsidRPr="002B673F" w:rsidRDefault="00B97965" w:rsidP="00B97965">
      <w:r w:rsidRPr="002B673F">
        <w:t xml:space="preserve">The pathway of disease progression for each individual in the simulation is determined by a set of statistical models, which are used to estimate SLEDAI score, mean prednisone dose, organ damage and mortality. The statistical models were analysed independently and are applied in the simulation as independent calculations </w:t>
      </w:r>
      <w:r w:rsidR="00E729BA" w:rsidRPr="002B673F">
        <w:fldChar w:fldCharType="begin"/>
      </w:r>
      <w:r w:rsidR="00FC61FD">
        <w:instrText xml:space="preserve"> ADDIN REFMGR.CITE &lt;Refman&gt;&lt;Cite&gt;&lt;Author&gt;Watson et al.&lt;/Author&gt;&lt;Year&gt;2011&lt;/Year&gt;&lt;RecNum&gt;1509&lt;/RecNum&gt;&lt;IDText&gt;(Submitted to Journal) The Natural History and Predictive Factors of Long Term Outcomes in Systemic Lupus Erythematosus:  Analysis from the Hopkins Lupus Cohort&lt;/IDText&gt;&lt;MDL Ref_Type="Report"&gt;&lt;Ref_Type&gt;Report&lt;/Ref_Type&gt;&lt;Ref_ID&gt;1509&lt;/Ref_ID&gt;&lt;Title_Primary&gt;&lt;f name="Times New Roman"&gt;(Submitted to Journal) The Natural History and Predictive Factors of Long Term Outcomes in Systemic Lupus Erythematosus:  Analysis from the Hopkins Lupus Cohort&lt;/f&gt;&lt;/Title_Primary&gt;&lt;Authors_Primary&gt;Watson et al.,P.&lt;/Authors_Primary&gt;&lt;Date_Primary&gt;2011&lt;/Date_Primary&gt;&lt;Keywords&gt;systemic lupus erythematosus&lt;/Keywords&gt;&lt;Keywords&gt;lupus erythematosus&lt;/Keywords&gt;&lt;Keywords&gt;erythematosus&lt;/Keywords&gt;&lt;Keywords&gt;analysis&lt;/Keywords&gt;&lt;Reprint&gt;In File&lt;/Reprint&gt;&lt;Periodical&gt;,&lt;/Periodical&gt;&lt;ZZ_JournalFull&gt;&lt;f name="System"&gt;,&lt;/f&gt;&lt;/ZZ_JournalFull&gt;&lt;ZZ_WorkformID&gt;24&lt;/ZZ_WorkformID&gt;&lt;/MDL&gt;&lt;/Cite&gt;&lt;/Refman&gt;</w:instrText>
      </w:r>
      <w:r w:rsidR="00E729BA" w:rsidRPr="002B673F">
        <w:fldChar w:fldCharType="separate"/>
      </w:r>
      <w:r w:rsidR="00DF14BD">
        <w:t>(254)</w:t>
      </w:r>
      <w:r w:rsidR="00E729BA" w:rsidRPr="002B673F">
        <w:fldChar w:fldCharType="end"/>
      </w:r>
      <w:r w:rsidRPr="002B673F">
        <w:t xml:space="preserve">. </w:t>
      </w:r>
    </w:p>
    <w:p w:rsidR="00B97965" w:rsidRPr="002B673F" w:rsidRDefault="00E729BA" w:rsidP="00B97965">
      <w:fldSimple w:instr=" REF _Ref306609032 \h  \* MERGEFORMAT ">
        <w:r w:rsidR="004911B7" w:rsidRPr="004911B7">
          <w:t>Figure 35</w:t>
        </w:r>
      </w:fldSimple>
      <w:r w:rsidR="00B97965" w:rsidRPr="002B673F">
        <w:t xml:space="preserve"> illustrates the interdependencies present in the statistical models and illustrates how disease activity and prednisone dose affect the risk of organ damage and mortality</w:t>
      </w:r>
      <w:r w:rsidR="00B97965" w:rsidRPr="002B673F">
        <w:rPr>
          <w:i/>
          <w:iCs/>
        </w:rPr>
        <w:t>.</w:t>
      </w:r>
      <w:r w:rsidR="00B97965" w:rsidRPr="002B673F">
        <w:t xml:space="preserve"> </w:t>
      </w:r>
    </w:p>
    <w:p w:rsidR="00B97965" w:rsidRPr="002B673F" w:rsidRDefault="00B97965" w:rsidP="00B97965">
      <w:pPr>
        <w:spacing w:after="0" w:afterAutospacing="0"/>
      </w:pPr>
      <w:r w:rsidRPr="002B673F">
        <w:rPr>
          <w:noProof/>
          <w:lang w:eastAsia="zh-CN" w:bidi="ar-SA"/>
        </w:rPr>
        <w:drawing>
          <wp:inline distT="0" distB="0" distL="0" distR="0">
            <wp:extent cx="3879481" cy="2520000"/>
            <wp:effectExtent l="19050" t="19050" r="25769" b="136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3879481" cy="2520000"/>
                    </a:xfrm>
                    <a:prstGeom prst="rect">
                      <a:avLst/>
                    </a:prstGeom>
                    <a:noFill/>
                    <a:ln w="9525">
                      <a:solidFill>
                        <a:schemeClr val="tx1"/>
                      </a:solidFill>
                      <a:miter lim="800000"/>
                      <a:headEnd/>
                      <a:tailEnd/>
                    </a:ln>
                  </pic:spPr>
                </pic:pic>
              </a:graphicData>
            </a:graphic>
          </wp:inline>
        </w:drawing>
      </w:r>
    </w:p>
    <w:p w:rsidR="00B97965" w:rsidRPr="002B673F" w:rsidRDefault="00B97965" w:rsidP="00B97965">
      <w:pPr>
        <w:rPr>
          <w:b/>
          <w:bCs/>
        </w:rPr>
      </w:pPr>
      <w:bookmarkStart w:id="688" w:name="_Ref306609032"/>
      <w:r w:rsidRPr="002B673F">
        <w:rPr>
          <w:b/>
          <w:bCs/>
        </w:rPr>
        <w:t xml:space="preserve">Figure </w:t>
      </w:r>
      <w:r w:rsidR="00E729BA">
        <w:rPr>
          <w:b/>
          <w:bCs/>
        </w:rPr>
        <w:fldChar w:fldCharType="begin"/>
      </w:r>
      <w:r w:rsidR="000B0EDB">
        <w:rPr>
          <w:b/>
          <w:bCs/>
        </w:rPr>
        <w:instrText xml:space="preserve"> SEQ Figure \* ARABIC </w:instrText>
      </w:r>
      <w:r w:rsidR="00E729BA">
        <w:rPr>
          <w:b/>
          <w:bCs/>
        </w:rPr>
        <w:fldChar w:fldCharType="separate"/>
      </w:r>
      <w:r w:rsidR="004911B7">
        <w:rPr>
          <w:b/>
          <w:bCs/>
          <w:noProof/>
        </w:rPr>
        <w:t>35</w:t>
      </w:r>
      <w:r w:rsidR="00E729BA">
        <w:rPr>
          <w:b/>
          <w:bCs/>
        </w:rPr>
        <w:fldChar w:fldCharType="end"/>
      </w:r>
      <w:bookmarkEnd w:id="688"/>
      <w:r w:rsidRPr="002B673F">
        <w:rPr>
          <w:b/>
          <w:bCs/>
        </w:rPr>
        <w:t xml:space="preserve">: </w:t>
      </w:r>
      <w:r w:rsidRPr="002B673F">
        <w:rPr>
          <w:bCs/>
          <w:i/>
        </w:rPr>
        <w:t>Diagram of the interdependencies in the simulation</w:t>
      </w:r>
    </w:p>
    <w:p w:rsidR="00B97965" w:rsidRPr="002B673F" w:rsidRDefault="00B97965" w:rsidP="00B97965">
      <w:r w:rsidRPr="002B673F">
        <w:t xml:space="preserve">There are a number of disease specific indices that have been developed to measure disease activity and organ damage in SLE. The Selena SLE Disease Activity Index (SSLEDAI) is a modified version of the SLEDAI and was used to measure disease activity in the Hopkins cohort </w:t>
      </w:r>
      <w:r w:rsidR="00E729BA" w:rsidRPr="002B673F">
        <w:fldChar w:fldCharType="begin"/>
      </w:r>
      <w:r w:rsidR="00FC61FD">
        <w:instrText xml:space="preserve"> ADDIN REFMGR.CITE &lt;Refman&gt;&lt;Cite&gt;&lt;Author&gt;Petri&lt;/Author&gt;&lt;Year&gt;2005&lt;/Year&gt;&lt;RecNum&gt;1503&lt;/RecNum&gt;&lt;IDText&gt;Combined oral contraceptives in women with systemic lupus erythematosus&lt;/IDText&gt;&lt;MDL Ref_Type="Journal"&gt;&lt;Ref_Type&gt;Journal&lt;/Ref_Type&gt;&lt;Ref_ID&gt;1503&lt;/Ref_ID&gt;&lt;Title_Primary&gt;Combined oral contraceptives in women with systemic lupus erythematosus&lt;/Title_Primary&gt;&lt;Authors_Primary&gt;Petri,M.&lt;/Authors_Primary&gt;&lt;Authors_Primary&gt;Kim,M.Y.&lt;/Authors_Primary&gt;&lt;Authors_Primary&gt;Kalunian,K.C.&lt;/Authors_Primary&gt;&lt;Authors_Primary&gt;Grossman,J.&lt;/Authors_Primary&gt;&lt;Authors_Primary&gt;Hahn,B.H.&lt;/Authors_Primary&gt;&lt;Authors_Primary&gt;Sammaritano,L.R.&lt;/Authors_Primary&gt;&lt;Authors_Primary&gt;Lockshin,M.&lt;/Authors_Primary&gt;&lt;Authors_Primary&gt;Merrill,J.T.&lt;/Authors_Primary&gt;&lt;Authors_Primary&gt;Belmont,H.M.&lt;/Authors_Primary&gt;&lt;Authors_Primary&gt;Askanase,A.D.&lt;/Authors_Primary&gt;&lt;Authors_Primary&gt;McCune,W.J.&lt;/Authors_Primary&gt;&lt;Authors_Primary&gt;Hearth-Holmes,M.&lt;/Authors_Primary&gt;&lt;Authors_Primary&gt;Dooley,M.A.&lt;/Authors_Primary&gt;&lt;Authors_Primary&gt;Von,Feldt J.&lt;/Authors_Primary&gt;&lt;Authors_Primary&gt;Friedman,A.&lt;/Authors_Primary&gt;&lt;Authors_Primary&gt;Tan,M.&lt;/Authors_Primary&gt;&lt;Authors_Primary&gt;Davis,J.&lt;/Authors_Primary&gt;&lt;Authors_Primary&gt;Cronin,M.&lt;/Authors_Primary&gt;&lt;Authors_Primary&gt;Diamond,B.&lt;/Authors_Primary&gt;&lt;Authors_Primary&gt;Mackay,M.&lt;/Authors_Primary&gt;&lt;Authors_Primary&gt;Sigler,L.&lt;/Authors_Primary&gt;&lt;Authors_Primary&gt;Fillius,M.&lt;/Authors_Primary&gt;&lt;Authors_Primary&gt;Rupel,A.&lt;/Authors_Primary&gt;&lt;Authors_Primary&gt;Licciardi,F.&lt;/Authors_Primary&gt;&lt;Authors_Primary&gt;Buyon,J.P.&lt;/Authors_Primary&gt;&lt;Date_Primary&gt;2005/12/15&lt;/Date_Primary&gt;&lt;Keywords&gt;Adolescent&lt;/Keywords&gt;&lt;Keywords&gt;Adult&lt;/Keywords&gt;&lt;Keywords&gt;adverse effects&lt;/Keywords&gt;&lt;Keywords&gt;Antibodies&lt;/Keywords&gt;&lt;Keywords&gt;Baltimore&lt;/Keywords&gt;&lt;Keywords&gt;classification&lt;/Keywords&gt;&lt;Keywords&gt;confidence interval&lt;/Keywords&gt;&lt;Keywords&gt;Contraceptives,Oral,Combined&lt;/Keywords&gt;&lt;Keywords&gt;death&lt;/Keywords&gt;&lt;Keywords&gt;Disease&lt;/Keywords&gt;&lt;Keywords&gt;Double-Blind Method&lt;/Keywords&gt;&lt;Keywords&gt;erythematosus&lt;/Keywords&gt;&lt;Keywords&gt;estradiol&lt;/Keywords&gt;&lt;Keywords&gt;Ethinyl Estradiol&lt;/Keywords&gt;&lt;Keywords&gt;Female&lt;/Keywords&gt;&lt;Keywords&gt;Humans&lt;/Keywords&gt;&lt;Keywords&gt;lupus erythematosus&lt;/Keywords&gt;&lt;Keywords&gt;Lupus Erythematosus,Systemic&lt;/Keywords&gt;&lt;Keywords&gt;methods&lt;/Keywords&gt;&lt;Keywords&gt;Norethindrone&lt;/Keywords&gt;&lt;Keywords&gt;placebo&lt;/Keywords&gt;&lt;Keywords&gt;Pregnancy&lt;/Keywords&gt;&lt;Keywords&gt;Risk&lt;/Keywords&gt;&lt;Keywords&gt;Severity of Illness Index&lt;/Keywords&gt;&lt;Keywords&gt;systemic lupus erythematosus&lt;/Keywords&gt;&lt;Keywords&gt;Thrombosis&lt;/Keywords&gt;&lt;Keywords&gt;Venous Thrombosis&lt;/Keywords&gt;&lt;Keywords&gt;Women&lt;/Keywords&gt;&lt;Reprint&gt;Not in File&lt;/Reprint&gt;&lt;Start_Page&gt;2550&lt;/Start_Page&gt;&lt;End_Page&gt;2558&lt;/End_Page&gt;&lt;Periodical&gt;N.Engl.J.Med.&lt;/Periodical&gt;&lt;Volume&gt;353&lt;/Volume&gt;&lt;Issue&gt;24&lt;/Issue&gt;&lt;ZZ_JournalStdAbbrev&gt;&lt;f name="System"&gt;N.Engl.J.Med.&lt;/f&gt;&lt;/ZZ_JournalStdAbbrev&gt;&lt;ZZ_WorkformID&gt;1&lt;/ZZ_WorkformID&gt;&lt;/MDL&gt;&lt;/Cite&gt;&lt;/Refman&gt;</w:instrText>
      </w:r>
      <w:r w:rsidR="00E729BA" w:rsidRPr="002B673F">
        <w:fldChar w:fldCharType="separate"/>
      </w:r>
      <w:r w:rsidR="0081424E">
        <w:t>(47)</w:t>
      </w:r>
      <w:r w:rsidR="00E729BA" w:rsidRPr="002B673F">
        <w:fldChar w:fldCharType="end"/>
      </w:r>
      <w:r w:rsidRPr="002B673F">
        <w:t xml:space="preserve">. It measures a range of symptoms and immunology results experienced by patients. Ibanez et al. developed the Adjusted Mean SLEDAI (AMS) to measure disease severity over time using responses on the SLEDAI. AMS is calculated as the area under the curve of disease activity measurements, divided by the duration of follow-up. The Systemic Lupus International Collaborating Centres/American College of Rheumatology Damage Index (SLICC/ACR DI) measures irreversible organ damage across 12 organ systems. Evidence of damage must be present for at least 6 months to distinguish permanent from reversible organ damage. In the statistical analyses the SLICC/ACR DI was split into individual organ systems and each was modelled separately. </w:t>
      </w:r>
    </w:p>
    <w:p w:rsidR="00B97965" w:rsidRPr="002B673F" w:rsidRDefault="00B97965" w:rsidP="00B97965">
      <w:r w:rsidRPr="002B673F">
        <w:t>In each cycle of the model the patient’s disease status is re-estimated. Average SSLEDAI score is calculated using the change in SSLEDAI score equation. Average prednisone dose is calculated using an algorithm which describes the relationship between disease activity and prednisone dose. Details of which organs were active in each annual period were generated at random using the Bernoulli distribution and are calculated independently of medical history or other characteristics. In order to simplify the simulation disease characteristics such as cholesterol, hypertension, anticardiolipin antibodies, and lupus anti-coagulant were held constant from the baseline values in the model.</w:t>
      </w:r>
    </w:p>
    <w:p w:rsidR="00B97965" w:rsidRPr="002B673F" w:rsidRDefault="00B97965" w:rsidP="00B97965">
      <w:r w:rsidRPr="002B673F">
        <w:t xml:space="preserve">At each annual interval of the model the cumulative hazard of mortality, cardiovascular damage, renal damage, musculoskeletal damage, neuropsychiatric damage, pulmonary damage, peripheral vascular damage, gastrointestinal damage, ocular damage and skin damage are calculated independently for each individual patient using the exponential, Weibull, gompertz and loglogistic distributions. The probability that the event occurred over the previous year are estimated as, </w:t>
      </w:r>
    </w:p>
    <w:p w:rsidR="00B97965" w:rsidRPr="002B673F" w:rsidRDefault="00B97965" w:rsidP="00B97965">
      <w:pPr>
        <w:jc w:val="center"/>
      </w:pPr>
      <m:oMath>
        <m:r>
          <w:rPr>
            <w:rFonts w:ascii="Cambria Math" w:hAnsi="Cambria Math"/>
          </w:rPr>
          <m:t>p</m:t>
        </m:r>
        <m:d>
          <m:dPr>
            <m:ctrlPr>
              <w:rPr>
                <w:rFonts w:ascii="Cambria Math" w:hAnsi="Cambria Math"/>
                <w:i/>
              </w:rPr>
            </m:ctrlPr>
          </m:dPr>
          <m:e>
            <m:r>
              <w:rPr>
                <w:rFonts w:ascii="Cambria Math" w:hAnsi="Cambria Math"/>
              </w:rPr>
              <m:t>e</m:t>
            </m:r>
            <m:r>
              <w:rPr>
                <w:rFonts w:ascii="Cambria Math" w:hAnsi="Cambria Math"/>
              </w:rPr>
              <m:t>vent</m:t>
            </m:r>
          </m:e>
        </m:d>
        <m:r>
          <w:rPr>
            <w:rFonts w:ascii="Cambria Math" w:hAnsi="Cambria Math"/>
          </w:rPr>
          <m:t>=1-</m:t>
        </m:r>
        <m:r>
          <m:rPr>
            <m:sty m:val="p"/>
          </m:rPr>
          <w:rPr>
            <w:rFonts w:ascii="Cambria Math" w:hAnsi="Cambria Math"/>
          </w:rPr>
          <m:t>exp⁡</m:t>
        </m:r>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-H(t-1)</m:t>
        </m:r>
      </m:oMath>
      <w:r w:rsidRPr="002B673F">
        <w:t>)</w:t>
      </w:r>
    </w:p>
    <w:p w:rsidR="00B97965" w:rsidRPr="002B673F" w:rsidRDefault="00B97965" w:rsidP="00B97965">
      <w:r w:rsidRPr="002B673F">
        <w:t>A set of random numbers are sampled from a uniform distribution and compared with the probabilities of the events to determine the outcomes for that period. Many of the SLICC/ACR DI organ systems include more than one damage event that may occur. Therefore, the patients remain at risk of further damage to each organ system after they have accrued damage to that organ system. However, if a patient dies they are withdrawn from the model permanently.</w:t>
      </w:r>
    </w:p>
    <w:p w:rsidR="00234693" w:rsidRDefault="00B97965" w:rsidP="00234693">
      <w:r w:rsidRPr="002B673F">
        <w:t>In order to reproduce the different duration of follow-up in two cohorts it is necessary to simulate censoring. The time to censoring is assigned to all patients in the simulation at baseline and the patients withdraw from the model when time exceeds their fo</w:t>
      </w:r>
      <w:bookmarkStart w:id="689" w:name="_Ref306357666"/>
      <w:r w:rsidRPr="002B673F">
        <w:t>llow-up.</w:t>
      </w:r>
      <w:bookmarkEnd w:id="689"/>
    </w:p>
    <w:p w:rsidR="00B97965" w:rsidRPr="002B673F" w:rsidRDefault="00B97965" w:rsidP="00234693">
      <w:pPr>
        <w:rPr>
          <w:b/>
          <w:bCs/>
        </w:rPr>
      </w:pPr>
      <w:r w:rsidRPr="002B673F">
        <w:rPr>
          <w:b/>
          <w:bCs/>
        </w:rPr>
        <w:t>Patient population</w:t>
      </w:r>
    </w:p>
    <w:p w:rsidR="00B97965" w:rsidRPr="002B673F" w:rsidRDefault="00B97965" w:rsidP="00B97965">
      <w:r w:rsidRPr="002B673F">
        <w:t>The Hopkins Lupus Cohort collects demographic details about the patients and their past medical history before cohort entry. Patients in the Hopkins Lupus cohort visit the clinic at least every 3 months. Data from the Hopkins Lupus Cohort collected between 1987 and 2010 were used in the statistical analysis. The data on these patients are used to generate baseline characteristics and withdrawal r</w:t>
      </w:r>
      <w:bookmarkStart w:id="690" w:name="_Ref306357703"/>
      <w:r w:rsidRPr="002B673F">
        <w:t>ates in the Hopkins simulation.</w:t>
      </w:r>
    </w:p>
    <w:p w:rsidR="00B97965" w:rsidRPr="002B673F" w:rsidRDefault="00B97965" w:rsidP="00234693">
      <w:pPr>
        <w:pStyle w:val="Caption"/>
      </w:pPr>
      <w:bookmarkStart w:id="691" w:name="_Ref308792791"/>
      <w:r w:rsidRPr="002B673F">
        <w:t xml:space="preserve">Table </w:t>
      </w:r>
      <w:fldSimple w:instr=" SEQ Table \* ARABIC ">
        <w:r w:rsidR="004911B7">
          <w:rPr>
            <w:noProof/>
          </w:rPr>
          <w:t>63</w:t>
        </w:r>
      </w:fldSimple>
      <w:bookmarkEnd w:id="690"/>
      <w:bookmarkEnd w:id="691"/>
      <w:r w:rsidRPr="002B673F">
        <w:t>: Summary data for patients in the longitudinal cohorts with &gt;24 months follow-up</w:t>
      </w:r>
    </w:p>
    <w:tbl>
      <w:tblPr>
        <w:tblW w:w="7825" w:type="dxa"/>
        <w:tblBorders>
          <w:top w:val="single" w:sz="4" w:space="0" w:color="auto"/>
          <w:bottom w:val="single" w:sz="4" w:space="0" w:color="auto"/>
        </w:tblBorders>
        <w:tblLayout w:type="fixed"/>
        <w:tblCellMar>
          <w:left w:w="28" w:type="dxa"/>
          <w:right w:w="28" w:type="dxa"/>
        </w:tblCellMar>
        <w:tblLook w:val="00A0"/>
      </w:tblPr>
      <w:tblGrid>
        <w:gridCol w:w="3147"/>
        <w:gridCol w:w="1169"/>
        <w:gridCol w:w="1170"/>
        <w:gridCol w:w="1169"/>
        <w:gridCol w:w="1170"/>
      </w:tblGrid>
      <w:tr w:rsidR="00B97965" w:rsidRPr="00636A7E" w:rsidTr="00B97965">
        <w:tc>
          <w:tcPr>
            <w:tcW w:w="3147" w:type="dxa"/>
            <w:tcBorders>
              <w:top w:val="single" w:sz="4" w:space="0" w:color="auto"/>
              <w:bottom w:val="nil"/>
            </w:tcBorders>
            <w:shd w:val="clear" w:color="auto" w:fill="auto"/>
          </w:tcPr>
          <w:p w:rsidR="00B97965" w:rsidRPr="00636A7E" w:rsidRDefault="00B97965" w:rsidP="00B97965">
            <w:pPr>
              <w:rPr>
                <w:sz w:val="18"/>
                <w:szCs w:val="18"/>
              </w:rPr>
            </w:pPr>
          </w:p>
        </w:tc>
        <w:tc>
          <w:tcPr>
            <w:tcW w:w="2339" w:type="dxa"/>
            <w:gridSpan w:val="2"/>
            <w:tcBorders>
              <w:top w:val="single" w:sz="4" w:space="0" w:color="auto"/>
              <w:bottom w:val="nil"/>
            </w:tcBorders>
            <w:shd w:val="clear" w:color="auto" w:fill="auto"/>
          </w:tcPr>
          <w:p w:rsidR="00B97965" w:rsidRPr="00636A7E" w:rsidRDefault="00B97965" w:rsidP="00B97965">
            <w:pPr>
              <w:rPr>
                <w:sz w:val="18"/>
                <w:szCs w:val="18"/>
              </w:rPr>
            </w:pPr>
            <w:r w:rsidRPr="00636A7E">
              <w:rPr>
                <w:sz w:val="18"/>
                <w:szCs w:val="18"/>
              </w:rPr>
              <w:t>Hopkins Cohort (N=1354)</w:t>
            </w:r>
          </w:p>
        </w:tc>
        <w:tc>
          <w:tcPr>
            <w:tcW w:w="2339" w:type="dxa"/>
            <w:gridSpan w:val="2"/>
            <w:tcBorders>
              <w:top w:val="single" w:sz="4" w:space="0" w:color="auto"/>
              <w:bottom w:val="nil"/>
            </w:tcBorders>
          </w:tcPr>
          <w:p w:rsidR="00B97965" w:rsidRPr="00636A7E" w:rsidRDefault="00B97965" w:rsidP="00B97965">
            <w:pPr>
              <w:rPr>
                <w:sz w:val="18"/>
                <w:szCs w:val="18"/>
              </w:rPr>
            </w:pPr>
            <w:r w:rsidRPr="00636A7E">
              <w:rPr>
                <w:sz w:val="18"/>
                <w:szCs w:val="18"/>
              </w:rPr>
              <w:t>Toronto Cohort (N=911)</w:t>
            </w:r>
          </w:p>
        </w:tc>
      </w:tr>
      <w:tr w:rsidR="00B97965" w:rsidRPr="00636A7E" w:rsidTr="00B97965">
        <w:tc>
          <w:tcPr>
            <w:tcW w:w="3147" w:type="dxa"/>
            <w:tcBorders>
              <w:top w:val="nil"/>
              <w:bottom w:val="single" w:sz="4" w:space="0" w:color="auto"/>
            </w:tcBorders>
            <w:shd w:val="clear" w:color="auto" w:fill="auto"/>
          </w:tcPr>
          <w:p w:rsidR="00B97965" w:rsidRPr="00636A7E" w:rsidRDefault="00B97965" w:rsidP="00B97965">
            <w:pPr>
              <w:rPr>
                <w:sz w:val="18"/>
                <w:szCs w:val="18"/>
              </w:rPr>
            </w:pPr>
          </w:p>
        </w:tc>
        <w:tc>
          <w:tcPr>
            <w:tcW w:w="4678" w:type="dxa"/>
            <w:gridSpan w:val="4"/>
            <w:tcBorders>
              <w:top w:val="nil"/>
              <w:bottom w:val="single" w:sz="4" w:space="0" w:color="auto"/>
            </w:tcBorders>
            <w:shd w:val="clear" w:color="auto" w:fill="auto"/>
          </w:tcPr>
          <w:p w:rsidR="00B97965" w:rsidRPr="00636A7E" w:rsidRDefault="00B97965" w:rsidP="00B97965">
            <w:pPr>
              <w:rPr>
                <w:sz w:val="18"/>
                <w:szCs w:val="18"/>
              </w:rPr>
            </w:pPr>
            <w:r w:rsidRPr="00636A7E">
              <w:rPr>
                <w:sz w:val="18"/>
                <w:szCs w:val="18"/>
              </w:rPr>
              <w:t>Simulation inputs (mean ±SD)</w:t>
            </w:r>
          </w:p>
        </w:tc>
      </w:tr>
      <w:tr w:rsidR="00B97965" w:rsidRPr="00636A7E" w:rsidTr="00B97965">
        <w:tc>
          <w:tcPr>
            <w:tcW w:w="3147" w:type="dxa"/>
            <w:tcBorders>
              <w:top w:val="single" w:sz="4" w:space="0" w:color="auto"/>
            </w:tcBorders>
            <w:shd w:val="clear" w:color="auto" w:fill="auto"/>
          </w:tcPr>
          <w:p w:rsidR="00B97965" w:rsidRPr="00636A7E" w:rsidRDefault="00B97965" w:rsidP="00B97965">
            <w:pPr>
              <w:rPr>
                <w:sz w:val="18"/>
                <w:szCs w:val="18"/>
              </w:rPr>
            </w:pPr>
            <w:r w:rsidRPr="00636A7E">
              <w:rPr>
                <w:sz w:val="18"/>
                <w:szCs w:val="18"/>
              </w:rPr>
              <w:t>Male</w:t>
            </w:r>
          </w:p>
        </w:tc>
        <w:tc>
          <w:tcPr>
            <w:tcW w:w="2339" w:type="dxa"/>
            <w:gridSpan w:val="2"/>
            <w:tcBorders>
              <w:top w:val="single" w:sz="4" w:space="0" w:color="auto"/>
            </w:tcBorders>
            <w:shd w:val="clear" w:color="auto" w:fill="auto"/>
          </w:tcPr>
          <w:p w:rsidR="00B97965" w:rsidRPr="00636A7E" w:rsidRDefault="00B97965" w:rsidP="00B97965">
            <w:pPr>
              <w:rPr>
                <w:sz w:val="18"/>
                <w:szCs w:val="18"/>
              </w:rPr>
            </w:pPr>
            <w:r w:rsidRPr="00636A7E">
              <w:rPr>
                <w:sz w:val="18"/>
                <w:szCs w:val="18"/>
              </w:rPr>
              <w:t>7.1%</w:t>
            </w:r>
          </w:p>
        </w:tc>
        <w:tc>
          <w:tcPr>
            <w:tcW w:w="2339" w:type="dxa"/>
            <w:gridSpan w:val="2"/>
            <w:tcBorders>
              <w:top w:val="single" w:sz="4" w:space="0" w:color="auto"/>
            </w:tcBorders>
          </w:tcPr>
          <w:p w:rsidR="00B97965" w:rsidRPr="00636A7E" w:rsidRDefault="00B97965" w:rsidP="00B97965">
            <w:pPr>
              <w:rPr>
                <w:sz w:val="18"/>
                <w:szCs w:val="18"/>
              </w:rPr>
            </w:pPr>
            <w:r w:rsidRPr="00636A7E">
              <w:rPr>
                <w:sz w:val="18"/>
                <w:szCs w:val="18"/>
              </w:rPr>
              <w:t>12.0%</w:t>
            </w:r>
          </w:p>
        </w:tc>
      </w:tr>
      <w:tr w:rsidR="00B97965" w:rsidRPr="00636A7E" w:rsidTr="00B97965">
        <w:tc>
          <w:tcPr>
            <w:tcW w:w="3147" w:type="dxa"/>
            <w:shd w:val="clear" w:color="auto" w:fill="auto"/>
          </w:tcPr>
          <w:p w:rsidR="00B97965" w:rsidRPr="00636A7E" w:rsidRDefault="00B97965" w:rsidP="00B97965">
            <w:pPr>
              <w:rPr>
                <w:sz w:val="18"/>
                <w:szCs w:val="18"/>
              </w:rPr>
            </w:pPr>
            <w:r w:rsidRPr="00636A7E">
              <w:rPr>
                <w:sz w:val="18"/>
                <w:szCs w:val="18"/>
              </w:rPr>
              <w:t>Black</w:t>
            </w:r>
          </w:p>
        </w:tc>
        <w:tc>
          <w:tcPr>
            <w:tcW w:w="2339" w:type="dxa"/>
            <w:gridSpan w:val="2"/>
            <w:shd w:val="clear" w:color="auto" w:fill="auto"/>
          </w:tcPr>
          <w:p w:rsidR="00B97965" w:rsidRPr="00636A7E" w:rsidRDefault="00B97965" w:rsidP="00B97965">
            <w:pPr>
              <w:rPr>
                <w:sz w:val="18"/>
                <w:szCs w:val="18"/>
              </w:rPr>
            </w:pPr>
            <w:r w:rsidRPr="00636A7E">
              <w:rPr>
                <w:sz w:val="18"/>
                <w:szCs w:val="18"/>
              </w:rPr>
              <w:t>38.8%</w:t>
            </w:r>
          </w:p>
        </w:tc>
        <w:tc>
          <w:tcPr>
            <w:tcW w:w="2339" w:type="dxa"/>
            <w:gridSpan w:val="2"/>
          </w:tcPr>
          <w:p w:rsidR="00B97965" w:rsidRPr="00636A7E" w:rsidRDefault="00B97965" w:rsidP="00B97965">
            <w:pPr>
              <w:rPr>
                <w:sz w:val="18"/>
                <w:szCs w:val="18"/>
              </w:rPr>
            </w:pPr>
            <w:r w:rsidRPr="00636A7E">
              <w:rPr>
                <w:sz w:val="18"/>
                <w:szCs w:val="18"/>
              </w:rPr>
              <w:t>10.2%</w:t>
            </w:r>
          </w:p>
        </w:tc>
      </w:tr>
      <w:tr w:rsidR="00B97965" w:rsidRPr="00636A7E" w:rsidTr="00B97965">
        <w:tc>
          <w:tcPr>
            <w:tcW w:w="3147" w:type="dxa"/>
            <w:shd w:val="clear" w:color="auto" w:fill="auto"/>
          </w:tcPr>
          <w:p w:rsidR="00B97965" w:rsidRPr="00636A7E" w:rsidRDefault="00B97965" w:rsidP="00B97965">
            <w:pPr>
              <w:rPr>
                <w:sz w:val="18"/>
                <w:szCs w:val="18"/>
              </w:rPr>
            </w:pPr>
            <w:r w:rsidRPr="00636A7E">
              <w:rPr>
                <w:sz w:val="18"/>
                <w:szCs w:val="18"/>
              </w:rPr>
              <w:t>Age at diagnosis</w:t>
            </w:r>
          </w:p>
        </w:tc>
        <w:tc>
          <w:tcPr>
            <w:tcW w:w="1169" w:type="dxa"/>
            <w:shd w:val="clear" w:color="auto" w:fill="auto"/>
          </w:tcPr>
          <w:p w:rsidR="00B97965" w:rsidRPr="00636A7E" w:rsidRDefault="00B97965" w:rsidP="00B97965">
            <w:pPr>
              <w:rPr>
                <w:sz w:val="18"/>
                <w:szCs w:val="18"/>
              </w:rPr>
            </w:pPr>
            <w:r w:rsidRPr="00636A7E">
              <w:rPr>
                <w:sz w:val="18"/>
                <w:szCs w:val="18"/>
              </w:rPr>
              <w:t>32.93</w:t>
            </w:r>
          </w:p>
        </w:tc>
        <w:tc>
          <w:tcPr>
            <w:tcW w:w="1170" w:type="dxa"/>
            <w:shd w:val="clear" w:color="auto" w:fill="auto"/>
          </w:tcPr>
          <w:p w:rsidR="00B97965" w:rsidRPr="00636A7E" w:rsidRDefault="00B97965" w:rsidP="00B97965">
            <w:pPr>
              <w:rPr>
                <w:sz w:val="18"/>
                <w:szCs w:val="18"/>
              </w:rPr>
            </w:pPr>
            <w:r w:rsidRPr="00636A7E">
              <w:rPr>
                <w:sz w:val="18"/>
                <w:szCs w:val="18"/>
              </w:rPr>
              <w:t>± 13.05</w:t>
            </w:r>
          </w:p>
        </w:tc>
        <w:tc>
          <w:tcPr>
            <w:tcW w:w="1169" w:type="dxa"/>
          </w:tcPr>
          <w:p w:rsidR="00B97965" w:rsidRPr="00636A7E" w:rsidRDefault="00B97965" w:rsidP="00B97965">
            <w:pPr>
              <w:rPr>
                <w:sz w:val="18"/>
                <w:szCs w:val="18"/>
              </w:rPr>
            </w:pPr>
            <w:r w:rsidRPr="00636A7E">
              <w:rPr>
                <w:sz w:val="18"/>
                <w:szCs w:val="18"/>
              </w:rPr>
              <w:t>30.35</w:t>
            </w:r>
          </w:p>
        </w:tc>
        <w:tc>
          <w:tcPr>
            <w:tcW w:w="1170" w:type="dxa"/>
          </w:tcPr>
          <w:p w:rsidR="00B97965" w:rsidRPr="00636A7E" w:rsidRDefault="00B97965" w:rsidP="00B97965">
            <w:pPr>
              <w:rPr>
                <w:sz w:val="18"/>
                <w:szCs w:val="18"/>
              </w:rPr>
            </w:pPr>
            <w:r w:rsidRPr="00636A7E">
              <w:rPr>
                <w:sz w:val="18"/>
                <w:szCs w:val="18"/>
              </w:rPr>
              <w:t>± 13.05</w:t>
            </w:r>
          </w:p>
        </w:tc>
      </w:tr>
      <w:tr w:rsidR="00B97965" w:rsidRPr="00636A7E" w:rsidTr="00B97965">
        <w:trPr>
          <w:trHeight w:val="243"/>
        </w:trPr>
        <w:tc>
          <w:tcPr>
            <w:tcW w:w="3147" w:type="dxa"/>
            <w:shd w:val="clear" w:color="auto" w:fill="auto"/>
          </w:tcPr>
          <w:p w:rsidR="00B97965" w:rsidRPr="00636A7E" w:rsidRDefault="00B97965" w:rsidP="00B97965">
            <w:pPr>
              <w:rPr>
                <w:sz w:val="18"/>
                <w:szCs w:val="18"/>
              </w:rPr>
            </w:pPr>
            <w:r w:rsidRPr="00636A7E">
              <w:rPr>
                <w:sz w:val="18"/>
                <w:szCs w:val="18"/>
              </w:rPr>
              <w:t>Disease duration at cohort entry</w:t>
            </w:r>
          </w:p>
        </w:tc>
        <w:tc>
          <w:tcPr>
            <w:tcW w:w="1169" w:type="dxa"/>
            <w:shd w:val="clear" w:color="auto" w:fill="auto"/>
          </w:tcPr>
          <w:p w:rsidR="00B97965" w:rsidRPr="00636A7E" w:rsidRDefault="00B97965" w:rsidP="00B97965">
            <w:pPr>
              <w:rPr>
                <w:sz w:val="18"/>
                <w:szCs w:val="18"/>
              </w:rPr>
            </w:pPr>
            <w:r w:rsidRPr="00636A7E">
              <w:rPr>
                <w:sz w:val="18"/>
                <w:szCs w:val="18"/>
              </w:rPr>
              <w:t>4.83</w:t>
            </w:r>
          </w:p>
        </w:tc>
        <w:tc>
          <w:tcPr>
            <w:tcW w:w="1170" w:type="dxa"/>
            <w:shd w:val="clear" w:color="auto" w:fill="auto"/>
          </w:tcPr>
          <w:p w:rsidR="00B97965" w:rsidRPr="00636A7E" w:rsidRDefault="00B97965" w:rsidP="00B97965">
            <w:pPr>
              <w:rPr>
                <w:sz w:val="18"/>
                <w:szCs w:val="18"/>
              </w:rPr>
            </w:pPr>
            <w:r w:rsidRPr="00636A7E">
              <w:rPr>
                <w:sz w:val="18"/>
                <w:szCs w:val="18"/>
              </w:rPr>
              <w:t>± 6.3</w:t>
            </w:r>
          </w:p>
        </w:tc>
        <w:tc>
          <w:tcPr>
            <w:tcW w:w="1169" w:type="dxa"/>
          </w:tcPr>
          <w:p w:rsidR="00B97965" w:rsidRPr="00636A7E" w:rsidRDefault="00B97965" w:rsidP="00B97965">
            <w:pPr>
              <w:rPr>
                <w:sz w:val="18"/>
                <w:szCs w:val="18"/>
              </w:rPr>
            </w:pPr>
            <w:r w:rsidRPr="00636A7E">
              <w:rPr>
                <w:sz w:val="18"/>
                <w:szCs w:val="18"/>
              </w:rPr>
              <w:t>5.53</w:t>
            </w:r>
          </w:p>
        </w:tc>
        <w:tc>
          <w:tcPr>
            <w:tcW w:w="1170" w:type="dxa"/>
          </w:tcPr>
          <w:p w:rsidR="00B97965" w:rsidRPr="00636A7E" w:rsidRDefault="00B97965" w:rsidP="00B97965">
            <w:pPr>
              <w:rPr>
                <w:sz w:val="18"/>
                <w:szCs w:val="18"/>
              </w:rPr>
            </w:pPr>
            <w:r w:rsidRPr="00636A7E">
              <w:rPr>
                <w:sz w:val="18"/>
                <w:szCs w:val="18"/>
              </w:rPr>
              <w:t>± 5.23</w:t>
            </w:r>
          </w:p>
        </w:tc>
      </w:tr>
      <w:tr w:rsidR="00B97965" w:rsidRPr="00636A7E" w:rsidTr="00B97965">
        <w:tc>
          <w:tcPr>
            <w:tcW w:w="3147" w:type="dxa"/>
            <w:shd w:val="clear" w:color="auto" w:fill="auto"/>
          </w:tcPr>
          <w:p w:rsidR="00B97965" w:rsidRPr="00636A7E" w:rsidRDefault="00B97965" w:rsidP="00B97965">
            <w:pPr>
              <w:rPr>
                <w:sz w:val="18"/>
                <w:szCs w:val="18"/>
              </w:rPr>
            </w:pPr>
            <w:r w:rsidRPr="00636A7E">
              <w:rPr>
                <w:sz w:val="18"/>
                <w:szCs w:val="18"/>
              </w:rPr>
              <w:t>SLEDAI score at first visit</w:t>
            </w:r>
          </w:p>
        </w:tc>
        <w:tc>
          <w:tcPr>
            <w:tcW w:w="1169" w:type="dxa"/>
            <w:shd w:val="clear" w:color="auto" w:fill="auto"/>
          </w:tcPr>
          <w:p w:rsidR="00B97965" w:rsidRPr="00636A7E" w:rsidRDefault="00B97965" w:rsidP="00B97965">
            <w:pPr>
              <w:rPr>
                <w:sz w:val="18"/>
                <w:szCs w:val="18"/>
              </w:rPr>
            </w:pPr>
            <w:r w:rsidRPr="00636A7E">
              <w:rPr>
                <w:sz w:val="18"/>
                <w:szCs w:val="18"/>
              </w:rPr>
              <w:t>3.71</w:t>
            </w:r>
          </w:p>
        </w:tc>
        <w:tc>
          <w:tcPr>
            <w:tcW w:w="1170" w:type="dxa"/>
            <w:shd w:val="clear" w:color="auto" w:fill="auto"/>
          </w:tcPr>
          <w:p w:rsidR="00B97965" w:rsidRPr="00636A7E" w:rsidRDefault="00B97965" w:rsidP="00B97965">
            <w:pPr>
              <w:rPr>
                <w:sz w:val="18"/>
                <w:szCs w:val="18"/>
              </w:rPr>
            </w:pPr>
            <w:r w:rsidRPr="00636A7E">
              <w:rPr>
                <w:sz w:val="18"/>
                <w:szCs w:val="18"/>
              </w:rPr>
              <w:t>± 4.06</w:t>
            </w:r>
          </w:p>
        </w:tc>
        <w:tc>
          <w:tcPr>
            <w:tcW w:w="1169" w:type="dxa"/>
          </w:tcPr>
          <w:p w:rsidR="00B97965" w:rsidRPr="00636A7E" w:rsidRDefault="00B97965" w:rsidP="00B97965">
            <w:pPr>
              <w:rPr>
                <w:sz w:val="18"/>
                <w:szCs w:val="18"/>
              </w:rPr>
            </w:pPr>
            <w:r w:rsidRPr="00636A7E">
              <w:rPr>
                <w:sz w:val="18"/>
                <w:szCs w:val="18"/>
              </w:rPr>
              <w:t>9.09</w:t>
            </w:r>
          </w:p>
        </w:tc>
        <w:tc>
          <w:tcPr>
            <w:tcW w:w="1170" w:type="dxa"/>
          </w:tcPr>
          <w:p w:rsidR="00B97965" w:rsidRPr="00636A7E" w:rsidRDefault="00B97965" w:rsidP="00B97965">
            <w:pPr>
              <w:rPr>
                <w:sz w:val="18"/>
                <w:szCs w:val="18"/>
              </w:rPr>
            </w:pPr>
            <w:r w:rsidRPr="00636A7E">
              <w:rPr>
                <w:sz w:val="18"/>
                <w:szCs w:val="18"/>
              </w:rPr>
              <w:t>± 7.54</w:t>
            </w:r>
          </w:p>
        </w:tc>
      </w:tr>
      <w:tr w:rsidR="00B97965" w:rsidRPr="00636A7E" w:rsidTr="00B97965">
        <w:tc>
          <w:tcPr>
            <w:tcW w:w="3147" w:type="dxa"/>
            <w:shd w:val="clear" w:color="auto" w:fill="auto"/>
          </w:tcPr>
          <w:p w:rsidR="00B97965" w:rsidRPr="00636A7E" w:rsidRDefault="00B97965" w:rsidP="00B97965">
            <w:pPr>
              <w:rPr>
                <w:sz w:val="18"/>
                <w:szCs w:val="18"/>
              </w:rPr>
            </w:pPr>
            <w:r w:rsidRPr="00636A7E">
              <w:rPr>
                <w:sz w:val="18"/>
                <w:szCs w:val="18"/>
              </w:rPr>
              <w:t>Prednisone dose at first visit</w:t>
            </w:r>
          </w:p>
        </w:tc>
        <w:tc>
          <w:tcPr>
            <w:tcW w:w="1169" w:type="dxa"/>
            <w:shd w:val="clear" w:color="auto" w:fill="auto"/>
          </w:tcPr>
          <w:p w:rsidR="00B97965" w:rsidRPr="00636A7E" w:rsidRDefault="00B97965" w:rsidP="00B97965">
            <w:pPr>
              <w:rPr>
                <w:sz w:val="18"/>
                <w:szCs w:val="18"/>
              </w:rPr>
            </w:pPr>
            <w:r w:rsidRPr="00636A7E">
              <w:rPr>
                <w:sz w:val="18"/>
                <w:szCs w:val="18"/>
              </w:rPr>
              <w:t>10.5</w:t>
            </w:r>
          </w:p>
        </w:tc>
        <w:tc>
          <w:tcPr>
            <w:tcW w:w="1170" w:type="dxa"/>
            <w:shd w:val="clear" w:color="auto" w:fill="auto"/>
          </w:tcPr>
          <w:p w:rsidR="00B97965" w:rsidRPr="00636A7E" w:rsidRDefault="00B97965" w:rsidP="00B97965">
            <w:pPr>
              <w:rPr>
                <w:sz w:val="18"/>
                <w:szCs w:val="18"/>
              </w:rPr>
            </w:pPr>
            <w:r w:rsidRPr="00636A7E">
              <w:rPr>
                <w:sz w:val="18"/>
                <w:szCs w:val="18"/>
              </w:rPr>
              <w:t>± 16.19</w:t>
            </w:r>
          </w:p>
        </w:tc>
        <w:tc>
          <w:tcPr>
            <w:tcW w:w="1169" w:type="dxa"/>
          </w:tcPr>
          <w:p w:rsidR="00B97965" w:rsidRPr="00636A7E" w:rsidRDefault="00B97965" w:rsidP="00B97965">
            <w:pPr>
              <w:rPr>
                <w:sz w:val="18"/>
                <w:szCs w:val="18"/>
              </w:rPr>
            </w:pPr>
            <w:r w:rsidRPr="00636A7E">
              <w:rPr>
                <w:sz w:val="18"/>
                <w:szCs w:val="18"/>
              </w:rPr>
              <w:t>8.16</w:t>
            </w:r>
          </w:p>
        </w:tc>
        <w:tc>
          <w:tcPr>
            <w:tcW w:w="1170" w:type="dxa"/>
          </w:tcPr>
          <w:p w:rsidR="00B97965" w:rsidRPr="00636A7E" w:rsidRDefault="00B97965" w:rsidP="00B97965">
            <w:pPr>
              <w:rPr>
                <w:sz w:val="18"/>
                <w:szCs w:val="18"/>
              </w:rPr>
            </w:pPr>
            <w:r w:rsidRPr="00636A7E">
              <w:rPr>
                <w:sz w:val="18"/>
                <w:szCs w:val="18"/>
              </w:rPr>
              <w:t>± 15.5</w:t>
            </w:r>
          </w:p>
        </w:tc>
      </w:tr>
      <w:tr w:rsidR="00B97965" w:rsidRPr="00636A7E" w:rsidTr="00B97965">
        <w:tc>
          <w:tcPr>
            <w:tcW w:w="3147" w:type="dxa"/>
            <w:shd w:val="clear" w:color="auto" w:fill="auto"/>
          </w:tcPr>
          <w:p w:rsidR="00B97965" w:rsidRPr="00636A7E" w:rsidRDefault="00B97965" w:rsidP="00B97965">
            <w:pPr>
              <w:rPr>
                <w:sz w:val="18"/>
                <w:szCs w:val="18"/>
              </w:rPr>
            </w:pPr>
            <w:r w:rsidRPr="00636A7E">
              <w:rPr>
                <w:sz w:val="18"/>
                <w:szCs w:val="18"/>
              </w:rPr>
              <w:t>Duration of follow-up in cohort</w:t>
            </w:r>
          </w:p>
        </w:tc>
        <w:tc>
          <w:tcPr>
            <w:tcW w:w="1169" w:type="dxa"/>
            <w:shd w:val="clear" w:color="auto" w:fill="auto"/>
          </w:tcPr>
          <w:p w:rsidR="00B97965" w:rsidRPr="00636A7E" w:rsidRDefault="00B97965" w:rsidP="00B97965">
            <w:pPr>
              <w:rPr>
                <w:sz w:val="18"/>
                <w:szCs w:val="18"/>
              </w:rPr>
            </w:pPr>
            <w:r w:rsidRPr="00636A7E">
              <w:rPr>
                <w:sz w:val="18"/>
                <w:szCs w:val="18"/>
              </w:rPr>
              <w:t>8.13</w:t>
            </w:r>
          </w:p>
        </w:tc>
        <w:tc>
          <w:tcPr>
            <w:tcW w:w="1170" w:type="dxa"/>
            <w:shd w:val="clear" w:color="auto" w:fill="auto"/>
          </w:tcPr>
          <w:p w:rsidR="00B97965" w:rsidRPr="00636A7E" w:rsidRDefault="00B97965" w:rsidP="00B97965">
            <w:pPr>
              <w:rPr>
                <w:sz w:val="18"/>
                <w:szCs w:val="18"/>
              </w:rPr>
            </w:pPr>
            <w:r w:rsidRPr="00636A7E">
              <w:rPr>
                <w:sz w:val="18"/>
                <w:szCs w:val="18"/>
              </w:rPr>
              <w:t>± 5.02</w:t>
            </w:r>
          </w:p>
        </w:tc>
        <w:tc>
          <w:tcPr>
            <w:tcW w:w="1169" w:type="dxa"/>
          </w:tcPr>
          <w:p w:rsidR="00B97965" w:rsidRPr="00636A7E" w:rsidRDefault="00B97965" w:rsidP="00B97965">
            <w:pPr>
              <w:rPr>
                <w:sz w:val="18"/>
                <w:szCs w:val="18"/>
              </w:rPr>
            </w:pPr>
            <w:r w:rsidRPr="00636A7E">
              <w:rPr>
                <w:sz w:val="18"/>
                <w:szCs w:val="18"/>
              </w:rPr>
              <w:t>13.24</w:t>
            </w:r>
          </w:p>
        </w:tc>
        <w:tc>
          <w:tcPr>
            <w:tcW w:w="1170" w:type="dxa"/>
          </w:tcPr>
          <w:p w:rsidR="00B97965" w:rsidRPr="00636A7E" w:rsidRDefault="00B97965" w:rsidP="00B97965">
            <w:pPr>
              <w:rPr>
                <w:sz w:val="18"/>
                <w:szCs w:val="18"/>
              </w:rPr>
            </w:pPr>
            <w:r w:rsidRPr="00636A7E">
              <w:rPr>
                <w:sz w:val="18"/>
                <w:szCs w:val="18"/>
              </w:rPr>
              <w:t>± 8.89</w:t>
            </w:r>
          </w:p>
        </w:tc>
      </w:tr>
    </w:tbl>
    <w:p w:rsidR="00B97965" w:rsidRPr="002B673F" w:rsidRDefault="00B97965" w:rsidP="00B97965">
      <w:pPr>
        <w:rPr>
          <w:b/>
          <w:bCs/>
        </w:rPr>
      </w:pPr>
    </w:p>
    <w:p w:rsidR="00B97965" w:rsidRPr="002B673F" w:rsidRDefault="00B97965" w:rsidP="00B97965">
      <w:pPr>
        <w:rPr>
          <w:b/>
          <w:bCs/>
        </w:rPr>
      </w:pPr>
      <w:r w:rsidRPr="002B673F">
        <w:rPr>
          <w:b/>
          <w:bCs/>
        </w:rPr>
        <w:t>External validation cohort</w:t>
      </w:r>
    </w:p>
    <w:p w:rsidR="00B97965" w:rsidRPr="002B673F" w:rsidRDefault="00B97965" w:rsidP="00B97965">
      <w:r w:rsidRPr="002B673F">
        <w:t xml:space="preserve">The Toronto Lupus Cohort is a longitudinal study of SLE patients attending the Toronto Lupus Clinic. The cohort consists of 911 patients followed between 1980 and 2010 who have more than 24 months of follow-up in the cohort. Disease activity is measured using the SLEDAI-2k revision of the SLEDAI score </w:t>
      </w:r>
      <w:r w:rsidR="00E729BA" w:rsidRPr="002B673F">
        <w:fldChar w:fldCharType="begin"/>
      </w:r>
      <w:r w:rsidR="00FC61FD">
        <w:instrText xml:space="preserve"> ADDIN REFMGR.CITE &lt;Refman&gt;&lt;Cite&gt;&lt;Author&gt;Gladman&lt;/Author&gt;&lt;Year&gt;2002&lt;/Year&gt;&lt;RecNum&gt;908&lt;/RecNum&gt;&lt;IDText&gt;Systemic lupus erythematosus disease activity index 2000&lt;/IDText&gt;&lt;MDL Ref_Type="Journal"&gt;&lt;Ref_Type&gt;Journal&lt;/Ref_Type&gt;&lt;Ref_ID&gt;908&lt;/Ref_ID&gt;&lt;Title_Primary&gt;Systemic lupus erythematosus disease activity index 2000&lt;/Title_Primary&gt;&lt;Authors_Primary&gt;Gladman,D.D.&lt;/Authors_Primary&gt;&lt;Authors_Primary&gt;Ibanez,D.&lt;/Authors_Primary&gt;&lt;Authors_Primary&gt;Urowitz,M.B.&lt;/Authors_Primary&gt;&lt;Date_Primary&gt;2002/2&lt;/Date_Primary&gt;&lt;Keywords&gt;Adolescent&lt;/Keywords&gt;&lt;Keywords&gt;Adult&lt;/Keywords&gt;&lt;Keywords&gt;Aged&lt;/Keywords&gt;&lt;Keywords&gt;Aged,80 and over&lt;/Keywords&gt;&lt;Keywords&gt;Alopecia&lt;/Keywords&gt;&lt;Keywords&gt;Child&lt;/Keywords&gt;&lt;Keywords&gt;clinical trial&lt;/Keywords&gt;&lt;Keywords&gt;Cohort Studies&lt;/Keywords&gt;&lt;Keywords&gt;Disease&lt;/Keywords&gt;&lt;Keywords&gt;disease activity&lt;/Keywords&gt;&lt;Keywords&gt;disease activity index&lt;/Keywords&gt;&lt;Keywords&gt;erythematosus&lt;/Keywords&gt;&lt;Keywords&gt;Female&lt;/Keywords&gt;&lt;Keywords&gt;hospital&lt;/Keywords&gt;&lt;Keywords&gt;Humans&lt;/Keywords&gt;&lt;Keywords&gt;lupus erythematosus&lt;/Keywords&gt;&lt;Keywords&gt;Lupus Erythematosus,Systemic&lt;/Keywords&gt;&lt;Keywords&gt;Male&lt;/Keywords&gt;&lt;Keywords&gt;methods&lt;/Keywords&gt;&lt;Keywords&gt;Middle Aged&lt;/Keywords&gt;&lt;Keywords&gt;mortality&lt;/Keywords&gt;&lt;Keywords&gt;Ontario&lt;/Keywords&gt;&lt;Keywords&gt;patient&lt;/Keywords&gt;&lt;Keywords&gt;Patients&lt;/Keywords&gt;&lt;Keywords&gt;physiopathology&lt;/Keywords&gt;&lt;Keywords&gt;Prognosis&lt;/Keywords&gt;&lt;Keywords&gt;Proteinuria&lt;/Keywords&gt;&lt;Keywords&gt;Rheumatic Diseases&lt;/Keywords&gt;&lt;Keywords&gt;Severity of Illness Index&lt;/Keywords&gt;&lt;Keywords&gt;Survival Analysis&lt;/Keywords&gt;&lt;Keywords&gt;Survival Rate&lt;/Keywords&gt;&lt;Keywords&gt;systemic lupus erythematosus&lt;/Keywords&gt;&lt;Reprint&gt;Not in File&lt;/Reprint&gt;&lt;Start_Page&gt;288&lt;/Start_Page&gt;&lt;End_Page&gt;291&lt;/End_Page&gt;&lt;Periodical&gt;J.Rheumatol.&lt;/Periodical&gt;&lt;Volume&gt;29&lt;/Volume&gt;&lt;Issue&gt;2&lt;/Issue&gt;&lt;User_Def_1&gt;y&lt;/User_Def_1&gt;&lt;ZZ_JournalStdAbbrev&gt;&lt;f name="System"&gt;J.Rheumatol.&lt;/f&gt;&lt;/ZZ_JournalStdAbbrev&gt;&lt;ZZ_WorkformID&gt;1&lt;/ZZ_WorkformID&gt;&lt;/MDL&gt;&lt;/Cite&gt;&lt;/Refman&gt;</w:instrText>
      </w:r>
      <w:r w:rsidR="00E729BA" w:rsidRPr="002B673F">
        <w:fldChar w:fldCharType="separate"/>
      </w:r>
      <w:r w:rsidR="0081424E">
        <w:t>(48)</w:t>
      </w:r>
      <w:r w:rsidR="00E729BA" w:rsidRPr="002B673F">
        <w:fldChar w:fldCharType="end"/>
      </w:r>
      <w:r w:rsidRPr="002B673F">
        <w:t xml:space="preserve">. Collaboration with the Toronto Lupus Cohort facilitated statistical analyses of the dataset.  </w:t>
      </w:r>
    </w:p>
    <w:p w:rsidR="00B97965" w:rsidRPr="002B673F" w:rsidRDefault="00B97965" w:rsidP="00B97965">
      <w:r w:rsidRPr="002B673F">
        <w:t xml:space="preserve">Summary data for the Toronto cohort is reported in </w:t>
      </w:r>
      <w:fldSimple w:instr=" REF _Ref308792791 \h  \* MERGEFORMAT ">
        <w:r w:rsidR="004911B7" w:rsidRPr="002B673F">
          <w:t xml:space="preserve">Table </w:t>
        </w:r>
        <w:r w:rsidR="004911B7">
          <w:t>63</w:t>
        </w:r>
      </w:fldSimple>
      <w:r w:rsidRPr="002B673F">
        <w:t xml:space="preserve">. There is a higher proportion of black patients in the Hopkins Cohort and a lower proportion of males. The age at diagnosis is slightly lower in the Toronto cohort and the disease duration at cohort entry is higher in the Hopkins cohort. The SLEDAI score on entry into the Toronto cohort is higher and the average prednisone dose is lower than the Hopkins cohort. </w:t>
      </w:r>
    </w:p>
    <w:p w:rsidR="00B97965" w:rsidRPr="002B673F" w:rsidRDefault="00B97965" w:rsidP="00221DD6">
      <w:r w:rsidRPr="002B673F">
        <w:t xml:space="preserve">In the validation of the natural history model it is necessary to generate a population of patients similar to the Toronto cohort to see how well the models predict the long term outcomes of a different cohort using the statistical analyses from the Hopkins cohort. Firstly, the summary statistics for the Toronto cohort detailed in </w:t>
      </w:r>
      <w:r w:rsidR="00E729BA" w:rsidRPr="002B673F">
        <w:fldChar w:fldCharType="begin"/>
      </w:r>
      <w:r w:rsidRPr="002B673F">
        <w:instrText xml:space="preserve"> REF _Ref308792791 \h </w:instrText>
      </w:r>
      <w:r w:rsidR="00E729BA" w:rsidRPr="002B673F">
        <w:fldChar w:fldCharType="separate"/>
      </w:r>
      <w:r w:rsidR="004911B7" w:rsidRPr="002B673F">
        <w:t xml:space="preserve">Table </w:t>
      </w:r>
      <w:r w:rsidR="004911B7">
        <w:rPr>
          <w:noProof/>
        </w:rPr>
        <w:t>63</w:t>
      </w:r>
      <w:r w:rsidR="00E729BA" w:rsidRPr="002B673F">
        <w:fldChar w:fldCharType="end"/>
      </w:r>
      <w:r w:rsidRPr="002B673F">
        <w:t xml:space="preserve"> were used to generate an alternative set of parameters. Secondly, the duration of follow-up in the Toronto cohort is longer than the Hopkins cohort so it was necessary to alter the time to withdrawal parameters.  Thirdly, the distributions of damage scores at baseline were updated. </w:t>
      </w:r>
    </w:p>
    <w:bookmarkEnd w:id="685"/>
    <w:bookmarkEnd w:id="686"/>
    <w:bookmarkEnd w:id="687"/>
    <w:p w:rsidR="00B97965" w:rsidRPr="002B673F" w:rsidRDefault="00B97965" w:rsidP="00B97965">
      <w:pPr>
        <w:rPr>
          <w:b/>
          <w:bCs/>
        </w:rPr>
      </w:pPr>
      <w:r w:rsidRPr="002B673F">
        <w:rPr>
          <w:b/>
          <w:bCs/>
        </w:rPr>
        <w:t>RESULTS</w:t>
      </w:r>
    </w:p>
    <w:p w:rsidR="00B97965" w:rsidRPr="002B673F" w:rsidRDefault="00B97965" w:rsidP="00B97965">
      <w:r w:rsidRPr="002B673F">
        <w:t xml:space="preserve">Baseline summary statistics generated from the simulation of the Hopkins cohort and Toronto cohort are reported in </w:t>
      </w:r>
      <w:fldSimple w:instr=" REF _Ref306115122 \h  \* MERGEFORMAT ">
        <w:r w:rsidR="004911B7" w:rsidRPr="002B673F">
          <w:t xml:space="preserve">Table </w:t>
        </w:r>
        <w:r w:rsidR="004911B7">
          <w:t>64</w:t>
        </w:r>
      </w:fldSimple>
      <w:r w:rsidRPr="002B673F">
        <w:t xml:space="preserve">. The results show that the simulation generates similar baseline scores to the respective cohorts. </w:t>
      </w:r>
      <w:bookmarkStart w:id="692" w:name="_Ref277174072"/>
      <w:r w:rsidRPr="002B673F">
        <w:t xml:space="preserve"> However, prednisone dose at first visit differs slightly between the Toronto cohort and simulation.</w:t>
      </w:r>
    </w:p>
    <w:p w:rsidR="00B97965" w:rsidRPr="002B673F" w:rsidRDefault="00B97965" w:rsidP="00234693">
      <w:pPr>
        <w:pStyle w:val="Caption"/>
      </w:pPr>
      <w:bookmarkStart w:id="693" w:name="_Ref306115122"/>
      <w:r w:rsidRPr="002B673F">
        <w:t xml:space="preserve">Table </w:t>
      </w:r>
      <w:fldSimple w:instr=" SEQ Table \* ARABIC ">
        <w:r w:rsidR="004911B7">
          <w:rPr>
            <w:noProof/>
          </w:rPr>
          <w:t>64</w:t>
        </w:r>
      </w:fldSimple>
      <w:bookmarkEnd w:id="693"/>
      <w:r w:rsidRPr="002B673F">
        <w:t>: Results of the simulations</w:t>
      </w:r>
    </w:p>
    <w:tbl>
      <w:tblPr>
        <w:tblW w:w="7825" w:type="dxa"/>
        <w:tblBorders>
          <w:top w:val="single" w:sz="4" w:space="0" w:color="auto"/>
          <w:bottom w:val="single" w:sz="4" w:space="0" w:color="auto"/>
        </w:tblBorders>
        <w:tblLayout w:type="fixed"/>
        <w:tblCellMar>
          <w:left w:w="28" w:type="dxa"/>
          <w:right w:w="28" w:type="dxa"/>
        </w:tblCellMar>
        <w:tblLook w:val="00A0"/>
      </w:tblPr>
      <w:tblGrid>
        <w:gridCol w:w="3147"/>
        <w:gridCol w:w="1169"/>
        <w:gridCol w:w="1170"/>
        <w:gridCol w:w="1169"/>
        <w:gridCol w:w="1170"/>
      </w:tblGrid>
      <w:tr w:rsidR="00B97965" w:rsidRPr="007F426C" w:rsidTr="00B97965">
        <w:tc>
          <w:tcPr>
            <w:tcW w:w="3147" w:type="dxa"/>
            <w:tcBorders>
              <w:top w:val="single" w:sz="4" w:space="0" w:color="auto"/>
              <w:bottom w:val="nil"/>
            </w:tcBorders>
          </w:tcPr>
          <w:p w:rsidR="00B97965" w:rsidRPr="007F426C" w:rsidRDefault="00B97965" w:rsidP="00B97965">
            <w:pPr>
              <w:spacing w:after="0" w:afterAutospacing="0" w:line="240" w:lineRule="auto"/>
              <w:rPr>
                <w:sz w:val="18"/>
                <w:szCs w:val="18"/>
              </w:rPr>
            </w:pPr>
          </w:p>
        </w:tc>
        <w:tc>
          <w:tcPr>
            <w:tcW w:w="2339" w:type="dxa"/>
            <w:gridSpan w:val="2"/>
            <w:tcBorders>
              <w:top w:val="single" w:sz="4" w:space="0" w:color="auto"/>
              <w:bottom w:val="nil"/>
            </w:tcBorders>
          </w:tcPr>
          <w:p w:rsidR="00B97965" w:rsidRPr="007F426C" w:rsidRDefault="00B97965" w:rsidP="00B97965">
            <w:pPr>
              <w:spacing w:after="0" w:afterAutospacing="0" w:line="240" w:lineRule="auto"/>
              <w:rPr>
                <w:sz w:val="18"/>
                <w:szCs w:val="18"/>
              </w:rPr>
            </w:pPr>
            <w:r w:rsidRPr="007F426C">
              <w:rPr>
                <w:sz w:val="18"/>
                <w:szCs w:val="18"/>
              </w:rPr>
              <w:t>Hopkins</w:t>
            </w:r>
          </w:p>
          <w:p w:rsidR="00B97965" w:rsidRPr="007F426C" w:rsidRDefault="00B97965" w:rsidP="00B97965">
            <w:pPr>
              <w:spacing w:after="0" w:afterAutospacing="0" w:line="240" w:lineRule="auto"/>
              <w:rPr>
                <w:sz w:val="18"/>
                <w:szCs w:val="18"/>
              </w:rPr>
            </w:pPr>
            <w:r w:rsidRPr="007F426C">
              <w:rPr>
                <w:sz w:val="18"/>
                <w:szCs w:val="18"/>
              </w:rPr>
              <w:t>Simulated cohort (N=100,000)</w:t>
            </w:r>
          </w:p>
        </w:tc>
        <w:tc>
          <w:tcPr>
            <w:tcW w:w="2339" w:type="dxa"/>
            <w:gridSpan w:val="2"/>
            <w:tcBorders>
              <w:top w:val="single" w:sz="4" w:space="0" w:color="auto"/>
              <w:bottom w:val="nil"/>
            </w:tcBorders>
          </w:tcPr>
          <w:p w:rsidR="00B97965" w:rsidRPr="007F426C" w:rsidRDefault="00B97965" w:rsidP="00B97965">
            <w:pPr>
              <w:spacing w:after="0" w:afterAutospacing="0" w:line="240" w:lineRule="auto"/>
              <w:rPr>
                <w:sz w:val="18"/>
                <w:szCs w:val="18"/>
              </w:rPr>
            </w:pPr>
            <w:r w:rsidRPr="007F426C">
              <w:rPr>
                <w:sz w:val="18"/>
                <w:szCs w:val="18"/>
              </w:rPr>
              <w:t>Toronto Simulated cohort (N=100,000)</w:t>
            </w:r>
          </w:p>
        </w:tc>
      </w:tr>
      <w:tr w:rsidR="00B97965" w:rsidRPr="007F426C" w:rsidTr="00B97965">
        <w:tc>
          <w:tcPr>
            <w:tcW w:w="3147" w:type="dxa"/>
            <w:tcBorders>
              <w:top w:val="nil"/>
              <w:bottom w:val="single" w:sz="4" w:space="0" w:color="auto"/>
            </w:tcBorders>
          </w:tcPr>
          <w:p w:rsidR="00B97965" w:rsidRPr="007F426C" w:rsidRDefault="00B97965" w:rsidP="00B97965">
            <w:pPr>
              <w:spacing w:after="0" w:afterAutospacing="0" w:line="240" w:lineRule="auto"/>
              <w:rPr>
                <w:sz w:val="18"/>
                <w:szCs w:val="18"/>
              </w:rPr>
            </w:pPr>
          </w:p>
        </w:tc>
        <w:tc>
          <w:tcPr>
            <w:tcW w:w="4678" w:type="dxa"/>
            <w:gridSpan w:val="4"/>
            <w:tcBorders>
              <w:top w:val="nil"/>
              <w:bottom w:val="single" w:sz="4" w:space="0" w:color="auto"/>
            </w:tcBorders>
          </w:tcPr>
          <w:p w:rsidR="00B97965" w:rsidRPr="007F426C" w:rsidRDefault="00B97965" w:rsidP="00B97965">
            <w:pPr>
              <w:spacing w:after="0" w:afterAutospacing="0" w:line="240" w:lineRule="auto"/>
              <w:rPr>
                <w:sz w:val="18"/>
                <w:szCs w:val="18"/>
              </w:rPr>
            </w:pPr>
            <w:r w:rsidRPr="007F426C">
              <w:rPr>
                <w:sz w:val="18"/>
                <w:szCs w:val="18"/>
              </w:rPr>
              <w:t>Simulation Output (mean ±SD)</w:t>
            </w:r>
          </w:p>
        </w:tc>
      </w:tr>
      <w:tr w:rsidR="00B97965" w:rsidRPr="007F426C" w:rsidTr="00B97965">
        <w:tc>
          <w:tcPr>
            <w:tcW w:w="3147" w:type="dxa"/>
            <w:tcBorders>
              <w:top w:val="single" w:sz="4" w:space="0" w:color="auto"/>
            </w:tcBorders>
          </w:tcPr>
          <w:p w:rsidR="00B97965" w:rsidRPr="007F426C" w:rsidRDefault="00B97965" w:rsidP="00B97965">
            <w:pPr>
              <w:spacing w:after="0" w:afterAutospacing="0" w:line="240" w:lineRule="auto"/>
              <w:rPr>
                <w:sz w:val="18"/>
                <w:szCs w:val="18"/>
              </w:rPr>
            </w:pPr>
            <w:r w:rsidRPr="007F426C">
              <w:rPr>
                <w:sz w:val="18"/>
                <w:szCs w:val="18"/>
              </w:rPr>
              <w:t>Male</w:t>
            </w:r>
          </w:p>
        </w:tc>
        <w:tc>
          <w:tcPr>
            <w:tcW w:w="2339" w:type="dxa"/>
            <w:gridSpan w:val="2"/>
            <w:tcBorders>
              <w:top w:val="single" w:sz="4" w:space="0" w:color="auto"/>
            </w:tcBorders>
          </w:tcPr>
          <w:p w:rsidR="00B97965" w:rsidRPr="007F426C" w:rsidRDefault="00B97965" w:rsidP="00B97965">
            <w:pPr>
              <w:spacing w:after="0" w:afterAutospacing="0" w:line="240" w:lineRule="auto"/>
              <w:rPr>
                <w:sz w:val="18"/>
                <w:szCs w:val="18"/>
              </w:rPr>
            </w:pPr>
            <w:r w:rsidRPr="007F426C">
              <w:rPr>
                <w:sz w:val="18"/>
                <w:szCs w:val="18"/>
              </w:rPr>
              <w:t>7.3%</w:t>
            </w:r>
          </w:p>
        </w:tc>
        <w:tc>
          <w:tcPr>
            <w:tcW w:w="2339" w:type="dxa"/>
            <w:gridSpan w:val="2"/>
            <w:tcBorders>
              <w:top w:val="single" w:sz="4" w:space="0" w:color="auto"/>
            </w:tcBorders>
          </w:tcPr>
          <w:p w:rsidR="00B97965" w:rsidRPr="007F426C" w:rsidRDefault="00B97965" w:rsidP="00B97965">
            <w:pPr>
              <w:spacing w:after="0" w:afterAutospacing="0" w:line="240" w:lineRule="auto"/>
              <w:rPr>
                <w:sz w:val="18"/>
                <w:szCs w:val="18"/>
              </w:rPr>
            </w:pPr>
            <w:r w:rsidRPr="007F426C">
              <w:rPr>
                <w:sz w:val="18"/>
                <w:szCs w:val="18"/>
              </w:rPr>
              <w:t>12.6%</w:t>
            </w:r>
          </w:p>
        </w:tc>
      </w:tr>
      <w:tr w:rsidR="00B97965" w:rsidRPr="007F426C" w:rsidTr="00B97965">
        <w:tc>
          <w:tcPr>
            <w:tcW w:w="3147" w:type="dxa"/>
          </w:tcPr>
          <w:p w:rsidR="00B97965" w:rsidRPr="007F426C" w:rsidRDefault="00B97965" w:rsidP="00B97965">
            <w:pPr>
              <w:spacing w:after="0" w:afterAutospacing="0" w:line="240" w:lineRule="auto"/>
              <w:rPr>
                <w:sz w:val="18"/>
                <w:szCs w:val="18"/>
              </w:rPr>
            </w:pPr>
            <w:r w:rsidRPr="007F426C">
              <w:rPr>
                <w:sz w:val="18"/>
                <w:szCs w:val="18"/>
              </w:rPr>
              <w:t>Black</w:t>
            </w:r>
          </w:p>
        </w:tc>
        <w:tc>
          <w:tcPr>
            <w:tcW w:w="2339" w:type="dxa"/>
            <w:gridSpan w:val="2"/>
          </w:tcPr>
          <w:p w:rsidR="00B97965" w:rsidRPr="007F426C" w:rsidRDefault="00B97965" w:rsidP="00B97965">
            <w:pPr>
              <w:spacing w:after="0" w:afterAutospacing="0" w:line="240" w:lineRule="auto"/>
              <w:rPr>
                <w:sz w:val="18"/>
                <w:szCs w:val="18"/>
              </w:rPr>
            </w:pPr>
            <w:r w:rsidRPr="007F426C">
              <w:rPr>
                <w:sz w:val="18"/>
                <w:szCs w:val="18"/>
              </w:rPr>
              <w:t>38.2%</w:t>
            </w:r>
          </w:p>
        </w:tc>
        <w:tc>
          <w:tcPr>
            <w:tcW w:w="2339" w:type="dxa"/>
            <w:gridSpan w:val="2"/>
          </w:tcPr>
          <w:p w:rsidR="00B97965" w:rsidRPr="007F426C" w:rsidRDefault="00B97965" w:rsidP="00B97965">
            <w:pPr>
              <w:spacing w:after="0" w:afterAutospacing="0" w:line="240" w:lineRule="auto"/>
              <w:rPr>
                <w:sz w:val="18"/>
                <w:szCs w:val="18"/>
              </w:rPr>
            </w:pPr>
            <w:r w:rsidRPr="007F426C">
              <w:rPr>
                <w:sz w:val="18"/>
                <w:szCs w:val="18"/>
              </w:rPr>
              <w:t>10.1%</w:t>
            </w:r>
          </w:p>
        </w:tc>
      </w:tr>
      <w:tr w:rsidR="00B97965" w:rsidRPr="007F426C" w:rsidTr="00B97965">
        <w:tc>
          <w:tcPr>
            <w:tcW w:w="3147" w:type="dxa"/>
          </w:tcPr>
          <w:p w:rsidR="00B97965" w:rsidRPr="007F426C" w:rsidRDefault="00B97965" w:rsidP="00B97965">
            <w:pPr>
              <w:spacing w:after="0" w:afterAutospacing="0" w:line="240" w:lineRule="auto"/>
              <w:rPr>
                <w:sz w:val="18"/>
                <w:szCs w:val="18"/>
              </w:rPr>
            </w:pPr>
            <w:r w:rsidRPr="007F426C">
              <w:rPr>
                <w:sz w:val="18"/>
                <w:szCs w:val="18"/>
              </w:rPr>
              <w:t>Age at diagnosis</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32.71</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12.98</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30.36</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13.46</w:t>
            </w:r>
          </w:p>
        </w:tc>
      </w:tr>
      <w:tr w:rsidR="00B97965" w:rsidRPr="007F426C" w:rsidTr="00B97965">
        <w:trPr>
          <w:trHeight w:val="243"/>
        </w:trPr>
        <w:tc>
          <w:tcPr>
            <w:tcW w:w="3147" w:type="dxa"/>
          </w:tcPr>
          <w:p w:rsidR="00B97965" w:rsidRPr="007F426C" w:rsidRDefault="00B97965" w:rsidP="00B97965">
            <w:pPr>
              <w:spacing w:after="0" w:afterAutospacing="0" w:line="240" w:lineRule="auto"/>
              <w:rPr>
                <w:sz w:val="18"/>
                <w:szCs w:val="18"/>
              </w:rPr>
            </w:pPr>
            <w:r w:rsidRPr="007F426C">
              <w:rPr>
                <w:sz w:val="18"/>
                <w:szCs w:val="18"/>
              </w:rPr>
              <w:t>Disease duration at cohort entry</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4.89</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6.59</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3.59</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5.35</w:t>
            </w:r>
          </w:p>
        </w:tc>
      </w:tr>
      <w:tr w:rsidR="00B97965" w:rsidRPr="007F426C" w:rsidTr="00B97965">
        <w:tc>
          <w:tcPr>
            <w:tcW w:w="3147" w:type="dxa"/>
          </w:tcPr>
          <w:p w:rsidR="00B97965" w:rsidRPr="007F426C" w:rsidRDefault="00B97965" w:rsidP="00B97965">
            <w:pPr>
              <w:spacing w:after="0" w:afterAutospacing="0" w:line="240" w:lineRule="auto"/>
              <w:rPr>
                <w:sz w:val="18"/>
                <w:szCs w:val="18"/>
              </w:rPr>
            </w:pPr>
            <w:r w:rsidRPr="007F426C">
              <w:rPr>
                <w:sz w:val="18"/>
                <w:szCs w:val="18"/>
              </w:rPr>
              <w:t>SLEDAI score at first visit</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3.03</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2.59</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9.03</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7.52</w:t>
            </w:r>
          </w:p>
        </w:tc>
      </w:tr>
      <w:tr w:rsidR="00B97965" w:rsidRPr="007F426C" w:rsidTr="00B97965">
        <w:tc>
          <w:tcPr>
            <w:tcW w:w="3147" w:type="dxa"/>
          </w:tcPr>
          <w:p w:rsidR="00B97965" w:rsidRPr="007F426C" w:rsidRDefault="00B97965" w:rsidP="00B97965">
            <w:pPr>
              <w:spacing w:after="0" w:afterAutospacing="0" w:line="240" w:lineRule="auto"/>
              <w:rPr>
                <w:sz w:val="18"/>
                <w:szCs w:val="18"/>
              </w:rPr>
            </w:pPr>
            <w:r w:rsidRPr="007F426C">
              <w:rPr>
                <w:sz w:val="18"/>
                <w:szCs w:val="18"/>
              </w:rPr>
              <w:t>Prednisone dose at first visit</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10.45</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16.20</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9.98</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 15.34</w:t>
            </w:r>
          </w:p>
        </w:tc>
      </w:tr>
      <w:tr w:rsidR="00B97965" w:rsidRPr="007F426C" w:rsidTr="00B97965">
        <w:tc>
          <w:tcPr>
            <w:tcW w:w="3147" w:type="dxa"/>
          </w:tcPr>
          <w:p w:rsidR="00B97965" w:rsidRPr="007F426C" w:rsidRDefault="00B97965" w:rsidP="00B97965">
            <w:pPr>
              <w:spacing w:after="0" w:afterAutospacing="0" w:line="240" w:lineRule="auto"/>
              <w:rPr>
                <w:sz w:val="18"/>
                <w:szCs w:val="18"/>
              </w:rPr>
            </w:pPr>
            <w:r w:rsidRPr="007F426C">
              <w:rPr>
                <w:sz w:val="18"/>
                <w:szCs w:val="18"/>
              </w:rPr>
              <w:t>Duration of follow-up in cohort</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8.61</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±4.53</w:t>
            </w:r>
          </w:p>
        </w:tc>
        <w:tc>
          <w:tcPr>
            <w:tcW w:w="1169" w:type="dxa"/>
          </w:tcPr>
          <w:p w:rsidR="00B97965" w:rsidRPr="007F426C" w:rsidRDefault="00B97965" w:rsidP="00B97965">
            <w:pPr>
              <w:spacing w:after="0" w:afterAutospacing="0" w:line="240" w:lineRule="auto"/>
              <w:rPr>
                <w:sz w:val="18"/>
                <w:szCs w:val="18"/>
              </w:rPr>
            </w:pPr>
            <w:r w:rsidRPr="007F426C">
              <w:rPr>
                <w:sz w:val="18"/>
                <w:szCs w:val="18"/>
              </w:rPr>
              <w:t>13.46</w:t>
            </w:r>
          </w:p>
        </w:tc>
        <w:tc>
          <w:tcPr>
            <w:tcW w:w="1170" w:type="dxa"/>
          </w:tcPr>
          <w:p w:rsidR="00B97965" w:rsidRPr="007F426C" w:rsidRDefault="00B97965" w:rsidP="00B97965">
            <w:pPr>
              <w:spacing w:after="0" w:afterAutospacing="0" w:line="240" w:lineRule="auto"/>
              <w:rPr>
                <w:sz w:val="18"/>
                <w:szCs w:val="18"/>
              </w:rPr>
            </w:pPr>
            <w:r w:rsidRPr="007F426C">
              <w:rPr>
                <w:sz w:val="18"/>
                <w:szCs w:val="18"/>
              </w:rPr>
              <w:t>±4.53</w:t>
            </w:r>
          </w:p>
        </w:tc>
      </w:tr>
    </w:tbl>
    <w:p w:rsidR="00B97965" w:rsidRDefault="00B97965" w:rsidP="00B97965">
      <w:pPr>
        <w:rPr>
          <w:b/>
          <w:bCs/>
        </w:rPr>
      </w:pPr>
      <w:bookmarkStart w:id="694" w:name="_Ref306191429"/>
      <w:bookmarkStart w:id="695" w:name="_Ref306609222"/>
      <w:bookmarkStart w:id="696" w:name="_Ref306191425"/>
      <w:bookmarkStart w:id="697" w:name="_Ref306609212"/>
      <w:bookmarkEnd w:id="692"/>
    </w:p>
    <w:p w:rsidR="00EE2E22" w:rsidRPr="002B673F" w:rsidRDefault="00EE2E22" w:rsidP="00B97965">
      <w:pPr>
        <w:rPr>
          <w:b/>
          <w:bCs/>
        </w:rPr>
      </w:pPr>
    </w:p>
    <w:p w:rsidR="00B97965" w:rsidRPr="002B673F" w:rsidRDefault="00B97965" w:rsidP="00234693">
      <w:pPr>
        <w:pStyle w:val="Caption"/>
      </w:pPr>
      <w:r w:rsidRPr="002B673F">
        <w:t xml:space="preserve">Table </w:t>
      </w:r>
      <w:fldSimple w:instr=" SEQ Table \* ARABIC ">
        <w:r w:rsidR="004911B7">
          <w:rPr>
            <w:noProof/>
          </w:rPr>
          <w:t>65</w:t>
        </w:r>
      </w:fldSimple>
      <w:bookmarkEnd w:id="694"/>
      <w:bookmarkEnd w:id="695"/>
      <w:r w:rsidRPr="002B673F">
        <w:t>: Incidence of organ damage per patient year of observation</w:t>
      </w:r>
      <w:bookmarkEnd w:id="696"/>
      <w:bookmarkEnd w:id="69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tblPr>
      <w:tblGrid>
        <w:gridCol w:w="3085"/>
        <w:gridCol w:w="1205"/>
        <w:gridCol w:w="1205"/>
        <w:gridCol w:w="1205"/>
        <w:gridCol w:w="1205"/>
      </w:tblGrid>
      <w:tr w:rsidR="00B97965" w:rsidRPr="007F426C" w:rsidTr="00B97965">
        <w:trPr>
          <w:trHeight w:val="20"/>
        </w:trPr>
        <w:tc>
          <w:tcPr>
            <w:tcW w:w="3085" w:type="dxa"/>
            <w:tcBorders>
              <w:top w:val="single" w:sz="4" w:space="0" w:color="auto"/>
              <w:bottom w:val="nil"/>
            </w:tcBorders>
            <w:noWrap/>
            <w:hideMark/>
          </w:tcPr>
          <w:p w:rsidR="00B97965" w:rsidRPr="007F426C" w:rsidRDefault="00B97965" w:rsidP="00B97965">
            <w:pPr>
              <w:spacing w:after="0" w:afterAutospacing="0" w:line="240" w:lineRule="auto"/>
              <w:rPr>
                <w:sz w:val="18"/>
                <w:szCs w:val="18"/>
              </w:rPr>
            </w:pPr>
          </w:p>
        </w:tc>
        <w:tc>
          <w:tcPr>
            <w:tcW w:w="2410" w:type="dxa"/>
            <w:gridSpan w:val="2"/>
            <w:tcBorders>
              <w:top w:val="single" w:sz="4" w:space="0" w:color="auto"/>
              <w:bottom w:val="nil"/>
            </w:tcBorders>
            <w:noWrap/>
            <w:hideMark/>
          </w:tcPr>
          <w:p w:rsidR="00B97965" w:rsidRPr="007F426C" w:rsidRDefault="00B97965" w:rsidP="00B97965">
            <w:pPr>
              <w:spacing w:after="0" w:afterAutospacing="0" w:line="240" w:lineRule="auto"/>
              <w:rPr>
                <w:sz w:val="18"/>
                <w:szCs w:val="18"/>
              </w:rPr>
            </w:pPr>
            <w:r w:rsidRPr="007F426C">
              <w:rPr>
                <w:sz w:val="18"/>
                <w:szCs w:val="18"/>
              </w:rPr>
              <w:t>Hopkins Cohort</w:t>
            </w:r>
          </w:p>
        </w:tc>
        <w:tc>
          <w:tcPr>
            <w:tcW w:w="2410" w:type="dxa"/>
            <w:gridSpan w:val="2"/>
            <w:tcBorders>
              <w:top w:val="single" w:sz="4" w:space="0" w:color="auto"/>
              <w:bottom w:val="nil"/>
            </w:tcBorders>
            <w:noWrap/>
            <w:hideMark/>
          </w:tcPr>
          <w:p w:rsidR="00B97965" w:rsidRPr="007F426C" w:rsidRDefault="00B97965" w:rsidP="00B97965">
            <w:pPr>
              <w:spacing w:after="0" w:afterAutospacing="0" w:line="240" w:lineRule="auto"/>
              <w:rPr>
                <w:sz w:val="18"/>
                <w:szCs w:val="18"/>
              </w:rPr>
            </w:pPr>
            <w:r w:rsidRPr="007F426C">
              <w:rPr>
                <w:sz w:val="18"/>
                <w:szCs w:val="18"/>
              </w:rPr>
              <w:t>Toronto Cohort</w:t>
            </w:r>
          </w:p>
        </w:tc>
      </w:tr>
      <w:tr w:rsidR="00B97965" w:rsidRPr="007F426C" w:rsidTr="00B97965">
        <w:trPr>
          <w:trHeight w:val="20"/>
        </w:trPr>
        <w:tc>
          <w:tcPr>
            <w:tcW w:w="3085" w:type="dxa"/>
            <w:tcBorders>
              <w:top w:val="nil"/>
              <w:bottom w:val="single" w:sz="4" w:space="0" w:color="auto"/>
            </w:tcBorders>
            <w:noWrap/>
            <w:hideMark/>
          </w:tcPr>
          <w:p w:rsidR="00B97965" w:rsidRPr="007F426C" w:rsidRDefault="00B97965" w:rsidP="00B97965">
            <w:pPr>
              <w:spacing w:after="0" w:afterAutospacing="0" w:line="240" w:lineRule="auto"/>
              <w:rPr>
                <w:sz w:val="18"/>
                <w:szCs w:val="18"/>
              </w:rPr>
            </w:pPr>
          </w:p>
        </w:tc>
        <w:tc>
          <w:tcPr>
            <w:tcW w:w="1205" w:type="dxa"/>
            <w:tcBorders>
              <w:top w:val="nil"/>
              <w:bottom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Simulation</w:t>
            </w:r>
          </w:p>
        </w:tc>
        <w:tc>
          <w:tcPr>
            <w:tcW w:w="1205" w:type="dxa"/>
            <w:tcBorders>
              <w:top w:val="nil"/>
              <w:bottom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Data</w:t>
            </w:r>
          </w:p>
        </w:tc>
        <w:tc>
          <w:tcPr>
            <w:tcW w:w="1205" w:type="dxa"/>
            <w:tcBorders>
              <w:top w:val="nil"/>
              <w:bottom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Simulation</w:t>
            </w:r>
          </w:p>
        </w:tc>
        <w:tc>
          <w:tcPr>
            <w:tcW w:w="1205" w:type="dxa"/>
            <w:tcBorders>
              <w:top w:val="nil"/>
              <w:bottom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Data</w:t>
            </w:r>
          </w:p>
        </w:tc>
      </w:tr>
      <w:tr w:rsidR="00B97965" w:rsidRPr="007F426C" w:rsidTr="00B97965">
        <w:trPr>
          <w:trHeight w:val="20"/>
        </w:trPr>
        <w:tc>
          <w:tcPr>
            <w:tcW w:w="3085" w:type="dxa"/>
            <w:tcBorders>
              <w:top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Patient years</w:t>
            </w:r>
          </w:p>
        </w:tc>
        <w:tc>
          <w:tcPr>
            <w:tcW w:w="1205" w:type="dxa"/>
            <w:tcBorders>
              <w:top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862294</w:t>
            </w:r>
          </w:p>
        </w:tc>
        <w:tc>
          <w:tcPr>
            <w:tcW w:w="1205" w:type="dxa"/>
            <w:tcBorders>
              <w:top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11018</w:t>
            </w:r>
          </w:p>
        </w:tc>
        <w:tc>
          <w:tcPr>
            <w:tcW w:w="1205" w:type="dxa"/>
            <w:tcBorders>
              <w:top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1118394</w:t>
            </w:r>
          </w:p>
        </w:tc>
        <w:tc>
          <w:tcPr>
            <w:tcW w:w="1205" w:type="dxa"/>
            <w:tcBorders>
              <w:top w:val="single" w:sz="4" w:space="0" w:color="auto"/>
            </w:tcBorders>
            <w:noWrap/>
            <w:hideMark/>
          </w:tcPr>
          <w:p w:rsidR="00B97965" w:rsidRPr="007F426C" w:rsidRDefault="00B97965" w:rsidP="00B97965">
            <w:pPr>
              <w:spacing w:after="0" w:afterAutospacing="0" w:line="240" w:lineRule="auto"/>
              <w:rPr>
                <w:sz w:val="18"/>
                <w:szCs w:val="18"/>
              </w:rPr>
            </w:pPr>
            <w:r w:rsidRPr="007F426C">
              <w:rPr>
                <w:sz w:val="18"/>
                <w:szCs w:val="18"/>
              </w:rPr>
              <w:t>12065</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Mortality</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0.008</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0.009</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0.014</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0.009</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Cardiovascular</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0.017</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0.011</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Renal</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0.006</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0.008</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0.008</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Musculoskeletal</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0.031</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0.030</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0.029</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0.030</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Neuropsychiatric</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0.023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0.019</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0.020</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0.013</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Pulmonary</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0.012</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Peripheral Vascular</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0.004</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0.005</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Gastrointestinal</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0.009</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0.007</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0.009</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0.004</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Ocular</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0.017</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0.014</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0.018</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Skin</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0.002</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0.001</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0.007</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Diabetes</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0.007</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0.005</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0.006</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0.004</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Malignancy</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0.011</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0.010</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0.012</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0.004</w:t>
            </w:r>
          </w:p>
        </w:tc>
      </w:tr>
      <w:tr w:rsidR="00B97965" w:rsidRPr="007F426C" w:rsidTr="00B97965">
        <w:trPr>
          <w:trHeight w:val="20"/>
        </w:trPr>
        <w:tc>
          <w:tcPr>
            <w:tcW w:w="3085" w:type="dxa"/>
            <w:hideMark/>
          </w:tcPr>
          <w:p w:rsidR="00B97965" w:rsidRPr="007F426C" w:rsidRDefault="00B97965" w:rsidP="00B97965">
            <w:pPr>
              <w:spacing w:after="0" w:afterAutospacing="0" w:line="240" w:lineRule="auto"/>
              <w:rPr>
                <w:sz w:val="18"/>
                <w:szCs w:val="18"/>
              </w:rPr>
            </w:pPr>
            <w:r w:rsidRPr="007F426C">
              <w:rPr>
                <w:sz w:val="18"/>
                <w:szCs w:val="18"/>
              </w:rPr>
              <w:t>Gonadal Failure</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0.003</w:t>
            </w:r>
          </w:p>
        </w:tc>
        <w:tc>
          <w:tcPr>
            <w:tcW w:w="1205" w:type="dxa"/>
            <w:hideMark/>
          </w:tcPr>
          <w:p w:rsidR="00B97965" w:rsidRPr="007F426C" w:rsidRDefault="00B97965" w:rsidP="00B97965">
            <w:pPr>
              <w:spacing w:after="0" w:afterAutospacing="0" w:line="240" w:lineRule="auto"/>
              <w:rPr>
                <w:sz w:val="18"/>
                <w:szCs w:val="18"/>
              </w:rPr>
            </w:pPr>
            <w:r w:rsidRPr="007F426C">
              <w:rPr>
                <w:sz w:val="18"/>
                <w:szCs w:val="18"/>
              </w:rPr>
              <w:t>0.002</w:t>
            </w:r>
          </w:p>
        </w:tc>
      </w:tr>
    </w:tbl>
    <w:p w:rsidR="004911B7" w:rsidRPr="004911B7" w:rsidRDefault="00E729BA" w:rsidP="00B97965">
      <w:r>
        <w:fldChar w:fldCharType="begin"/>
      </w:r>
      <w:r w:rsidR="00B97965">
        <w:instrText xml:space="preserve"> REF _Ref306609222 \h  \* MERGEFORMAT </w:instrText>
      </w:r>
      <w:r>
        <w:fldChar w:fldCharType="separate"/>
      </w:r>
    </w:p>
    <w:p w:rsidR="004911B7" w:rsidRPr="004911B7" w:rsidRDefault="004911B7" w:rsidP="00B97965"/>
    <w:p w:rsidR="00B97965" w:rsidRDefault="004911B7" w:rsidP="00B97965">
      <w:r w:rsidRPr="002B673F">
        <w:t>Table</w:t>
      </w:r>
      <w:r w:rsidRPr="004911B7">
        <w:rPr>
          <w:b/>
          <w:bCs/>
          <w:noProof/>
        </w:rPr>
        <w:t xml:space="preserve"> </w:t>
      </w:r>
      <w:r>
        <w:rPr>
          <w:noProof/>
        </w:rPr>
        <w:t>65</w:t>
      </w:r>
      <w:r w:rsidR="00E729BA">
        <w:fldChar w:fldCharType="end"/>
      </w:r>
      <w:r w:rsidR="00B97965" w:rsidRPr="002B673F">
        <w:t xml:space="preserve"> reports the rate of organ damage accrual during the observational period for the Hopkins cohort and Toronto cohort with their respective simulations results. Visual appraisal of the data suggests that the overall fit is good for the Hopkins cohort. There is more variation between the Toronto cohort and simulation data.</w:t>
      </w:r>
      <w:r w:rsidR="00B97965">
        <w:t xml:space="preserve"> </w:t>
      </w:r>
    </w:p>
    <w:p w:rsidR="00234693" w:rsidRDefault="00234693">
      <w:pPr>
        <w:spacing w:after="0" w:afterAutospacing="0" w:line="240" w:lineRule="auto"/>
        <w:rPr>
          <w:b/>
          <w:bCs/>
          <w:caps/>
          <w:color w:val="000000" w:themeColor="text1"/>
          <w:spacing w:val="15"/>
          <w:sz w:val="24"/>
          <w:szCs w:val="24"/>
        </w:rPr>
      </w:pPr>
      <w:bookmarkStart w:id="698" w:name="_Toc341366964"/>
      <w:r>
        <w:br w:type="page"/>
      </w:r>
    </w:p>
    <w:p w:rsidR="00B97965" w:rsidRPr="00BE457B" w:rsidRDefault="00B97965" w:rsidP="00BE457B">
      <w:pPr>
        <w:pStyle w:val="Heading1"/>
        <w:numPr>
          <w:ilvl w:val="0"/>
          <w:numId w:val="0"/>
        </w:numPr>
        <w:rPr>
          <w:rStyle w:val="Emphasis"/>
          <w:spacing w:val="15"/>
        </w:rPr>
      </w:pPr>
      <w:bookmarkStart w:id="699" w:name="_Toc379467714"/>
      <w:r>
        <w:t>Appendix</w:t>
      </w:r>
      <w:r w:rsidR="00396982">
        <w:t xml:space="preserve"> 10</w:t>
      </w:r>
      <w:r w:rsidR="00BE457B">
        <w:t xml:space="preserve">: </w:t>
      </w:r>
      <w:r w:rsidRPr="00234693">
        <w:rPr>
          <w:rStyle w:val="Emphasis"/>
        </w:rPr>
        <w:t>Age and Disease Duration parameter distributions</w:t>
      </w:r>
      <w:bookmarkEnd w:id="699"/>
    </w:p>
    <w:p w:rsidR="00B97965" w:rsidRDefault="00B97965" w:rsidP="00396982">
      <w:pPr>
        <w:spacing w:after="0" w:afterAutospacing="0"/>
        <w:rPr>
          <w:lang w:bidi="ar-SA"/>
        </w:rPr>
      </w:pPr>
      <w:r>
        <w:rPr>
          <w:lang w:bidi="ar-SA"/>
        </w:rPr>
        <w:t xml:space="preserve">Multinomial distribution for Age at diagnosis and Disease Duration are reported in </w:t>
      </w:r>
      <w:r w:rsidR="00E729BA">
        <w:rPr>
          <w:lang w:bidi="ar-SA"/>
        </w:rPr>
        <w:fldChar w:fldCharType="begin"/>
      </w:r>
      <w:r>
        <w:rPr>
          <w:lang w:bidi="ar-SA"/>
        </w:rPr>
        <w:instrText xml:space="preserve"> REF _Ref355276271 \h </w:instrText>
      </w:r>
      <w:r w:rsidR="00E729BA">
        <w:rPr>
          <w:lang w:bidi="ar-SA"/>
        </w:rPr>
      </w:r>
      <w:r w:rsidR="00E729BA">
        <w:rPr>
          <w:lang w:bidi="ar-SA"/>
        </w:rPr>
        <w:fldChar w:fldCharType="separate"/>
      </w:r>
      <w:r w:rsidR="004911B7">
        <w:t xml:space="preserve">Table </w:t>
      </w:r>
      <w:r w:rsidR="004911B7">
        <w:rPr>
          <w:noProof/>
        </w:rPr>
        <w:t>66</w:t>
      </w:r>
      <w:r w:rsidR="00E729BA">
        <w:rPr>
          <w:lang w:bidi="ar-SA"/>
        </w:rPr>
        <w:fldChar w:fldCharType="end"/>
      </w:r>
      <w:r>
        <w:rPr>
          <w:lang w:bidi="ar-SA"/>
        </w:rPr>
        <w:t>.</w:t>
      </w:r>
    </w:p>
    <w:p w:rsidR="00B97965" w:rsidRDefault="00B97965" w:rsidP="00234693">
      <w:pPr>
        <w:pStyle w:val="Caption"/>
      </w:pPr>
      <w:bookmarkStart w:id="700" w:name="_Ref355276271"/>
      <w:r>
        <w:t xml:space="preserve">Table </w:t>
      </w:r>
      <w:fldSimple w:instr=" SEQ Table \* ARABIC ">
        <w:r w:rsidR="004911B7">
          <w:rPr>
            <w:noProof/>
          </w:rPr>
          <w:t>66</w:t>
        </w:r>
      </w:fldSimple>
      <w:bookmarkEnd w:id="700"/>
      <w:r>
        <w:t>: Multinomial parameters used to sample Age at Diagnosis and Disease Duration</w:t>
      </w:r>
    </w:p>
    <w:tbl>
      <w:tblPr>
        <w:tblStyle w:val="TableGrid"/>
        <w:tblW w:w="0" w:type="auto"/>
        <w:tblLayout w:type="fixed"/>
        <w:tblCellMar>
          <w:left w:w="57" w:type="dxa"/>
          <w:right w:w="57" w:type="dxa"/>
        </w:tblCellMar>
        <w:tblLook w:val="04A0"/>
      </w:tblPr>
      <w:tblGrid>
        <w:gridCol w:w="1242"/>
        <w:gridCol w:w="1509"/>
        <w:gridCol w:w="1417"/>
        <w:gridCol w:w="1417"/>
        <w:gridCol w:w="1417"/>
        <w:gridCol w:w="1417"/>
      </w:tblGrid>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Sampled value</w:t>
            </w:r>
          </w:p>
        </w:tc>
        <w:tc>
          <w:tcPr>
            <w:tcW w:w="1509" w:type="dxa"/>
            <w:noWrap/>
            <w:hideMark/>
          </w:tcPr>
          <w:p w:rsidR="00B97965" w:rsidRPr="00BF1DEF" w:rsidRDefault="00B97965" w:rsidP="00B97965">
            <w:pPr>
              <w:spacing w:line="240" w:lineRule="auto"/>
              <w:rPr>
                <w:sz w:val="18"/>
                <w:szCs w:val="18"/>
              </w:rPr>
            </w:pPr>
            <w:r w:rsidRPr="00BF1DEF">
              <w:rPr>
                <w:sz w:val="18"/>
                <w:szCs w:val="18"/>
              </w:rPr>
              <w:t>Age at diagnosis</w:t>
            </w:r>
          </w:p>
        </w:tc>
        <w:tc>
          <w:tcPr>
            <w:tcW w:w="1417" w:type="dxa"/>
            <w:noWrap/>
            <w:hideMark/>
          </w:tcPr>
          <w:p w:rsidR="00B97965" w:rsidRPr="00BF1DEF" w:rsidRDefault="00B97965" w:rsidP="00B97965">
            <w:pPr>
              <w:spacing w:line="240" w:lineRule="auto"/>
              <w:rPr>
                <w:sz w:val="18"/>
                <w:szCs w:val="18"/>
              </w:rPr>
            </w:pPr>
            <w:r w:rsidRPr="00BF1DEF">
              <w:rPr>
                <w:sz w:val="18"/>
                <w:szCs w:val="18"/>
              </w:rPr>
              <w:t>Disease Duration</w:t>
            </w: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0</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0.270777</w:t>
            </w:r>
          </w:p>
        </w:tc>
        <w:tc>
          <w:tcPr>
            <w:tcW w:w="1417" w:type="dxa"/>
          </w:tcPr>
          <w:p w:rsidR="00B97965" w:rsidRPr="00BF1DEF" w:rsidRDefault="00B97965" w:rsidP="00B97965">
            <w:pPr>
              <w:spacing w:line="240" w:lineRule="auto"/>
              <w:rPr>
                <w:sz w:val="18"/>
                <w:szCs w:val="18"/>
              </w:rPr>
            </w:pPr>
            <w:r w:rsidRPr="00BF1DEF">
              <w:rPr>
                <w:sz w:val="18"/>
                <w:szCs w:val="18"/>
              </w:rPr>
              <w:t>52</w:t>
            </w:r>
          </w:p>
        </w:tc>
        <w:tc>
          <w:tcPr>
            <w:tcW w:w="1417" w:type="dxa"/>
          </w:tcPr>
          <w:p w:rsidR="00B97965" w:rsidRPr="00BF1DEF" w:rsidRDefault="00B97965" w:rsidP="00B97965">
            <w:pPr>
              <w:spacing w:line="240" w:lineRule="auto"/>
              <w:rPr>
                <w:sz w:val="18"/>
                <w:szCs w:val="18"/>
              </w:rPr>
            </w:pPr>
            <w:r w:rsidRPr="00BF1DEF">
              <w:rPr>
                <w:sz w:val="18"/>
                <w:szCs w:val="18"/>
              </w:rPr>
              <w:t>0.010761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0.173143</w:t>
            </w:r>
          </w:p>
        </w:tc>
        <w:tc>
          <w:tcPr>
            <w:tcW w:w="1417" w:type="dxa"/>
          </w:tcPr>
          <w:p w:rsidR="00B97965" w:rsidRPr="00BF1DEF" w:rsidRDefault="00B97965" w:rsidP="00B97965">
            <w:pPr>
              <w:spacing w:line="240" w:lineRule="auto"/>
              <w:rPr>
                <w:sz w:val="18"/>
                <w:szCs w:val="18"/>
              </w:rPr>
            </w:pPr>
            <w:r w:rsidRPr="00BF1DEF">
              <w:rPr>
                <w:sz w:val="18"/>
                <w:szCs w:val="18"/>
              </w:rPr>
              <w:t>53</w:t>
            </w:r>
          </w:p>
        </w:tc>
        <w:tc>
          <w:tcPr>
            <w:tcW w:w="1417" w:type="dxa"/>
          </w:tcPr>
          <w:p w:rsidR="00B97965" w:rsidRPr="00BF1DEF" w:rsidRDefault="00B97965" w:rsidP="00B97965">
            <w:pPr>
              <w:spacing w:line="240" w:lineRule="auto"/>
              <w:rPr>
                <w:sz w:val="18"/>
                <w:szCs w:val="18"/>
              </w:rPr>
            </w:pPr>
            <w:r w:rsidRPr="00BF1DEF">
              <w:rPr>
                <w:sz w:val="18"/>
                <w:szCs w:val="18"/>
              </w:rPr>
              <w:t>0.009608</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0.112501</w:t>
            </w:r>
          </w:p>
        </w:tc>
        <w:tc>
          <w:tcPr>
            <w:tcW w:w="1417" w:type="dxa"/>
          </w:tcPr>
          <w:p w:rsidR="00B97965" w:rsidRPr="00BF1DEF" w:rsidRDefault="00B97965" w:rsidP="00B97965">
            <w:pPr>
              <w:spacing w:line="240" w:lineRule="auto"/>
              <w:rPr>
                <w:sz w:val="18"/>
                <w:szCs w:val="18"/>
              </w:rPr>
            </w:pPr>
            <w:r w:rsidRPr="00BF1DEF">
              <w:rPr>
                <w:sz w:val="18"/>
                <w:szCs w:val="18"/>
              </w:rPr>
              <w:t>54</w:t>
            </w:r>
          </w:p>
        </w:tc>
        <w:tc>
          <w:tcPr>
            <w:tcW w:w="1417" w:type="dxa"/>
          </w:tcPr>
          <w:p w:rsidR="00B97965" w:rsidRPr="00BF1DEF" w:rsidRDefault="00B97965" w:rsidP="00B97965">
            <w:pPr>
              <w:spacing w:line="240" w:lineRule="auto"/>
              <w:rPr>
                <w:sz w:val="18"/>
                <w:szCs w:val="18"/>
              </w:rPr>
            </w:pPr>
            <w:r w:rsidRPr="00BF1DEF">
              <w:rPr>
                <w:sz w:val="18"/>
                <w:szCs w:val="18"/>
              </w:rPr>
              <w:t>0.008537</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0.083025</w:t>
            </w:r>
          </w:p>
        </w:tc>
        <w:tc>
          <w:tcPr>
            <w:tcW w:w="1417" w:type="dxa"/>
          </w:tcPr>
          <w:p w:rsidR="00B97965" w:rsidRPr="00BF1DEF" w:rsidRDefault="00B97965" w:rsidP="00B97965">
            <w:pPr>
              <w:spacing w:line="240" w:lineRule="auto"/>
              <w:rPr>
                <w:sz w:val="18"/>
                <w:szCs w:val="18"/>
              </w:rPr>
            </w:pPr>
            <w:r w:rsidRPr="00BF1DEF">
              <w:rPr>
                <w:sz w:val="18"/>
                <w:szCs w:val="18"/>
              </w:rPr>
              <w:t>55</w:t>
            </w:r>
          </w:p>
        </w:tc>
        <w:tc>
          <w:tcPr>
            <w:tcW w:w="1417" w:type="dxa"/>
          </w:tcPr>
          <w:p w:rsidR="00B97965" w:rsidRPr="00BF1DEF" w:rsidRDefault="00B97965" w:rsidP="00B97965">
            <w:pPr>
              <w:spacing w:line="240" w:lineRule="auto"/>
              <w:rPr>
                <w:sz w:val="18"/>
                <w:szCs w:val="18"/>
              </w:rPr>
            </w:pPr>
            <w:r w:rsidRPr="00BF1DEF">
              <w:rPr>
                <w:sz w:val="18"/>
                <w:szCs w:val="18"/>
              </w:rPr>
              <w:t>0.00755</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0.064551</w:t>
            </w:r>
          </w:p>
        </w:tc>
        <w:tc>
          <w:tcPr>
            <w:tcW w:w="1417" w:type="dxa"/>
          </w:tcPr>
          <w:p w:rsidR="00B97965" w:rsidRPr="00BF1DEF" w:rsidRDefault="00B97965" w:rsidP="00B97965">
            <w:pPr>
              <w:spacing w:line="240" w:lineRule="auto"/>
              <w:rPr>
                <w:sz w:val="18"/>
                <w:szCs w:val="18"/>
              </w:rPr>
            </w:pPr>
            <w:r w:rsidRPr="00BF1DEF">
              <w:rPr>
                <w:sz w:val="18"/>
                <w:szCs w:val="18"/>
              </w:rPr>
              <w:t>56</w:t>
            </w:r>
          </w:p>
        </w:tc>
        <w:tc>
          <w:tcPr>
            <w:tcW w:w="1417" w:type="dxa"/>
          </w:tcPr>
          <w:p w:rsidR="00B97965" w:rsidRPr="00BF1DEF" w:rsidRDefault="00B97965" w:rsidP="00B97965">
            <w:pPr>
              <w:spacing w:line="240" w:lineRule="auto"/>
              <w:rPr>
                <w:sz w:val="18"/>
                <w:szCs w:val="18"/>
              </w:rPr>
            </w:pPr>
            <w:r w:rsidRPr="00BF1DEF">
              <w:rPr>
                <w:sz w:val="18"/>
                <w:szCs w:val="18"/>
              </w:rPr>
              <w:t>0.006649</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5</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0.051642</w:t>
            </w:r>
          </w:p>
        </w:tc>
        <w:tc>
          <w:tcPr>
            <w:tcW w:w="1417" w:type="dxa"/>
          </w:tcPr>
          <w:p w:rsidR="00B97965" w:rsidRPr="00BF1DEF" w:rsidRDefault="00B97965" w:rsidP="00B97965">
            <w:pPr>
              <w:spacing w:line="240" w:lineRule="auto"/>
              <w:rPr>
                <w:sz w:val="18"/>
                <w:szCs w:val="18"/>
              </w:rPr>
            </w:pPr>
            <w:r w:rsidRPr="00BF1DEF">
              <w:rPr>
                <w:sz w:val="18"/>
                <w:szCs w:val="18"/>
              </w:rPr>
              <w:t>57</w:t>
            </w:r>
          </w:p>
        </w:tc>
        <w:tc>
          <w:tcPr>
            <w:tcW w:w="1417" w:type="dxa"/>
          </w:tcPr>
          <w:p w:rsidR="00B97965" w:rsidRPr="00BF1DEF" w:rsidRDefault="00B97965" w:rsidP="00B97965">
            <w:pPr>
              <w:spacing w:line="240" w:lineRule="auto"/>
              <w:rPr>
                <w:sz w:val="18"/>
                <w:szCs w:val="18"/>
              </w:rPr>
            </w:pPr>
            <w:r w:rsidRPr="00BF1DEF">
              <w:rPr>
                <w:sz w:val="18"/>
                <w:szCs w:val="18"/>
              </w:rPr>
              <w:t>0.005831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6</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0.042068</w:t>
            </w:r>
          </w:p>
        </w:tc>
        <w:tc>
          <w:tcPr>
            <w:tcW w:w="1417" w:type="dxa"/>
          </w:tcPr>
          <w:p w:rsidR="00B97965" w:rsidRPr="00BF1DEF" w:rsidRDefault="00B97965" w:rsidP="00B97965">
            <w:pPr>
              <w:spacing w:line="240" w:lineRule="auto"/>
              <w:rPr>
                <w:sz w:val="18"/>
                <w:szCs w:val="18"/>
              </w:rPr>
            </w:pPr>
            <w:r w:rsidRPr="00BF1DEF">
              <w:rPr>
                <w:sz w:val="18"/>
                <w:szCs w:val="18"/>
              </w:rPr>
              <w:t>58</w:t>
            </w:r>
          </w:p>
        </w:tc>
        <w:tc>
          <w:tcPr>
            <w:tcW w:w="1417" w:type="dxa"/>
          </w:tcPr>
          <w:p w:rsidR="00B97965" w:rsidRPr="00BF1DEF" w:rsidRDefault="00B97965" w:rsidP="00B97965">
            <w:pPr>
              <w:spacing w:line="240" w:lineRule="auto"/>
              <w:rPr>
                <w:sz w:val="18"/>
                <w:szCs w:val="18"/>
              </w:rPr>
            </w:pPr>
            <w:r w:rsidRPr="00BF1DEF">
              <w:rPr>
                <w:sz w:val="18"/>
                <w:szCs w:val="18"/>
              </w:rPr>
              <w:t>0.005096</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7</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0.034699</w:t>
            </w:r>
          </w:p>
        </w:tc>
        <w:tc>
          <w:tcPr>
            <w:tcW w:w="1417" w:type="dxa"/>
          </w:tcPr>
          <w:p w:rsidR="00B97965" w:rsidRPr="00BF1DEF" w:rsidRDefault="00B97965" w:rsidP="00B97965">
            <w:pPr>
              <w:spacing w:line="240" w:lineRule="auto"/>
              <w:rPr>
                <w:sz w:val="18"/>
                <w:szCs w:val="18"/>
              </w:rPr>
            </w:pPr>
            <w:r w:rsidRPr="00BF1DEF">
              <w:rPr>
                <w:sz w:val="18"/>
                <w:szCs w:val="18"/>
              </w:rPr>
              <w:t>59</w:t>
            </w:r>
          </w:p>
        </w:tc>
        <w:tc>
          <w:tcPr>
            <w:tcW w:w="1417" w:type="dxa"/>
          </w:tcPr>
          <w:p w:rsidR="00B97965" w:rsidRPr="00BF1DEF" w:rsidRDefault="00B97965" w:rsidP="00B97965">
            <w:pPr>
              <w:spacing w:line="240" w:lineRule="auto"/>
              <w:rPr>
                <w:sz w:val="18"/>
                <w:szCs w:val="18"/>
              </w:rPr>
            </w:pPr>
            <w:r w:rsidRPr="00BF1DEF">
              <w:rPr>
                <w:sz w:val="18"/>
                <w:szCs w:val="18"/>
              </w:rPr>
              <w:t>0.00444</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8</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0.028883</w:t>
            </w:r>
          </w:p>
        </w:tc>
        <w:tc>
          <w:tcPr>
            <w:tcW w:w="1417" w:type="dxa"/>
          </w:tcPr>
          <w:p w:rsidR="00B97965" w:rsidRPr="00BF1DEF" w:rsidRDefault="00B97965" w:rsidP="00B97965">
            <w:pPr>
              <w:spacing w:line="240" w:lineRule="auto"/>
              <w:rPr>
                <w:sz w:val="18"/>
                <w:szCs w:val="18"/>
              </w:rPr>
            </w:pPr>
            <w:r w:rsidRPr="00BF1DEF">
              <w:rPr>
                <w:sz w:val="18"/>
                <w:szCs w:val="18"/>
              </w:rPr>
              <w:t>60</w:t>
            </w:r>
          </w:p>
        </w:tc>
        <w:tc>
          <w:tcPr>
            <w:tcW w:w="1417" w:type="dxa"/>
          </w:tcPr>
          <w:p w:rsidR="00B97965" w:rsidRPr="00BF1DEF" w:rsidRDefault="00B97965" w:rsidP="00B97965">
            <w:pPr>
              <w:spacing w:line="240" w:lineRule="auto"/>
              <w:rPr>
                <w:sz w:val="18"/>
                <w:szCs w:val="18"/>
              </w:rPr>
            </w:pPr>
            <w:r w:rsidRPr="00BF1DEF">
              <w:rPr>
                <w:sz w:val="18"/>
                <w:szCs w:val="18"/>
              </w:rPr>
              <w:t>0.003859</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9</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0.02421</w:t>
            </w:r>
          </w:p>
        </w:tc>
        <w:tc>
          <w:tcPr>
            <w:tcW w:w="1417" w:type="dxa"/>
          </w:tcPr>
          <w:p w:rsidR="00B97965" w:rsidRPr="00BF1DEF" w:rsidRDefault="00B97965" w:rsidP="00B97965">
            <w:pPr>
              <w:spacing w:line="240" w:lineRule="auto"/>
              <w:rPr>
                <w:sz w:val="18"/>
                <w:szCs w:val="18"/>
              </w:rPr>
            </w:pPr>
            <w:r w:rsidRPr="00BF1DEF">
              <w:rPr>
                <w:sz w:val="18"/>
                <w:szCs w:val="18"/>
              </w:rPr>
              <w:t>61</w:t>
            </w:r>
          </w:p>
        </w:tc>
        <w:tc>
          <w:tcPr>
            <w:tcW w:w="1417" w:type="dxa"/>
          </w:tcPr>
          <w:p w:rsidR="00B97965" w:rsidRPr="00BF1DEF" w:rsidRDefault="00B97965" w:rsidP="00B97965">
            <w:pPr>
              <w:spacing w:line="240" w:lineRule="auto"/>
              <w:rPr>
                <w:sz w:val="18"/>
                <w:szCs w:val="18"/>
              </w:rPr>
            </w:pPr>
            <w:r w:rsidRPr="00BF1DEF">
              <w:rPr>
                <w:sz w:val="18"/>
                <w:szCs w:val="18"/>
              </w:rPr>
              <w:t>0.003348</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10</w:t>
            </w:r>
          </w:p>
        </w:tc>
        <w:tc>
          <w:tcPr>
            <w:tcW w:w="1509"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noWrap/>
            <w:hideMark/>
          </w:tcPr>
          <w:p w:rsidR="00B97965" w:rsidRPr="00BF1DEF" w:rsidRDefault="00B97965" w:rsidP="00B97965">
            <w:pPr>
              <w:spacing w:line="240" w:lineRule="auto"/>
              <w:rPr>
                <w:sz w:val="18"/>
                <w:szCs w:val="18"/>
              </w:rPr>
            </w:pPr>
            <w:r w:rsidRPr="00BF1DEF">
              <w:rPr>
                <w:sz w:val="18"/>
                <w:szCs w:val="18"/>
              </w:rPr>
              <w:t>0.020406</w:t>
            </w:r>
          </w:p>
        </w:tc>
        <w:tc>
          <w:tcPr>
            <w:tcW w:w="1417" w:type="dxa"/>
          </w:tcPr>
          <w:p w:rsidR="00B97965" w:rsidRPr="00BF1DEF" w:rsidRDefault="00B97965" w:rsidP="00B97965">
            <w:pPr>
              <w:spacing w:line="240" w:lineRule="auto"/>
              <w:rPr>
                <w:sz w:val="18"/>
                <w:szCs w:val="18"/>
              </w:rPr>
            </w:pPr>
            <w:r w:rsidRPr="00BF1DEF">
              <w:rPr>
                <w:sz w:val="18"/>
                <w:szCs w:val="18"/>
              </w:rPr>
              <w:t>62</w:t>
            </w:r>
          </w:p>
        </w:tc>
        <w:tc>
          <w:tcPr>
            <w:tcW w:w="1417" w:type="dxa"/>
          </w:tcPr>
          <w:p w:rsidR="00B97965" w:rsidRPr="00BF1DEF" w:rsidRDefault="00B97965" w:rsidP="00B97965">
            <w:pPr>
              <w:spacing w:line="240" w:lineRule="auto"/>
              <w:rPr>
                <w:sz w:val="18"/>
                <w:szCs w:val="18"/>
              </w:rPr>
            </w:pPr>
            <w:r w:rsidRPr="00BF1DEF">
              <w:rPr>
                <w:sz w:val="18"/>
                <w:szCs w:val="18"/>
              </w:rPr>
              <w:t>0.002902</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11</w:t>
            </w:r>
          </w:p>
        </w:tc>
        <w:tc>
          <w:tcPr>
            <w:tcW w:w="1509" w:type="dxa"/>
            <w:noWrap/>
            <w:hideMark/>
          </w:tcPr>
          <w:p w:rsidR="00B97965" w:rsidRPr="00BF1DEF" w:rsidRDefault="00B97965" w:rsidP="00B97965">
            <w:pPr>
              <w:spacing w:line="240" w:lineRule="auto"/>
              <w:rPr>
                <w:sz w:val="18"/>
                <w:szCs w:val="18"/>
              </w:rPr>
            </w:pPr>
            <w:r w:rsidRPr="00BF1DEF">
              <w:rPr>
                <w:sz w:val="18"/>
                <w:szCs w:val="18"/>
              </w:rPr>
              <w:t>0.007803</w:t>
            </w:r>
          </w:p>
        </w:tc>
        <w:tc>
          <w:tcPr>
            <w:tcW w:w="1417" w:type="dxa"/>
            <w:noWrap/>
            <w:hideMark/>
          </w:tcPr>
          <w:p w:rsidR="00B97965" w:rsidRPr="00BF1DEF" w:rsidRDefault="00B97965" w:rsidP="00B97965">
            <w:pPr>
              <w:spacing w:line="240" w:lineRule="auto"/>
              <w:rPr>
                <w:sz w:val="18"/>
                <w:szCs w:val="18"/>
              </w:rPr>
            </w:pPr>
            <w:r w:rsidRPr="00BF1DEF">
              <w:rPr>
                <w:sz w:val="18"/>
                <w:szCs w:val="18"/>
              </w:rPr>
              <w:t>0.017275</w:t>
            </w:r>
          </w:p>
        </w:tc>
        <w:tc>
          <w:tcPr>
            <w:tcW w:w="1417" w:type="dxa"/>
          </w:tcPr>
          <w:p w:rsidR="00B97965" w:rsidRPr="00BF1DEF" w:rsidRDefault="00B97965" w:rsidP="00B97965">
            <w:pPr>
              <w:spacing w:line="240" w:lineRule="auto"/>
              <w:rPr>
                <w:sz w:val="18"/>
                <w:szCs w:val="18"/>
              </w:rPr>
            </w:pPr>
            <w:r w:rsidRPr="00BF1DEF">
              <w:rPr>
                <w:sz w:val="18"/>
                <w:szCs w:val="18"/>
              </w:rPr>
              <w:t>63</w:t>
            </w:r>
          </w:p>
        </w:tc>
        <w:tc>
          <w:tcPr>
            <w:tcW w:w="1417" w:type="dxa"/>
          </w:tcPr>
          <w:p w:rsidR="00B97965" w:rsidRPr="00BF1DEF" w:rsidRDefault="00B97965" w:rsidP="00B97965">
            <w:pPr>
              <w:spacing w:line="240" w:lineRule="auto"/>
              <w:rPr>
                <w:sz w:val="18"/>
                <w:szCs w:val="18"/>
              </w:rPr>
            </w:pPr>
            <w:r w:rsidRPr="00BF1DEF">
              <w:rPr>
                <w:sz w:val="18"/>
                <w:szCs w:val="18"/>
              </w:rPr>
              <w:t>0.002516</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12</w:t>
            </w:r>
          </w:p>
        </w:tc>
        <w:tc>
          <w:tcPr>
            <w:tcW w:w="1509" w:type="dxa"/>
            <w:noWrap/>
            <w:hideMark/>
          </w:tcPr>
          <w:p w:rsidR="00B97965" w:rsidRPr="00BF1DEF" w:rsidRDefault="00B97965" w:rsidP="00B97965">
            <w:pPr>
              <w:spacing w:line="240" w:lineRule="auto"/>
              <w:rPr>
                <w:sz w:val="18"/>
                <w:szCs w:val="18"/>
              </w:rPr>
            </w:pPr>
            <w:r w:rsidRPr="00BF1DEF">
              <w:rPr>
                <w:sz w:val="18"/>
                <w:szCs w:val="18"/>
              </w:rPr>
              <w:t>0.008812</w:t>
            </w:r>
          </w:p>
        </w:tc>
        <w:tc>
          <w:tcPr>
            <w:tcW w:w="1417" w:type="dxa"/>
            <w:noWrap/>
            <w:hideMark/>
          </w:tcPr>
          <w:p w:rsidR="00B97965" w:rsidRPr="00BF1DEF" w:rsidRDefault="00B97965" w:rsidP="00B97965">
            <w:pPr>
              <w:spacing w:line="240" w:lineRule="auto"/>
              <w:rPr>
                <w:sz w:val="18"/>
                <w:szCs w:val="18"/>
              </w:rPr>
            </w:pPr>
            <w:r w:rsidRPr="00BF1DEF">
              <w:rPr>
                <w:sz w:val="18"/>
                <w:szCs w:val="18"/>
              </w:rPr>
              <w:t>0.014679</w:t>
            </w:r>
          </w:p>
        </w:tc>
        <w:tc>
          <w:tcPr>
            <w:tcW w:w="1417" w:type="dxa"/>
          </w:tcPr>
          <w:p w:rsidR="00B97965" w:rsidRPr="00BF1DEF" w:rsidRDefault="00B97965" w:rsidP="00B97965">
            <w:pPr>
              <w:spacing w:line="240" w:lineRule="auto"/>
              <w:rPr>
                <w:sz w:val="18"/>
                <w:szCs w:val="18"/>
              </w:rPr>
            </w:pPr>
            <w:r w:rsidRPr="00BF1DEF">
              <w:rPr>
                <w:sz w:val="18"/>
                <w:szCs w:val="18"/>
              </w:rPr>
              <w:t>64</w:t>
            </w:r>
          </w:p>
        </w:tc>
        <w:tc>
          <w:tcPr>
            <w:tcW w:w="1417" w:type="dxa"/>
          </w:tcPr>
          <w:p w:rsidR="00B97965" w:rsidRPr="00BF1DEF" w:rsidRDefault="00B97965" w:rsidP="00B97965">
            <w:pPr>
              <w:spacing w:line="240" w:lineRule="auto"/>
              <w:rPr>
                <w:sz w:val="18"/>
                <w:szCs w:val="18"/>
              </w:rPr>
            </w:pPr>
            <w:r w:rsidRPr="00BF1DEF">
              <w:rPr>
                <w:sz w:val="18"/>
                <w:szCs w:val="18"/>
              </w:rPr>
              <w:t>0.002185</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13</w:t>
            </w:r>
          </w:p>
        </w:tc>
        <w:tc>
          <w:tcPr>
            <w:tcW w:w="1509" w:type="dxa"/>
            <w:noWrap/>
            <w:hideMark/>
          </w:tcPr>
          <w:p w:rsidR="00B97965" w:rsidRPr="00BF1DEF" w:rsidRDefault="00B97965" w:rsidP="00B97965">
            <w:pPr>
              <w:spacing w:line="240" w:lineRule="auto"/>
              <w:rPr>
                <w:sz w:val="18"/>
                <w:szCs w:val="18"/>
              </w:rPr>
            </w:pPr>
            <w:r w:rsidRPr="00BF1DEF">
              <w:rPr>
                <w:sz w:val="18"/>
                <w:szCs w:val="18"/>
              </w:rPr>
              <w:t>0.009905</w:t>
            </w:r>
          </w:p>
        </w:tc>
        <w:tc>
          <w:tcPr>
            <w:tcW w:w="1417" w:type="dxa"/>
            <w:noWrap/>
            <w:hideMark/>
          </w:tcPr>
          <w:p w:rsidR="00B97965" w:rsidRPr="00BF1DEF" w:rsidRDefault="00B97965" w:rsidP="00B97965">
            <w:pPr>
              <w:spacing w:line="240" w:lineRule="auto"/>
              <w:rPr>
                <w:sz w:val="18"/>
                <w:szCs w:val="18"/>
              </w:rPr>
            </w:pPr>
            <w:r w:rsidRPr="00BF1DEF">
              <w:rPr>
                <w:sz w:val="18"/>
                <w:szCs w:val="18"/>
              </w:rPr>
              <w:t>0.012511</w:t>
            </w:r>
          </w:p>
        </w:tc>
        <w:tc>
          <w:tcPr>
            <w:tcW w:w="1417" w:type="dxa"/>
          </w:tcPr>
          <w:p w:rsidR="00B97965" w:rsidRPr="00BF1DEF" w:rsidRDefault="00B97965" w:rsidP="00B97965">
            <w:pPr>
              <w:spacing w:line="240" w:lineRule="auto"/>
              <w:rPr>
                <w:sz w:val="18"/>
                <w:szCs w:val="18"/>
              </w:rPr>
            </w:pPr>
            <w:r w:rsidRPr="00BF1DEF">
              <w:rPr>
                <w:sz w:val="18"/>
                <w:szCs w:val="18"/>
              </w:rPr>
              <w:t>65</w:t>
            </w:r>
          </w:p>
        </w:tc>
        <w:tc>
          <w:tcPr>
            <w:tcW w:w="1417" w:type="dxa"/>
          </w:tcPr>
          <w:p w:rsidR="00B97965" w:rsidRPr="00BF1DEF" w:rsidRDefault="00B97965" w:rsidP="00B97965">
            <w:pPr>
              <w:spacing w:line="240" w:lineRule="auto"/>
              <w:rPr>
                <w:sz w:val="18"/>
                <w:szCs w:val="18"/>
              </w:rPr>
            </w:pPr>
            <w:r w:rsidRPr="00BF1DEF">
              <w:rPr>
                <w:sz w:val="18"/>
                <w:szCs w:val="18"/>
              </w:rPr>
              <w:t>0.001901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14</w:t>
            </w:r>
          </w:p>
        </w:tc>
        <w:tc>
          <w:tcPr>
            <w:tcW w:w="1509" w:type="dxa"/>
            <w:noWrap/>
            <w:hideMark/>
          </w:tcPr>
          <w:p w:rsidR="00B97965" w:rsidRPr="00BF1DEF" w:rsidRDefault="00B97965" w:rsidP="00B97965">
            <w:pPr>
              <w:spacing w:line="240" w:lineRule="auto"/>
              <w:rPr>
                <w:sz w:val="18"/>
                <w:szCs w:val="18"/>
              </w:rPr>
            </w:pPr>
            <w:r w:rsidRPr="00BF1DEF">
              <w:rPr>
                <w:sz w:val="18"/>
                <w:szCs w:val="18"/>
              </w:rPr>
              <w:t>0.011078</w:t>
            </w:r>
          </w:p>
        </w:tc>
        <w:tc>
          <w:tcPr>
            <w:tcW w:w="1417" w:type="dxa"/>
            <w:noWrap/>
            <w:hideMark/>
          </w:tcPr>
          <w:p w:rsidR="00B97965" w:rsidRPr="00BF1DEF" w:rsidRDefault="00B97965" w:rsidP="00B97965">
            <w:pPr>
              <w:spacing w:line="240" w:lineRule="auto"/>
              <w:rPr>
                <w:sz w:val="18"/>
                <w:szCs w:val="18"/>
              </w:rPr>
            </w:pPr>
            <w:r w:rsidRPr="00BF1DEF">
              <w:rPr>
                <w:sz w:val="18"/>
                <w:szCs w:val="18"/>
              </w:rPr>
              <w:t>0.010692</w:t>
            </w:r>
          </w:p>
        </w:tc>
        <w:tc>
          <w:tcPr>
            <w:tcW w:w="1417" w:type="dxa"/>
          </w:tcPr>
          <w:p w:rsidR="00B97965" w:rsidRPr="00BF1DEF" w:rsidRDefault="00B97965" w:rsidP="00B97965">
            <w:pPr>
              <w:spacing w:line="240" w:lineRule="auto"/>
              <w:rPr>
                <w:sz w:val="18"/>
                <w:szCs w:val="18"/>
              </w:rPr>
            </w:pPr>
            <w:r w:rsidRPr="00BF1DEF">
              <w:rPr>
                <w:sz w:val="18"/>
                <w:szCs w:val="18"/>
              </w:rPr>
              <w:t>66</w:t>
            </w:r>
          </w:p>
        </w:tc>
        <w:tc>
          <w:tcPr>
            <w:tcW w:w="1417" w:type="dxa"/>
          </w:tcPr>
          <w:p w:rsidR="00B97965" w:rsidRPr="00BF1DEF" w:rsidRDefault="00B97965" w:rsidP="00B97965">
            <w:pPr>
              <w:spacing w:line="240" w:lineRule="auto"/>
              <w:rPr>
                <w:sz w:val="18"/>
                <w:szCs w:val="18"/>
              </w:rPr>
            </w:pPr>
            <w:r w:rsidRPr="00BF1DEF">
              <w:rPr>
                <w:sz w:val="18"/>
                <w:szCs w:val="18"/>
              </w:rPr>
              <w:t>0.001661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15</w:t>
            </w:r>
          </w:p>
        </w:tc>
        <w:tc>
          <w:tcPr>
            <w:tcW w:w="1509" w:type="dxa"/>
            <w:noWrap/>
            <w:hideMark/>
          </w:tcPr>
          <w:p w:rsidR="00B97965" w:rsidRPr="00BF1DEF" w:rsidRDefault="00B97965" w:rsidP="00B97965">
            <w:pPr>
              <w:spacing w:line="240" w:lineRule="auto"/>
              <w:rPr>
                <w:sz w:val="18"/>
                <w:szCs w:val="18"/>
              </w:rPr>
            </w:pPr>
            <w:r w:rsidRPr="00BF1DEF">
              <w:rPr>
                <w:sz w:val="18"/>
                <w:szCs w:val="18"/>
              </w:rPr>
              <w:t>0.012327</w:t>
            </w:r>
          </w:p>
        </w:tc>
        <w:tc>
          <w:tcPr>
            <w:tcW w:w="1417" w:type="dxa"/>
            <w:noWrap/>
            <w:hideMark/>
          </w:tcPr>
          <w:p w:rsidR="00B97965" w:rsidRPr="00BF1DEF" w:rsidRDefault="00B97965" w:rsidP="00B97965">
            <w:pPr>
              <w:spacing w:line="240" w:lineRule="auto"/>
              <w:rPr>
                <w:sz w:val="18"/>
                <w:szCs w:val="18"/>
              </w:rPr>
            </w:pPr>
            <w:r w:rsidRPr="00BF1DEF">
              <w:rPr>
                <w:sz w:val="18"/>
                <w:szCs w:val="18"/>
              </w:rPr>
              <w:t>0.009158</w:t>
            </w:r>
          </w:p>
        </w:tc>
        <w:tc>
          <w:tcPr>
            <w:tcW w:w="1417" w:type="dxa"/>
          </w:tcPr>
          <w:p w:rsidR="00B97965" w:rsidRPr="00BF1DEF" w:rsidRDefault="00B97965" w:rsidP="00B97965">
            <w:pPr>
              <w:spacing w:line="240" w:lineRule="auto"/>
              <w:rPr>
                <w:sz w:val="18"/>
                <w:szCs w:val="18"/>
              </w:rPr>
            </w:pPr>
            <w:r w:rsidRPr="00BF1DEF">
              <w:rPr>
                <w:sz w:val="18"/>
                <w:szCs w:val="18"/>
              </w:rPr>
              <w:t>67</w:t>
            </w:r>
          </w:p>
        </w:tc>
        <w:tc>
          <w:tcPr>
            <w:tcW w:w="1417" w:type="dxa"/>
          </w:tcPr>
          <w:p w:rsidR="00B97965" w:rsidRPr="00BF1DEF" w:rsidRDefault="00B97965" w:rsidP="00B97965">
            <w:pPr>
              <w:spacing w:line="240" w:lineRule="auto"/>
              <w:rPr>
                <w:sz w:val="18"/>
                <w:szCs w:val="18"/>
              </w:rPr>
            </w:pPr>
            <w:r w:rsidRPr="00BF1DEF">
              <w:rPr>
                <w:sz w:val="18"/>
                <w:szCs w:val="18"/>
              </w:rPr>
              <w:t>0.001459</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16</w:t>
            </w:r>
          </w:p>
        </w:tc>
        <w:tc>
          <w:tcPr>
            <w:tcW w:w="1509" w:type="dxa"/>
            <w:noWrap/>
            <w:hideMark/>
          </w:tcPr>
          <w:p w:rsidR="00B97965" w:rsidRPr="00BF1DEF" w:rsidRDefault="00B97965" w:rsidP="00B97965">
            <w:pPr>
              <w:spacing w:line="240" w:lineRule="auto"/>
              <w:rPr>
                <w:sz w:val="18"/>
                <w:szCs w:val="18"/>
              </w:rPr>
            </w:pPr>
            <w:r w:rsidRPr="00BF1DEF">
              <w:rPr>
                <w:sz w:val="18"/>
                <w:szCs w:val="18"/>
              </w:rPr>
              <w:t>0.013644</w:t>
            </w:r>
          </w:p>
        </w:tc>
        <w:tc>
          <w:tcPr>
            <w:tcW w:w="1417" w:type="dxa"/>
            <w:noWrap/>
            <w:hideMark/>
          </w:tcPr>
          <w:p w:rsidR="00B97965" w:rsidRPr="00BF1DEF" w:rsidRDefault="00B97965" w:rsidP="00B97965">
            <w:pPr>
              <w:spacing w:line="240" w:lineRule="auto"/>
              <w:rPr>
                <w:sz w:val="18"/>
                <w:szCs w:val="18"/>
              </w:rPr>
            </w:pPr>
            <w:r w:rsidRPr="00BF1DEF">
              <w:rPr>
                <w:sz w:val="18"/>
                <w:szCs w:val="18"/>
              </w:rPr>
              <w:t>0.007859</w:t>
            </w:r>
          </w:p>
        </w:tc>
        <w:tc>
          <w:tcPr>
            <w:tcW w:w="1417" w:type="dxa"/>
          </w:tcPr>
          <w:p w:rsidR="00B97965" w:rsidRPr="00BF1DEF" w:rsidRDefault="00B97965" w:rsidP="00B97965">
            <w:pPr>
              <w:spacing w:line="240" w:lineRule="auto"/>
              <w:rPr>
                <w:sz w:val="18"/>
                <w:szCs w:val="18"/>
              </w:rPr>
            </w:pPr>
            <w:r w:rsidRPr="00BF1DEF">
              <w:rPr>
                <w:sz w:val="18"/>
                <w:szCs w:val="18"/>
              </w:rPr>
              <w:t>68</w:t>
            </w:r>
          </w:p>
        </w:tc>
        <w:tc>
          <w:tcPr>
            <w:tcW w:w="1417" w:type="dxa"/>
          </w:tcPr>
          <w:p w:rsidR="00B97965" w:rsidRPr="00BF1DEF" w:rsidRDefault="00B97965" w:rsidP="00B97965">
            <w:pPr>
              <w:spacing w:line="240" w:lineRule="auto"/>
              <w:rPr>
                <w:sz w:val="18"/>
                <w:szCs w:val="18"/>
              </w:rPr>
            </w:pPr>
            <w:r w:rsidRPr="00BF1DEF">
              <w:rPr>
                <w:sz w:val="18"/>
                <w:szCs w:val="18"/>
              </w:rPr>
              <w:t>0.00129</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17</w:t>
            </w:r>
          </w:p>
        </w:tc>
        <w:tc>
          <w:tcPr>
            <w:tcW w:w="1509" w:type="dxa"/>
            <w:noWrap/>
            <w:hideMark/>
          </w:tcPr>
          <w:p w:rsidR="00B97965" w:rsidRPr="00BF1DEF" w:rsidRDefault="00B97965" w:rsidP="00B97965">
            <w:pPr>
              <w:spacing w:line="240" w:lineRule="auto"/>
              <w:rPr>
                <w:sz w:val="18"/>
                <w:szCs w:val="18"/>
              </w:rPr>
            </w:pPr>
            <w:r w:rsidRPr="00BF1DEF">
              <w:rPr>
                <w:sz w:val="18"/>
                <w:szCs w:val="18"/>
              </w:rPr>
              <w:t>0.01502</w:t>
            </w:r>
          </w:p>
        </w:tc>
        <w:tc>
          <w:tcPr>
            <w:tcW w:w="1417" w:type="dxa"/>
            <w:noWrap/>
            <w:hideMark/>
          </w:tcPr>
          <w:p w:rsidR="00B97965" w:rsidRPr="00BF1DEF" w:rsidRDefault="00B97965" w:rsidP="00B97965">
            <w:pPr>
              <w:spacing w:line="240" w:lineRule="auto"/>
              <w:rPr>
                <w:sz w:val="18"/>
                <w:szCs w:val="18"/>
              </w:rPr>
            </w:pPr>
            <w:r w:rsidRPr="00BF1DEF">
              <w:rPr>
                <w:sz w:val="18"/>
                <w:szCs w:val="18"/>
              </w:rPr>
              <w:t>0.006757</w:t>
            </w:r>
          </w:p>
        </w:tc>
        <w:tc>
          <w:tcPr>
            <w:tcW w:w="1417" w:type="dxa"/>
          </w:tcPr>
          <w:p w:rsidR="00B97965" w:rsidRPr="00BF1DEF" w:rsidRDefault="00B97965" w:rsidP="00B97965">
            <w:pPr>
              <w:spacing w:line="240" w:lineRule="auto"/>
              <w:rPr>
                <w:sz w:val="18"/>
                <w:szCs w:val="18"/>
              </w:rPr>
            </w:pPr>
            <w:r w:rsidRPr="00BF1DEF">
              <w:rPr>
                <w:sz w:val="18"/>
                <w:szCs w:val="18"/>
              </w:rPr>
              <w:t>69</w:t>
            </w:r>
          </w:p>
        </w:tc>
        <w:tc>
          <w:tcPr>
            <w:tcW w:w="1417" w:type="dxa"/>
          </w:tcPr>
          <w:p w:rsidR="00B97965" w:rsidRPr="00BF1DEF" w:rsidRDefault="00B97965" w:rsidP="00B97965">
            <w:pPr>
              <w:spacing w:line="240" w:lineRule="auto"/>
              <w:rPr>
                <w:sz w:val="18"/>
                <w:szCs w:val="18"/>
              </w:rPr>
            </w:pPr>
            <w:r w:rsidRPr="00BF1DEF">
              <w:rPr>
                <w:sz w:val="18"/>
                <w:szCs w:val="18"/>
              </w:rPr>
              <w:t>0.00115</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18</w:t>
            </w:r>
          </w:p>
        </w:tc>
        <w:tc>
          <w:tcPr>
            <w:tcW w:w="1509" w:type="dxa"/>
            <w:noWrap/>
            <w:hideMark/>
          </w:tcPr>
          <w:p w:rsidR="00B97965" w:rsidRPr="00BF1DEF" w:rsidRDefault="00B97965" w:rsidP="00B97965">
            <w:pPr>
              <w:spacing w:line="240" w:lineRule="auto"/>
              <w:rPr>
                <w:sz w:val="18"/>
                <w:szCs w:val="18"/>
              </w:rPr>
            </w:pPr>
            <w:r w:rsidRPr="00BF1DEF">
              <w:rPr>
                <w:sz w:val="18"/>
                <w:szCs w:val="18"/>
              </w:rPr>
              <w:t>0.016444</w:t>
            </w:r>
          </w:p>
        </w:tc>
        <w:tc>
          <w:tcPr>
            <w:tcW w:w="1417" w:type="dxa"/>
            <w:noWrap/>
            <w:hideMark/>
          </w:tcPr>
          <w:p w:rsidR="00B97965" w:rsidRPr="00BF1DEF" w:rsidRDefault="00B97965" w:rsidP="00B97965">
            <w:pPr>
              <w:spacing w:line="240" w:lineRule="auto"/>
              <w:rPr>
                <w:sz w:val="18"/>
                <w:szCs w:val="18"/>
              </w:rPr>
            </w:pPr>
            <w:r w:rsidRPr="00BF1DEF">
              <w:rPr>
                <w:sz w:val="18"/>
                <w:szCs w:val="18"/>
              </w:rPr>
              <w:t>0.005817</w:t>
            </w:r>
          </w:p>
        </w:tc>
        <w:tc>
          <w:tcPr>
            <w:tcW w:w="1417" w:type="dxa"/>
          </w:tcPr>
          <w:p w:rsidR="00B97965" w:rsidRPr="00BF1DEF" w:rsidRDefault="00B97965" w:rsidP="00B97965">
            <w:pPr>
              <w:spacing w:line="240" w:lineRule="auto"/>
              <w:rPr>
                <w:sz w:val="18"/>
                <w:szCs w:val="18"/>
              </w:rPr>
            </w:pPr>
            <w:r w:rsidRPr="00BF1DEF">
              <w:rPr>
                <w:sz w:val="18"/>
                <w:szCs w:val="18"/>
              </w:rPr>
              <w:t>70</w:t>
            </w:r>
          </w:p>
        </w:tc>
        <w:tc>
          <w:tcPr>
            <w:tcW w:w="1417" w:type="dxa"/>
          </w:tcPr>
          <w:p w:rsidR="00B97965" w:rsidRPr="00BF1DEF" w:rsidRDefault="00B97965" w:rsidP="00B97965">
            <w:pPr>
              <w:spacing w:line="240" w:lineRule="auto"/>
              <w:rPr>
                <w:sz w:val="18"/>
                <w:szCs w:val="18"/>
              </w:rPr>
            </w:pPr>
            <w:r w:rsidRPr="00BF1DEF">
              <w:rPr>
                <w:sz w:val="18"/>
                <w:szCs w:val="18"/>
              </w:rPr>
              <w:t>0.001034</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19</w:t>
            </w:r>
          </w:p>
        </w:tc>
        <w:tc>
          <w:tcPr>
            <w:tcW w:w="1509" w:type="dxa"/>
            <w:noWrap/>
            <w:hideMark/>
          </w:tcPr>
          <w:p w:rsidR="00B97965" w:rsidRPr="00BF1DEF" w:rsidRDefault="00B97965" w:rsidP="00B97965">
            <w:pPr>
              <w:spacing w:line="240" w:lineRule="auto"/>
              <w:rPr>
                <w:sz w:val="18"/>
                <w:szCs w:val="18"/>
              </w:rPr>
            </w:pPr>
            <w:r w:rsidRPr="00BF1DEF">
              <w:rPr>
                <w:sz w:val="18"/>
                <w:szCs w:val="18"/>
              </w:rPr>
              <w:t>0.017901</w:t>
            </w:r>
          </w:p>
        </w:tc>
        <w:tc>
          <w:tcPr>
            <w:tcW w:w="1417" w:type="dxa"/>
            <w:noWrap/>
            <w:hideMark/>
          </w:tcPr>
          <w:p w:rsidR="00B97965" w:rsidRPr="00BF1DEF" w:rsidRDefault="00B97965" w:rsidP="00B97965">
            <w:pPr>
              <w:spacing w:line="240" w:lineRule="auto"/>
              <w:rPr>
                <w:sz w:val="18"/>
                <w:szCs w:val="18"/>
              </w:rPr>
            </w:pPr>
            <w:r w:rsidRPr="00BF1DEF">
              <w:rPr>
                <w:sz w:val="18"/>
                <w:szCs w:val="18"/>
              </w:rPr>
              <w:t>0.005016</w:t>
            </w:r>
          </w:p>
        </w:tc>
        <w:tc>
          <w:tcPr>
            <w:tcW w:w="1417" w:type="dxa"/>
          </w:tcPr>
          <w:p w:rsidR="00B97965" w:rsidRPr="00BF1DEF" w:rsidRDefault="00B97965" w:rsidP="00B97965">
            <w:pPr>
              <w:spacing w:line="240" w:lineRule="auto"/>
              <w:rPr>
                <w:sz w:val="18"/>
                <w:szCs w:val="18"/>
              </w:rPr>
            </w:pPr>
            <w:r w:rsidRPr="00BF1DEF">
              <w:rPr>
                <w:sz w:val="18"/>
                <w:szCs w:val="18"/>
              </w:rPr>
              <w:t>71</w:t>
            </w:r>
          </w:p>
        </w:tc>
        <w:tc>
          <w:tcPr>
            <w:tcW w:w="1417" w:type="dxa"/>
          </w:tcPr>
          <w:p w:rsidR="00B97965" w:rsidRPr="00BF1DEF" w:rsidRDefault="00B97965" w:rsidP="00B97965">
            <w:pPr>
              <w:spacing w:line="240" w:lineRule="auto"/>
              <w:rPr>
                <w:sz w:val="18"/>
                <w:szCs w:val="18"/>
              </w:rPr>
            </w:pPr>
            <w:r w:rsidRPr="00BF1DEF">
              <w:rPr>
                <w:sz w:val="18"/>
                <w:szCs w:val="18"/>
              </w:rPr>
              <w:t>0.00094</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20</w:t>
            </w:r>
          </w:p>
        </w:tc>
        <w:tc>
          <w:tcPr>
            <w:tcW w:w="1509" w:type="dxa"/>
            <w:noWrap/>
            <w:hideMark/>
          </w:tcPr>
          <w:p w:rsidR="00B97965" w:rsidRPr="00BF1DEF" w:rsidRDefault="00B97965" w:rsidP="00B97965">
            <w:pPr>
              <w:spacing w:line="240" w:lineRule="auto"/>
              <w:rPr>
                <w:sz w:val="18"/>
                <w:szCs w:val="18"/>
              </w:rPr>
            </w:pPr>
            <w:r w:rsidRPr="00BF1DEF">
              <w:rPr>
                <w:sz w:val="18"/>
                <w:szCs w:val="18"/>
              </w:rPr>
              <w:t>0.019377</w:t>
            </w:r>
          </w:p>
        </w:tc>
        <w:tc>
          <w:tcPr>
            <w:tcW w:w="1417" w:type="dxa"/>
            <w:noWrap/>
            <w:hideMark/>
          </w:tcPr>
          <w:p w:rsidR="00B97965" w:rsidRPr="00BF1DEF" w:rsidRDefault="00B97965" w:rsidP="00B97965">
            <w:pPr>
              <w:spacing w:line="240" w:lineRule="auto"/>
              <w:rPr>
                <w:sz w:val="18"/>
                <w:szCs w:val="18"/>
              </w:rPr>
            </w:pPr>
            <w:r w:rsidRPr="00BF1DEF">
              <w:rPr>
                <w:sz w:val="18"/>
                <w:szCs w:val="18"/>
              </w:rPr>
              <w:t>0.00433</w:t>
            </w:r>
          </w:p>
        </w:tc>
        <w:tc>
          <w:tcPr>
            <w:tcW w:w="1417" w:type="dxa"/>
          </w:tcPr>
          <w:p w:rsidR="00B97965" w:rsidRPr="00BF1DEF" w:rsidRDefault="00B97965" w:rsidP="00B97965">
            <w:pPr>
              <w:spacing w:line="240" w:lineRule="auto"/>
              <w:rPr>
                <w:sz w:val="18"/>
                <w:szCs w:val="18"/>
              </w:rPr>
            </w:pPr>
            <w:r w:rsidRPr="00BF1DEF">
              <w:rPr>
                <w:sz w:val="18"/>
                <w:szCs w:val="18"/>
              </w:rPr>
              <w:t>72</w:t>
            </w:r>
          </w:p>
        </w:tc>
        <w:tc>
          <w:tcPr>
            <w:tcW w:w="1417" w:type="dxa"/>
          </w:tcPr>
          <w:p w:rsidR="00B97965" w:rsidRPr="00BF1DEF" w:rsidRDefault="00B97965" w:rsidP="00B97965">
            <w:pPr>
              <w:spacing w:line="240" w:lineRule="auto"/>
              <w:rPr>
                <w:sz w:val="18"/>
                <w:szCs w:val="18"/>
              </w:rPr>
            </w:pPr>
            <w:r w:rsidRPr="00BF1DEF">
              <w:rPr>
                <w:sz w:val="18"/>
                <w:szCs w:val="18"/>
              </w:rPr>
              <w:t>0.000863</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21</w:t>
            </w:r>
          </w:p>
        </w:tc>
        <w:tc>
          <w:tcPr>
            <w:tcW w:w="1509" w:type="dxa"/>
            <w:noWrap/>
            <w:hideMark/>
          </w:tcPr>
          <w:p w:rsidR="00B97965" w:rsidRPr="00BF1DEF" w:rsidRDefault="00B97965" w:rsidP="00B97965">
            <w:pPr>
              <w:spacing w:line="240" w:lineRule="auto"/>
              <w:rPr>
                <w:sz w:val="18"/>
                <w:szCs w:val="18"/>
              </w:rPr>
            </w:pPr>
            <w:r w:rsidRPr="00BF1DEF">
              <w:rPr>
                <w:sz w:val="18"/>
                <w:szCs w:val="18"/>
              </w:rPr>
              <w:t>0.020855</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73</w:t>
            </w:r>
          </w:p>
        </w:tc>
        <w:tc>
          <w:tcPr>
            <w:tcW w:w="1417" w:type="dxa"/>
          </w:tcPr>
          <w:p w:rsidR="00B97965" w:rsidRPr="00BF1DEF" w:rsidRDefault="00B97965" w:rsidP="00B97965">
            <w:pPr>
              <w:spacing w:line="240" w:lineRule="auto"/>
              <w:rPr>
                <w:sz w:val="18"/>
                <w:szCs w:val="18"/>
              </w:rPr>
            </w:pPr>
            <w:r w:rsidRPr="00BF1DEF">
              <w:rPr>
                <w:sz w:val="18"/>
                <w:szCs w:val="18"/>
              </w:rPr>
              <w:t>0.000801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22</w:t>
            </w:r>
          </w:p>
        </w:tc>
        <w:tc>
          <w:tcPr>
            <w:tcW w:w="1509" w:type="dxa"/>
            <w:noWrap/>
            <w:hideMark/>
          </w:tcPr>
          <w:p w:rsidR="00B97965" w:rsidRPr="00BF1DEF" w:rsidRDefault="00B97965" w:rsidP="00B97965">
            <w:pPr>
              <w:spacing w:line="240" w:lineRule="auto"/>
              <w:rPr>
                <w:sz w:val="18"/>
                <w:szCs w:val="18"/>
              </w:rPr>
            </w:pPr>
            <w:r w:rsidRPr="00BF1DEF">
              <w:rPr>
                <w:sz w:val="18"/>
                <w:szCs w:val="18"/>
              </w:rPr>
              <w:t>0.022315</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74</w:t>
            </w:r>
          </w:p>
        </w:tc>
        <w:tc>
          <w:tcPr>
            <w:tcW w:w="1417" w:type="dxa"/>
          </w:tcPr>
          <w:p w:rsidR="00B97965" w:rsidRPr="00BF1DEF" w:rsidRDefault="00B97965" w:rsidP="00B97965">
            <w:pPr>
              <w:spacing w:line="240" w:lineRule="auto"/>
              <w:rPr>
                <w:sz w:val="18"/>
                <w:szCs w:val="18"/>
              </w:rPr>
            </w:pPr>
            <w:r w:rsidRPr="00BF1DEF">
              <w:rPr>
                <w:sz w:val="18"/>
                <w:szCs w:val="18"/>
              </w:rPr>
              <w:t>0.000751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23</w:t>
            </w:r>
          </w:p>
        </w:tc>
        <w:tc>
          <w:tcPr>
            <w:tcW w:w="1509" w:type="dxa"/>
            <w:noWrap/>
            <w:hideMark/>
          </w:tcPr>
          <w:p w:rsidR="00B97965" w:rsidRPr="00BF1DEF" w:rsidRDefault="00B97965" w:rsidP="00B97965">
            <w:pPr>
              <w:spacing w:line="240" w:lineRule="auto"/>
              <w:rPr>
                <w:sz w:val="18"/>
                <w:szCs w:val="18"/>
              </w:rPr>
            </w:pPr>
            <w:r w:rsidRPr="00BF1DEF">
              <w:rPr>
                <w:sz w:val="18"/>
                <w:szCs w:val="18"/>
              </w:rPr>
              <w:t>0.023738</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75</w:t>
            </w:r>
          </w:p>
        </w:tc>
        <w:tc>
          <w:tcPr>
            <w:tcW w:w="1417" w:type="dxa"/>
          </w:tcPr>
          <w:p w:rsidR="00B97965" w:rsidRPr="00BF1DEF" w:rsidRDefault="00B97965" w:rsidP="00B97965">
            <w:pPr>
              <w:spacing w:line="240" w:lineRule="auto"/>
              <w:rPr>
                <w:sz w:val="18"/>
                <w:szCs w:val="18"/>
              </w:rPr>
            </w:pPr>
            <w:r w:rsidRPr="00BF1DEF">
              <w:rPr>
                <w:sz w:val="18"/>
                <w:szCs w:val="18"/>
              </w:rPr>
              <w:t>0.000711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24</w:t>
            </w:r>
          </w:p>
        </w:tc>
        <w:tc>
          <w:tcPr>
            <w:tcW w:w="1509" w:type="dxa"/>
            <w:noWrap/>
            <w:hideMark/>
          </w:tcPr>
          <w:p w:rsidR="00B97965" w:rsidRPr="00BF1DEF" w:rsidRDefault="00B97965" w:rsidP="00B97965">
            <w:pPr>
              <w:spacing w:line="240" w:lineRule="auto"/>
              <w:rPr>
                <w:sz w:val="18"/>
                <w:szCs w:val="18"/>
              </w:rPr>
            </w:pPr>
            <w:r w:rsidRPr="00BF1DEF">
              <w:rPr>
                <w:sz w:val="18"/>
                <w:szCs w:val="18"/>
              </w:rPr>
              <w:t>0.025104</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76</w:t>
            </w:r>
          </w:p>
        </w:tc>
        <w:tc>
          <w:tcPr>
            <w:tcW w:w="1417" w:type="dxa"/>
          </w:tcPr>
          <w:p w:rsidR="00B97965" w:rsidRPr="00BF1DEF" w:rsidRDefault="00B97965" w:rsidP="00B97965">
            <w:pPr>
              <w:spacing w:line="240" w:lineRule="auto"/>
              <w:rPr>
                <w:sz w:val="18"/>
                <w:szCs w:val="18"/>
              </w:rPr>
            </w:pPr>
            <w:r w:rsidRPr="00BF1DEF">
              <w:rPr>
                <w:sz w:val="18"/>
                <w:szCs w:val="18"/>
              </w:rPr>
              <w:t>0.00068</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25</w:t>
            </w:r>
          </w:p>
        </w:tc>
        <w:tc>
          <w:tcPr>
            <w:tcW w:w="1509" w:type="dxa"/>
            <w:noWrap/>
            <w:hideMark/>
          </w:tcPr>
          <w:p w:rsidR="00B97965" w:rsidRPr="00BF1DEF" w:rsidRDefault="00B97965" w:rsidP="00B97965">
            <w:pPr>
              <w:spacing w:line="240" w:lineRule="auto"/>
              <w:rPr>
                <w:sz w:val="18"/>
                <w:szCs w:val="18"/>
              </w:rPr>
            </w:pPr>
            <w:r w:rsidRPr="00BF1DEF">
              <w:rPr>
                <w:sz w:val="18"/>
                <w:szCs w:val="18"/>
              </w:rPr>
              <w:t>0.026392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77</w:t>
            </w:r>
          </w:p>
        </w:tc>
        <w:tc>
          <w:tcPr>
            <w:tcW w:w="1417" w:type="dxa"/>
          </w:tcPr>
          <w:p w:rsidR="00B97965" w:rsidRPr="00BF1DEF" w:rsidRDefault="00B97965" w:rsidP="00B97965">
            <w:pPr>
              <w:spacing w:line="240" w:lineRule="auto"/>
              <w:rPr>
                <w:sz w:val="18"/>
                <w:szCs w:val="18"/>
              </w:rPr>
            </w:pPr>
            <w:r w:rsidRPr="00BF1DEF">
              <w:rPr>
                <w:sz w:val="18"/>
                <w:szCs w:val="18"/>
              </w:rPr>
              <w:t>0.000655</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26</w:t>
            </w:r>
          </w:p>
        </w:tc>
        <w:tc>
          <w:tcPr>
            <w:tcW w:w="1509" w:type="dxa"/>
            <w:noWrap/>
            <w:hideMark/>
          </w:tcPr>
          <w:p w:rsidR="00B97965" w:rsidRPr="00BF1DEF" w:rsidRDefault="00B97965" w:rsidP="00B97965">
            <w:pPr>
              <w:spacing w:line="240" w:lineRule="auto"/>
              <w:rPr>
                <w:sz w:val="18"/>
                <w:szCs w:val="18"/>
              </w:rPr>
            </w:pPr>
            <w:r w:rsidRPr="00BF1DEF">
              <w:rPr>
                <w:sz w:val="18"/>
                <w:szCs w:val="18"/>
              </w:rPr>
              <w:t>0.027582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78</w:t>
            </w:r>
          </w:p>
        </w:tc>
        <w:tc>
          <w:tcPr>
            <w:tcW w:w="1417" w:type="dxa"/>
          </w:tcPr>
          <w:p w:rsidR="00B97965" w:rsidRPr="00BF1DEF" w:rsidRDefault="00B97965" w:rsidP="00B97965">
            <w:pPr>
              <w:spacing w:line="240" w:lineRule="auto"/>
              <w:rPr>
                <w:sz w:val="18"/>
                <w:szCs w:val="18"/>
              </w:rPr>
            </w:pPr>
            <w:r w:rsidRPr="00BF1DEF">
              <w:rPr>
                <w:sz w:val="18"/>
                <w:szCs w:val="18"/>
              </w:rPr>
              <w:t>0.000636</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27</w:t>
            </w:r>
          </w:p>
        </w:tc>
        <w:tc>
          <w:tcPr>
            <w:tcW w:w="1509" w:type="dxa"/>
            <w:noWrap/>
            <w:hideMark/>
          </w:tcPr>
          <w:p w:rsidR="00B97965" w:rsidRPr="00BF1DEF" w:rsidRDefault="00B97965" w:rsidP="00B97965">
            <w:pPr>
              <w:spacing w:line="240" w:lineRule="auto"/>
              <w:rPr>
                <w:sz w:val="18"/>
                <w:szCs w:val="18"/>
              </w:rPr>
            </w:pPr>
            <w:r w:rsidRPr="00BF1DEF">
              <w:rPr>
                <w:sz w:val="18"/>
                <w:szCs w:val="18"/>
              </w:rPr>
              <w:t>0.028655</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79</w:t>
            </w:r>
          </w:p>
        </w:tc>
        <w:tc>
          <w:tcPr>
            <w:tcW w:w="1417" w:type="dxa"/>
          </w:tcPr>
          <w:p w:rsidR="00B97965" w:rsidRPr="00BF1DEF" w:rsidRDefault="00B97965" w:rsidP="00B97965">
            <w:pPr>
              <w:spacing w:line="240" w:lineRule="auto"/>
              <w:rPr>
                <w:sz w:val="18"/>
                <w:szCs w:val="18"/>
              </w:rPr>
            </w:pPr>
            <w:r w:rsidRPr="00BF1DEF">
              <w:rPr>
                <w:sz w:val="18"/>
                <w:szCs w:val="18"/>
              </w:rPr>
              <w:t>0.000621</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28</w:t>
            </w:r>
          </w:p>
        </w:tc>
        <w:tc>
          <w:tcPr>
            <w:tcW w:w="1509" w:type="dxa"/>
            <w:noWrap/>
            <w:hideMark/>
          </w:tcPr>
          <w:p w:rsidR="00B97965" w:rsidRPr="00BF1DEF" w:rsidRDefault="00B97965" w:rsidP="00B97965">
            <w:pPr>
              <w:spacing w:line="240" w:lineRule="auto"/>
              <w:rPr>
                <w:sz w:val="18"/>
                <w:szCs w:val="18"/>
              </w:rPr>
            </w:pPr>
            <w:r w:rsidRPr="00BF1DEF">
              <w:rPr>
                <w:sz w:val="18"/>
                <w:szCs w:val="18"/>
              </w:rPr>
              <w:t>0.029592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80</w:t>
            </w:r>
          </w:p>
        </w:tc>
        <w:tc>
          <w:tcPr>
            <w:tcW w:w="1417" w:type="dxa"/>
          </w:tcPr>
          <w:p w:rsidR="00B97965" w:rsidRPr="00BF1DEF" w:rsidRDefault="00B97965" w:rsidP="00B97965">
            <w:pPr>
              <w:spacing w:line="240" w:lineRule="auto"/>
              <w:rPr>
                <w:sz w:val="18"/>
                <w:szCs w:val="18"/>
              </w:rPr>
            </w:pPr>
            <w:r w:rsidRPr="00BF1DEF">
              <w:rPr>
                <w:sz w:val="18"/>
                <w:szCs w:val="18"/>
              </w:rPr>
              <w:t>0.000609</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29</w:t>
            </w:r>
          </w:p>
        </w:tc>
        <w:tc>
          <w:tcPr>
            <w:tcW w:w="1509" w:type="dxa"/>
            <w:noWrap/>
            <w:hideMark/>
          </w:tcPr>
          <w:p w:rsidR="00B97965" w:rsidRPr="00BF1DEF" w:rsidRDefault="00B97965" w:rsidP="00B97965">
            <w:pPr>
              <w:spacing w:line="240" w:lineRule="auto"/>
              <w:rPr>
                <w:sz w:val="18"/>
                <w:szCs w:val="18"/>
              </w:rPr>
            </w:pPr>
            <w:r w:rsidRPr="00BF1DEF">
              <w:rPr>
                <w:sz w:val="18"/>
                <w:szCs w:val="18"/>
              </w:rPr>
              <w:t>0.030378</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81</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30</w:t>
            </w:r>
          </w:p>
        </w:tc>
        <w:tc>
          <w:tcPr>
            <w:tcW w:w="1509" w:type="dxa"/>
            <w:noWrap/>
            <w:hideMark/>
          </w:tcPr>
          <w:p w:rsidR="00B97965" w:rsidRPr="00BF1DEF" w:rsidRDefault="00B97965" w:rsidP="00B97965">
            <w:pPr>
              <w:spacing w:line="240" w:lineRule="auto"/>
              <w:rPr>
                <w:sz w:val="18"/>
                <w:szCs w:val="18"/>
              </w:rPr>
            </w:pPr>
            <w:r w:rsidRPr="00BF1DEF">
              <w:rPr>
                <w:sz w:val="18"/>
                <w:szCs w:val="18"/>
              </w:rPr>
              <w:t>0.030998</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82</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31</w:t>
            </w:r>
          </w:p>
        </w:tc>
        <w:tc>
          <w:tcPr>
            <w:tcW w:w="1509" w:type="dxa"/>
            <w:noWrap/>
            <w:hideMark/>
          </w:tcPr>
          <w:p w:rsidR="00B97965" w:rsidRPr="00BF1DEF" w:rsidRDefault="00B97965" w:rsidP="00B97965">
            <w:pPr>
              <w:spacing w:line="240" w:lineRule="auto"/>
              <w:rPr>
                <w:sz w:val="18"/>
                <w:szCs w:val="18"/>
              </w:rPr>
            </w:pPr>
            <w:r w:rsidRPr="00BF1DEF">
              <w:rPr>
                <w:sz w:val="18"/>
                <w:szCs w:val="18"/>
              </w:rPr>
              <w:t>0.031442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83</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32</w:t>
            </w:r>
          </w:p>
        </w:tc>
        <w:tc>
          <w:tcPr>
            <w:tcW w:w="1509" w:type="dxa"/>
            <w:noWrap/>
            <w:hideMark/>
          </w:tcPr>
          <w:p w:rsidR="00B97965" w:rsidRPr="00BF1DEF" w:rsidRDefault="00B97965" w:rsidP="00B97965">
            <w:pPr>
              <w:spacing w:line="240" w:lineRule="auto"/>
              <w:rPr>
                <w:sz w:val="18"/>
                <w:szCs w:val="18"/>
              </w:rPr>
            </w:pPr>
            <w:r w:rsidRPr="00BF1DEF">
              <w:rPr>
                <w:sz w:val="18"/>
                <w:szCs w:val="18"/>
              </w:rPr>
              <w:t>0.031701</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84</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33</w:t>
            </w:r>
          </w:p>
        </w:tc>
        <w:tc>
          <w:tcPr>
            <w:tcW w:w="1509" w:type="dxa"/>
            <w:noWrap/>
            <w:hideMark/>
          </w:tcPr>
          <w:p w:rsidR="00B97965" w:rsidRPr="00BF1DEF" w:rsidRDefault="00B97965" w:rsidP="00B97965">
            <w:pPr>
              <w:spacing w:line="240" w:lineRule="auto"/>
              <w:rPr>
                <w:sz w:val="18"/>
                <w:szCs w:val="18"/>
              </w:rPr>
            </w:pPr>
            <w:r w:rsidRPr="00BF1DEF">
              <w:rPr>
                <w:sz w:val="18"/>
                <w:szCs w:val="18"/>
              </w:rPr>
              <w:t>0.031771</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85</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34</w:t>
            </w:r>
          </w:p>
        </w:tc>
        <w:tc>
          <w:tcPr>
            <w:tcW w:w="1509" w:type="dxa"/>
            <w:noWrap/>
            <w:hideMark/>
          </w:tcPr>
          <w:p w:rsidR="00B97965" w:rsidRPr="00BF1DEF" w:rsidRDefault="00B97965" w:rsidP="00B97965">
            <w:pPr>
              <w:spacing w:line="240" w:lineRule="auto"/>
              <w:rPr>
                <w:sz w:val="18"/>
                <w:szCs w:val="18"/>
              </w:rPr>
            </w:pPr>
            <w:r w:rsidRPr="00BF1DEF">
              <w:rPr>
                <w:sz w:val="18"/>
                <w:szCs w:val="18"/>
              </w:rPr>
              <w:t>0.031651</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86</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35</w:t>
            </w:r>
          </w:p>
        </w:tc>
        <w:tc>
          <w:tcPr>
            <w:tcW w:w="1509" w:type="dxa"/>
            <w:noWrap/>
            <w:hideMark/>
          </w:tcPr>
          <w:p w:rsidR="00B97965" w:rsidRPr="00BF1DEF" w:rsidRDefault="00B97965" w:rsidP="00B97965">
            <w:pPr>
              <w:spacing w:line="240" w:lineRule="auto"/>
              <w:rPr>
                <w:sz w:val="18"/>
                <w:szCs w:val="18"/>
              </w:rPr>
            </w:pPr>
            <w:r w:rsidRPr="00BF1DEF">
              <w:rPr>
                <w:sz w:val="18"/>
                <w:szCs w:val="18"/>
              </w:rPr>
              <w:t>0.031342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87</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36</w:t>
            </w:r>
          </w:p>
        </w:tc>
        <w:tc>
          <w:tcPr>
            <w:tcW w:w="1509" w:type="dxa"/>
            <w:noWrap/>
            <w:hideMark/>
          </w:tcPr>
          <w:p w:rsidR="00B97965" w:rsidRPr="00BF1DEF" w:rsidRDefault="00B97965" w:rsidP="00B97965">
            <w:pPr>
              <w:spacing w:line="240" w:lineRule="auto"/>
              <w:rPr>
                <w:sz w:val="18"/>
                <w:szCs w:val="18"/>
              </w:rPr>
            </w:pPr>
            <w:r w:rsidRPr="00BF1DEF">
              <w:rPr>
                <w:sz w:val="18"/>
                <w:szCs w:val="18"/>
              </w:rPr>
              <w:t>0.030851</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88</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37</w:t>
            </w:r>
          </w:p>
        </w:tc>
        <w:tc>
          <w:tcPr>
            <w:tcW w:w="1509" w:type="dxa"/>
            <w:noWrap/>
            <w:hideMark/>
          </w:tcPr>
          <w:p w:rsidR="00B97965" w:rsidRPr="00BF1DEF" w:rsidRDefault="00B97965" w:rsidP="00B97965">
            <w:pPr>
              <w:spacing w:line="240" w:lineRule="auto"/>
              <w:rPr>
                <w:sz w:val="18"/>
                <w:szCs w:val="18"/>
              </w:rPr>
            </w:pPr>
            <w:r w:rsidRPr="00BF1DEF">
              <w:rPr>
                <w:sz w:val="18"/>
                <w:szCs w:val="18"/>
              </w:rPr>
              <w:t>0.030186</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89</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38</w:t>
            </w:r>
          </w:p>
        </w:tc>
        <w:tc>
          <w:tcPr>
            <w:tcW w:w="1509" w:type="dxa"/>
            <w:noWrap/>
            <w:hideMark/>
          </w:tcPr>
          <w:p w:rsidR="00B97965" w:rsidRPr="00BF1DEF" w:rsidRDefault="00B97965" w:rsidP="00B97965">
            <w:pPr>
              <w:spacing w:line="240" w:lineRule="auto"/>
              <w:rPr>
                <w:sz w:val="18"/>
                <w:szCs w:val="18"/>
              </w:rPr>
            </w:pPr>
            <w:r w:rsidRPr="00BF1DEF">
              <w:rPr>
                <w:sz w:val="18"/>
                <w:szCs w:val="18"/>
              </w:rPr>
              <w:t>0.029359</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90</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39</w:t>
            </w:r>
          </w:p>
        </w:tc>
        <w:tc>
          <w:tcPr>
            <w:tcW w:w="1509" w:type="dxa"/>
            <w:noWrap/>
            <w:hideMark/>
          </w:tcPr>
          <w:p w:rsidR="00B97965" w:rsidRPr="00BF1DEF" w:rsidRDefault="00B97965" w:rsidP="00B97965">
            <w:pPr>
              <w:spacing w:line="240" w:lineRule="auto"/>
              <w:rPr>
                <w:sz w:val="18"/>
                <w:szCs w:val="18"/>
              </w:rPr>
            </w:pPr>
            <w:r w:rsidRPr="00BF1DEF">
              <w:rPr>
                <w:sz w:val="18"/>
                <w:szCs w:val="18"/>
              </w:rPr>
              <w:t>0.028384</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91</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40</w:t>
            </w:r>
          </w:p>
        </w:tc>
        <w:tc>
          <w:tcPr>
            <w:tcW w:w="1509" w:type="dxa"/>
            <w:noWrap/>
            <w:hideMark/>
          </w:tcPr>
          <w:p w:rsidR="00B97965" w:rsidRPr="00BF1DEF" w:rsidRDefault="00B97965" w:rsidP="00B97965">
            <w:pPr>
              <w:spacing w:line="240" w:lineRule="auto"/>
              <w:rPr>
                <w:sz w:val="18"/>
                <w:szCs w:val="18"/>
              </w:rPr>
            </w:pPr>
            <w:r w:rsidRPr="00BF1DEF">
              <w:rPr>
                <w:sz w:val="18"/>
                <w:szCs w:val="18"/>
              </w:rPr>
              <w:t>0.027279</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92</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41</w:t>
            </w:r>
          </w:p>
        </w:tc>
        <w:tc>
          <w:tcPr>
            <w:tcW w:w="1509" w:type="dxa"/>
            <w:noWrap/>
            <w:hideMark/>
          </w:tcPr>
          <w:p w:rsidR="00B97965" w:rsidRPr="00BF1DEF" w:rsidRDefault="00B97965" w:rsidP="00B97965">
            <w:pPr>
              <w:spacing w:line="240" w:lineRule="auto"/>
              <w:rPr>
                <w:sz w:val="18"/>
                <w:szCs w:val="18"/>
              </w:rPr>
            </w:pPr>
            <w:r w:rsidRPr="00BF1DEF">
              <w:rPr>
                <w:sz w:val="18"/>
                <w:szCs w:val="18"/>
              </w:rPr>
              <w:t>0.026061</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93</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42</w:t>
            </w:r>
          </w:p>
        </w:tc>
        <w:tc>
          <w:tcPr>
            <w:tcW w:w="1509" w:type="dxa"/>
            <w:noWrap/>
            <w:hideMark/>
          </w:tcPr>
          <w:p w:rsidR="00B97965" w:rsidRPr="00BF1DEF" w:rsidRDefault="00B97965" w:rsidP="00B97965">
            <w:pPr>
              <w:spacing w:line="240" w:lineRule="auto"/>
              <w:rPr>
                <w:sz w:val="18"/>
                <w:szCs w:val="18"/>
              </w:rPr>
            </w:pPr>
            <w:r w:rsidRPr="00BF1DEF">
              <w:rPr>
                <w:sz w:val="18"/>
                <w:szCs w:val="18"/>
              </w:rPr>
              <w:t>0.02475</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94</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43</w:t>
            </w:r>
          </w:p>
        </w:tc>
        <w:tc>
          <w:tcPr>
            <w:tcW w:w="1509" w:type="dxa"/>
            <w:noWrap/>
            <w:hideMark/>
          </w:tcPr>
          <w:p w:rsidR="00B97965" w:rsidRPr="00BF1DEF" w:rsidRDefault="00B97965" w:rsidP="00B97965">
            <w:pPr>
              <w:spacing w:line="240" w:lineRule="auto"/>
              <w:rPr>
                <w:sz w:val="18"/>
                <w:szCs w:val="18"/>
              </w:rPr>
            </w:pPr>
            <w:r w:rsidRPr="00BF1DEF">
              <w:rPr>
                <w:sz w:val="18"/>
                <w:szCs w:val="18"/>
              </w:rPr>
              <w:t>0.023367</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95</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44</w:t>
            </w:r>
          </w:p>
        </w:tc>
        <w:tc>
          <w:tcPr>
            <w:tcW w:w="1509" w:type="dxa"/>
            <w:noWrap/>
            <w:hideMark/>
          </w:tcPr>
          <w:p w:rsidR="00B97965" w:rsidRPr="00BF1DEF" w:rsidRDefault="00B97965" w:rsidP="00B97965">
            <w:pPr>
              <w:spacing w:line="240" w:lineRule="auto"/>
              <w:rPr>
                <w:sz w:val="18"/>
                <w:szCs w:val="18"/>
              </w:rPr>
            </w:pPr>
            <w:r w:rsidRPr="00BF1DEF">
              <w:rPr>
                <w:sz w:val="18"/>
                <w:szCs w:val="18"/>
              </w:rPr>
              <w:t>0.021932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96</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45</w:t>
            </w:r>
          </w:p>
        </w:tc>
        <w:tc>
          <w:tcPr>
            <w:tcW w:w="1509" w:type="dxa"/>
            <w:noWrap/>
            <w:hideMark/>
          </w:tcPr>
          <w:p w:rsidR="00B97965" w:rsidRPr="00BF1DEF" w:rsidRDefault="00B97965" w:rsidP="00B97965">
            <w:pPr>
              <w:spacing w:line="240" w:lineRule="auto"/>
              <w:rPr>
                <w:sz w:val="18"/>
                <w:szCs w:val="18"/>
              </w:rPr>
            </w:pPr>
            <w:r w:rsidRPr="00BF1DEF">
              <w:rPr>
                <w:sz w:val="18"/>
                <w:szCs w:val="18"/>
              </w:rPr>
              <w:t>0.020466</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97</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46</w:t>
            </w:r>
          </w:p>
        </w:tc>
        <w:tc>
          <w:tcPr>
            <w:tcW w:w="1509" w:type="dxa"/>
            <w:noWrap/>
            <w:hideMark/>
          </w:tcPr>
          <w:p w:rsidR="00B97965" w:rsidRPr="00BF1DEF" w:rsidRDefault="00B97965" w:rsidP="00B97965">
            <w:pPr>
              <w:spacing w:line="240" w:lineRule="auto"/>
              <w:rPr>
                <w:sz w:val="18"/>
                <w:szCs w:val="18"/>
              </w:rPr>
            </w:pPr>
            <w:r w:rsidRPr="00BF1DEF">
              <w:rPr>
                <w:sz w:val="18"/>
                <w:szCs w:val="18"/>
              </w:rPr>
              <w:t>0.018987</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98</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47</w:t>
            </w:r>
          </w:p>
        </w:tc>
        <w:tc>
          <w:tcPr>
            <w:tcW w:w="1509" w:type="dxa"/>
            <w:noWrap/>
            <w:hideMark/>
          </w:tcPr>
          <w:p w:rsidR="00B97965" w:rsidRPr="00BF1DEF" w:rsidRDefault="00B97965" w:rsidP="00B97965">
            <w:pPr>
              <w:spacing w:line="240" w:lineRule="auto"/>
              <w:rPr>
                <w:sz w:val="18"/>
                <w:szCs w:val="18"/>
              </w:rPr>
            </w:pPr>
            <w:r w:rsidRPr="00BF1DEF">
              <w:rPr>
                <w:sz w:val="18"/>
                <w:szCs w:val="18"/>
              </w:rPr>
              <w:t>0.017514</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99</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48</w:t>
            </w:r>
          </w:p>
        </w:tc>
        <w:tc>
          <w:tcPr>
            <w:tcW w:w="1509" w:type="dxa"/>
            <w:noWrap/>
            <w:hideMark/>
          </w:tcPr>
          <w:p w:rsidR="00B97965" w:rsidRPr="00BF1DEF" w:rsidRDefault="00B97965" w:rsidP="00B97965">
            <w:pPr>
              <w:spacing w:line="240" w:lineRule="auto"/>
              <w:rPr>
                <w:sz w:val="18"/>
                <w:szCs w:val="18"/>
              </w:rPr>
            </w:pPr>
            <w:r w:rsidRPr="00BF1DEF">
              <w:rPr>
                <w:sz w:val="18"/>
                <w:szCs w:val="18"/>
              </w:rPr>
              <w:t>0.016064</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100</w:t>
            </w:r>
          </w:p>
        </w:tc>
        <w:tc>
          <w:tcPr>
            <w:tcW w:w="1417" w:type="dxa"/>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r w:rsidRPr="00BF1DEF">
              <w:rPr>
                <w:sz w:val="18"/>
                <w:szCs w:val="18"/>
              </w:rPr>
              <w:t>0</w:t>
            </w: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49</w:t>
            </w:r>
          </w:p>
        </w:tc>
        <w:tc>
          <w:tcPr>
            <w:tcW w:w="1509" w:type="dxa"/>
            <w:noWrap/>
            <w:hideMark/>
          </w:tcPr>
          <w:p w:rsidR="00B97965" w:rsidRPr="00BF1DEF" w:rsidRDefault="00B97965" w:rsidP="00B97965">
            <w:pPr>
              <w:spacing w:line="240" w:lineRule="auto"/>
              <w:rPr>
                <w:sz w:val="18"/>
                <w:szCs w:val="18"/>
              </w:rPr>
            </w:pPr>
            <w:r w:rsidRPr="00BF1DEF">
              <w:rPr>
                <w:sz w:val="18"/>
                <w:szCs w:val="18"/>
              </w:rPr>
              <w:t>0.014652</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50</w:t>
            </w:r>
          </w:p>
        </w:tc>
        <w:tc>
          <w:tcPr>
            <w:tcW w:w="1509" w:type="dxa"/>
            <w:noWrap/>
            <w:hideMark/>
          </w:tcPr>
          <w:p w:rsidR="00B97965" w:rsidRPr="00BF1DEF" w:rsidRDefault="00B97965" w:rsidP="00B97965">
            <w:pPr>
              <w:spacing w:line="240" w:lineRule="auto"/>
              <w:rPr>
                <w:sz w:val="18"/>
                <w:szCs w:val="18"/>
              </w:rPr>
            </w:pPr>
            <w:r w:rsidRPr="00BF1DEF">
              <w:rPr>
                <w:sz w:val="18"/>
                <w:szCs w:val="18"/>
              </w:rPr>
              <w:t>0.01329</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r>
      <w:tr w:rsidR="00B97965" w:rsidRPr="00BF1DEF" w:rsidTr="00B97965">
        <w:trPr>
          <w:trHeight w:val="170"/>
        </w:trPr>
        <w:tc>
          <w:tcPr>
            <w:tcW w:w="1242" w:type="dxa"/>
            <w:noWrap/>
            <w:hideMark/>
          </w:tcPr>
          <w:p w:rsidR="00B97965" w:rsidRPr="00BF1DEF" w:rsidRDefault="00B97965" w:rsidP="00B97965">
            <w:pPr>
              <w:spacing w:line="240" w:lineRule="auto"/>
              <w:rPr>
                <w:sz w:val="18"/>
                <w:szCs w:val="18"/>
              </w:rPr>
            </w:pPr>
            <w:r w:rsidRPr="00BF1DEF">
              <w:rPr>
                <w:sz w:val="18"/>
                <w:szCs w:val="18"/>
              </w:rPr>
              <w:t>51</w:t>
            </w:r>
          </w:p>
        </w:tc>
        <w:tc>
          <w:tcPr>
            <w:tcW w:w="1509" w:type="dxa"/>
            <w:noWrap/>
            <w:hideMark/>
          </w:tcPr>
          <w:p w:rsidR="00B97965" w:rsidRPr="00BF1DEF" w:rsidRDefault="00B97965" w:rsidP="00B97965">
            <w:pPr>
              <w:spacing w:line="240" w:lineRule="auto"/>
              <w:rPr>
                <w:sz w:val="18"/>
                <w:szCs w:val="18"/>
              </w:rPr>
            </w:pPr>
            <w:r w:rsidRPr="00BF1DEF">
              <w:rPr>
                <w:sz w:val="18"/>
                <w:szCs w:val="18"/>
              </w:rPr>
              <w:t>0.01199</w:t>
            </w:r>
          </w:p>
        </w:tc>
        <w:tc>
          <w:tcPr>
            <w:tcW w:w="1417" w:type="dxa"/>
            <w:noWrap/>
            <w:hideMark/>
          </w:tcPr>
          <w:p w:rsidR="00B97965" w:rsidRPr="00BF1DEF" w:rsidRDefault="00B97965" w:rsidP="00B97965">
            <w:pPr>
              <w:spacing w:line="240" w:lineRule="auto"/>
              <w:rPr>
                <w:sz w:val="18"/>
                <w:szCs w:val="18"/>
              </w:rPr>
            </w:pPr>
            <w:r w:rsidRPr="00BF1DEF">
              <w:rPr>
                <w:sz w:val="18"/>
                <w:szCs w:val="18"/>
              </w:rPr>
              <w:t>0</w:t>
            </w: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c>
          <w:tcPr>
            <w:tcW w:w="1417" w:type="dxa"/>
          </w:tcPr>
          <w:p w:rsidR="00B97965" w:rsidRPr="00BF1DEF" w:rsidRDefault="00B97965" w:rsidP="00B97965">
            <w:pPr>
              <w:spacing w:line="240" w:lineRule="auto"/>
              <w:rPr>
                <w:sz w:val="18"/>
                <w:szCs w:val="18"/>
              </w:rPr>
            </w:pPr>
          </w:p>
        </w:tc>
      </w:tr>
    </w:tbl>
    <w:p w:rsidR="00BE457B" w:rsidRDefault="00BE457B" w:rsidP="00396982">
      <w:pPr>
        <w:pStyle w:val="Heading1"/>
        <w:numPr>
          <w:ilvl w:val="0"/>
          <w:numId w:val="0"/>
        </w:numPr>
        <w:rPr>
          <w:lang w:bidi="ar-SA"/>
        </w:rPr>
      </w:pPr>
    </w:p>
    <w:p w:rsidR="00B97965" w:rsidRPr="00BE457B" w:rsidRDefault="00B97965" w:rsidP="00BE457B">
      <w:pPr>
        <w:pStyle w:val="Heading1"/>
        <w:numPr>
          <w:ilvl w:val="0"/>
          <w:numId w:val="0"/>
        </w:numPr>
        <w:rPr>
          <w:rStyle w:val="Emphasis"/>
          <w:spacing w:val="15"/>
        </w:rPr>
      </w:pPr>
      <w:bookmarkStart w:id="701" w:name="_Toc379467715"/>
      <w:r>
        <w:rPr>
          <w:lang w:bidi="ar-SA"/>
        </w:rPr>
        <w:t>Appendix</w:t>
      </w:r>
      <w:r w:rsidR="00396982">
        <w:rPr>
          <w:lang w:bidi="ar-SA"/>
        </w:rPr>
        <w:t xml:space="preserve"> 11</w:t>
      </w:r>
      <w:r w:rsidR="00BE457B">
        <w:rPr>
          <w:lang w:bidi="ar-SA"/>
        </w:rPr>
        <w:t xml:space="preserve">: </w:t>
      </w:r>
      <w:r w:rsidRPr="00234693">
        <w:rPr>
          <w:rStyle w:val="Emphasis"/>
        </w:rPr>
        <w:t>Simulation Parameter Distributions</w:t>
      </w:r>
      <w:bookmarkEnd w:id="698"/>
      <w:bookmarkEnd w:id="701"/>
    </w:p>
    <w:p w:rsidR="00B97965" w:rsidRPr="00734037" w:rsidRDefault="00B97965" w:rsidP="00B97965">
      <w:r w:rsidRPr="00734037">
        <w:t>SLEDAI Item Models</w:t>
      </w:r>
    </w:p>
    <w:p w:rsidR="00B97965" w:rsidRDefault="00B97965" w:rsidP="00234693">
      <w:pPr>
        <w:pStyle w:val="Caption"/>
      </w:pPr>
      <w:r>
        <w:t xml:space="preserve">Table </w:t>
      </w:r>
      <w:fldSimple w:instr=" SEQ Table \* ARABIC ">
        <w:r w:rsidR="004911B7">
          <w:rPr>
            <w:noProof/>
          </w:rPr>
          <w:t>67</w:t>
        </w:r>
      </w:fldSimple>
      <w:r>
        <w:t>: Seizure model parameter details</w:t>
      </w:r>
    </w:p>
    <w:tbl>
      <w:tblPr>
        <w:tblStyle w:val="TableGrid"/>
        <w:tblW w:w="9100" w:type="dxa"/>
        <w:tblLayout w:type="fixed"/>
        <w:tblCellMar>
          <w:left w:w="28" w:type="dxa"/>
          <w:right w:w="28" w:type="dxa"/>
        </w:tblCellMar>
        <w:tblLook w:val="04A0"/>
      </w:tblPr>
      <w:tblGrid>
        <w:gridCol w:w="2296"/>
        <w:gridCol w:w="851"/>
        <w:gridCol w:w="1063"/>
        <w:gridCol w:w="1063"/>
        <w:gridCol w:w="1063"/>
        <w:gridCol w:w="1063"/>
        <w:gridCol w:w="1701"/>
      </w:tblGrid>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2" w:type="dxa"/>
            <w:gridSpan w:val="4"/>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African American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0.9866</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0.2418</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Seizure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1.8503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-0.0205</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0.2371</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Low Complement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1.3484</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0.0023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-0.0160</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0.1506</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-9.6643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-0.2030</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0.0879</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-0.1039</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0.6499</w:t>
            </w: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68</w:t>
        </w:r>
      </w:fldSimple>
      <w:r>
        <w:t>: Psychosis model parameter details</w:t>
      </w:r>
    </w:p>
    <w:tbl>
      <w:tblPr>
        <w:tblStyle w:val="TableGrid"/>
        <w:tblW w:w="9100" w:type="dxa"/>
        <w:tblLayout w:type="fixed"/>
        <w:tblCellMar>
          <w:left w:w="28" w:type="dxa"/>
          <w:right w:w="28" w:type="dxa"/>
        </w:tblCellMar>
        <w:tblLook w:val="04A0"/>
      </w:tblPr>
      <w:tblGrid>
        <w:gridCol w:w="2295"/>
        <w:gridCol w:w="851"/>
        <w:gridCol w:w="1063"/>
        <w:gridCol w:w="1063"/>
        <w:gridCol w:w="1063"/>
        <w:gridCol w:w="1064"/>
        <w:gridCol w:w="1701"/>
      </w:tblGrid>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3" w:type="dxa"/>
            <w:gridSpan w:val="4"/>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Psychosis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5.1913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0.8702</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OBS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2.0323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-0.4546</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0.7952</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Lupus Headache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2.2125</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0.0123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-0.0223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0.8364</w:t>
            </w: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-7.7534</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0.3881</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-0.2563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-0.0668</w:t>
            </w:r>
          </w:p>
        </w:tc>
        <w:tc>
          <w:tcPr>
            <w:tcW w:w="1064"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0.3790</w:t>
            </w: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9100" w:type="dxa"/>
            <w:gridSpan w:val="7"/>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OBS Organic Brain Syndrome</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69</w:t>
        </w:r>
      </w:fldSimple>
      <w:r>
        <w:t>: Organic Brain Syndrome model parameter details</w:t>
      </w:r>
    </w:p>
    <w:tbl>
      <w:tblPr>
        <w:tblStyle w:val="TableGrid"/>
        <w:tblW w:w="9100" w:type="dxa"/>
        <w:tblLayout w:type="fixed"/>
        <w:tblCellMar>
          <w:left w:w="28" w:type="dxa"/>
          <w:right w:w="28" w:type="dxa"/>
        </w:tblCellMar>
        <w:tblLook w:val="04A0"/>
      </w:tblPr>
      <w:tblGrid>
        <w:gridCol w:w="2296"/>
        <w:gridCol w:w="851"/>
        <w:gridCol w:w="1417"/>
        <w:gridCol w:w="1417"/>
        <w:gridCol w:w="1418"/>
        <w:gridCol w:w="1701"/>
      </w:tblGrid>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Parameter name</w:t>
            </w:r>
          </w:p>
        </w:tc>
        <w:tc>
          <w:tcPr>
            <w:tcW w:w="851"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Mean Estimate</w:t>
            </w:r>
          </w:p>
        </w:tc>
        <w:tc>
          <w:tcPr>
            <w:tcW w:w="4252" w:type="dxa"/>
            <w:gridSpan w:val="3"/>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Covariance Matrix</w:t>
            </w:r>
          </w:p>
        </w:tc>
        <w:tc>
          <w:tcPr>
            <w:tcW w:w="1701"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Distribution</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Lag OBS  coefficient</w:t>
            </w:r>
          </w:p>
        </w:tc>
        <w:tc>
          <w:tcPr>
            <w:tcW w:w="851"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1.8502</w:t>
            </w:r>
          </w:p>
        </w:tc>
        <w:tc>
          <w:tcPr>
            <w:tcW w:w="1417"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0.111611</w:t>
            </w:r>
          </w:p>
        </w:tc>
        <w:tc>
          <w:tcPr>
            <w:tcW w:w="1417" w:type="dxa"/>
            <w:vAlign w:val="bottom"/>
          </w:tcPr>
          <w:p w:rsidR="00B97965" w:rsidRPr="00584325" w:rsidRDefault="00B97965" w:rsidP="00B97965">
            <w:pPr>
              <w:rPr>
                <w:rFonts w:asciiTheme="majorBidi" w:hAnsiTheme="majorBidi" w:cstheme="majorBidi"/>
                <w:color w:val="000000"/>
                <w:sz w:val="16"/>
                <w:szCs w:val="16"/>
              </w:rPr>
            </w:pPr>
          </w:p>
        </w:tc>
        <w:tc>
          <w:tcPr>
            <w:tcW w:w="1418" w:type="dxa"/>
            <w:vAlign w:val="bottom"/>
          </w:tcPr>
          <w:p w:rsidR="00B97965" w:rsidRPr="00584325" w:rsidRDefault="00B97965" w:rsidP="00B97965">
            <w:pPr>
              <w:rPr>
                <w:rFonts w:asciiTheme="majorBidi" w:hAnsiTheme="majorBidi" w:cstheme="majorBidi"/>
                <w:color w:val="000000"/>
                <w:sz w:val="16"/>
                <w:szCs w:val="16"/>
              </w:rPr>
            </w:pPr>
          </w:p>
        </w:tc>
        <w:tc>
          <w:tcPr>
            <w:tcW w:w="1701" w:type="dxa"/>
          </w:tcPr>
          <w:p w:rsidR="00B97965" w:rsidRPr="00584325" w:rsidRDefault="00B97965" w:rsidP="00B97965">
            <w:pPr>
              <w:spacing w:line="276" w:lineRule="auto"/>
              <w:jc w:val="center"/>
              <w:rPr>
                <w:rFonts w:asciiTheme="majorBidi" w:hAnsiTheme="majorBidi" w:cstheme="majorBidi"/>
                <w:sz w:val="16"/>
                <w:szCs w:val="16"/>
              </w:rPr>
            </w:pPr>
            <w:r w:rsidRPr="00584325">
              <w:rPr>
                <w:rFonts w:asciiTheme="majorBidi" w:hAnsiTheme="majorBidi" w:cstheme="majorBidi"/>
                <w:sz w:val="16"/>
                <w:szCs w:val="16"/>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Lag Myositis coefficient</w:t>
            </w:r>
          </w:p>
        </w:tc>
        <w:tc>
          <w:tcPr>
            <w:tcW w:w="851"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1.4969</w:t>
            </w:r>
          </w:p>
        </w:tc>
        <w:tc>
          <w:tcPr>
            <w:tcW w:w="1417"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0.001876</w:t>
            </w:r>
          </w:p>
        </w:tc>
        <w:tc>
          <w:tcPr>
            <w:tcW w:w="1417"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0.582429</w:t>
            </w:r>
          </w:p>
        </w:tc>
        <w:tc>
          <w:tcPr>
            <w:tcW w:w="1418" w:type="dxa"/>
            <w:vAlign w:val="bottom"/>
          </w:tcPr>
          <w:p w:rsidR="00B97965" w:rsidRPr="00584325" w:rsidRDefault="00B97965" w:rsidP="00B97965">
            <w:pPr>
              <w:rPr>
                <w:rFonts w:asciiTheme="majorBidi" w:hAnsiTheme="majorBidi" w:cstheme="majorBidi"/>
                <w:color w:val="000000"/>
                <w:sz w:val="16"/>
                <w:szCs w:val="16"/>
              </w:rPr>
            </w:pPr>
          </w:p>
        </w:tc>
        <w:tc>
          <w:tcPr>
            <w:tcW w:w="1701" w:type="dxa"/>
          </w:tcPr>
          <w:p w:rsidR="00B97965" w:rsidRPr="00584325" w:rsidRDefault="00B97965" w:rsidP="00B97965">
            <w:pPr>
              <w:spacing w:line="276" w:lineRule="auto"/>
              <w:jc w:val="center"/>
              <w:rPr>
                <w:rFonts w:asciiTheme="majorBidi" w:hAnsiTheme="majorBidi" w:cstheme="majorBidi"/>
                <w:sz w:val="16"/>
                <w:szCs w:val="16"/>
              </w:rPr>
            </w:pPr>
            <w:r w:rsidRPr="00584325">
              <w:rPr>
                <w:rFonts w:asciiTheme="majorBidi" w:hAnsiTheme="majorBidi" w:cstheme="majorBidi"/>
                <w:sz w:val="16"/>
                <w:szCs w:val="16"/>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Intercept</w:t>
            </w:r>
          </w:p>
        </w:tc>
        <w:tc>
          <w:tcPr>
            <w:tcW w:w="851"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-7.9324</w:t>
            </w:r>
          </w:p>
        </w:tc>
        <w:tc>
          <w:tcPr>
            <w:tcW w:w="1417"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0.034591</w:t>
            </w:r>
          </w:p>
        </w:tc>
        <w:tc>
          <w:tcPr>
            <w:tcW w:w="1417"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-0.02099</w:t>
            </w:r>
          </w:p>
        </w:tc>
        <w:tc>
          <w:tcPr>
            <w:tcW w:w="1418" w:type="dxa"/>
            <w:vAlign w:val="bottom"/>
          </w:tcPr>
          <w:p w:rsidR="00B97965" w:rsidRPr="00584325" w:rsidRDefault="00B97965" w:rsidP="00B97965">
            <w:pPr>
              <w:jc w:val="right"/>
              <w:rPr>
                <w:rFonts w:asciiTheme="majorBidi" w:hAnsiTheme="majorBidi" w:cstheme="majorBidi"/>
                <w:color w:val="000000"/>
                <w:sz w:val="16"/>
                <w:szCs w:val="16"/>
              </w:rPr>
            </w:pPr>
            <w:r w:rsidRPr="00584325">
              <w:rPr>
                <w:rFonts w:asciiTheme="majorBidi" w:hAnsiTheme="majorBidi" w:cstheme="majorBidi"/>
                <w:color w:val="000000"/>
                <w:sz w:val="16"/>
                <w:szCs w:val="16"/>
              </w:rPr>
              <w:t>0.22473855</w:t>
            </w:r>
          </w:p>
        </w:tc>
        <w:tc>
          <w:tcPr>
            <w:tcW w:w="1701" w:type="dxa"/>
          </w:tcPr>
          <w:p w:rsidR="00B97965" w:rsidRPr="00584325" w:rsidRDefault="00B97965" w:rsidP="00B97965">
            <w:pPr>
              <w:spacing w:line="276" w:lineRule="auto"/>
              <w:jc w:val="center"/>
              <w:rPr>
                <w:rFonts w:asciiTheme="majorBidi" w:hAnsiTheme="majorBidi" w:cstheme="majorBidi"/>
                <w:sz w:val="16"/>
                <w:szCs w:val="16"/>
              </w:rPr>
            </w:pPr>
            <w:r w:rsidRPr="00584325">
              <w:rPr>
                <w:rFonts w:asciiTheme="majorBidi" w:hAnsiTheme="majorBidi" w:cstheme="majorBidi"/>
                <w:sz w:val="16"/>
                <w:szCs w:val="16"/>
              </w:rPr>
              <w:t>Multivariate Normal</w:t>
            </w:r>
          </w:p>
        </w:tc>
      </w:tr>
      <w:tr w:rsidR="00B97965" w:rsidRPr="00584325" w:rsidTr="00B97965">
        <w:tc>
          <w:tcPr>
            <w:tcW w:w="9100" w:type="dxa"/>
            <w:gridSpan w:val="6"/>
          </w:tcPr>
          <w:p w:rsidR="00B97965" w:rsidRPr="00584325" w:rsidRDefault="00B97965" w:rsidP="00B97965">
            <w:pPr>
              <w:spacing w:line="276" w:lineRule="auto"/>
              <w:rPr>
                <w:rFonts w:asciiTheme="majorBidi" w:hAnsiTheme="majorBidi" w:cstheme="majorBidi"/>
                <w:sz w:val="16"/>
                <w:szCs w:val="16"/>
              </w:rPr>
            </w:pPr>
            <w:r w:rsidRPr="00584325">
              <w:rPr>
                <w:rFonts w:asciiTheme="majorBidi" w:hAnsiTheme="majorBidi" w:cstheme="majorBidi"/>
                <w:sz w:val="16"/>
                <w:szCs w:val="16"/>
              </w:rPr>
              <w:t>OBS Organic Brain Syndrome</w:t>
            </w:r>
          </w:p>
        </w:tc>
      </w:tr>
    </w:tbl>
    <w:p w:rsidR="00B97965" w:rsidRDefault="00B97965" w:rsidP="00B97965">
      <w:pPr>
        <w:rPr>
          <w:lang w:val="fr-CA"/>
        </w:rPr>
      </w:pPr>
    </w:p>
    <w:p w:rsidR="00B97965" w:rsidRPr="00734037" w:rsidRDefault="00B97965" w:rsidP="00234693">
      <w:pPr>
        <w:pStyle w:val="Caption"/>
      </w:pPr>
      <w:r w:rsidRPr="00734037">
        <w:t xml:space="preserve">Table </w:t>
      </w:r>
      <w:r w:rsidR="00E729BA">
        <w:fldChar w:fldCharType="begin"/>
      </w:r>
      <w:r w:rsidRPr="00734037">
        <w:instrText xml:space="preserve"> SEQ Table \* ARABIC </w:instrText>
      </w:r>
      <w:r w:rsidR="00E729BA">
        <w:fldChar w:fldCharType="separate"/>
      </w:r>
      <w:r w:rsidR="004911B7">
        <w:rPr>
          <w:noProof/>
        </w:rPr>
        <w:t>70</w:t>
      </w:r>
      <w:r w:rsidR="00E729BA">
        <w:fldChar w:fldCharType="end"/>
      </w:r>
      <w:r w:rsidRPr="00734037">
        <w:t>: Visual Distur</w:t>
      </w:r>
      <w:r>
        <w:t>bance</w:t>
      </w:r>
      <w:r w:rsidRPr="00734037">
        <w:t xml:space="preserve"> model parameter details</w:t>
      </w:r>
    </w:p>
    <w:tbl>
      <w:tblPr>
        <w:tblStyle w:val="TableGrid"/>
        <w:tblW w:w="9100" w:type="dxa"/>
        <w:tblLayout w:type="fixed"/>
        <w:tblCellMar>
          <w:left w:w="28" w:type="dxa"/>
          <w:right w:w="28" w:type="dxa"/>
        </w:tblCellMar>
        <w:tblLook w:val="04A0"/>
      </w:tblPr>
      <w:tblGrid>
        <w:gridCol w:w="2294"/>
        <w:gridCol w:w="852"/>
        <w:gridCol w:w="1063"/>
        <w:gridCol w:w="1063"/>
        <w:gridCol w:w="1063"/>
        <w:gridCol w:w="1064"/>
        <w:gridCol w:w="1701"/>
      </w:tblGrid>
      <w:tr w:rsidR="00B97965" w:rsidRPr="00584325" w:rsidTr="00B97965">
        <w:tc>
          <w:tcPr>
            <w:tcW w:w="2294"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2"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3" w:type="dxa"/>
            <w:gridSpan w:val="4"/>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4"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visual disturbance coefficient</w:t>
            </w:r>
          </w:p>
        </w:tc>
        <w:tc>
          <w:tcPr>
            <w:tcW w:w="852"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3.0167</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0.130866</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4"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Haematuria coefficient</w:t>
            </w:r>
          </w:p>
        </w:tc>
        <w:tc>
          <w:tcPr>
            <w:tcW w:w="852"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0.9151</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3.44E-06</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0.139665</w:t>
            </w:r>
          </w:p>
        </w:tc>
        <w:tc>
          <w:tcPr>
            <w:tcW w:w="1063" w:type="dxa"/>
            <w:vAlign w:val="bottom"/>
          </w:tcPr>
          <w:p w:rsidR="00B97965" w:rsidRPr="00584325" w:rsidRDefault="00B97965" w:rsidP="00B97965">
            <w:pPr>
              <w:rPr>
                <w:rFonts w:asciiTheme="majorBidi" w:hAnsiTheme="majorBidi" w:cstheme="majorBidi"/>
                <w:color w:val="000000"/>
                <w:sz w:val="18"/>
                <w:szCs w:val="18"/>
              </w:rPr>
            </w:pP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4"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Increase DNA coefficient</w:t>
            </w:r>
          </w:p>
        </w:tc>
        <w:tc>
          <w:tcPr>
            <w:tcW w:w="852"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0.7687</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-0.00478</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-0.0119</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0.063534</w:t>
            </w:r>
          </w:p>
        </w:tc>
        <w:tc>
          <w:tcPr>
            <w:tcW w:w="1064"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4"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2"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-7.3223</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0.045662</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-0.02129</w:t>
            </w:r>
          </w:p>
        </w:tc>
        <w:tc>
          <w:tcPr>
            <w:tcW w:w="1063"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-0.03117</w:t>
            </w:r>
          </w:p>
        </w:tc>
        <w:tc>
          <w:tcPr>
            <w:tcW w:w="1064"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0.12872</w:t>
            </w: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71</w:t>
        </w:r>
      </w:fldSimple>
      <w:r>
        <w:t>: Cranial Nerve Disorder model parameter details</w:t>
      </w:r>
    </w:p>
    <w:tbl>
      <w:tblPr>
        <w:tblStyle w:val="TableGrid"/>
        <w:tblW w:w="9100" w:type="dxa"/>
        <w:tblLayout w:type="fixed"/>
        <w:tblCellMar>
          <w:left w:w="28" w:type="dxa"/>
          <w:right w:w="28" w:type="dxa"/>
        </w:tblCellMar>
        <w:tblLook w:val="04A0"/>
      </w:tblPr>
      <w:tblGrid>
        <w:gridCol w:w="2295"/>
        <w:gridCol w:w="851"/>
        <w:gridCol w:w="2126"/>
        <w:gridCol w:w="2127"/>
        <w:gridCol w:w="1701"/>
      </w:tblGrid>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3" w:type="dxa"/>
            <w:gridSpan w:val="2"/>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cranial nerve disorder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1.1543</w:t>
            </w:r>
          </w:p>
        </w:tc>
        <w:tc>
          <w:tcPr>
            <w:tcW w:w="2126"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1.43E-01</w:t>
            </w:r>
          </w:p>
        </w:tc>
        <w:tc>
          <w:tcPr>
            <w:tcW w:w="2127"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5"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-6.6201</w:t>
            </w:r>
          </w:p>
        </w:tc>
        <w:tc>
          <w:tcPr>
            <w:tcW w:w="2126"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0.020961</w:t>
            </w:r>
          </w:p>
        </w:tc>
        <w:tc>
          <w:tcPr>
            <w:tcW w:w="2127"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0.061768</w:t>
            </w: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72</w:t>
        </w:r>
      </w:fldSimple>
      <w:r>
        <w:t>: Lupus Headache model parameter details</w:t>
      </w:r>
    </w:p>
    <w:tbl>
      <w:tblPr>
        <w:tblStyle w:val="TableGrid"/>
        <w:tblW w:w="9100" w:type="dxa"/>
        <w:tblLayout w:type="fixed"/>
        <w:tblCellMar>
          <w:left w:w="28" w:type="dxa"/>
          <w:right w:w="28" w:type="dxa"/>
        </w:tblCellMar>
        <w:tblLook w:val="04A0"/>
      </w:tblPr>
      <w:tblGrid>
        <w:gridCol w:w="2296"/>
        <w:gridCol w:w="851"/>
        <w:gridCol w:w="850"/>
        <w:gridCol w:w="850"/>
        <w:gridCol w:w="851"/>
        <w:gridCol w:w="850"/>
        <w:gridCol w:w="851"/>
        <w:gridCol w:w="1701"/>
      </w:tblGrid>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2" w:type="dxa"/>
            <w:gridSpan w:val="5"/>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log transformed age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-1.7834</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0.25302</w:t>
            </w:r>
          </w:p>
        </w:tc>
        <w:tc>
          <w:tcPr>
            <w:tcW w:w="850" w:type="dxa"/>
            <w:vAlign w:val="bottom"/>
          </w:tcPr>
          <w:p w:rsidR="00B97965" w:rsidRPr="00584325" w:rsidRDefault="00B97965" w:rsidP="00B97965">
            <w:pPr>
              <w:rPr>
                <w:rFonts w:asciiTheme="majorBidi" w:hAnsiTheme="majorBidi" w:cstheme="majorBidi"/>
                <w:color w:val="000000"/>
                <w:sz w:val="18"/>
                <w:szCs w:val="18"/>
              </w:rPr>
            </w:pP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850" w:type="dxa"/>
            <w:vAlign w:val="bottom"/>
          </w:tcPr>
          <w:p w:rsidR="00B97965" w:rsidRPr="00584325" w:rsidRDefault="00B97965" w:rsidP="00B97965">
            <w:pPr>
              <w:rPr>
                <w:rFonts w:asciiTheme="majorBidi" w:hAnsiTheme="majorBidi" w:cstheme="majorBidi"/>
                <w:color w:val="000000"/>
                <w:sz w:val="18"/>
                <w:szCs w:val="18"/>
              </w:rPr>
            </w:pP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Lupus Headache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2.4789</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0.025441</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0.109346</w:t>
            </w: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850" w:type="dxa"/>
            <w:vAlign w:val="bottom"/>
          </w:tcPr>
          <w:p w:rsidR="00B97965" w:rsidRPr="00584325" w:rsidRDefault="00B97965" w:rsidP="00B97965">
            <w:pPr>
              <w:rPr>
                <w:rFonts w:asciiTheme="majorBidi" w:hAnsiTheme="majorBidi" w:cstheme="majorBidi"/>
                <w:color w:val="000000"/>
                <w:sz w:val="18"/>
                <w:szCs w:val="18"/>
              </w:rPr>
            </w:pP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Proteinuria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1.0859</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0.00605</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-0.00596</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0.098322</w:t>
            </w:r>
          </w:p>
        </w:tc>
        <w:tc>
          <w:tcPr>
            <w:tcW w:w="850" w:type="dxa"/>
            <w:vAlign w:val="bottom"/>
          </w:tcPr>
          <w:p w:rsidR="00B97965" w:rsidRPr="00584325" w:rsidRDefault="00B97965" w:rsidP="00B97965">
            <w:pPr>
              <w:rPr>
                <w:rFonts w:asciiTheme="majorBidi" w:hAnsiTheme="majorBidi" w:cstheme="majorBidi"/>
                <w:color w:val="000000"/>
                <w:sz w:val="18"/>
                <w:szCs w:val="18"/>
              </w:rPr>
            </w:pP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Leukopenia coefficient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0.6346</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0.007633</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0.006188</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-0.00508</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0.119032</w:t>
            </w:r>
          </w:p>
        </w:tc>
        <w:tc>
          <w:tcPr>
            <w:tcW w:w="851"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-0.5371</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-0.84103</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-0.04795</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-0.05538</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-0.03683</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2.942823</w:t>
            </w:r>
          </w:p>
        </w:tc>
        <w:tc>
          <w:tcPr>
            <w:tcW w:w="1701" w:type="dxa"/>
          </w:tcPr>
          <w:p w:rsidR="00B97965" w:rsidRPr="00584325" w:rsidRDefault="00B97965" w:rsidP="00B97965">
            <w:pPr>
              <w:spacing w:line="276" w:lineRule="auto"/>
              <w:jc w:val="center"/>
              <w:rPr>
                <w:rFonts w:asciiTheme="majorBidi" w:hAnsiTheme="majorBidi" w:cstheme="majorBidi"/>
                <w:sz w:val="18"/>
                <w:szCs w:val="18"/>
              </w:rPr>
            </w:pPr>
            <w:r w:rsidRPr="00584325">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73</w:t>
      </w:r>
      <w:r w:rsidR="00E729BA">
        <w:fldChar w:fldCharType="end"/>
      </w:r>
      <w:r w:rsidRPr="00AE2D43">
        <w:t>: Cerebrovascular event model parameter details</w:t>
      </w:r>
    </w:p>
    <w:tbl>
      <w:tblPr>
        <w:tblStyle w:val="TableGrid"/>
        <w:tblW w:w="9100" w:type="dxa"/>
        <w:tblLayout w:type="fixed"/>
        <w:tblCellMar>
          <w:left w:w="28" w:type="dxa"/>
          <w:right w:w="28" w:type="dxa"/>
        </w:tblCellMar>
        <w:tblLook w:val="04A0"/>
      </w:tblPr>
      <w:tblGrid>
        <w:gridCol w:w="2296"/>
        <w:gridCol w:w="851"/>
        <w:gridCol w:w="4252"/>
        <w:gridCol w:w="1701"/>
      </w:tblGrid>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252"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296"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1"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-8.1021</w:t>
            </w:r>
          </w:p>
        </w:tc>
        <w:tc>
          <w:tcPr>
            <w:tcW w:w="4252" w:type="dxa"/>
            <w:vAlign w:val="bottom"/>
          </w:tcPr>
          <w:p w:rsidR="00B97965" w:rsidRPr="00584325" w:rsidRDefault="00B97965" w:rsidP="00B97965">
            <w:pPr>
              <w:rPr>
                <w:rFonts w:asciiTheme="majorBidi" w:hAnsiTheme="majorBidi" w:cstheme="majorBidi"/>
                <w:color w:val="000000"/>
                <w:sz w:val="18"/>
                <w:szCs w:val="18"/>
              </w:rPr>
            </w:pPr>
            <w:r w:rsidRPr="00584325">
              <w:rPr>
                <w:rFonts w:asciiTheme="majorBidi" w:hAnsiTheme="majorBidi" w:cstheme="majorBidi"/>
                <w:color w:val="000000"/>
                <w:sz w:val="18"/>
                <w:szCs w:val="18"/>
              </w:rPr>
              <w:t>0.92113082</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74</w:t>
      </w:r>
      <w:r w:rsidR="00E729BA">
        <w:fldChar w:fldCharType="end"/>
      </w:r>
      <w:r w:rsidRPr="00AE2D43">
        <w:t xml:space="preserve">: </w:t>
      </w:r>
      <w:r>
        <w:t>Vasculitis</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648"/>
        <w:gridCol w:w="648"/>
        <w:gridCol w:w="648"/>
        <w:gridCol w:w="648"/>
        <w:gridCol w:w="648"/>
        <w:gridCol w:w="648"/>
        <w:gridCol w:w="648"/>
        <w:gridCol w:w="1701"/>
      </w:tblGrid>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Parameter name</w:t>
            </w:r>
          </w:p>
        </w:tc>
        <w:tc>
          <w:tcPr>
            <w:tcW w:w="850"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Mean Estimate</w:t>
            </w:r>
          </w:p>
        </w:tc>
        <w:tc>
          <w:tcPr>
            <w:tcW w:w="4536" w:type="dxa"/>
            <w:gridSpan w:val="7"/>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Covariance Matrix</w:t>
            </w:r>
          </w:p>
        </w:tc>
        <w:tc>
          <w:tcPr>
            <w:tcW w:w="1701"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Distribution</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Hypertension coefficient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0.3714</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0.0291</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vasculitis coefficient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2.3860</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-0.0028</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0.03359</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New rash coefficient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0.4948</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0.00059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-0.0002</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0.03226</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Mucosal ulcers</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0.6046</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-0.0003</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-0.0031</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-0.0036</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0.06259</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Low complement coefficient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0.7225</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0.00069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-0.0023</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-0.0006</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0.02809</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Lag Increased DNA coefficient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0.3795</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-0.0011</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-0.0013</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-0.0021</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0.00079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-0.0079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0.03141</w:t>
            </w:r>
          </w:p>
        </w:tc>
        <w:tc>
          <w:tcPr>
            <w:tcW w:w="648" w:type="dxa"/>
            <w:vAlign w:val="bottom"/>
          </w:tcPr>
          <w:p w:rsidR="00B97965" w:rsidRPr="00584325" w:rsidRDefault="00B97965" w:rsidP="00B97965">
            <w:pPr>
              <w:rPr>
                <w:rFonts w:asciiTheme="majorBidi" w:hAnsiTheme="majorBidi" w:cstheme="majorBidi"/>
                <w:color w:val="000000"/>
                <w:sz w:val="18"/>
                <w:szCs w:val="18"/>
              </w:rPr>
            </w:pP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r w:rsidR="00B97965" w:rsidRPr="00584325" w:rsidTr="00B97965">
        <w:tc>
          <w:tcPr>
            <w:tcW w:w="2013" w:type="dxa"/>
          </w:tcPr>
          <w:p w:rsidR="00B97965" w:rsidRPr="00584325" w:rsidRDefault="00B97965" w:rsidP="00B97965">
            <w:pPr>
              <w:spacing w:line="276" w:lineRule="auto"/>
              <w:rPr>
                <w:rFonts w:asciiTheme="majorBidi" w:hAnsiTheme="majorBidi" w:cstheme="majorBidi"/>
                <w:sz w:val="18"/>
                <w:szCs w:val="18"/>
              </w:rPr>
            </w:pPr>
            <w:r w:rsidRPr="00584325">
              <w:rPr>
                <w:rFonts w:asciiTheme="majorBidi" w:hAnsiTheme="majorBidi" w:cstheme="majorBidi"/>
                <w:sz w:val="18"/>
                <w:szCs w:val="18"/>
              </w:rPr>
              <w:t>Intercept</w:t>
            </w:r>
          </w:p>
        </w:tc>
        <w:tc>
          <w:tcPr>
            <w:tcW w:w="850"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-6.7457</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-0.017</w:t>
            </w:r>
            <w:r>
              <w:rPr>
                <w:rFonts w:asciiTheme="majorBidi" w:hAnsiTheme="majorBidi" w:cstheme="majorBidi"/>
                <w:color w:val="000000"/>
                <w:sz w:val="18"/>
                <w:szCs w:val="18"/>
              </w:rPr>
              <w:t>5</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0.01268</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0.00167</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-0.003</w:t>
            </w:r>
            <w:r>
              <w:rPr>
                <w:rFonts w:asciiTheme="majorBidi" w:hAnsiTheme="majorBidi" w:cstheme="majorBidi"/>
                <w:color w:val="000000"/>
                <w:sz w:val="18"/>
                <w:szCs w:val="18"/>
              </w:rPr>
              <w:t>4</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-0.0112</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-0.0099</w:t>
            </w:r>
          </w:p>
        </w:tc>
        <w:tc>
          <w:tcPr>
            <w:tcW w:w="64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0.0752</w:t>
            </w:r>
            <w:r>
              <w:rPr>
                <w:rFonts w:asciiTheme="majorBidi" w:hAnsiTheme="majorBidi" w:cstheme="majorBidi"/>
                <w:color w:val="000000"/>
                <w:sz w:val="18"/>
                <w:szCs w:val="18"/>
              </w:rPr>
              <w:t>6</w:t>
            </w:r>
          </w:p>
        </w:tc>
        <w:tc>
          <w:tcPr>
            <w:tcW w:w="1701" w:type="dxa"/>
          </w:tcPr>
          <w:p w:rsidR="00B97965" w:rsidRPr="00584325" w:rsidRDefault="00B97965" w:rsidP="00B97965">
            <w:pPr>
              <w:rPr>
                <w:rFonts w:asciiTheme="majorBidi" w:hAnsiTheme="majorBidi" w:cstheme="majorBidi"/>
                <w:sz w:val="18"/>
                <w:szCs w:val="18"/>
              </w:rPr>
            </w:pPr>
            <w:r w:rsidRPr="00584325">
              <w:rPr>
                <w:rFonts w:asciiTheme="majorBidi" w:hAnsiTheme="majorBidi" w:cstheme="majorBidi"/>
                <w:sz w:val="18"/>
                <w:szCs w:val="18"/>
              </w:rPr>
              <w:t>Multivariate Normal</w:t>
            </w:r>
          </w:p>
        </w:tc>
      </w:tr>
    </w:tbl>
    <w:p w:rsidR="00B97965" w:rsidRPr="00734037" w:rsidRDefault="00B97965" w:rsidP="00B97965">
      <w:pPr>
        <w:rPr>
          <w:lang w:val="fr-CA"/>
        </w:rPr>
      </w:pPr>
    </w:p>
    <w:p w:rsidR="00B97965" w:rsidRDefault="00B97965" w:rsidP="00234693">
      <w:pPr>
        <w:pStyle w:val="Caption"/>
      </w:pPr>
      <w:r>
        <w:t xml:space="preserve">Table </w:t>
      </w:r>
      <w:fldSimple w:instr=" SEQ Table \* ARABIC ">
        <w:r w:rsidR="004911B7">
          <w:rPr>
            <w:noProof/>
          </w:rPr>
          <w:t>75</w:t>
        </w:r>
      </w:fldSimple>
      <w:r>
        <w:t>: Urinary Casts model parameter details</w:t>
      </w:r>
    </w:p>
    <w:tbl>
      <w:tblPr>
        <w:tblStyle w:val="TableGrid"/>
        <w:tblW w:w="9100" w:type="dxa"/>
        <w:tblLayout w:type="fixed"/>
        <w:tblCellMar>
          <w:left w:w="28" w:type="dxa"/>
          <w:right w:w="28" w:type="dxa"/>
        </w:tblCellMar>
        <w:tblLook w:val="04A0"/>
      </w:tblPr>
      <w:tblGrid>
        <w:gridCol w:w="2295"/>
        <w:gridCol w:w="851"/>
        <w:gridCol w:w="2126"/>
        <w:gridCol w:w="2127"/>
        <w:gridCol w:w="1701"/>
      </w:tblGrid>
      <w:tr w:rsidR="00B97965" w:rsidRPr="00B90543" w:rsidTr="00B97965">
        <w:tc>
          <w:tcPr>
            <w:tcW w:w="2295"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Parameter name</w:t>
            </w:r>
          </w:p>
        </w:tc>
        <w:tc>
          <w:tcPr>
            <w:tcW w:w="851"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Mean Estimate</w:t>
            </w:r>
          </w:p>
        </w:tc>
        <w:tc>
          <w:tcPr>
            <w:tcW w:w="4253" w:type="dxa"/>
            <w:gridSpan w:val="2"/>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Covariance Matrix</w:t>
            </w:r>
          </w:p>
        </w:tc>
        <w:tc>
          <w:tcPr>
            <w:tcW w:w="1701"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Distribution</w:t>
            </w:r>
          </w:p>
        </w:tc>
      </w:tr>
      <w:tr w:rsidR="00B97965" w:rsidRPr="00B90543" w:rsidTr="00B97965">
        <w:tc>
          <w:tcPr>
            <w:tcW w:w="2295"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Log transformed age coefficient</w:t>
            </w:r>
          </w:p>
        </w:tc>
        <w:tc>
          <w:tcPr>
            <w:tcW w:w="851"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-3.8345</w:t>
            </w:r>
          </w:p>
        </w:tc>
        <w:tc>
          <w:tcPr>
            <w:tcW w:w="2126"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1.445433</w:t>
            </w:r>
          </w:p>
        </w:tc>
        <w:tc>
          <w:tcPr>
            <w:tcW w:w="2127" w:type="dxa"/>
            <w:vAlign w:val="bottom"/>
          </w:tcPr>
          <w:p w:rsidR="00B97965" w:rsidRPr="00B90543" w:rsidRDefault="00B97965" w:rsidP="00B97965">
            <w:pPr>
              <w:rPr>
                <w:rFonts w:asciiTheme="majorBidi" w:hAnsiTheme="majorBidi" w:cstheme="majorBidi"/>
                <w:color w:val="000000"/>
                <w:sz w:val="18"/>
                <w:szCs w:val="18"/>
              </w:rPr>
            </w:pPr>
          </w:p>
        </w:tc>
        <w:tc>
          <w:tcPr>
            <w:tcW w:w="1701" w:type="dxa"/>
          </w:tcPr>
          <w:p w:rsidR="00B97965" w:rsidRPr="00B90543" w:rsidRDefault="00B97965" w:rsidP="00B97965">
            <w:pPr>
              <w:spacing w:line="276" w:lineRule="auto"/>
              <w:jc w:val="cente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295"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Intercept</w:t>
            </w:r>
          </w:p>
        </w:tc>
        <w:tc>
          <w:tcPr>
            <w:tcW w:w="851"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2.9133</w:t>
            </w:r>
          </w:p>
        </w:tc>
        <w:tc>
          <w:tcPr>
            <w:tcW w:w="2126"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-4.61044</w:t>
            </w:r>
          </w:p>
        </w:tc>
        <w:tc>
          <w:tcPr>
            <w:tcW w:w="2127"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16.04229</w:t>
            </w:r>
          </w:p>
        </w:tc>
        <w:tc>
          <w:tcPr>
            <w:tcW w:w="1701" w:type="dxa"/>
          </w:tcPr>
          <w:p w:rsidR="00B97965" w:rsidRPr="00B90543" w:rsidRDefault="00B97965" w:rsidP="00B97965">
            <w:pPr>
              <w:spacing w:line="276" w:lineRule="auto"/>
              <w:jc w:val="center"/>
              <w:rPr>
                <w:rFonts w:asciiTheme="majorBidi" w:hAnsiTheme="majorBidi" w:cstheme="majorBidi"/>
                <w:sz w:val="18"/>
                <w:szCs w:val="18"/>
              </w:rPr>
            </w:pPr>
            <w:r w:rsidRPr="00B90543">
              <w:rPr>
                <w:rFonts w:asciiTheme="majorBidi" w:hAnsiTheme="majorBidi" w:cstheme="majorBidi"/>
                <w:sz w:val="18"/>
                <w:szCs w:val="18"/>
              </w:rPr>
              <w:t>Multivariate Normal</w:t>
            </w:r>
          </w:p>
        </w:tc>
      </w:tr>
    </w:tbl>
    <w:p w:rsidR="00B97965" w:rsidRDefault="00B97965" w:rsidP="00B97965">
      <w:pPr>
        <w:rPr>
          <w:lang w:val="fr-CA"/>
        </w:rPr>
      </w:pPr>
    </w:p>
    <w:p w:rsidR="00221DD6" w:rsidRDefault="00221DD6"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76</w:t>
      </w:r>
      <w:r w:rsidR="00E729BA">
        <w:fldChar w:fldCharType="end"/>
      </w:r>
      <w:r w:rsidRPr="00AE2D43">
        <w:t xml:space="preserve">: </w:t>
      </w:r>
      <w:r>
        <w:t>Haematuria</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602"/>
        <w:gridCol w:w="602"/>
        <w:gridCol w:w="603"/>
        <w:gridCol w:w="602"/>
        <w:gridCol w:w="602"/>
        <w:gridCol w:w="603"/>
        <w:gridCol w:w="602"/>
        <w:gridCol w:w="603"/>
        <w:gridCol w:w="1559"/>
      </w:tblGrid>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Parameter name</w:t>
            </w:r>
          </w:p>
        </w:tc>
        <w:tc>
          <w:tcPr>
            <w:tcW w:w="709"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Mean Estimate</w:t>
            </w:r>
          </w:p>
        </w:tc>
        <w:tc>
          <w:tcPr>
            <w:tcW w:w="4819" w:type="dxa"/>
            <w:gridSpan w:val="8"/>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Covariance Matrix</w:t>
            </w:r>
          </w:p>
        </w:tc>
        <w:tc>
          <w:tcPr>
            <w:tcW w:w="1559"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Distribution</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Log transformed age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-0.8761</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0.0356</w:t>
            </w: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African America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0.4786</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0.0002</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0.0140</w:t>
            </w: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Lag haematuria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1.4368</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0.0106</w:t>
            </w: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Lag Proteinuria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0.7178</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-0.002</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0.012</w:t>
            </w: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Lag  Pyuria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0.6817</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-0.0002</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-0.0027</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w:t>
            </w:r>
            <w:r>
              <w:rPr>
                <w:rFonts w:asciiTheme="majorBidi" w:hAnsiTheme="majorBidi" w:cstheme="majorBidi"/>
                <w:color w:val="000000"/>
                <w:sz w:val="16"/>
                <w:szCs w:val="16"/>
              </w:rPr>
              <w:t>2</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0.01853</w:t>
            </w: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Lag low complement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0.4442</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0.00126</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0.00014</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-2.5</w:t>
            </w:r>
            <w:r>
              <w:rPr>
                <w:rFonts w:asciiTheme="majorBidi" w:hAnsiTheme="majorBidi" w:cstheme="majorBidi"/>
                <w:color w:val="000000"/>
                <w:sz w:val="16"/>
                <w:szCs w:val="16"/>
              </w:rPr>
              <w:t>e</w:t>
            </w:r>
            <w:r w:rsidRPr="00B90543">
              <w:rPr>
                <w:rFonts w:asciiTheme="majorBidi" w:hAnsiTheme="majorBidi" w:cstheme="majorBidi"/>
                <w:color w:val="000000"/>
                <w:sz w:val="16"/>
                <w:szCs w:val="16"/>
              </w:rPr>
              <w:t>-05</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0.00874</w:t>
            </w:r>
          </w:p>
        </w:tc>
        <w:tc>
          <w:tcPr>
            <w:tcW w:w="602" w:type="dxa"/>
            <w:vAlign w:val="bottom"/>
          </w:tcPr>
          <w:p w:rsidR="00B97965" w:rsidRPr="00B90543" w:rsidRDefault="00B97965" w:rsidP="00B97965">
            <w:pPr>
              <w:rPr>
                <w:rFonts w:asciiTheme="majorBidi" w:hAnsiTheme="majorBidi" w:cstheme="majorBidi"/>
                <w:color w:val="000000"/>
                <w:sz w:val="16"/>
                <w:szCs w:val="16"/>
              </w:rPr>
            </w:pP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Lag Increased DNA coefficient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0.4201</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0.001</w:t>
            </w:r>
            <w:r>
              <w:rPr>
                <w:rFonts w:asciiTheme="majorBidi" w:hAnsiTheme="majorBidi" w:cstheme="majorBidi"/>
                <w:color w:val="000000"/>
                <w:sz w:val="16"/>
                <w:szCs w:val="16"/>
              </w:rPr>
              <w:t>3</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-0.0004</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-0.0005</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-0.002</w:t>
            </w:r>
            <w:r>
              <w:rPr>
                <w:rFonts w:asciiTheme="majorBidi" w:hAnsiTheme="majorBidi" w:cstheme="majorBidi"/>
                <w:color w:val="000000"/>
                <w:sz w:val="16"/>
                <w:szCs w:val="16"/>
              </w:rPr>
              <w:t>7</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0.0096</w:t>
            </w:r>
            <w:r>
              <w:rPr>
                <w:rFonts w:asciiTheme="majorBidi" w:hAnsiTheme="majorBidi" w:cstheme="majorBidi"/>
                <w:color w:val="000000"/>
                <w:sz w:val="16"/>
                <w:szCs w:val="16"/>
              </w:rPr>
              <w:t>7</w:t>
            </w:r>
          </w:p>
        </w:tc>
        <w:tc>
          <w:tcPr>
            <w:tcW w:w="603" w:type="dxa"/>
            <w:vAlign w:val="bottom"/>
          </w:tcPr>
          <w:p w:rsidR="00B97965" w:rsidRPr="00B90543" w:rsidRDefault="00B97965" w:rsidP="00B97965">
            <w:pPr>
              <w:rPr>
                <w:rFonts w:asciiTheme="majorBidi" w:hAnsiTheme="majorBidi" w:cstheme="majorBidi"/>
                <w:color w:val="000000"/>
                <w:sz w:val="16"/>
                <w:szCs w:val="16"/>
              </w:rPr>
            </w:pP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r w:rsidR="00B97965" w:rsidRPr="00B90543" w:rsidTr="00B97965">
        <w:tc>
          <w:tcPr>
            <w:tcW w:w="2013" w:type="dxa"/>
          </w:tcPr>
          <w:p w:rsidR="00B97965" w:rsidRPr="00B90543" w:rsidRDefault="00B97965" w:rsidP="00B97965">
            <w:pPr>
              <w:spacing w:line="276" w:lineRule="auto"/>
              <w:rPr>
                <w:rFonts w:asciiTheme="majorBidi" w:hAnsiTheme="majorBidi" w:cstheme="majorBidi"/>
                <w:sz w:val="18"/>
                <w:szCs w:val="18"/>
              </w:rPr>
            </w:pPr>
            <w:r w:rsidRPr="00B90543">
              <w:rPr>
                <w:rFonts w:asciiTheme="majorBidi" w:hAnsiTheme="majorBidi" w:cstheme="majorBidi"/>
                <w:sz w:val="18"/>
                <w:szCs w:val="18"/>
              </w:rPr>
              <w:t>Intercept</w:t>
            </w:r>
          </w:p>
        </w:tc>
        <w:tc>
          <w:tcPr>
            <w:tcW w:w="709" w:type="dxa"/>
            <w:vAlign w:val="bottom"/>
          </w:tcPr>
          <w:p w:rsidR="00B97965" w:rsidRPr="00B90543" w:rsidRDefault="00B97965" w:rsidP="00B97965">
            <w:pPr>
              <w:jc w:val="right"/>
              <w:rPr>
                <w:rFonts w:asciiTheme="majorBidi" w:hAnsiTheme="majorBidi" w:cstheme="majorBidi"/>
                <w:color w:val="000000"/>
                <w:sz w:val="18"/>
                <w:szCs w:val="18"/>
              </w:rPr>
            </w:pPr>
            <w:r w:rsidRPr="00B90543">
              <w:rPr>
                <w:rFonts w:asciiTheme="majorBidi" w:hAnsiTheme="majorBidi" w:cstheme="majorBidi"/>
                <w:color w:val="000000"/>
                <w:sz w:val="18"/>
                <w:szCs w:val="18"/>
              </w:rPr>
              <w:t>-1.3595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-0.1257</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-0.007</w:t>
            </w:r>
            <w:r>
              <w:rPr>
                <w:rFonts w:asciiTheme="majorBidi" w:hAnsiTheme="majorBidi" w:cstheme="majorBidi"/>
                <w:color w:val="000000"/>
                <w:sz w:val="16"/>
                <w:szCs w:val="16"/>
              </w:rPr>
              <w:t>7</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-0.0038</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-0.0039</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-0.0021</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-0.0075</w:t>
            </w:r>
          </w:p>
        </w:tc>
        <w:tc>
          <w:tcPr>
            <w:tcW w:w="602"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-0.007</w:t>
            </w:r>
            <w:r>
              <w:rPr>
                <w:rFonts w:asciiTheme="majorBidi" w:hAnsiTheme="majorBidi" w:cstheme="majorBidi"/>
                <w:color w:val="000000"/>
                <w:sz w:val="16"/>
                <w:szCs w:val="16"/>
              </w:rPr>
              <w:t>3</w:t>
            </w:r>
          </w:p>
        </w:tc>
        <w:tc>
          <w:tcPr>
            <w:tcW w:w="603" w:type="dxa"/>
            <w:vAlign w:val="bottom"/>
          </w:tcPr>
          <w:p w:rsidR="00B97965" w:rsidRPr="00B90543" w:rsidRDefault="00B97965" w:rsidP="00B97965">
            <w:pPr>
              <w:jc w:val="right"/>
              <w:rPr>
                <w:rFonts w:asciiTheme="majorBidi" w:hAnsiTheme="majorBidi" w:cstheme="majorBidi"/>
                <w:color w:val="000000"/>
                <w:sz w:val="16"/>
                <w:szCs w:val="16"/>
              </w:rPr>
            </w:pPr>
            <w:r w:rsidRPr="00B90543">
              <w:rPr>
                <w:rFonts w:asciiTheme="majorBidi" w:hAnsiTheme="majorBidi" w:cstheme="majorBidi"/>
                <w:color w:val="000000"/>
                <w:sz w:val="16"/>
                <w:szCs w:val="16"/>
              </w:rPr>
              <w:t>0.45861</w:t>
            </w:r>
          </w:p>
        </w:tc>
        <w:tc>
          <w:tcPr>
            <w:tcW w:w="1559" w:type="dxa"/>
          </w:tcPr>
          <w:p w:rsidR="00B97965" w:rsidRPr="00B90543" w:rsidRDefault="00B97965" w:rsidP="00B97965">
            <w:pPr>
              <w:rPr>
                <w:rFonts w:asciiTheme="majorBidi" w:hAnsiTheme="majorBidi" w:cstheme="majorBidi"/>
                <w:sz w:val="18"/>
                <w:szCs w:val="18"/>
              </w:rPr>
            </w:pPr>
            <w:r w:rsidRPr="00B90543">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77</w:t>
      </w:r>
      <w:r w:rsidR="00E729BA">
        <w:fldChar w:fldCharType="end"/>
      </w:r>
      <w:r w:rsidRPr="00AE2D43">
        <w:t xml:space="preserve">: </w:t>
      </w:r>
      <w:r>
        <w:t>Proteinuria</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535"/>
        <w:gridCol w:w="535"/>
        <w:gridCol w:w="536"/>
        <w:gridCol w:w="535"/>
        <w:gridCol w:w="536"/>
        <w:gridCol w:w="535"/>
        <w:gridCol w:w="536"/>
        <w:gridCol w:w="535"/>
        <w:gridCol w:w="536"/>
        <w:gridCol w:w="1559"/>
      </w:tblGrid>
      <w:tr w:rsidR="00B97965" w:rsidRPr="00734037" w:rsidTr="00B97965">
        <w:tc>
          <w:tcPr>
            <w:tcW w:w="2013"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Parameter name</w:t>
            </w:r>
          </w:p>
        </w:tc>
        <w:tc>
          <w:tcPr>
            <w:tcW w:w="709"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Mean Estimate</w:t>
            </w:r>
          </w:p>
        </w:tc>
        <w:tc>
          <w:tcPr>
            <w:tcW w:w="4819" w:type="dxa"/>
            <w:gridSpan w:val="9"/>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Covariance Matrix</w:t>
            </w:r>
          </w:p>
        </w:tc>
        <w:tc>
          <w:tcPr>
            <w:tcW w:w="1559"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Distribution</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Log transformed age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-1.2822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0.0507</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African America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1.1880</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0.0214</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vasculitis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0.6421</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0.0006</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0.0686</w:t>
            </w:r>
            <w:r>
              <w:rPr>
                <w:rFonts w:asciiTheme="majorBidi" w:hAnsiTheme="majorBidi" w:cstheme="majorBidi"/>
                <w:color w:val="000000"/>
                <w:sz w:val="14"/>
                <w:szCs w:val="14"/>
              </w:rPr>
              <w:t>4</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haematuria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0.4226</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0.0008</w:t>
            </w:r>
            <w:r>
              <w:rPr>
                <w:rFonts w:asciiTheme="majorBidi" w:hAnsiTheme="majorBidi" w:cstheme="majorBidi"/>
                <w:color w:val="000000"/>
                <w:sz w:val="14"/>
                <w:szCs w:val="14"/>
              </w:rPr>
              <w:t>1</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-8e</w:t>
            </w:r>
            <w:r w:rsidRPr="007E5945">
              <w:rPr>
                <w:rFonts w:asciiTheme="majorBidi" w:hAnsiTheme="majorBidi" w:cstheme="majorBidi"/>
                <w:color w:val="000000"/>
                <w:sz w:val="14"/>
                <w:szCs w:val="14"/>
              </w:rPr>
              <w:t>-05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0.00075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0.01373</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Proteinuria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1.6980</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0.00131</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-0.0017</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7</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-0.0016</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0.00793</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Pyuria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0.4206</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0.0005</w:t>
            </w:r>
            <w:r>
              <w:rPr>
                <w:rFonts w:asciiTheme="majorBidi" w:hAnsiTheme="majorBidi" w:cstheme="majorBidi"/>
                <w:color w:val="000000"/>
                <w:sz w:val="14"/>
                <w:szCs w:val="14"/>
              </w:rPr>
              <w:t>6</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-9.7</w:t>
            </w:r>
            <w:r>
              <w:rPr>
                <w:rFonts w:asciiTheme="majorBidi" w:hAnsiTheme="majorBidi" w:cstheme="majorBidi"/>
                <w:color w:val="000000"/>
                <w:sz w:val="14"/>
                <w:szCs w:val="14"/>
              </w:rPr>
              <w:t>e</w:t>
            </w:r>
            <w:r w:rsidRPr="007E5945">
              <w:rPr>
                <w:rFonts w:asciiTheme="majorBidi" w:hAnsiTheme="majorBidi" w:cstheme="majorBidi"/>
                <w:color w:val="000000"/>
                <w:sz w:val="14"/>
                <w:szCs w:val="14"/>
              </w:rPr>
              <w:t>-05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-0.0034</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-0.0008</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0.0221</w:t>
            </w:r>
            <w:r>
              <w:rPr>
                <w:rFonts w:asciiTheme="majorBidi" w:hAnsiTheme="majorBidi" w:cstheme="majorBidi"/>
                <w:color w:val="000000"/>
                <w:sz w:val="14"/>
                <w:szCs w:val="14"/>
              </w:rPr>
              <w:t>2</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low complement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0.3212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0.00172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2.</w:t>
            </w:r>
            <w:r w:rsidRPr="007E5945">
              <w:rPr>
                <w:rFonts w:asciiTheme="majorBidi" w:hAnsiTheme="majorBidi" w:cstheme="majorBidi"/>
                <w:color w:val="000000"/>
                <w:sz w:val="14"/>
                <w:szCs w:val="14"/>
              </w:rPr>
              <w:t>5</w:t>
            </w:r>
            <w:r>
              <w:rPr>
                <w:rFonts w:asciiTheme="majorBidi" w:hAnsiTheme="majorBidi" w:cstheme="majorBidi"/>
                <w:color w:val="000000"/>
                <w:sz w:val="14"/>
                <w:szCs w:val="14"/>
              </w:rPr>
              <w:t>e</w:t>
            </w:r>
            <w:r w:rsidRPr="007E5945">
              <w:rPr>
                <w:rFonts w:asciiTheme="majorBidi" w:hAnsiTheme="majorBidi" w:cstheme="majorBidi"/>
                <w:color w:val="000000"/>
                <w:sz w:val="14"/>
                <w:szCs w:val="14"/>
              </w:rPr>
              <w:t>-05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-0.00133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-0.0006</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-4</w:t>
            </w:r>
            <w:r>
              <w:rPr>
                <w:rFonts w:asciiTheme="majorBidi" w:hAnsiTheme="majorBidi" w:cstheme="majorBidi"/>
                <w:color w:val="000000"/>
                <w:sz w:val="14"/>
                <w:szCs w:val="14"/>
              </w:rPr>
              <w:t>e</w:t>
            </w:r>
            <w:r w:rsidRPr="007E5945">
              <w:rPr>
                <w:rFonts w:asciiTheme="majorBidi" w:hAnsiTheme="majorBidi" w:cstheme="majorBidi"/>
                <w:color w:val="000000"/>
                <w:sz w:val="14"/>
                <w:szCs w:val="14"/>
              </w:rPr>
              <w:t>-05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0.00870</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Pr="00734037"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Increased DNA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0.2813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0.00087</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-0.0004</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7</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7</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-0.0022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0.00907</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Pr="00DF3FC5" w:rsidRDefault="00B97965" w:rsidP="00B97965">
            <w:pPr>
              <w:rPr>
                <w:rFonts w:asciiTheme="majorBidi" w:hAnsiTheme="majorBidi" w:cstheme="majorBidi"/>
                <w:sz w:val="18"/>
                <w:szCs w:val="18"/>
              </w:rPr>
            </w:pPr>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Intercept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0.0779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-0.1768</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-0.005</w:t>
            </w:r>
            <w:r>
              <w:rPr>
                <w:rFonts w:asciiTheme="majorBidi" w:hAnsiTheme="majorBidi" w:cstheme="majorBidi"/>
                <w:color w:val="000000"/>
                <w:sz w:val="14"/>
                <w:szCs w:val="14"/>
              </w:rPr>
              <w:t>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w:t>
            </w:r>
            <w:r>
              <w:rPr>
                <w:rFonts w:asciiTheme="majorBidi" w:hAnsiTheme="majorBidi" w:cstheme="majorBidi"/>
                <w:color w:val="000000"/>
                <w:sz w:val="14"/>
                <w:szCs w:val="14"/>
              </w:rPr>
              <w:t>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w:t>
            </w:r>
            <w:r>
              <w:rPr>
                <w:rFonts w:asciiTheme="majorBidi" w:hAnsiTheme="majorBidi" w:cstheme="majorBidi"/>
                <w:color w:val="000000"/>
                <w:sz w:val="14"/>
                <w:szCs w:val="14"/>
              </w:rPr>
              <w:t>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-0.0024</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-0.008</w:t>
            </w:r>
            <w:r>
              <w:rPr>
                <w:rFonts w:asciiTheme="majorBidi" w:hAnsiTheme="majorBidi" w:cstheme="majorBidi"/>
                <w:color w:val="000000"/>
                <w:sz w:val="14"/>
                <w:szCs w:val="14"/>
              </w:rPr>
              <w:t>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-0.0053</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0.63659</w:t>
            </w:r>
          </w:p>
        </w:tc>
        <w:tc>
          <w:tcPr>
            <w:tcW w:w="1559" w:type="dxa"/>
          </w:tcPr>
          <w:p w:rsidR="00B97965" w:rsidRPr="00DF3FC5" w:rsidRDefault="00B97965" w:rsidP="00B97965">
            <w:pPr>
              <w:rPr>
                <w:rFonts w:asciiTheme="majorBidi" w:hAnsiTheme="majorBidi" w:cstheme="majorBidi"/>
                <w:sz w:val="18"/>
                <w:szCs w:val="18"/>
              </w:rPr>
            </w:pPr>
            <w:r w:rsidRPr="00DF3FC5">
              <w:rPr>
                <w:rFonts w:asciiTheme="majorBidi" w:hAnsiTheme="majorBidi" w:cstheme="majorBidi"/>
                <w:sz w:val="18"/>
                <w:szCs w:val="18"/>
              </w:rPr>
              <w:t>Multivariate Normal</w:t>
            </w:r>
          </w:p>
        </w:tc>
      </w:tr>
    </w:tbl>
    <w:p w:rsidR="00B97965" w:rsidRPr="00AE2D43" w:rsidRDefault="00B97965" w:rsidP="00221DD6">
      <w:pPr>
        <w:pStyle w:val="Caption"/>
        <w:spacing w:before="120" w:after="120"/>
      </w:pPr>
      <w:r w:rsidRPr="00AE2D43">
        <w:t xml:space="preserve">Table </w:t>
      </w:r>
      <w:r w:rsidR="00E729BA">
        <w:fldChar w:fldCharType="begin"/>
      </w:r>
      <w:r w:rsidRPr="00AE2D43">
        <w:instrText xml:space="preserve"> SEQ Table \* ARABIC </w:instrText>
      </w:r>
      <w:r w:rsidR="00E729BA">
        <w:fldChar w:fldCharType="separate"/>
      </w:r>
      <w:r w:rsidR="004911B7">
        <w:rPr>
          <w:noProof/>
        </w:rPr>
        <w:t>78</w:t>
      </w:r>
      <w:r w:rsidR="00E729BA">
        <w:fldChar w:fldCharType="end"/>
      </w:r>
      <w:r w:rsidRPr="00AE2D43">
        <w:t xml:space="preserve">: </w:t>
      </w:r>
      <w:r>
        <w:t>Pyuria</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535"/>
        <w:gridCol w:w="535"/>
        <w:gridCol w:w="536"/>
        <w:gridCol w:w="535"/>
        <w:gridCol w:w="536"/>
        <w:gridCol w:w="535"/>
        <w:gridCol w:w="536"/>
        <w:gridCol w:w="535"/>
        <w:gridCol w:w="536"/>
        <w:gridCol w:w="1559"/>
      </w:tblGrid>
      <w:tr w:rsidR="00B97965" w:rsidRPr="00734037" w:rsidTr="00B97965">
        <w:tc>
          <w:tcPr>
            <w:tcW w:w="2013"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Parameter name</w:t>
            </w:r>
          </w:p>
        </w:tc>
        <w:tc>
          <w:tcPr>
            <w:tcW w:w="709"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Mean Estimate</w:t>
            </w:r>
          </w:p>
        </w:tc>
        <w:tc>
          <w:tcPr>
            <w:tcW w:w="4819" w:type="dxa"/>
            <w:gridSpan w:val="9"/>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Covariance Matrix</w:t>
            </w:r>
          </w:p>
        </w:tc>
        <w:tc>
          <w:tcPr>
            <w:tcW w:w="1559" w:type="dxa"/>
          </w:tcPr>
          <w:p w:rsidR="00B97965" w:rsidRPr="00734037" w:rsidRDefault="00B97965" w:rsidP="00B97965">
            <w:pPr>
              <w:spacing w:line="276" w:lineRule="auto"/>
              <w:rPr>
                <w:rFonts w:asciiTheme="majorBidi" w:hAnsiTheme="majorBidi" w:cstheme="majorBidi"/>
                <w:sz w:val="18"/>
                <w:szCs w:val="18"/>
              </w:rPr>
            </w:pPr>
            <w:r w:rsidRPr="00734037">
              <w:rPr>
                <w:rFonts w:asciiTheme="majorBidi" w:hAnsiTheme="majorBidi" w:cstheme="majorBidi"/>
                <w:sz w:val="18"/>
                <w:szCs w:val="18"/>
              </w:rPr>
              <w:t>Distribution</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Log transformed age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-0.5705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0.03428</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Male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-0.9511</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-0.0006</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0.07781</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African America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0.3593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0.00069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0.00029</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0.0130</w:t>
            </w:r>
            <w:r>
              <w:rPr>
                <w:rFonts w:asciiTheme="majorBidi" w:hAnsiTheme="majorBidi" w:cstheme="majorBidi"/>
                <w:color w:val="000000"/>
                <w:sz w:val="14"/>
                <w:szCs w:val="14"/>
              </w:rPr>
              <w:t>2</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haematuria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0.5652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0.00123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-0.0002</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w:t>
            </w:r>
            <w:r>
              <w:rPr>
                <w:rFonts w:asciiTheme="majorBidi" w:hAnsiTheme="majorBidi" w:cstheme="majorBidi"/>
                <w:color w:val="000000"/>
                <w:sz w:val="14"/>
                <w:szCs w:val="14"/>
              </w:rPr>
              <w:t>4</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0.01864</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Proteinuria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0.7220</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0.00109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w:t>
            </w:r>
            <w:r>
              <w:rPr>
                <w:rFonts w:asciiTheme="majorBidi" w:hAnsiTheme="majorBidi" w:cstheme="majorBidi"/>
                <w:color w:val="000000"/>
                <w:sz w:val="14"/>
                <w:szCs w:val="14"/>
              </w:rPr>
              <w:t>2</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w:t>
            </w:r>
            <w:r>
              <w:rPr>
                <w:rFonts w:asciiTheme="majorBidi" w:hAnsiTheme="majorBidi" w:cstheme="majorBidi"/>
                <w:color w:val="000000"/>
                <w:sz w:val="14"/>
                <w:szCs w:val="14"/>
              </w:rPr>
              <w:t>7</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0.0171</w:t>
            </w:r>
            <w:r>
              <w:rPr>
                <w:rFonts w:asciiTheme="majorBidi" w:hAnsiTheme="majorBidi" w:cstheme="majorBidi"/>
                <w:color w:val="000000"/>
                <w:sz w:val="14"/>
                <w:szCs w:val="14"/>
              </w:rPr>
              <w:t>2</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Pyuria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1.7547</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w:t>
            </w:r>
            <w:r>
              <w:rPr>
                <w:rFonts w:asciiTheme="majorBidi" w:hAnsiTheme="majorBidi" w:cstheme="majorBidi"/>
                <w:color w:val="000000"/>
                <w:sz w:val="14"/>
                <w:szCs w:val="14"/>
              </w:rPr>
              <w:t>5</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0.00175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-0.0036</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w:t>
            </w:r>
            <w:r>
              <w:rPr>
                <w:rFonts w:asciiTheme="majorBidi" w:hAnsiTheme="majorBidi" w:cstheme="majorBidi"/>
                <w:color w:val="000000"/>
                <w:sz w:val="14"/>
                <w:szCs w:val="14"/>
              </w:rPr>
              <w:t>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0.01574</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Pleurisy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0.5578</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0.0016</w:t>
            </w:r>
            <w:r>
              <w:rPr>
                <w:rFonts w:asciiTheme="majorBidi" w:hAnsiTheme="majorBidi" w:cstheme="majorBidi"/>
                <w:color w:val="000000"/>
                <w:sz w:val="14"/>
                <w:szCs w:val="14"/>
              </w:rPr>
              <w:t>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0.00067</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-0.0004</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0.00019</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-0.0004</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0.0394</w:t>
            </w:r>
            <w:r>
              <w:rPr>
                <w:rFonts w:asciiTheme="majorBidi" w:hAnsiTheme="majorBidi" w:cstheme="majorBidi"/>
                <w:color w:val="000000"/>
                <w:sz w:val="14"/>
                <w:szCs w:val="14"/>
              </w:rPr>
              <w:t>3</w:t>
            </w:r>
          </w:p>
        </w:tc>
        <w:tc>
          <w:tcPr>
            <w:tcW w:w="535" w:type="dxa"/>
            <w:vAlign w:val="bottom"/>
          </w:tcPr>
          <w:p w:rsidR="00B97965" w:rsidRPr="007E5945" w:rsidRDefault="00B97965" w:rsidP="00B97965">
            <w:pPr>
              <w:rPr>
                <w:rFonts w:asciiTheme="majorBidi" w:hAnsiTheme="majorBidi" w:cstheme="majorBidi"/>
                <w:color w:val="000000"/>
                <w:sz w:val="14"/>
                <w:szCs w:val="14"/>
              </w:rPr>
            </w:pP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Default="00B97965" w:rsidP="00B97965">
            <w:r w:rsidRPr="00DF3FC5">
              <w:rPr>
                <w:rFonts w:asciiTheme="majorBidi" w:hAnsiTheme="majorBidi" w:cstheme="majorBidi"/>
                <w:sz w:val="18"/>
                <w:szCs w:val="18"/>
              </w:rPr>
              <w:t>Multivariate Normal</w:t>
            </w:r>
          </w:p>
        </w:tc>
      </w:tr>
      <w:tr w:rsidR="00B97965" w:rsidRPr="00734037" w:rsidTr="00B97965">
        <w:tc>
          <w:tcPr>
            <w:tcW w:w="2013" w:type="dxa"/>
          </w:tcPr>
          <w:p w:rsidR="00B97965" w:rsidRPr="00734037"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Lag low complement coefficient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0.3680</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0.0023</w:t>
            </w:r>
            <w:r>
              <w:rPr>
                <w:rFonts w:asciiTheme="majorBidi" w:hAnsiTheme="majorBidi" w:cstheme="majorBidi"/>
                <w:color w:val="000000"/>
                <w:sz w:val="14"/>
                <w:szCs w:val="14"/>
              </w:rPr>
              <w:t>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0.0001</w:t>
            </w:r>
            <w:r>
              <w:rPr>
                <w:rFonts w:asciiTheme="majorBidi" w:hAnsiTheme="majorBidi" w:cstheme="majorBidi"/>
                <w:color w:val="000000"/>
                <w:sz w:val="14"/>
                <w:szCs w:val="14"/>
              </w:rPr>
              <w:t>2</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0.0001</w:t>
            </w:r>
            <w:r>
              <w:rPr>
                <w:rFonts w:asciiTheme="majorBidi" w:hAnsiTheme="majorBidi" w:cstheme="majorBidi"/>
                <w:color w:val="000000"/>
                <w:sz w:val="14"/>
                <w:szCs w:val="14"/>
              </w:rPr>
              <w:t>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-0.0011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-0.0012</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-0.002</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-0.0003</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0.00978</w:t>
            </w:r>
          </w:p>
        </w:tc>
        <w:tc>
          <w:tcPr>
            <w:tcW w:w="536" w:type="dxa"/>
            <w:vAlign w:val="bottom"/>
          </w:tcPr>
          <w:p w:rsidR="00B97965" w:rsidRPr="007E5945" w:rsidRDefault="00B97965" w:rsidP="00B97965">
            <w:pPr>
              <w:rPr>
                <w:rFonts w:asciiTheme="majorBidi" w:hAnsiTheme="majorBidi" w:cstheme="majorBidi"/>
                <w:color w:val="000000"/>
                <w:sz w:val="14"/>
                <w:szCs w:val="14"/>
              </w:rPr>
            </w:pPr>
          </w:p>
        </w:tc>
        <w:tc>
          <w:tcPr>
            <w:tcW w:w="1559" w:type="dxa"/>
          </w:tcPr>
          <w:p w:rsidR="00B97965" w:rsidRPr="00DF3FC5" w:rsidRDefault="00B97965" w:rsidP="00B97965">
            <w:pPr>
              <w:rPr>
                <w:rFonts w:asciiTheme="majorBidi" w:hAnsiTheme="majorBidi" w:cstheme="majorBidi"/>
                <w:sz w:val="18"/>
                <w:szCs w:val="18"/>
              </w:rPr>
            </w:pPr>
            <w:r w:rsidRPr="00DF3FC5">
              <w:rPr>
                <w:rFonts w:asciiTheme="majorBidi" w:hAnsiTheme="majorBidi" w:cstheme="majorBidi"/>
                <w:sz w:val="18"/>
                <w:szCs w:val="18"/>
              </w:rPr>
              <w:t>Multivariate Normal</w:t>
            </w:r>
          </w:p>
        </w:tc>
      </w:tr>
      <w:tr w:rsidR="00B97965" w:rsidRPr="00734037" w:rsidTr="00B97965">
        <w:tc>
          <w:tcPr>
            <w:tcW w:w="2013" w:type="dxa"/>
          </w:tcPr>
          <w:p w:rsidR="00B97965"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Intercept</w:t>
            </w:r>
          </w:p>
        </w:tc>
        <w:tc>
          <w:tcPr>
            <w:tcW w:w="709"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-2.6291</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-0.1217</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1.8e</w:t>
            </w:r>
            <w:r w:rsidRPr="007E5945">
              <w:rPr>
                <w:rFonts w:asciiTheme="majorBidi" w:hAnsiTheme="majorBidi" w:cstheme="majorBidi"/>
                <w:color w:val="000000"/>
                <w:sz w:val="14"/>
                <w:szCs w:val="14"/>
              </w:rPr>
              <w:t>-05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-0.0090</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-0.004</w:t>
            </w:r>
            <w:r>
              <w:rPr>
                <w:rFonts w:asciiTheme="majorBidi" w:hAnsiTheme="majorBidi" w:cstheme="majorBidi"/>
                <w:color w:val="000000"/>
                <w:sz w:val="14"/>
                <w:szCs w:val="14"/>
              </w:rPr>
              <w:t>5</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-0.0059</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-0.0031</w:t>
            </w:r>
          </w:p>
        </w:tc>
        <w:tc>
          <w:tcPr>
            <w:tcW w:w="536"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-0.0077</w:t>
            </w:r>
          </w:p>
        </w:tc>
        <w:tc>
          <w:tcPr>
            <w:tcW w:w="535" w:type="dxa"/>
            <w:vAlign w:val="bottom"/>
          </w:tcPr>
          <w:p w:rsidR="00B97965" w:rsidRPr="007E5945" w:rsidRDefault="00B97965" w:rsidP="00B97965">
            <w:pPr>
              <w:jc w:val="right"/>
              <w:rPr>
                <w:rFonts w:asciiTheme="majorBidi" w:hAnsiTheme="majorBidi" w:cstheme="majorBidi"/>
                <w:color w:val="000000"/>
                <w:sz w:val="14"/>
                <w:szCs w:val="14"/>
              </w:rPr>
            </w:pPr>
            <w:r w:rsidRPr="007E5945">
              <w:rPr>
                <w:rFonts w:asciiTheme="majorBidi" w:hAnsiTheme="majorBidi" w:cstheme="majorBidi"/>
                <w:color w:val="000000"/>
                <w:sz w:val="14"/>
                <w:szCs w:val="14"/>
              </w:rPr>
              <w:t>-0.0122</w:t>
            </w:r>
          </w:p>
        </w:tc>
        <w:tc>
          <w:tcPr>
            <w:tcW w:w="536" w:type="dxa"/>
            <w:vAlign w:val="bottom"/>
          </w:tcPr>
          <w:p w:rsidR="00B97965" w:rsidRPr="007E5945" w:rsidRDefault="00B97965" w:rsidP="00B97965">
            <w:pPr>
              <w:rPr>
                <w:rFonts w:asciiTheme="majorBidi" w:hAnsiTheme="majorBidi" w:cstheme="majorBidi"/>
                <w:color w:val="000000"/>
                <w:sz w:val="14"/>
                <w:szCs w:val="14"/>
              </w:rPr>
            </w:pPr>
            <w:r w:rsidRPr="007E5945">
              <w:rPr>
                <w:rFonts w:asciiTheme="majorBidi" w:hAnsiTheme="majorBidi" w:cstheme="majorBidi"/>
                <w:color w:val="000000"/>
                <w:sz w:val="14"/>
                <w:szCs w:val="14"/>
              </w:rPr>
              <w:t>0.44923</w:t>
            </w:r>
          </w:p>
        </w:tc>
        <w:tc>
          <w:tcPr>
            <w:tcW w:w="1559" w:type="dxa"/>
          </w:tcPr>
          <w:p w:rsidR="00B97965" w:rsidRPr="00DF3FC5" w:rsidRDefault="00B97965" w:rsidP="00B97965">
            <w:pPr>
              <w:rPr>
                <w:rFonts w:asciiTheme="majorBidi" w:hAnsiTheme="majorBidi" w:cstheme="majorBidi"/>
                <w:sz w:val="18"/>
                <w:szCs w:val="18"/>
              </w:rPr>
            </w:pPr>
            <w:r w:rsidRPr="00DF3FC5">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79</w:t>
      </w:r>
      <w:r w:rsidR="00E729BA">
        <w:fldChar w:fldCharType="end"/>
      </w:r>
      <w:r w:rsidRPr="00AE2D43">
        <w:t xml:space="preserve">: </w:t>
      </w:r>
      <w:r>
        <w:t>Arthritis</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648"/>
        <w:gridCol w:w="648"/>
        <w:gridCol w:w="648"/>
        <w:gridCol w:w="648"/>
        <w:gridCol w:w="648"/>
        <w:gridCol w:w="648"/>
        <w:gridCol w:w="790"/>
        <w:gridCol w:w="1559"/>
      </w:tblGrid>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Parameter name</w:t>
            </w:r>
          </w:p>
        </w:tc>
        <w:tc>
          <w:tcPr>
            <w:tcW w:w="850"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Mean Estimate</w:t>
            </w:r>
          </w:p>
        </w:tc>
        <w:tc>
          <w:tcPr>
            <w:tcW w:w="4678" w:type="dxa"/>
            <w:gridSpan w:val="7"/>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Covariance Matrix</w:t>
            </w:r>
          </w:p>
        </w:tc>
        <w:tc>
          <w:tcPr>
            <w:tcW w:w="1559"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Distribution</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Log transformed age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-0.5538</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0.0310</w:t>
            </w: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Male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-0.5446</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-0.0006</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0.0577</w:t>
            </w: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African America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0.6110</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-0.0010</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0.0007</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0.0144</w:t>
            </w: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Lag haematuria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-0.4111</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0.0008</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-0.0002</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-0.0004</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0.0271</w:t>
            </w: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Lag arthritis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1.5619</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0.0020</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0.0002</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-0.0006</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-0.0004</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0.0049</w:t>
            </w:r>
          </w:p>
        </w:tc>
        <w:tc>
          <w:tcPr>
            <w:tcW w:w="648" w:type="dxa"/>
            <w:vAlign w:val="bottom"/>
          </w:tcPr>
          <w:p w:rsidR="00B97965" w:rsidRPr="007E5945" w:rsidRDefault="00B97965" w:rsidP="00B97965">
            <w:pPr>
              <w:rPr>
                <w:rFonts w:asciiTheme="majorBidi" w:hAnsiTheme="majorBidi" w:cstheme="majorBidi"/>
                <w:color w:val="000000"/>
                <w:sz w:val="18"/>
                <w:szCs w:val="18"/>
              </w:rPr>
            </w:pP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Lag Increased DNA coefficient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0.2533</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0.0016</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-0.0002</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-0.0004</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-0.0007</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-0.0002</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0.0068</w:t>
            </w:r>
          </w:p>
        </w:tc>
        <w:tc>
          <w:tcPr>
            <w:tcW w:w="790" w:type="dxa"/>
            <w:vAlign w:val="bottom"/>
          </w:tcPr>
          <w:p w:rsidR="00B97965" w:rsidRPr="007E5945" w:rsidRDefault="00B97965" w:rsidP="00B97965">
            <w:pPr>
              <w:rPr>
                <w:rFonts w:asciiTheme="majorBidi" w:hAnsiTheme="majorBidi" w:cstheme="majorBidi"/>
                <w:color w:val="000000"/>
                <w:sz w:val="18"/>
                <w:szCs w:val="18"/>
              </w:rPr>
            </w:pP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013"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Intercept</w:t>
            </w:r>
          </w:p>
        </w:tc>
        <w:tc>
          <w:tcPr>
            <w:tcW w:w="85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-1.7828</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-0.1118</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-0.0015</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-0.0033</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-0.0037</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-0.0070</w:t>
            </w:r>
          </w:p>
        </w:tc>
        <w:tc>
          <w:tcPr>
            <w:tcW w:w="648"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-0.0077</w:t>
            </w:r>
          </w:p>
        </w:tc>
        <w:tc>
          <w:tcPr>
            <w:tcW w:w="790"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0.4123</w:t>
            </w:r>
          </w:p>
        </w:tc>
        <w:tc>
          <w:tcPr>
            <w:tcW w:w="1559" w:type="dxa"/>
          </w:tcPr>
          <w:p w:rsidR="00B97965" w:rsidRPr="007E5945" w:rsidRDefault="00B97965" w:rsidP="00B97965">
            <w:pPr>
              <w:rPr>
                <w:rFonts w:asciiTheme="majorBidi" w:hAnsiTheme="majorBidi" w:cstheme="majorBidi"/>
                <w:sz w:val="18"/>
                <w:szCs w:val="18"/>
              </w:rPr>
            </w:pPr>
            <w:r w:rsidRPr="007E5945">
              <w:rPr>
                <w:rFonts w:asciiTheme="majorBidi" w:hAnsiTheme="majorBidi" w:cstheme="majorBidi"/>
                <w:sz w:val="18"/>
                <w:szCs w:val="18"/>
              </w:rPr>
              <w:t>Multivariate Normal</w:t>
            </w:r>
          </w:p>
        </w:tc>
      </w:tr>
    </w:tbl>
    <w:p w:rsidR="00B97965" w:rsidRDefault="00B97965" w:rsidP="00B97965">
      <w:pPr>
        <w:rPr>
          <w:lang w:val="fr-CA"/>
        </w:rPr>
      </w:pPr>
    </w:p>
    <w:p w:rsidR="00B97965" w:rsidRPr="00734037" w:rsidRDefault="00B97965" w:rsidP="00234693">
      <w:pPr>
        <w:pStyle w:val="Caption"/>
      </w:pPr>
      <w:r w:rsidRPr="00734037">
        <w:t xml:space="preserve">Table </w:t>
      </w:r>
      <w:r w:rsidR="00E729BA">
        <w:fldChar w:fldCharType="begin"/>
      </w:r>
      <w:r w:rsidRPr="00734037">
        <w:instrText xml:space="preserve"> SEQ Table \* ARABIC </w:instrText>
      </w:r>
      <w:r w:rsidR="00E729BA">
        <w:fldChar w:fldCharType="separate"/>
      </w:r>
      <w:r w:rsidR="004911B7">
        <w:rPr>
          <w:noProof/>
        </w:rPr>
        <w:t>80</w:t>
      </w:r>
      <w:r w:rsidR="00E729BA">
        <w:fldChar w:fldCharType="end"/>
      </w:r>
      <w:r w:rsidRPr="00734037">
        <w:t xml:space="preserve">: </w:t>
      </w:r>
      <w:r>
        <w:t>Myositis</w:t>
      </w:r>
      <w:r w:rsidRPr="00734037">
        <w:t xml:space="preserve"> model parameter details</w:t>
      </w:r>
    </w:p>
    <w:tbl>
      <w:tblPr>
        <w:tblStyle w:val="TableGrid"/>
        <w:tblW w:w="9100" w:type="dxa"/>
        <w:tblLayout w:type="fixed"/>
        <w:tblCellMar>
          <w:left w:w="28" w:type="dxa"/>
          <w:right w:w="28" w:type="dxa"/>
        </w:tblCellMar>
        <w:tblLook w:val="04A0"/>
      </w:tblPr>
      <w:tblGrid>
        <w:gridCol w:w="2294"/>
        <w:gridCol w:w="852"/>
        <w:gridCol w:w="1063"/>
        <w:gridCol w:w="1063"/>
        <w:gridCol w:w="1063"/>
        <w:gridCol w:w="1064"/>
        <w:gridCol w:w="1701"/>
      </w:tblGrid>
      <w:tr w:rsidR="00B97965" w:rsidRPr="007E5945" w:rsidTr="00B97965">
        <w:tc>
          <w:tcPr>
            <w:tcW w:w="2294"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Parameter name</w:t>
            </w:r>
          </w:p>
        </w:tc>
        <w:tc>
          <w:tcPr>
            <w:tcW w:w="852"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Mean Estimate</w:t>
            </w:r>
          </w:p>
        </w:tc>
        <w:tc>
          <w:tcPr>
            <w:tcW w:w="4253" w:type="dxa"/>
            <w:gridSpan w:val="4"/>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Covariance Matrix</w:t>
            </w:r>
          </w:p>
        </w:tc>
        <w:tc>
          <w:tcPr>
            <w:tcW w:w="1701"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Distribution</w:t>
            </w:r>
          </w:p>
        </w:tc>
      </w:tr>
      <w:tr w:rsidR="00B97965" w:rsidRPr="007E5945" w:rsidTr="00B97965">
        <w:tc>
          <w:tcPr>
            <w:tcW w:w="2294"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African America coefficient</w:t>
            </w:r>
          </w:p>
        </w:tc>
        <w:tc>
          <w:tcPr>
            <w:tcW w:w="852"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1.4161</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0.090905</w:t>
            </w:r>
          </w:p>
        </w:tc>
        <w:tc>
          <w:tcPr>
            <w:tcW w:w="1063" w:type="dxa"/>
            <w:vAlign w:val="bottom"/>
          </w:tcPr>
          <w:p w:rsidR="00B97965" w:rsidRPr="007E5945" w:rsidRDefault="00B97965" w:rsidP="00B97965">
            <w:pPr>
              <w:rPr>
                <w:rFonts w:asciiTheme="majorBidi" w:hAnsiTheme="majorBidi" w:cstheme="majorBidi"/>
                <w:color w:val="000000"/>
                <w:sz w:val="18"/>
                <w:szCs w:val="18"/>
              </w:rPr>
            </w:pPr>
          </w:p>
        </w:tc>
        <w:tc>
          <w:tcPr>
            <w:tcW w:w="1063" w:type="dxa"/>
            <w:vAlign w:val="bottom"/>
          </w:tcPr>
          <w:p w:rsidR="00B97965" w:rsidRPr="007E5945" w:rsidRDefault="00B97965" w:rsidP="00B97965">
            <w:pPr>
              <w:rPr>
                <w:rFonts w:asciiTheme="majorBidi" w:hAnsiTheme="majorBidi" w:cstheme="majorBidi"/>
                <w:color w:val="000000"/>
                <w:sz w:val="18"/>
                <w:szCs w:val="18"/>
              </w:rPr>
            </w:pPr>
          </w:p>
        </w:tc>
        <w:tc>
          <w:tcPr>
            <w:tcW w:w="1064" w:type="dxa"/>
            <w:vAlign w:val="bottom"/>
          </w:tcPr>
          <w:p w:rsidR="00B97965" w:rsidRPr="007E5945" w:rsidRDefault="00B97965" w:rsidP="00B97965">
            <w:pPr>
              <w:rPr>
                <w:rFonts w:asciiTheme="majorBidi" w:hAnsiTheme="majorBidi" w:cstheme="majorBidi"/>
                <w:color w:val="000000"/>
                <w:sz w:val="18"/>
                <w:szCs w:val="18"/>
              </w:rPr>
            </w:pPr>
          </w:p>
        </w:tc>
        <w:tc>
          <w:tcPr>
            <w:tcW w:w="1701" w:type="dxa"/>
          </w:tcPr>
          <w:p w:rsidR="00B97965" w:rsidRPr="007E5945" w:rsidRDefault="00B97965" w:rsidP="00B97965">
            <w:pPr>
              <w:spacing w:line="276" w:lineRule="auto"/>
              <w:jc w:val="cente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294"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Lag OBS</w:t>
            </w:r>
          </w:p>
        </w:tc>
        <w:tc>
          <w:tcPr>
            <w:tcW w:w="852"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1.9362</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0.004198</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0.562678</w:t>
            </w:r>
          </w:p>
        </w:tc>
        <w:tc>
          <w:tcPr>
            <w:tcW w:w="1063" w:type="dxa"/>
            <w:vAlign w:val="bottom"/>
          </w:tcPr>
          <w:p w:rsidR="00B97965" w:rsidRPr="007E5945" w:rsidRDefault="00B97965" w:rsidP="00B97965">
            <w:pPr>
              <w:rPr>
                <w:rFonts w:asciiTheme="majorBidi" w:hAnsiTheme="majorBidi" w:cstheme="majorBidi"/>
                <w:color w:val="000000"/>
                <w:sz w:val="18"/>
                <w:szCs w:val="18"/>
              </w:rPr>
            </w:pPr>
          </w:p>
        </w:tc>
        <w:tc>
          <w:tcPr>
            <w:tcW w:w="1064" w:type="dxa"/>
            <w:vAlign w:val="bottom"/>
          </w:tcPr>
          <w:p w:rsidR="00B97965" w:rsidRPr="007E5945" w:rsidRDefault="00B97965" w:rsidP="00B97965">
            <w:pPr>
              <w:rPr>
                <w:rFonts w:asciiTheme="majorBidi" w:hAnsiTheme="majorBidi" w:cstheme="majorBidi"/>
                <w:color w:val="000000"/>
                <w:sz w:val="18"/>
                <w:szCs w:val="18"/>
              </w:rPr>
            </w:pPr>
          </w:p>
        </w:tc>
        <w:tc>
          <w:tcPr>
            <w:tcW w:w="1701" w:type="dxa"/>
          </w:tcPr>
          <w:p w:rsidR="00B97965" w:rsidRPr="007E5945" w:rsidRDefault="00B97965" w:rsidP="00B97965">
            <w:pPr>
              <w:spacing w:line="276" w:lineRule="auto"/>
              <w:jc w:val="cente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294"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Lag myositis coefficient</w:t>
            </w:r>
          </w:p>
        </w:tc>
        <w:tc>
          <w:tcPr>
            <w:tcW w:w="852"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3.0996</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-0.02311</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4.42E-05</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0.133655</w:t>
            </w:r>
          </w:p>
        </w:tc>
        <w:tc>
          <w:tcPr>
            <w:tcW w:w="1064" w:type="dxa"/>
            <w:vAlign w:val="bottom"/>
          </w:tcPr>
          <w:p w:rsidR="00B97965" w:rsidRPr="007E5945" w:rsidRDefault="00B97965" w:rsidP="00B97965">
            <w:pPr>
              <w:rPr>
                <w:rFonts w:asciiTheme="majorBidi" w:hAnsiTheme="majorBidi" w:cstheme="majorBidi"/>
                <w:color w:val="000000"/>
                <w:sz w:val="18"/>
                <w:szCs w:val="18"/>
              </w:rPr>
            </w:pPr>
          </w:p>
        </w:tc>
        <w:tc>
          <w:tcPr>
            <w:tcW w:w="1701" w:type="dxa"/>
          </w:tcPr>
          <w:p w:rsidR="00B97965" w:rsidRPr="007E5945" w:rsidRDefault="00B97965" w:rsidP="00B97965">
            <w:pPr>
              <w:spacing w:line="276" w:lineRule="auto"/>
              <w:jc w:val="cente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2294" w:type="dxa"/>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Intercept</w:t>
            </w:r>
          </w:p>
        </w:tc>
        <w:tc>
          <w:tcPr>
            <w:tcW w:w="852"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-7.7148</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-0.0831</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-0.02067</w:t>
            </w:r>
          </w:p>
        </w:tc>
        <w:tc>
          <w:tcPr>
            <w:tcW w:w="1063"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0.071568</w:t>
            </w:r>
          </w:p>
        </w:tc>
        <w:tc>
          <w:tcPr>
            <w:tcW w:w="1064" w:type="dxa"/>
            <w:vAlign w:val="bottom"/>
          </w:tcPr>
          <w:p w:rsidR="00B97965" w:rsidRPr="007E5945" w:rsidRDefault="00B97965" w:rsidP="00B97965">
            <w:pPr>
              <w:jc w:val="right"/>
              <w:rPr>
                <w:rFonts w:asciiTheme="majorBidi" w:hAnsiTheme="majorBidi" w:cstheme="majorBidi"/>
                <w:color w:val="000000"/>
                <w:sz w:val="18"/>
                <w:szCs w:val="18"/>
              </w:rPr>
            </w:pPr>
            <w:r w:rsidRPr="007E5945">
              <w:rPr>
                <w:rFonts w:asciiTheme="majorBidi" w:hAnsiTheme="majorBidi" w:cstheme="majorBidi"/>
                <w:color w:val="000000"/>
                <w:sz w:val="18"/>
                <w:szCs w:val="18"/>
              </w:rPr>
              <w:t>0.177861</w:t>
            </w:r>
          </w:p>
        </w:tc>
        <w:tc>
          <w:tcPr>
            <w:tcW w:w="1701" w:type="dxa"/>
          </w:tcPr>
          <w:p w:rsidR="00B97965" w:rsidRPr="007E5945" w:rsidRDefault="00B97965" w:rsidP="00B97965">
            <w:pPr>
              <w:spacing w:line="276" w:lineRule="auto"/>
              <w:jc w:val="center"/>
              <w:rPr>
                <w:rFonts w:asciiTheme="majorBidi" w:hAnsiTheme="majorBidi" w:cstheme="majorBidi"/>
                <w:sz w:val="18"/>
                <w:szCs w:val="18"/>
              </w:rPr>
            </w:pPr>
            <w:r w:rsidRPr="007E5945">
              <w:rPr>
                <w:rFonts w:asciiTheme="majorBidi" w:hAnsiTheme="majorBidi" w:cstheme="majorBidi"/>
                <w:sz w:val="18"/>
                <w:szCs w:val="18"/>
              </w:rPr>
              <w:t>Multivariate Normal</w:t>
            </w:r>
          </w:p>
        </w:tc>
      </w:tr>
      <w:tr w:rsidR="00B97965" w:rsidRPr="007E5945" w:rsidTr="00B97965">
        <w:tc>
          <w:tcPr>
            <w:tcW w:w="9100" w:type="dxa"/>
            <w:gridSpan w:val="7"/>
          </w:tcPr>
          <w:p w:rsidR="00B97965" w:rsidRPr="007E5945" w:rsidRDefault="00B97965" w:rsidP="00B97965">
            <w:pPr>
              <w:spacing w:line="276" w:lineRule="auto"/>
              <w:rPr>
                <w:rFonts w:asciiTheme="majorBidi" w:hAnsiTheme="majorBidi" w:cstheme="majorBidi"/>
                <w:sz w:val="18"/>
                <w:szCs w:val="18"/>
              </w:rPr>
            </w:pPr>
            <w:r w:rsidRPr="007E5945">
              <w:rPr>
                <w:rFonts w:asciiTheme="majorBidi" w:hAnsiTheme="majorBidi" w:cstheme="majorBidi"/>
                <w:sz w:val="18"/>
                <w:szCs w:val="18"/>
              </w:rPr>
              <w:t>OBS Organic Brain Syndrome</w:t>
            </w:r>
          </w:p>
        </w:tc>
      </w:tr>
    </w:tbl>
    <w:p w:rsidR="00B97965" w:rsidRPr="00734037" w:rsidRDefault="00B97965" w:rsidP="00B97965">
      <w:pPr>
        <w:rPr>
          <w:lang w:val="fr-CA"/>
        </w:rPr>
      </w:pPr>
    </w:p>
    <w:p w:rsidR="00B97965" w:rsidRPr="00AE2D43" w:rsidRDefault="00B97965" w:rsidP="00234693">
      <w:pPr>
        <w:pStyle w:val="Caption"/>
      </w:pPr>
      <w:r w:rsidRPr="00F27A49">
        <w:t xml:space="preserve"> </w:t>
      </w:r>
      <w:r w:rsidRPr="00AE2D43">
        <w:t xml:space="preserve">Table </w:t>
      </w:r>
      <w:r w:rsidR="00E729BA">
        <w:fldChar w:fldCharType="begin"/>
      </w:r>
      <w:r w:rsidRPr="00AE2D43">
        <w:instrText xml:space="preserve"> SEQ Table \* ARABIC </w:instrText>
      </w:r>
      <w:r w:rsidR="00E729BA">
        <w:fldChar w:fldCharType="separate"/>
      </w:r>
      <w:r w:rsidR="004911B7">
        <w:rPr>
          <w:noProof/>
        </w:rPr>
        <w:t>81</w:t>
      </w:r>
      <w:r w:rsidR="00E729BA">
        <w:fldChar w:fldCharType="end"/>
      </w:r>
      <w:r w:rsidRPr="00AE2D43">
        <w:t xml:space="preserve">: </w:t>
      </w:r>
      <w:r>
        <w:t>New rash</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789"/>
        <w:gridCol w:w="648"/>
        <w:gridCol w:w="648"/>
        <w:gridCol w:w="648"/>
        <w:gridCol w:w="648"/>
        <w:gridCol w:w="648"/>
        <w:gridCol w:w="648"/>
        <w:gridCol w:w="1701"/>
      </w:tblGrid>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70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677" w:type="dxa"/>
            <w:gridSpan w:val="7"/>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70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age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-0.3967</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0.02388</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vasculitis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0.4151</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0.000219</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0.03240</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New rash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1.5691</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-3.85</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-06</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0.0046</w:t>
            </w:r>
            <w:r>
              <w:rPr>
                <w:rFonts w:asciiTheme="majorBidi" w:hAnsiTheme="majorBidi" w:cstheme="majorBidi"/>
                <w:color w:val="000000"/>
                <w:sz w:val="18"/>
                <w:szCs w:val="18"/>
              </w:rPr>
              <w:t>1</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Alopecia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0.2171</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-0.00088</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-0.0006</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-0.0005</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0.00978</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Mucosal ulcers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0.5527</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-0.00029</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w:t>
            </w:r>
            <w:r>
              <w:rPr>
                <w:rFonts w:asciiTheme="majorBidi" w:hAnsiTheme="majorBidi" w:cstheme="majorBidi"/>
                <w:color w:val="000000"/>
                <w:sz w:val="18"/>
                <w:szCs w:val="18"/>
              </w:rPr>
              <w:t>1</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w:t>
            </w:r>
            <w:r>
              <w:rPr>
                <w:rFonts w:asciiTheme="majorBidi" w:hAnsiTheme="majorBidi" w:cstheme="majorBidi"/>
                <w:color w:val="000000"/>
                <w:sz w:val="18"/>
                <w:szCs w:val="18"/>
              </w:rPr>
              <w:t>4</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-0.0009</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0.0139</w:t>
            </w:r>
            <w:r>
              <w:rPr>
                <w:rFonts w:asciiTheme="majorBidi" w:hAnsiTheme="majorBidi" w:cstheme="majorBidi"/>
                <w:color w:val="000000"/>
                <w:sz w:val="18"/>
                <w:szCs w:val="18"/>
              </w:rPr>
              <w:t>8</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low complement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0.2991</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0.001909</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-0.0006</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-0.0001</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-3 e</w:t>
            </w:r>
            <w:r w:rsidRPr="00322446">
              <w:rPr>
                <w:rFonts w:asciiTheme="majorBidi" w:hAnsiTheme="majorBidi" w:cstheme="majorBidi"/>
                <w:color w:val="000000"/>
                <w:sz w:val="18"/>
                <w:szCs w:val="18"/>
              </w:rPr>
              <w:t>-05</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0.00560</w:t>
            </w:r>
          </w:p>
        </w:tc>
        <w:tc>
          <w:tcPr>
            <w:tcW w:w="648"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-2.0789</w:t>
            </w:r>
          </w:p>
        </w:tc>
        <w:tc>
          <w:tcPr>
            <w:tcW w:w="78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-0.08834</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w:t>
            </w:r>
            <w:r>
              <w:rPr>
                <w:rFonts w:asciiTheme="majorBidi" w:hAnsiTheme="majorBidi" w:cstheme="majorBidi"/>
                <w:color w:val="000000"/>
                <w:sz w:val="18"/>
                <w:szCs w:val="18"/>
              </w:rPr>
              <w:t>8</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0.00011</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0.0024</w:t>
            </w:r>
            <w:r>
              <w:rPr>
                <w:rFonts w:asciiTheme="majorBidi" w:hAnsiTheme="majorBidi" w:cstheme="majorBidi"/>
                <w:color w:val="000000"/>
                <w:sz w:val="18"/>
                <w:szCs w:val="18"/>
              </w:rPr>
              <w:t>8</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w:t>
            </w:r>
            <w:r>
              <w:rPr>
                <w:rFonts w:asciiTheme="majorBidi" w:hAnsiTheme="majorBidi" w:cstheme="majorBidi"/>
                <w:color w:val="000000"/>
                <w:sz w:val="18"/>
                <w:szCs w:val="18"/>
              </w:rPr>
              <w:t>8</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-0.0088</w:t>
            </w:r>
          </w:p>
        </w:tc>
        <w:tc>
          <w:tcPr>
            <w:tcW w:w="648"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0.3319</w:t>
            </w:r>
            <w:r>
              <w:rPr>
                <w:rFonts w:asciiTheme="majorBidi" w:hAnsiTheme="majorBidi" w:cstheme="majorBidi"/>
                <w:color w:val="000000"/>
                <w:sz w:val="18"/>
                <w:szCs w:val="18"/>
              </w:rPr>
              <w:t>8</w:t>
            </w: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221DD6">
      <w:pPr>
        <w:rPr>
          <w:lang w:val="fr-CA"/>
        </w:rPr>
      </w:pPr>
    </w:p>
    <w:p w:rsidR="00221DD6" w:rsidRDefault="00221DD6" w:rsidP="00221DD6">
      <w:pPr>
        <w:rPr>
          <w:lang w:val="fr-CA"/>
        </w:rPr>
      </w:pPr>
    </w:p>
    <w:p w:rsidR="00221DD6" w:rsidRDefault="00221DD6" w:rsidP="00221DD6">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82</w:t>
      </w:r>
      <w:r w:rsidR="00E729BA">
        <w:fldChar w:fldCharType="end"/>
      </w:r>
      <w:r w:rsidRPr="00AE2D43">
        <w:t xml:space="preserve">: </w:t>
      </w:r>
      <w:r>
        <w:t>Alopecia</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756"/>
        <w:gridCol w:w="756"/>
        <w:gridCol w:w="756"/>
        <w:gridCol w:w="756"/>
        <w:gridCol w:w="756"/>
        <w:gridCol w:w="756"/>
        <w:gridCol w:w="1701"/>
      </w:tblGrid>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0"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536" w:type="dxa"/>
            <w:gridSpan w:val="6"/>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70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age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0.4423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0.044155</w:t>
            </w: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Male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-2.0594</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0.000359</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0.122862</w:t>
            </w: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African America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1.6742</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0.002028</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0.017269</w:t>
            </w: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Alopecia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1.9743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-0.00029</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0.001506</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-0.00143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0.005268</w:t>
            </w: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low complement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0.1715</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0.002112</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-0.00053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0.000386</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-0.00038</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0.007485</w:t>
            </w:r>
          </w:p>
        </w:tc>
        <w:tc>
          <w:tcPr>
            <w:tcW w:w="756"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-6.6136</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-0.00023</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-4.6</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-05</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9.90</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-06</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-3.9</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-05</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2.05</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-05</w:t>
            </w:r>
          </w:p>
        </w:tc>
        <w:tc>
          <w:tcPr>
            <w:tcW w:w="756"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6.38</w:t>
            </w:r>
            <w:r>
              <w:rPr>
                <w:rFonts w:asciiTheme="majorBidi" w:hAnsiTheme="majorBidi" w:cstheme="majorBidi"/>
                <w:color w:val="000000"/>
                <w:sz w:val="18"/>
                <w:szCs w:val="18"/>
              </w:rPr>
              <w:t>e</w:t>
            </w:r>
            <w:r w:rsidRPr="00322446">
              <w:rPr>
                <w:rFonts w:asciiTheme="majorBidi" w:hAnsiTheme="majorBidi" w:cstheme="majorBidi"/>
                <w:color w:val="000000"/>
                <w:sz w:val="18"/>
                <w:szCs w:val="18"/>
              </w:rPr>
              <w:t>-06</w:t>
            </w:r>
          </w:p>
        </w:tc>
        <w:tc>
          <w:tcPr>
            <w:tcW w:w="1701"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83</w:t>
      </w:r>
      <w:r w:rsidR="00E729BA">
        <w:fldChar w:fldCharType="end"/>
      </w:r>
      <w:r w:rsidRPr="00AE2D43">
        <w:t xml:space="preserve">: </w:t>
      </w:r>
      <w:r>
        <w:t>Mucosal Ulcers</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584"/>
        <w:gridCol w:w="585"/>
        <w:gridCol w:w="585"/>
        <w:gridCol w:w="585"/>
        <w:gridCol w:w="584"/>
        <w:gridCol w:w="585"/>
        <w:gridCol w:w="585"/>
        <w:gridCol w:w="585"/>
        <w:gridCol w:w="1559"/>
      </w:tblGrid>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0"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678" w:type="dxa"/>
            <w:gridSpan w:val="8"/>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55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Male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-0.8893</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0.061848</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4"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African American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-0.8985</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0.000803</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0.014272</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4"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vasculitis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0.5606</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-0.00025</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-0.00056</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0.053881</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4"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Haematuria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-0.4957</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-0.00067</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-0.00064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-8.</w:t>
            </w:r>
            <w:r>
              <w:rPr>
                <w:rFonts w:asciiTheme="majorBidi" w:hAnsiTheme="majorBidi" w:cstheme="majorBidi"/>
                <w:color w:val="000000"/>
                <w:sz w:val="14"/>
                <w:szCs w:val="14"/>
              </w:rPr>
              <w:t>4e</w:t>
            </w:r>
            <w:r w:rsidRPr="00322446">
              <w:rPr>
                <w:rFonts w:asciiTheme="majorBidi" w:hAnsiTheme="majorBidi" w:cstheme="majorBidi"/>
                <w:color w:val="000000"/>
                <w:sz w:val="14"/>
                <w:szCs w:val="14"/>
              </w:rPr>
              <w:t>-05</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0.044718</w:t>
            </w:r>
          </w:p>
        </w:tc>
        <w:tc>
          <w:tcPr>
            <w:tcW w:w="584"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new rash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0.3868</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1.01E-05</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0.000314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-0.00245</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-0.00044</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0.011732</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alopecia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0.5381</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0.001223</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-0.00254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-0.00081</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0.013954</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mucosal ulcers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1.1187</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0.000542</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0.000959</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6.52</w:t>
            </w:r>
            <w:r>
              <w:rPr>
                <w:rFonts w:asciiTheme="majorBidi" w:hAnsiTheme="majorBidi" w:cstheme="majorBidi"/>
                <w:color w:val="000000"/>
                <w:sz w:val="14"/>
                <w:szCs w:val="14"/>
              </w:rPr>
              <w:t>e</w:t>
            </w:r>
            <w:r w:rsidRPr="00322446">
              <w:rPr>
                <w:rFonts w:asciiTheme="majorBidi" w:hAnsiTheme="majorBidi" w:cstheme="majorBidi"/>
                <w:color w:val="000000"/>
                <w:sz w:val="14"/>
                <w:szCs w:val="14"/>
              </w:rPr>
              <w:t>-05</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-0.00087</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-0.00091</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0.009996</w:t>
            </w:r>
          </w:p>
        </w:tc>
        <w:tc>
          <w:tcPr>
            <w:tcW w:w="585"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734037"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-3.6001</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-0.00343</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-0.00376</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-0.00068</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-0.00095</w:t>
            </w:r>
          </w:p>
        </w:tc>
        <w:tc>
          <w:tcPr>
            <w:tcW w:w="584"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-0.00143</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-0.00054</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0.000246</w:t>
            </w:r>
          </w:p>
        </w:tc>
        <w:tc>
          <w:tcPr>
            <w:tcW w:w="58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0.006666</w:t>
            </w: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84</w:t>
      </w:r>
      <w:r w:rsidR="00E729BA">
        <w:fldChar w:fldCharType="end"/>
      </w:r>
      <w:r w:rsidRPr="00AE2D43">
        <w:t xml:space="preserve">: </w:t>
      </w:r>
      <w:r>
        <w:t>Pleurisy</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668"/>
        <w:gridCol w:w="668"/>
        <w:gridCol w:w="668"/>
        <w:gridCol w:w="669"/>
        <w:gridCol w:w="668"/>
        <w:gridCol w:w="668"/>
        <w:gridCol w:w="669"/>
        <w:gridCol w:w="1559"/>
      </w:tblGrid>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0"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678" w:type="dxa"/>
            <w:gridSpan w:val="7"/>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55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age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-0.9881</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0.047419</w:t>
            </w: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Male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-0.9720</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-0.00141</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0.119924</w:t>
            </w: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vasculitis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1.0966</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-1.6E-05</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-0.00053</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0.080291</w:t>
            </w: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pleurisy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1.6638</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0.001438</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0.00234</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-0.00119</w:t>
            </w:r>
          </w:p>
        </w:tc>
        <w:tc>
          <w:tcPr>
            <w:tcW w:w="669"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0.019384</w:t>
            </w: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pericarditis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0.5985</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0.001379</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-0.00047</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-0.0013</w:t>
            </w:r>
          </w:p>
        </w:tc>
        <w:tc>
          <w:tcPr>
            <w:tcW w:w="669"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-0.00711</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0.064501</w:t>
            </w:r>
          </w:p>
        </w:tc>
        <w:tc>
          <w:tcPr>
            <w:tcW w:w="668" w:type="dxa"/>
            <w:vAlign w:val="bottom"/>
          </w:tcPr>
          <w:p w:rsidR="00B97965" w:rsidRPr="00322446" w:rsidRDefault="00B97965" w:rsidP="00B97965">
            <w:pPr>
              <w:rPr>
                <w:rFonts w:asciiTheme="majorBidi" w:hAnsiTheme="majorBidi" w:cstheme="majorBidi"/>
                <w:color w:val="000000"/>
                <w:sz w:val="14"/>
                <w:szCs w:val="14"/>
              </w:rPr>
            </w:pP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0.7016</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0.003798</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-0.0012</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-0.00107</w:t>
            </w:r>
          </w:p>
        </w:tc>
        <w:tc>
          <w:tcPr>
            <w:tcW w:w="669"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-0.00033</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-0.00127</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0.01476</w:t>
            </w:r>
          </w:p>
        </w:tc>
        <w:tc>
          <w:tcPr>
            <w:tcW w:w="669"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-1.3521</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-0.17249</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0.002391</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-0.00352</w:t>
            </w:r>
          </w:p>
        </w:tc>
        <w:tc>
          <w:tcPr>
            <w:tcW w:w="669"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-0.0024</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-0.00388</w:t>
            </w:r>
          </w:p>
        </w:tc>
        <w:tc>
          <w:tcPr>
            <w:tcW w:w="668"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-0.01939</w:t>
            </w:r>
          </w:p>
        </w:tc>
        <w:tc>
          <w:tcPr>
            <w:tcW w:w="669"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0.643315</w:t>
            </w: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221DD6" w:rsidRDefault="00221DD6" w:rsidP="00B97965">
      <w:pPr>
        <w:rPr>
          <w:lang w:val="fr-CA"/>
        </w:rPr>
      </w:pPr>
    </w:p>
    <w:p w:rsidR="00221DD6" w:rsidRDefault="00221DD6" w:rsidP="00B97965">
      <w:pPr>
        <w:rPr>
          <w:lang w:val="fr-CA"/>
        </w:rPr>
      </w:pPr>
    </w:p>
    <w:p w:rsidR="00B97965" w:rsidRDefault="00B97965" w:rsidP="00234693">
      <w:pPr>
        <w:pStyle w:val="Caption"/>
      </w:pPr>
      <w:r>
        <w:t xml:space="preserve">Table </w:t>
      </w:r>
      <w:fldSimple w:instr=" SEQ Table \* ARABIC ">
        <w:r w:rsidR="004911B7">
          <w:rPr>
            <w:noProof/>
          </w:rPr>
          <w:t>85</w:t>
        </w:r>
      </w:fldSimple>
      <w:r>
        <w:t>: Pericarditis model parameter details</w:t>
      </w:r>
    </w:p>
    <w:tbl>
      <w:tblPr>
        <w:tblStyle w:val="TableGrid"/>
        <w:tblW w:w="9100" w:type="dxa"/>
        <w:tblLayout w:type="fixed"/>
        <w:tblCellMar>
          <w:left w:w="28" w:type="dxa"/>
          <w:right w:w="28" w:type="dxa"/>
        </w:tblCellMar>
        <w:tblLook w:val="04A0"/>
      </w:tblPr>
      <w:tblGrid>
        <w:gridCol w:w="2296"/>
        <w:gridCol w:w="851"/>
        <w:gridCol w:w="850"/>
        <w:gridCol w:w="850"/>
        <w:gridCol w:w="851"/>
        <w:gridCol w:w="850"/>
        <w:gridCol w:w="851"/>
        <w:gridCol w:w="1701"/>
      </w:tblGrid>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252" w:type="dxa"/>
            <w:gridSpan w:val="5"/>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70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age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-1.3246</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0.145772</w:t>
            </w:r>
          </w:p>
        </w:tc>
        <w:tc>
          <w:tcPr>
            <w:tcW w:w="850" w:type="dxa"/>
            <w:vAlign w:val="bottom"/>
          </w:tcPr>
          <w:p w:rsidR="00B97965" w:rsidRPr="00322446" w:rsidRDefault="00B97965" w:rsidP="00B97965">
            <w:pPr>
              <w:rPr>
                <w:rFonts w:asciiTheme="majorBidi" w:hAnsiTheme="majorBidi" w:cstheme="majorBidi"/>
                <w:color w:val="000000"/>
                <w:sz w:val="18"/>
                <w:szCs w:val="18"/>
              </w:rPr>
            </w:pP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850" w:type="dxa"/>
            <w:vAlign w:val="bottom"/>
          </w:tcPr>
          <w:p w:rsidR="00B97965" w:rsidRPr="00322446" w:rsidRDefault="00B97965" w:rsidP="00B97965">
            <w:pPr>
              <w:rPr>
                <w:rFonts w:asciiTheme="majorBidi" w:hAnsiTheme="majorBidi" w:cstheme="majorBidi"/>
                <w:color w:val="000000"/>
                <w:sz w:val="18"/>
                <w:szCs w:val="18"/>
              </w:rPr>
            </w:pP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Pleurisy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1.1127</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0.004071</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0.07535</w:t>
            </w: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850" w:type="dxa"/>
            <w:vAlign w:val="bottom"/>
          </w:tcPr>
          <w:p w:rsidR="00B97965" w:rsidRPr="00322446" w:rsidRDefault="00B97965" w:rsidP="00B97965">
            <w:pPr>
              <w:rPr>
                <w:rFonts w:asciiTheme="majorBidi" w:hAnsiTheme="majorBidi" w:cstheme="majorBidi"/>
                <w:color w:val="000000"/>
                <w:sz w:val="18"/>
                <w:szCs w:val="18"/>
              </w:rPr>
            </w:pP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Pericarditis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1.7390</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0.006683</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-0.02539</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0.086328</w:t>
            </w:r>
          </w:p>
        </w:tc>
        <w:tc>
          <w:tcPr>
            <w:tcW w:w="850" w:type="dxa"/>
            <w:vAlign w:val="bottom"/>
          </w:tcPr>
          <w:p w:rsidR="00B97965" w:rsidRPr="00322446" w:rsidRDefault="00B97965" w:rsidP="00B97965">
            <w:pPr>
              <w:rPr>
                <w:rFonts w:asciiTheme="majorBidi" w:hAnsiTheme="majorBidi" w:cstheme="majorBidi"/>
                <w:color w:val="000000"/>
                <w:sz w:val="18"/>
                <w:szCs w:val="18"/>
              </w:rPr>
            </w:pP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0.8106</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0.01133</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-0.00374</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-0.00383</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0.04659</w:t>
            </w:r>
          </w:p>
        </w:tc>
        <w:tc>
          <w:tcPr>
            <w:tcW w:w="851"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-2.0822</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-0.51971</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-0.01428</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-0.00143</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-0.06483</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1.934583</w:t>
            </w: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86</w:t>
        </w:r>
      </w:fldSimple>
      <w:r>
        <w:t>: Thrombocytopenia model parameter details</w:t>
      </w:r>
    </w:p>
    <w:tbl>
      <w:tblPr>
        <w:tblStyle w:val="TableGrid"/>
        <w:tblW w:w="9100" w:type="dxa"/>
        <w:tblLayout w:type="fixed"/>
        <w:tblCellMar>
          <w:left w:w="28" w:type="dxa"/>
          <w:right w:w="28" w:type="dxa"/>
        </w:tblCellMar>
        <w:tblLook w:val="04A0"/>
      </w:tblPr>
      <w:tblGrid>
        <w:gridCol w:w="2296"/>
        <w:gridCol w:w="851"/>
        <w:gridCol w:w="1063"/>
        <w:gridCol w:w="1063"/>
        <w:gridCol w:w="1063"/>
        <w:gridCol w:w="1063"/>
        <w:gridCol w:w="1701"/>
      </w:tblGrid>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252" w:type="dxa"/>
            <w:gridSpan w:val="4"/>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70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thrombocytopenia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2.6837</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0.017036</w:t>
            </w: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Leukopenia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0.4472</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-0.00182</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0.034244</w:t>
            </w: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0.4243</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0.000272</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-0.00035</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0.020893</w:t>
            </w:r>
          </w:p>
        </w:tc>
        <w:tc>
          <w:tcPr>
            <w:tcW w:w="1063" w:type="dxa"/>
            <w:vAlign w:val="bottom"/>
          </w:tcPr>
          <w:p w:rsidR="00B97965" w:rsidRPr="00322446" w:rsidRDefault="00B97965" w:rsidP="00B97965">
            <w:pPr>
              <w:rPr>
                <w:rFonts w:asciiTheme="majorBidi" w:hAnsiTheme="majorBidi" w:cstheme="majorBidi"/>
                <w:color w:val="000000"/>
                <w:sz w:val="18"/>
                <w:szCs w:val="18"/>
              </w:rPr>
            </w:pP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296"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1"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-6.4382</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0.009644</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-0.00313</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-0.00809</w:t>
            </w:r>
          </w:p>
        </w:tc>
        <w:tc>
          <w:tcPr>
            <w:tcW w:w="1063"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0.075015</w:t>
            </w:r>
          </w:p>
        </w:tc>
        <w:tc>
          <w:tcPr>
            <w:tcW w:w="1701" w:type="dxa"/>
          </w:tcPr>
          <w:p w:rsidR="00B97965" w:rsidRPr="00322446" w:rsidRDefault="00B97965" w:rsidP="00B97965">
            <w:pPr>
              <w:spacing w:line="276" w:lineRule="auto"/>
              <w:jc w:val="cente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87</w:t>
      </w:r>
      <w:r w:rsidR="00E729BA">
        <w:fldChar w:fldCharType="end"/>
      </w:r>
      <w:r w:rsidRPr="00AE2D43">
        <w:t xml:space="preserve">: </w:t>
      </w:r>
      <w:r>
        <w:t>Leukopenia</w:t>
      </w:r>
      <w:r w:rsidRPr="00AE2D43">
        <w:t xml:space="preserve"> model parameter details</w:t>
      </w:r>
    </w:p>
    <w:tbl>
      <w:tblPr>
        <w:tblStyle w:val="TableGrid"/>
        <w:tblW w:w="9100" w:type="dxa"/>
        <w:tblLayout w:type="fixed"/>
        <w:tblCellMar>
          <w:left w:w="28" w:type="dxa"/>
          <w:right w:w="28" w:type="dxa"/>
        </w:tblCellMar>
        <w:tblLook w:val="04A0"/>
      </w:tblPr>
      <w:tblGrid>
        <w:gridCol w:w="1871"/>
        <w:gridCol w:w="709"/>
        <w:gridCol w:w="708"/>
        <w:gridCol w:w="709"/>
        <w:gridCol w:w="709"/>
        <w:gridCol w:w="708"/>
        <w:gridCol w:w="709"/>
        <w:gridCol w:w="709"/>
        <w:gridCol w:w="709"/>
        <w:gridCol w:w="1559"/>
      </w:tblGrid>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70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961" w:type="dxa"/>
            <w:gridSpan w:val="7"/>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55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-0.8898</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0.089755</w:t>
            </w: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8"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African America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1.1418</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-0.00013</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0.038149</w:t>
            </w: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8"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thrombocytopenia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0.5988</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-2.9E-05</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0.00019</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0.032204</w:t>
            </w:r>
          </w:p>
        </w:tc>
        <w:tc>
          <w:tcPr>
            <w:tcW w:w="708"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Leukopenia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1.5806</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0.000493</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-0.00161</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-0.00078</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0.007618</w:t>
            </w: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low complement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0.3725</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0.002367</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-4.6E-05</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-0.00054</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-0.00034</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0.010509</w:t>
            </w: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0.2522</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0.001409</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-0.0002</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0.000213</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-0.00021</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-0.002</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0.011167</w:t>
            </w:r>
          </w:p>
        </w:tc>
        <w:tc>
          <w:tcPr>
            <w:tcW w:w="70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1871"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-2.1578</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-0.31586</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-0.02283</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-0.00073</w:t>
            </w:r>
          </w:p>
        </w:tc>
        <w:tc>
          <w:tcPr>
            <w:tcW w:w="70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0.000628</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-0.01105</w:t>
            </w:r>
          </w:p>
        </w:tc>
        <w:tc>
          <w:tcPr>
            <w:tcW w:w="70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-0.00851</w:t>
            </w:r>
          </w:p>
        </w:tc>
        <w:tc>
          <w:tcPr>
            <w:tcW w:w="709" w:type="dxa"/>
            <w:vAlign w:val="bottom"/>
          </w:tcPr>
          <w:p w:rsidR="00B97965" w:rsidRPr="00322446" w:rsidRDefault="00B97965" w:rsidP="00B97965">
            <w:pPr>
              <w:rPr>
                <w:rFonts w:asciiTheme="majorBidi" w:hAnsiTheme="majorBidi" w:cstheme="majorBidi"/>
                <w:color w:val="000000"/>
                <w:sz w:val="16"/>
                <w:szCs w:val="16"/>
              </w:rPr>
            </w:pPr>
            <w:r w:rsidRPr="00322446">
              <w:rPr>
                <w:rFonts w:asciiTheme="majorBidi" w:hAnsiTheme="majorBidi" w:cstheme="majorBidi"/>
                <w:color w:val="000000"/>
                <w:sz w:val="16"/>
                <w:szCs w:val="16"/>
              </w:rPr>
              <w:t>1.151025</w:t>
            </w: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221DD6" w:rsidRDefault="00221DD6" w:rsidP="00B97965">
      <w:pPr>
        <w:rPr>
          <w:lang w:val="fr-CA"/>
        </w:rPr>
      </w:pPr>
    </w:p>
    <w:p w:rsidR="00221DD6" w:rsidRDefault="00221DD6" w:rsidP="00B97965">
      <w:pPr>
        <w:rPr>
          <w:lang w:val="fr-CA"/>
        </w:rPr>
      </w:pPr>
    </w:p>
    <w:p w:rsidR="00221DD6" w:rsidRDefault="00221DD6"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88</w:t>
      </w:r>
      <w:r w:rsidR="00E729BA">
        <w:fldChar w:fldCharType="end"/>
      </w:r>
      <w:r w:rsidRPr="00AE2D43">
        <w:t xml:space="preserve">: </w:t>
      </w:r>
      <w:r>
        <w:t>Low Complement</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850"/>
        <w:gridCol w:w="668"/>
        <w:gridCol w:w="668"/>
        <w:gridCol w:w="668"/>
        <w:gridCol w:w="669"/>
        <w:gridCol w:w="668"/>
        <w:gridCol w:w="668"/>
        <w:gridCol w:w="669"/>
        <w:gridCol w:w="1559"/>
      </w:tblGrid>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850"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678" w:type="dxa"/>
            <w:gridSpan w:val="7"/>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55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-1.4403</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0.04100</w:t>
            </w: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New rash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0.2628</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0.00011</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0.00714</w:t>
            </w: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thrombocytopenia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0.2322</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0.00027</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-0.00043</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0.01941</w:t>
            </w: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Leukopenia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0.3096</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0.00017</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0.00014</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-0.00087</w:t>
            </w:r>
          </w:p>
        </w:tc>
        <w:tc>
          <w:tcPr>
            <w:tcW w:w="66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0.01053</w:t>
            </w: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low complement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2.0156</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0.00070</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-0.00024</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-0.00019</w:t>
            </w:r>
          </w:p>
        </w:tc>
        <w:tc>
          <w:tcPr>
            <w:tcW w:w="66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-0.00017</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0.00281</w:t>
            </w:r>
          </w:p>
        </w:tc>
        <w:tc>
          <w:tcPr>
            <w:tcW w:w="668" w:type="dxa"/>
            <w:vAlign w:val="bottom"/>
          </w:tcPr>
          <w:p w:rsidR="00B97965" w:rsidRPr="00322446" w:rsidRDefault="00B97965" w:rsidP="00B97965">
            <w:pPr>
              <w:rPr>
                <w:rFonts w:asciiTheme="majorBidi" w:hAnsiTheme="majorBidi" w:cstheme="majorBidi"/>
                <w:color w:val="000000"/>
                <w:sz w:val="16"/>
                <w:szCs w:val="16"/>
              </w:rPr>
            </w:pP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0.4732</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0.00072</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-0.00019</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-0.00001</w:t>
            </w:r>
          </w:p>
        </w:tc>
        <w:tc>
          <w:tcPr>
            <w:tcW w:w="66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0.00000</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-0.00038</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0.00424</w:t>
            </w:r>
          </w:p>
        </w:tc>
        <w:tc>
          <w:tcPr>
            <w:tcW w:w="669" w:type="dxa"/>
            <w:vAlign w:val="bottom"/>
          </w:tcPr>
          <w:p w:rsidR="00B97965" w:rsidRPr="00322446" w:rsidRDefault="00B97965" w:rsidP="00B97965">
            <w:pPr>
              <w:rPr>
                <w:rFonts w:asciiTheme="majorBidi" w:hAnsiTheme="majorBidi" w:cstheme="majorBidi"/>
                <w:color w:val="000000"/>
                <w:sz w:val="16"/>
                <w:szCs w:val="16"/>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850"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2.7720</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-0.14574</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-0.00101</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-0.00133</w:t>
            </w:r>
          </w:p>
        </w:tc>
        <w:tc>
          <w:tcPr>
            <w:tcW w:w="66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-0.00137</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-0.00307</w:t>
            </w:r>
          </w:p>
        </w:tc>
        <w:tc>
          <w:tcPr>
            <w:tcW w:w="668"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-0.00365</w:t>
            </w:r>
          </w:p>
        </w:tc>
        <w:tc>
          <w:tcPr>
            <w:tcW w:w="669" w:type="dxa"/>
            <w:vAlign w:val="bottom"/>
          </w:tcPr>
          <w:p w:rsidR="00B97965" w:rsidRPr="00322446" w:rsidRDefault="00B97965" w:rsidP="00B97965">
            <w:pPr>
              <w:jc w:val="right"/>
              <w:rPr>
                <w:rFonts w:asciiTheme="majorBidi" w:hAnsiTheme="majorBidi" w:cstheme="majorBidi"/>
                <w:color w:val="000000"/>
                <w:sz w:val="16"/>
                <w:szCs w:val="16"/>
              </w:rPr>
            </w:pPr>
            <w:r w:rsidRPr="00322446">
              <w:rPr>
                <w:rFonts w:asciiTheme="majorBidi" w:hAnsiTheme="majorBidi" w:cstheme="majorBidi"/>
                <w:color w:val="000000"/>
                <w:sz w:val="16"/>
                <w:szCs w:val="16"/>
              </w:rPr>
              <w:t>0.524126</w:t>
            </w: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89</w:t>
      </w:r>
      <w:r w:rsidR="00E729BA">
        <w:fldChar w:fldCharType="end"/>
      </w:r>
      <w:r w:rsidRPr="00AE2D43">
        <w:t xml:space="preserve">: </w:t>
      </w:r>
      <w:r>
        <w:t>Increased DNA binding</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535"/>
        <w:gridCol w:w="535"/>
        <w:gridCol w:w="536"/>
        <w:gridCol w:w="535"/>
        <w:gridCol w:w="536"/>
        <w:gridCol w:w="535"/>
        <w:gridCol w:w="536"/>
        <w:gridCol w:w="535"/>
        <w:gridCol w:w="536"/>
        <w:gridCol w:w="1559"/>
      </w:tblGrid>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Parameter name</w:t>
            </w:r>
          </w:p>
        </w:tc>
        <w:tc>
          <w:tcPr>
            <w:tcW w:w="70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Mean Estimate</w:t>
            </w:r>
          </w:p>
        </w:tc>
        <w:tc>
          <w:tcPr>
            <w:tcW w:w="4819" w:type="dxa"/>
            <w:gridSpan w:val="9"/>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Covariance Matrix</w:t>
            </w:r>
          </w:p>
        </w:tc>
        <w:tc>
          <w:tcPr>
            <w:tcW w:w="1559"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Distribution</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Log transformed age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-1.0218</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0.0493</w:t>
            </w: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Male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0.5394</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0.0005</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0.0212</w:t>
            </w: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haematuria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0.3866</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0.0132</w:t>
            </w: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arthritis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0.3663</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0.0082</w:t>
            </w: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pericarditis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0.5782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0.0009</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0.0000</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0.0820</w:t>
            </w: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leukopenia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0.3501</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0.0001</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-0.0007</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-0.0001</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0.0127</w:t>
            </w: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low complement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0.4953</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0.0010</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0.0000</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0.0045</w:t>
            </w:r>
          </w:p>
        </w:tc>
        <w:tc>
          <w:tcPr>
            <w:tcW w:w="535" w:type="dxa"/>
            <w:vAlign w:val="bottom"/>
          </w:tcPr>
          <w:p w:rsidR="00B97965" w:rsidRPr="00322446" w:rsidRDefault="00B97965" w:rsidP="00B97965">
            <w:pPr>
              <w:rPr>
                <w:rFonts w:asciiTheme="majorBidi" w:hAnsiTheme="majorBidi" w:cstheme="majorBidi"/>
                <w:color w:val="000000"/>
                <w:sz w:val="14"/>
                <w:szCs w:val="14"/>
              </w:rPr>
            </w:pP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Lag increased DNA coefficient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2.2122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-0.0003</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-0.0002</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-0.0001</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0.0000</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0.0000</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-0.0004</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0.0033</w:t>
            </w:r>
          </w:p>
        </w:tc>
        <w:tc>
          <w:tcPr>
            <w:tcW w:w="536" w:type="dxa"/>
            <w:vAlign w:val="bottom"/>
          </w:tcPr>
          <w:p w:rsidR="00B97965" w:rsidRPr="00322446" w:rsidRDefault="00B97965" w:rsidP="00B97965">
            <w:pPr>
              <w:rPr>
                <w:rFonts w:asciiTheme="majorBidi" w:hAnsiTheme="majorBidi" w:cstheme="majorBidi"/>
                <w:color w:val="000000"/>
                <w:sz w:val="14"/>
                <w:szCs w:val="14"/>
              </w:rPr>
            </w:pP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r w:rsidR="00B97965" w:rsidRPr="00322446" w:rsidTr="00B97965">
        <w:tc>
          <w:tcPr>
            <w:tcW w:w="2013" w:type="dxa"/>
          </w:tcPr>
          <w:p w:rsidR="00B97965" w:rsidRPr="00322446" w:rsidRDefault="00B97965" w:rsidP="00B97965">
            <w:pPr>
              <w:spacing w:line="276" w:lineRule="auto"/>
              <w:rPr>
                <w:rFonts w:asciiTheme="majorBidi" w:hAnsiTheme="majorBidi" w:cstheme="majorBidi"/>
                <w:sz w:val="18"/>
                <w:szCs w:val="18"/>
              </w:rPr>
            </w:pPr>
            <w:r w:rsidRPr="00322446">
              <w:rPr>
                <w:rFonts w:asciiTheme="majorBidi" w:hAnsiTheme="majorBidi" w:cstheme="majorBidi"/>
                <w:sz w:val="18"/>
                <w:szCs w:val="18"/>
              </w:rPr>
              <w:t>Intercept</w:t>
            </w:r>
          </w:p>
        </w:tc>
        <w:tc>
          <w:tcPr>
            <w:tcW w:w="709" w:type="dxa"/>
            <w:vAlign w:val="bottom"/>
          </w:tcPr>
          <w:p w:rsidR="00B97965" w:rsidRPr="00322446" w:rsidRDefault="00B97965" w:rsidP="00B97965">
            <w:pPr>
              <w:jc w:val="right"/>
              <w:rPr>
                <w:rFonts w:asciiTheme="majorBidi" w:hAnsiTheme="majorBidi" w:cstheme="majorBidi"/>
                <w:color w:val="000000"/>
                <w:sz w:val="18"/>
                <w:szCs w:val="18"/>
              </w:rPr>
            </w:pPr>
            <w:r w:rsidRPr="00322446">
              <w:rPr>
                <w:rFonts w:asciiTheme="majorBidi" w:hAnsiTheme="majorBidi" w:cstheme="majorBidi"/>
                <w:color w:val="000000"/>
                <w:sz w:val="18"/>
                <w:szCs w:val="18"/>
              </w:rPr>
              <w:t>0.6760</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-0.17</w:t>
            </w:r>
            <w:r>
              <w:rPr>
                <w:rFonts w:asciiTheme="majorBidi" w:hAnsiTheme="majorBidi" w:cstheme="majorBidi"/>
                <w:color w:val="000000"/>
                <w:sz w:val="14"/>
                <w:szCs w:val="14"/>
              </w:rPr>
              <w:t>6</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-0.010</w:t>
            </w:r>
            <w:r>
              <w:rPr>
                <w:rFonts w:asciiTheme="majorBidi" w:hAnsiTheme="majorBidi" w:cstheme="majorBidi"/>
                <w:color w:val="000000"/>
                <w:sz w:val="14"/>
                <w:szCs w:val="14"/>
              </w:rPr>
              <w:t>7</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-0.003</w:t>
            </w:r>
            <w:r>
              <w:rPr>
                <w:rFonts w:asciiTheme="majorBidi" w:hAnsiTheme="majorBidi" w:cstheme="majorBidi"/>
                <w:color w:val="000000"/>
                <w:sz w:val="14"/>
                <w:szCs w:val="14"/>
              </w:rPr>
              <w:t>8</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-0.0014</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-0.0039</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-0.0012</w:t>
            </w:r>
          </w:p>
        </w:tc>
        <w:tc>
          <w:tcPr>
            <w:tcW w:w="536"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-0.0047</w:t>
            </w:r>
          </w:p>
        </w:tc>
        <w:tc>
          <w:tcPr>
            <w:tcW w:w="535" w:type="dxa"/>
            <w:vAlign w:val="bottom"/>
          </w:tcPr>
          <w:p w:rsidR="00B97965" w:rsidRPr="00322446" w:rsidRDefault="00B97965" w:rsidP="00B97965">
            <w:pPr>
              <w:jc w:val="right"/>
              <w:rPr>
                <w:rFonts w:asciiTheme="majorBidi" w:hAnsiTheme="majorBidi" w:cstheme="majorBidi"/>
                <w:color w:val="000000"/>
                <w:sz w:val="14"/>
                <w:szCs w:val="14"/>
              </w:rPr>
            </w:pPr>
            <w:r w:rsidRPr="00322446">
              <w:rPr>
                <w:rFonts w:asciiTheme="majorBidi" w:hAnsiTheme="majorBidi" w:cstheme="majorBidi"/>
                <w:color w:val="000000"/>
                <w:sz w:val="14"/>
                <w:szCs w:val="14"/>
              </w:rPr>
              <w:t>-0.0015</w:t>
            </w:r>
          </w:p>
        </w:tc>
        <w:tc>
          <w:tcPr>
            <w:tcW w:w="536" w:type="dxa"/>
            <w:vAlign w:val="bottom"/>
          </w:tcPr>
          <w:p w:rsidR="00B97965" w:rsidRPr="00322446" w:rsidRDefault="00B97965" w:rsidP="00B97965">
            <w:pPr>
              <w:rPr>
                <w:rFonts w:asciiTheme="majorBidi" w:hAnsiTheme="majorBidi" w:cstheme="majorBidi"/>
                <w:color w:val="000000"/>
                <w:sz w:val="14"/>
                <w:szCs w:val="14"/>
              </w:rPr>
            </w:pPr>
            <w:r w:rsidRPr="00322446">
              <w:rPr>
                <w:rFonts w:asciiTheme="majorBidi" w:hAnsiTheme="majorBidi" w:cstheme="majorBidi"/>
                <w:color w:val="000000"/>
                <w:sz w:val="14"/>
                <w:szCs w:val="14"/>
              </w:rPr>
              <w:t>0.6399</w:t>
            </w:r>
          </w:p>
        </w:tc>
        <w:tc>
          <w:tcPr>
            <w:tcW w:w="1559" w:type="dxa"/>
          </w:tcPr>
          <w:p w:rsidR="00B97965" w:rsidRPr="00322446" w:rsidRDefault="00B97965" w:rsidP="00B97965">
            <w:pPr>
              <w:rPr>
                <w:rFonts w:asciiTheme="majorBidi" w:hAnsiTheme="majorBidi" w:cstheme="majorBidi"/>
                <w:sz w:val="18"/>
                <w:szCs w:val="18"/>
              </w:rPr>
            </w:pPr>
            <w:r w:rsidRPr="00322446">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234693">
      <w:pPr>
        <w:pStyle w:val="Caption"/>
      </w:pPr>
      <w:r>
        <w:t xml:space="preserve">Table </w:t>
      </w:r>
      <w:fldSimple w:instr=" SEQ Table \* ARABIC ">
        <w:r w:rsidR="004911B7">
          <w:rPr>
            <w:noProof/>
          </w:rPr>
          <w:t>90</w:t>
        </w:r>
      </w:fldSimple>
      <w:r>
        <w:t>: Fever model parameter details</w:t>
      </w:r>
    </w:p>
    <w:tbl>
      <w:tblPr>
        <w:tblStyle w:val="TableGrid"/>
        <w:tblW w:w="9100" w:type="dxa"/>
        <w:tblLayout w:type="fixed"/>
        <w:tblCellMar>
          <w:left w:w="28" w:type="dxa"/>
          <w:right w:w="28" w:type="dxa"/>
        </w:tblCellMar>
        <w:tblLook w:val="04A0"/>
      </w:tblPr>
      <w:tblGrid>
        <w:gridCol w:w="2296"/>
        <w:gridCol w:w="851"/>
        <w:gridCol w:w="1464"/>
        <w:gridCol w:w="1465"/>
        <w:gridCol w:w="1465"/>
        <w:gridCol w:w="1559"/>
      </w:tblGrid>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Parameter name</w:t>
            </w:r>
          </w:p>
        </w:tc>
        <w:tc>
          <w:tcPr>
            <w:tcW w:w="851"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Mean Estimate</w:t>
            </w:r>
          </w:p>
        </w:tc>
        <w:tc>
          <w:tcPr>
            <w:tcW w:w="4394" w:type="dxa"/>
            <w:gridSpan w:val="3"/>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Covariance Matrix</w:t>
            </w:r>
          </w:p>
        </w:tc>
        <w:tc>
          <w:tcPr>
            <w:tcW w:w="1559"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Distribution</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Log transformed age coefficient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-1.8866</w:t>
            </w:r>
          </w:p>
        </w:tc>
        <w:tc>
          <w:tcPr>
            <w:tcW w:w="1464"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0.144231</w:t>
            </w:r>
          </w:p>
        </w:tc>
        <w:tc>
          <w:tcPr>
            <w:tcW w:w="1465" w:type="dxa"/>
            <w:vAlign w:val="bottom"/>
          </w:tcPr>
          <w:p w:rsidR="00B97965" w:rsidRPr="00761832" w:rsidRDefault="00B97965" w:rsidP="00B97965">
            <w:pPr>
              <w:rPr>
                <w:rFonts w:asciiTheme="majorBidi" w:hAnsiTheme="majorBidi" w:cstheme="majorBidi"/>
                <w:color w:val="000000"/>
                <w:sz w:val="18"/>
                <w:szCs w:val="18"/>
              </w:rPr>
            </w:pPr>
          </w:p>
        </w:tc>
        <w:tc>
          <w:tcPr>
            <w:tcW w:w="1465" w:type="dxa"/>
            <w:vAlign w:val="bottom"/>
          </w:tcPr>
          <w:p w:rsidR="00B97965" w:rsidRPr="00761832" w:rsidRDefault="00B97965" w:rsidP="00B97965">
            <w:pPr>
              <w:rPr>
                <w:rFonts w:asciiTheme="majorBidi" w:hAnsiTheme="majorBidi" w:cstheme="majorBidi"/>
                <w:color w:val="000000"/>
                <w:sz w:val="18"/>
                <w:szCs w:val="18"/>
              </w:rPr>
            </w:pPr>
          </w:p>
        </w:tc>
        <w:tc>
          <w:tcPr>
            <w:tcW w:w="1559"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African American coefficient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0.5150</w:t>
            </w:r>
          </w:p>
        </w:tc>
        <w:tc>
          <w:tcPr>
            <w:tcW w:w="1464"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-0.00157</w:t>
            </w:r>
          </w:p>
        </w:tc>
        <w:tc>
          <w:tcPr>
            <w:tcW w:w="1465"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0.05473</w:t>
            </w:r>
          </w:p>
        </w:tc>
        <w:tc>
          <w:tcPr>
            <w:tcW w:w="1465" w:type="dxa"/>
            <w:vAlign w:val="bottom"/>
          </w:tcPr>
          <w:p w:rsidR="00B97965" w:rsidRPr="00761832" w:rsidRDefault="00B97965" w:rsidP="00B97965">
            <w:pPr>
              <w:rPr>
                <w:rFonts w:asciiTheme="majorBidi" w:hAnsiTheme="majorBidi" w:cstheme="majorBidi"/>
                <w:color w:val="000000"/>
                <w:sz w:val="18"/>
                <w:szCs w:val="18"/>
              </w:rPr>
            </w:pPr>
          </w:p>
        </w:tc>
        <w:tc>
          <w:tcPr>
            <w:tcW w:w="1559"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Intercept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0.5940</w:t>
            </w:r>
          </w:p>
        </w:tc>
        <w:tc>
          <w:tcPr>
            <w:tcW w:w="1464"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-0.48382</w:t>
            </w:r>
          </w:p>
        </w:tc>
        <w:tc>
          <w:tcPr>
            <w:tcW w:w="1465"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-2.47E-02</w:t>
            </w:r>
          </w:p>
        </w:tc>
        <w:tc>
          <w:tcPr>
            <w:tcW w:w="1465"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1.702157</w:t>
            </w:r>
          </w:p>
        </w:tc>
        <w:tc>
          <w:tcPr>
            <w:tcW w:w="1559"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bl>
    <w:p w:rsidR="00B97965" w:rsidRDefault="00B97965" w:rsidP="00B97965">
      <w:pPr>
        <w:rPr>
          <w:lang w:val="fr-CA"/>
        </w:rPr>
      </w:pPr>
    </w:p>
    <w:p w:rsidR="00221DD6" w:rsidRDefault="00221DD6" w:rsidP="00B97965">
      <w:pPr>
        <w:rPr>
          <w:lang w:val="fr-CA"/>
        </w:rPr>
      </w:pPr>
    </w:p>
    <w:p w:rsidR="00221DD6" w:rsidRDefault="00221DD6" w:rsidP="00B97965">
      <w:pPr>
        <w:rPr>
          <w:lang w:val="fr-CA"/>
        </w:rPr>
      </w:pPr>
    </w:p>
    <w:p w:rsidR="00B97965" w:rsidRDefault="00B97965" w:rsidP="00234693">
      <w:pPr>
        <w:pStyle w:val="Caption"/>
      </w:pPr>
      <w:r>
        <w:t xml:space="preserve">Table </w:t>
      </w:r>
      <w:fldSimple w:instr=" SEQ Table \* ARABIC ">
        <w:r w:rsidR="004911B7">
          <w:rPr>
            <w:noProof/>
          </w:rPr>
          <w:t>91</w:t>
        </w:r>
      </w:fldSimple>
      <w:r>
        <w:t>: Infection model parameter details</w:t>
      </w:r>
    </w:p>
    <w:tbl>
      <w:tblPr>
        <w:tblStyle w:val="TableGrid"/>
        <w:tblW w:w="9100" w:type="dxa"/>
        <w:tblLayout w:type="fixed"/>
        <w:tblCellMar>
          <w:left w:w="28" w:type="dxa"/>
          <w:right w:w="28" w:type="dxa"/>
        </w:tblCellMar>
        <w:tblLook w:val="04A0"/>
      </w:tblPr>
      <w:tblGrid>
        <w:gridCol w:w="2296"/>
        <w:gridCol w:w="851"/>
        <w:gridCol w:w="1063"/>
        <w:gridCol w:w="1063"/>
        <w:gridCol w:w="1063"/>
        <w:gridCol w:w="1063"/>
        <w:gridCol w:w="1701"/>
      </w:tblGrid>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Parameter name</w:t>
            </w:r>
          </w:p>
        </w:tc>
        <w:tc>
          <w:tcPr>
            <w:tcW w:w="851"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Mean Estimate</w:t>
            </w:r>
          </w:p>
        </w:tc>
        <w:tc>
          <w:tcPr>
            <w:tcW w:w="4252" w:type="dxa"/>
            <w:gridSpan w:val="4"/>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Covariance Matrix</w:t>
            </w:r>
          </w:p>
        </w:tc>
        <w:tc>
          <w:tcPr>
            <w:tcW w:w="1701"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Distribution</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Steroid dose coefficient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0.0235</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9.36E-06</w:t>
            </w: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701"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Lag male coefficient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-0.3217</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-2.20E-06</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0.02257</w:t>
            </w: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701"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Log transformed age coefficient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-0.2604</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5.32E-05</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-0.00054</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0.013368</w:t>
            </w:r>
          </w:p>
        </w:tc>
        <w:tc>
          <w:tcPr>
            <w:tcW w:w="1063" w:type="dxa"/>
            <w:vAlign w:val="bottom"/>
          </w:tcPr>
          <w:p w:rsidR="00B97965" w:rsidRPr="00761832" w:rsidRDefault="00B97965" w:rsidP="00B97965">
            <w:pPr>
              <w:rPr>
                <w:rFonts w:asciiTheme="majorBidi" w:hAnsiTheme="majorBidi" w:cstheme="majorBidi"/>
                <w:color w:val="000000"/>
                <w:sz w:val="18"/>
                <w:szCs w:val="18"/>
              </w:rPr>
            </w:pPr>
          </w:p>
        </w:tc>
        <w:tc>
          <w:tcPr>
            <w:tcW w:w="1701"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296" w:type="dxa"/>
          </w:tcPr>
          <w:p w:rsidR="00B97965" w:rsidRPr="00761832" w:rsidRDefault="00B97965" w:rsidP="00B97965">
            <w:pPr>
              <w:spacing w:line="276" w:lineRule="auto"/>
              <w:rPr>
                <w:rFonts w:asciiTheme="majorBidi" w:hAnsiTheme="majorBidi" w:cstheme="majorBidi"/>
                <w:sz w:val="18"/>
                <w:szCs w:val="18"/>
              </w:rPr>
            </w:pPr>
            <w:r w:rsidRPr="00761832">
              <w:rPr>
                <w:rFonts w:asciiTheme="majorBidi" w:hAnsiTheme="majorBidi" w:cstheme="majorBidi"/>
                <w:sz w:val="18"/>
                <w:szCs w:val="18"/>
              </w:rPr>
              <w:t>Intercept</w:t>
            </w:r>
          </w:p>
        </w:tc>
        <w:tc>
          <w:tcPr>
            <w:tcW w:w="851"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-2.2568</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-0.00026</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0.000566</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-0.04962</w:t>
            </w:r>
          </w:p>
        </w:tc>
        <w:tc>
          <w:tcPr>
            <w:tcW w:w="1063"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0.186536</w:t>
            </w:r>
          </w:p>
        </w:tc>
        <w:tc>
          <w:tcPr>
            <w:tcW w:w="1701" w:type="dxa"/>
          </w:tcPr>
          <w:p w:rsidR="00B97965" w:rsidRPr="00761832" w:rsidRDefault="00B97965" w:rsidP="00B97965">
            <w:pPr>
              <w:spacing w:line="276" w:lineRule="auto"/>
              <w:jc w:val="center"/>
              <w:rPr>
                <w:rFonts w:asciiTheme="majorBidi" w:hAnsiTheme="majorBidi" w:cstheme="majorBidi"/>
                <w:sz w:val="18"/>
                <w:szCs w:val="18"/>
              </w:rPr>
            </w:pPr>
            <w:r w:rsidRPr="00761832">
              <w:rPr>
                <w:rFonts w:asciiTheme="majorBidi" w:hAnsiTheme="majorBidi" w:cstheme="majorBidi"/>
                <w:sz w:val="18"/>
                <w:szCs w:val="18"/>
              </w:rPr>
              <w:t>Multivariate Normal</w:t>
            </w:r>
          </w:p>
        </w:tc>
      </w:tr>
    </w:tbl>
    <w:p w:rsidR="00B97965" w:rsidRDefault="00B97965" w:rsidP="00B97965">
      <w:pPr>
        <w:rPr>
          <w:lang w:val="fr-CA"/>
        </w:rPr>
      </w:pPr>
    </w:p>
    <w:p w:rsidR="00B97965" w:rsidRDefault="00B97965" w:rsidP="00B97965">
      <w:pPr>
        <w:rPr>
          <w:lang w:val="fr-CA"/>
        </w:rPr>
        <w:sectPr w:rsidR="00B97965" w:rsidSect="00221DD6">
          <w:footerReference w:type="default" r:id="rId81"/>
          <w:pgSz w:w="11906" w:h="16838"/>
          <w:pgMar w:top="1440" w:right="1440" w:bottom="1440" w:left="1800" w:header="708" w:footer="708" w:gutter="0"/>
          <w:cols w:space="708"/>
          <w:docGrid w:linePitch="360"/>
        </w:sectPr>
      </w:pPr>
    </w:p>
    <w:p w:rsidR="00B97965" w:rsidRPr="00F7015A" w:rsidRDefault="00B97965" w:rsidP="00234693">
      <w:pPr>
        <w:pStyle w:val="Caption"/>
      </w:pPr>
      <w:r w:rsidRPr="00F7015A">
        <w:t xml:space="preserve">Table </w:t>
      </w:r>
      <w:r w:rsidR="00E729BA">
        <w:fldChar w:fldCharType="begin"/>
      </w:r>
      <w:r w:rsidRPr="00F7015A">
        <w:instrText xml:space="preserve"> SEQ Table \* ARABIC </w:instrText>
      </w:r>
      <w:r w:rsidR="00E729BA">
        <w:fldChar w:fldCharType="separate"/>
      </w:r>
      <w:r w:rsidR="004911B7">
        <w:rPr>
          <w:noProof/>
        </w:rPr>
        <w:t>92</w:t>
      </w:r>
      <w:r w:rsidR="00E729BA">
        <w:fldChar w:fldCharType="end"/>
      </w:r>
      <w:r w:rsidRPr="00F7015A">
        <w:t>: Probability of</w:t>
      </w:r>
      <w:r>
        <w:t xml:space="preserve"> steroid prescription</w:t>
      </w:r>
      <w:r w:rsidRPr="00F7015A">
        <w:t xml:space="preserve"> model parameter details</w:t>
      </w:r>
    </w:p>
    <w:tbl>
      <w:tblPr>
        <w:tblStyle w:val="TableGrid"/>
        <w:tblW w:w="13967" w:type="dxa"/>
        <w:tblLayout w:type="fixed"/>
        <w:tblCellMar>
          <w:left w:w="28" w:type="dxa"/>
          <w:right w:w="28" w:type="dxa"/>
        </w:tblCellMar>
        <w:tblLook w:val="04A0"/>
      </w:tblPr>
      <w:tblGrid>
        <w:gridCol w:w="2013"/>
        <w:gridCol w:w="709"/>
        <w:gridCol w:w="421"/>
        <w:gridCol w:w="422"/>
        <w:gridCol w:w="421"/>
        <w:gridCol w:w="422"/>
        <w:gridCol w:w="421"/>
        <w:gridCol w:w="422"/>
        <w:gridCol w:w="421"/>
        <w:gridCol w:w="422"/>
        <w:gridCol w:w="422"/>
        <w:gridCol w:w="421"/>
        <w:gridCol w:w="422"/>
        <w:gridCol w:w="421"/>
        <w:gridCol w:w="422"/>
        <w:gridCol w:w="421"/>
        <w:gridCol w:w="422"/>
        <w:gridCol w:w="422"/>
        <w:gridCol w:w="421"/>
        <w:gridCol w:w="422"/>
        <w:gridCol w:w="421"/>
        <w:gridCol w:w="422"/>
        <w:gridCol w:w="421"/>
        <w:gridCol w:w="422"/>
        <w:gridCol w:w="422"/>
        <w:gridCol w:w="1549"/>
      </w:tblGrid>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Parameter name</w:t>
            </w:r>
          </w:p>
        </w:tc>
        <w:tc>
          <w:tcPr>
            <w:tcW w:w="70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Mean Estimate</w:t>
            </w:r>
          </w:p>
        </w:tc>
        <w:tc>
          <w:tcPr>
            <w:tcW w:w="9696" w:type="dxa"/>
            <w:gridSpan w:val="23"/>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Covariance Matrix</w:t>
            </w: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Distribution</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A. American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0.7621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0.000</w:t>
            </w:r>
            <w:r w:rsidRPr="00D511E0">
              <w:rPr>
                <w:rFonts w:asciiTheme="majorBidi" w:hAnsiTheme="majorBidi" w:cstheme="majorBidi"/>
                <w:color w:val="000000"/>
                <w:sz w:val="10"/>
                <w:szCs w:val="10"/>
              </w:rPr>
              <w:t>67</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Male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0.4582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8.43e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0.00219</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Log transformed age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-0.3189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-2e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-4.8e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1.78e</w:t>
            </w:r>
            <w:r w:rsidRPr="00D511E0">
              <w:rPr>
                <w:rFonts w:asciiTheme="majorBidi" w:hAnsiTheme="majorBidi" w:cstheme="majorBidi"/>
                <w:color w:val="000000"/>
                <w:sz w:val="10"/>
                <w:szCs w:val="10"/>
              </w:rPr>
              <w:t>-03</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seizure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1.8275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2.87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2.91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-01</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psychosis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0.9608</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5.32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8.33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r>
              <w:rPr>
                <w:rFonts w:asciiTheme="majorBidi" w:hAnsiTheme="majorBidi" w:cstheme="majorBidi"/>
                <w:color w:val="000000"/>
                <w:sz w:val="10"/>
                <w:szCs w:val="10"/>
              </w:rPr>
              <w:t>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0.21937</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OBS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2.1515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8.53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-0.00093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-0.00636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0.12739</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VD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0.6709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-3.98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r>
              <w:rPr>
                <w:rFonts w:asciiTheme="majorBidi" w:hAnsiTheme="majorBidi" w:cstheme="majorBidi"/>
                <w:color w:val="000000"/>
                <w:sz w:val="10"/>
                <w:szCs w:val="10"/>
              </w:rPr>
              <w:t>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-0.00037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5.62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-02</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LH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1.4146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2. </w:t>
            </w:r>
            <w:r>
              <w:rPr>
                <w:rFonts w:asciiTheme="majorBidi" w:hAnsiTheme="majorBidi" w:cstheme="majorBidi"/>
                <w:color w:val="000000"/>
                <w:sz w:val="10"/>
                <w:szCs w:val="10"/>
              </w:rPr>
              <w:t>7e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4</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0.00035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-0.00058</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0.0576</w:t>
            </w:r>
            <w:r>
              <w:rPr>
                <w:rFonts w:asciiTheme="majorBidi" w:hAnsiTheme="majorBidi" w:cstheme="majorBidi"/>
                <w:color w:val="000000"/>
                <w:sz w:val="10"/>
                <w:szCs w:val="10"/>
              </w:rPr>
              <w:t>9</w:t>
            </w: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vasculitis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0.7990</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4.95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7.22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-1.1E-05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5.32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8.29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-0.00018</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1.96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-02</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arthritis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0.8485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-4.3E-05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-0.00013</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3.98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4.18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8.94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-4.9e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0.0025</w:t>
            </w:r>
            <w:r>
              <w:rPr>
                <w:rFonts w:asciiTheme="majorBidi" w:hAnsiTheme="majorBidi" w:cstheme="majorBidi"/>
                <w:color w:val="000000"/>
                <w:sz w:val="10"/>
                <w:szCs w:val="10"/>
              </w:rPr>
              <w:t>2</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myositis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0.4942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3.40</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3.24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5.02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0.0471</w:t>
            </w:r>
            <w:r>
              <w:rPr>
                <w:rFonts w:asciiTheme="majorBidi" w:hAnsiTheme="majorBidi" w:cstheme="majorBidi"/>
                <w:color w:val="000000"/>
                <w:sz w:val="10"/>
                <w:szCs w:val="10"/>
              </w:rPr>
              <w:t>3</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Haematuria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0.5233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7.03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5.16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6.34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0.00604</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proteinuria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1.1074</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0.0002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7.54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1.05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9.04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4.38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-7.9E-05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-0.00057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0.0050</w:t>
            </w:r>
            <w:r>
              <w:rPr>
                <w:rFonts w:asciiTheme="majorBidi" w:hAnsiTheme="majorBidi" w:cstheme="majorBidi"/>
                <w:color w:val="000000"/>
                <w:sz w:val="10"/>
                <w:szCs w:val="10"/>
              </w:rPr>
              <w:t>8</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pyuria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0.2421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3.71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-0.00023</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4.61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0.00774</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new rash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0.2243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-6.0e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7.</w:t>
            </w:r>
            <w:r w:rsidRPr="00D511E0">
              <w:rPr>
                <w:rFonts w:asciiTheme="majorBidi" w:hAnsiTheme="majorBidi" w:cstheme="majorBidi"/>
                <w:color w:val="000000"/>
                <w:sz w:val="10"/>
                <w:szCs w:val="10"/>
              </w:rPr>
              <w:t>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8.43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-3.9e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-0.00048</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-1.5E-05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3.81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-6.1e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0.00210</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thrombocytopenia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0.5379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5.24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0.00010</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2.79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3.58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7.54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-5.9e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0.0057</w:t>
            </w:r>
            <w:r>
              <w:rPr>
                <w:rFonts w:asciiTheme="majorBidi" w:hAnsiTheme="majorBidi" w:cstheme="majorBidi"/>
                <w:color w:val="000000"/>
                <w:sz w:val="10"/>
                <w:szCs w:val="10"/>
              </w:rPr>
              <w:t>2</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leukopenia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-0.3042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w:t>
            </w:r>
            <w:r>
              <w:rPr>
                <w:rFonts w:asciiTheme="majorBidi" w:hAnsiTheme="majorBidi" w:cstheme="majorBidi"/>
                <w:color w:val="000000"/>
                <w:sz w:val="10"/>
                <w:szCs w:val="10"/>
              </w:rPr>
              <w:t>41e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7.09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3.29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-9.6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4.96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-6.6e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5.65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6.02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5.6E-05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-8.8e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-0.00039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0.00300</w:t>
            </w: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pleurisy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0.6791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2.32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9.56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2.67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6.59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1.78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4.85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4.41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8.19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1.64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0.0091</w:t>
            </w:r>
            <w:r>
              <w:rPr>
                <w:rFonts w:asciiTheme="majorBidi" w:hAnsiTheme="majorBidi" w:cstheme="majorBidi"/>
                <w:color w:val="000000"/>
                <w:sz w:val="10"/>
                <w:szCs w:val="10"/>
              </w:rPr>
              <w:t>3</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pericarditis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0.5821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2.04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5.39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4</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0.00010</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3.39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1.25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1.12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-0.00282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0.03636</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low complement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0.5731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5.58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3.91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0.00011</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-1.</w:t>
            </w:r>
            <w:r w:rsidRPr="00D511E0">
              <w:rPr>
                <w:rFonts w:asciiTheme="majorBidi" w:hAnsiTheme="majorBidi" w:cstheme="majorBidi"/>
                <w:color w:val="000000"/>
                <w:sz w:val="10"/>
                <w:szCs w:val="10"/>
              </w:rPr>
              <w:t>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1.61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5.91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3.01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8.00</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-6.4</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0.0009</w:t>
            </w:r>
            <w:r>
              <w:rPr>
                <w:rFonts w:asciiTheme="majorBidi" w:hAnsiTheme="majorBidi" w:cstheme="majorBidi"/>
                <w:color w:val="000000"/>
                <w:sz w:val="10"/>
                <w:szCs w:val="10"/>
              </w:rPr>
              <w:t>6</w:t>
            </w:r>
          </w:p>
        </w:tc>
        <w:tc>
          <w:tcPr>
            <w:tcW w:w="421"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increased DNA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0.4657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-2.2e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9.41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0.00010</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3.31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5.61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-4.1</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-9.e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Pr>
                <w:rFonts w:asciiTheme="majorBidi" w:hAnsiTheme="majorBidi" w:cstheme="majorBidi"/>
                <w:color w:val="000000"/>
                <w:sz w:val="10"/>
                <w:szCs w:val="10"/>
              </w:rPr>
              <w:t>-3.9e</w:t>
            </w:r>
            <w:r w:rsidRPr="00D511E0">
              <w:rPr>
                <w:rFonts w:asciiTheme="majorBidi" w:hAnsiTheme="majorBidi" w:cstheme="majorBidi"/>
                <w:color w:val="000000"/>
                <w:sz w:val="10"/>
                <w:szCs w:val="10"/>
              </w:rPr>
              <w:t>-06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-0.00029</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0.00101</w:t>
            </w:r>
          </w:p>
        </w:tc>
        <w:tc>
          <w:tcPr>
            <w:tcW w:w="422" w:type="dxa"/>
            <w:vAlign w:val="bottom"/>
          </w:tcPr>
          <w:p w:rsidR="00B97965" w:rsidRPr="00D511E0" w:rsidRDefault="00B97965" w:rsidP="00B97965">
            <w:pPr>
              <w:rPr>
                <w:rFonts w:asciiTheme="majorBidi" w:hAnsiTheme="majorBidi" w:cstheme="majorBidi"/>
                <w:color w:val="000000"/>
                <w:sz w:val="10"/>
                <w:szCs w:val="10"/>
              </w:rPr>
            </w:pP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1549"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Multivariate Normal</w:t>
            </w: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Lag constitutional coefficient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0.5298</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-1.8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r>
              <w:rPr>
                <w:rFonts w:asciiTheme="majorBidi" w:hAnsiTheme="majorBidi" w:cstheme="majorBidi"/>
                <w:color w:val="000000"/>
                <w:sz w:val="10"/>
                <w:szCs w:val="10"/>
              </w:rPr>
              <w:t>8</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-0.00169</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-0.00148</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-0.00067</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-2.8</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4.95</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-2.5E-05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2.37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-9.6</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-8.2</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3.17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0.05616</w:t>
            </w:r>
          </w:p>
        </w:tc>
        <w:tc>
          <w:tcPr>
            <w:tcW w:w="422" w:type="dxa"/>
            <w:vAlign w:val="bottom"/>
          </w:tcPr>
          <w:p w:rsidR="00B97965" w:rsidRPr="00D511E0" w:rsidRDefault="00B97965" w:rsidP="00B97965">
            <w:pPr>
              <w:rPr>
                <w:rFonts w:asciiTheme="majorBidi" w:hAnsiTheme="majorBidi" w:cstheme="majorBidi"/>
                <w:color w:val="000000"/>
                <w:sz w:val="10"/>
                <w:szCs w:val="10"/>
              </w:rPr>
            </w:pPr>
            <w:r w:rsidRPr="00D511E0">
              <w:rPr>
                <w:rFonts w:asciiTheme="majorBidi" w:hAnsiTheme="majorBidi" w:cstheme="majorBidi"/>
                <w:color w:val="000000"/>
                <w:sz w:val="10"/>
                <w:szCs w:val="10"/>
              </w:rPr>
              <w:t xml:space="preserve">            </w:t>
            </w:r>
          </w:p>
        </w:tc>
        <w:tc>
          <w:tcPr>
            <w:tcW w:w="1549" w:type="dxa"/>
          </w:tcPr>
          <w:p w:rsidR="00B97965" w:rsidRPr="00210AE6" w:rsidRDefault="00B97965" w:rsidP="00B97965">
            <w:pPr>
              <w:spacing w:line="240" w:lineRule="auto"/>
              <w:rPr>
                <w:rFonts w:asciiTheme="majorBidi" w:hAnsiTheme="majorBidi" w:cstheme="majorBidi"/>
                <w:sz w:val="18"/>
                <w:szCs w:val="18"/>
              </w:rPr>
            </w:pPr>
          </w:p>
        </w:tc>
      </w:tr>
      <w:tr w:rsidR="00B97965" w:rsidRPr="00210AE6" w:rsidTr="00B97965">
        <w:tc>
          <w:tcPr>
            <w:tcW w:w="2013" w:type="dxa"/>
          </w:tcPr>
          <w:p w:rsidR="00B97965" w:rsidRPr="00210AE6" w:rsidRDefault="00B97965" w:rsidP="00B97965">
            <w:pPr>
              <w:spacing w:line="240" w:lineRule="auto"/>
              <w:rPr>
                <w:rFonts w:asciiTheme="majorBidi" w:hAnsiTheme="majorBidi" w:cstheme="majorBidi"/>
                <w:sz w:val="18"/>
                <w:szCs w:val="18"/>
              </w:rPr>
            </w:pPr>
            <w:r w:rsidRPr="00210AE6">
              <w:rPr>
                <w:rFonts w:asciiTheme="majorBidi" w:hAnsiTheme="majorBidi" w:cstheme="majorBidi"/>
                <w:sz w:val="18"/>
                <w:szCs w:val="18"/>
              </w:rPr>
              <w:t>Intercept</w:t>
            </w:r>
          </w:p>
        </w:tc>
        <w:tc>
          <w:tcPr>
            <w:tcW w:w="709" w:type="dxa"/>
            <w:vAlign w:val="bottom"/>
          </w:tcPr>
          <w:p w:rsidR="00B97965" w:rsidRPr="00D511E0" w:rsidRDefault="00B97965" w:rsidP="00B97965">
            <w:pPr>
              <w:spacing w:line="240" w:lineRule="auto"/>
              <w:jc w:val="center"/>
              <w:rPr>
                <w:rFonts w:asciiTheme="majorBidi" w:hAnsiTheme="majorBidi" w:cstheme="majorBidi"/>
                <w:color w:val="000000"/>
                <w:sz w:val="16"/>
                <w:szCs w:val="16"/>
              </w:rPr>
            </w:pPr>
            <w:r w:rsidRPr="00D511E0">
              <w:rPr>
                <w:rFonts w:asciiTheme="majorBidi" w:hAnsiTheme="majorBidi" w:cstheme="majorBidi"/>
                <w:color w:val="000000"/>
                <w:sz w:val="16"/>
                <w:szCs w:val="16"/>
              </w:rPr>
              <w:t>0.5818</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-3.9</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-0.00668</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-0.00023</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-0.00043</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0.00016</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0.0001</w:t>
            </w:r>
            <w:r>
              <w:rPr>
                <w:rFonts w:asciiTheme="majorBidi" w:hAnsiTheme="majorBidi" w:cstheme="majorBidi"/>
                <w:color w:val="000000"/>
                <w:sz w:val="10"/>
                <w:szCs w:val="10"/>
              </w:rPr>
              <w:t>3</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-0.00147</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-5.3</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0.00032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-6.9E-05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-0.00049</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-0.00082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-0.00024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-0.00044</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-7.7</w:t>
            </w:r>
            <w:r>
              <w:rPr>
                <w:rFonts w:asciiTheme="majorBidi" w:hAnsiTheme="majorBidi" w:cstheme="majorBidi"/>
                <w:color w:val="000000"/>
                <w:sz w:val="10"/>
                <w:szCs w:val="10"/>
              </w:rPr>
              <w:t>e</w:t>
            </w:r>
            <w:r w:rsidRPr="00D511E0">
              <w:rPr>
                <w:rFonts w:asciiTheme="majorBidi" w:hAnsiTheme="majorBidi" w:cstheme="majorBidi"/>
                <w:color w:val="000000"/>
                <w:sz w:val="10"/>
                <w:szCs w:val="10"/>
              </w:rPr>
              <w:t>-05</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-0.00036</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-0.00072</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-0.0005</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-0.00061</w:t>
            </w:r>
          </w:p>
        </w:tc>
        <w:tc>
          <w:tcPr>
            <w:tcW w:w="421"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-0.00049</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-0.00112</w:t>
            </w:r>
          </w:p>
        </w:tc>
        <w:tc>
          <w:tcPr>
            <w:tcW w:w="422" w:type="dxa"/>
            <w:vAlign w:val="bottom"/>
          </w:tcPr>
          <w:p w:rsidR="00B97965" w:rsidRPr="00D511E0" w:rsidRDefault="00B97965" w:rsidP="00B97965">
            <w:pPr>
              <w:jc w:val="right"/>
              <w:rPr>
                <w:rFonts w:asciiTheme="majorBidi" w:hAnsiTheme="majorBidi" w:cstheme="majorBidi"/>
                <w:color w:val="000000"/>
                <w:sz w:val="10"/>
                <w:szCs w:val="10"/>
              </w:rPr>
            </w:pPr>
            <w:r w:rsidRPr="00D511E0">
              <w:rPr>
                <w:rFonts w:asciiTheme="majorBidi" w:hAnsiTheme="majorBidi" w:cstheme="majorBidi"/>
                <w:color w:val="000000"/>
                <w:sz w:val="10"/>
                <w:szCs w:val="10"/>
              </w:rPr>
              <w:t>0.02546</w:t>
            </w:r>
          </w:p>
        </w:tc>
        <w:tc>
          <w:tcPr>
            <w:tcW w:w="1549" w:type="dxa"/>
          </w:tcPr>
          <w:p w:rsidR="00B97965" w:rsidRPr="00210AE6" w:rsidRDefault="00B97965" w:rsidP="00B97965">
            <w:pPr>
              <w:spacing w:line="240" w:lineRule="auto"/>
              <w:rPr>
                <w:rFonts w:asciiTheme="majorBidi" w:hAnsiTheme="majorBidi" w:cstheme="majorBidi"/>
                <w:sz w:val="18"/>
                <w:szCs w:val="18"/>
              </w:rPr>
            </w:pPr>
          </w:p>
        </w:tc>
      </w:tr>
      <w:tr w:rsidR="00B97965" w:rsidRPr="00210AE6" w:rsidTr="00B97965">
        <w:tc>
          <w:tcPr>
            <w:tcW w:w="13967" w:type="dxa"/>
            <w:gridSpan w:val="26"/>
          </w:tcPr>
          <w:p w:rsidR="00B97965" w:rsidRPr="00AE24EB" w:rsidRDefault="00B97965" w:rsidP="00B97965">
            <w:pPr>
              <w:spacing w:line="240" w:lineRule="auto"/>
              <w:rPr>
                <w:rFonts w:asciiTheme="majorBidi" w:hAnsiTheme="majorBidi" w:cstheme="majorBidi"/>
                <w:sz w:val="16"/>
                <w:szCs w:val="16"/>
                <w:lang w:val="pt-PT"/>
              </w:rPr>
            </w:pPr>
            <w:r w:rsidRPr="00AE24EB">
              <w:rPr>
                <w:rFonts w:asciiTheme="majorBidi" w:hAnsiTheme="majorBidi" w:cstheme="majorBidi"/>
                <w:sz w:val="16"/>
                <w:szCs w:val="16"/>
                <w:lang w:val="pt-PT"/>
              </w:rPr>
              <w:t>OBS Organic Brain Syndrome; VD Visual Disturbance; LH Lupus Headache</w:t>
            </w:r>
          </w:p>
        </w:tc>
      </w:tr>
    </w:tbl>
    <w:p w:rsidR="00B97965" w:rsidRPr="00F7015A" w:rsidRDefault="00B97965" w:rsidP="00B97965">
      <w:pPr>
        <w:rPr>
          <w:lang w:val="pt-PT"/>
        </w:rPr>
      </w:pPr>
    </w:p>
    <w:p w:rsidR="00B97965" w:rsidRDefault="00B97965" w:rsidP="00B97965">
      <w:pPr>
        <w:spacing w:after="0" w:afterAutospacing="0" w:line="240" w:lineRule="auto"/>
        <w:rPr>
          <w:b/>
          <w:bCs/>
          <w:sz w:val="18"/>
          <w:szCs w:val="16"/>
        </w:rPr>
      </w:pPr>
      <w:r>
        <w:br w:type="page"/>
      </w:r>
    </w:p>
    <w:p w:rsidR="00221DD6" w:rsidRDefault="00221DD6" w:rsidP="00234693">
      <w:pPr>
        <w:pStyle w:val="Caption"/>
      </w:pPr>
    </w:p>
    <w:p w:rsidR="00B97965" w:rsidRPr="00F7015A" w:rsidRDefault="00B97965" w:rsidP="00234693">
      <w:pPr>
        <w:pStyle w:val="Caption"/>
      </w:pPr>
      <w:r w:rsidRPr="00F7015A">
        <w:t xml:space="preserve">Table </w:t>
      </w:r>
      <w:r w:rsidR="00E729BA">
        <w:fldChar w:fldCharType="begin"/>
      </w:r>
      <w:r w:rsidRPr="00F7015A">
        <w:instrText xml:space="preserve"> SEQ Table \* ARABIC </w:instrText>
      </w:r>
      <w:r w:rsidR="00E729BA">
        <w:fldChar w:fldCharType="separate"/>
      </w:r>
      <w:r w:rsidR="004911B7">
        <w:rPr>
          <w:noProof/>
        </w:rPr>
        <w:t>93</w:t>
      </w:r>
      <w:r w:rsidR="00E729BA">
        <w:fldChar w:fldCharType="end"/>
      </w:r>
      <w:r w:rsidRPr="00F7015A">
        <w:t xml:space="preserve">: </w:t>
      </w:r>
      <w:r>
        <w:t>Negtaive Binomial steroid prescription</w:t>
      </w:r>
      <w:r w:rsidRPr="00F7015A">
        <w:t xml:space="preserve"> model parameter details</w:t>
      </w:r>
    </w:p>
    <w:tbl>
      <w:tblPr>
        <w:tblStyle w:val="TableGrid"/>
        <w:tblW w:w="14062" w:type="dxa"/>
        <w:tblLayout w:type="fixed"/>
        <w:tblCellMar>
          <w:left w:w="28" w:type="dxa"/>
          <w:right w:w="28" w:type="dxa"/>
        </w:tblCellMar>
        <w:tblLook w:val="04A0"/>
      </w:tblPr>
      <w:tblGrid>
        <w:gridCol w:w="2011"/>
        <w:gridCol w:w="708"/>
        <w:gridCol w:w="522"/>
        <w:gridCol w:w="522"/>
        <w:gridCol w:w="523"/>
        <w:gridCol w:w="522"/>
        <w:gridCol w:w="522"/>
        <w:gridCol w:w="523"/>
        <w:gridCol w:w="522"/>
        <w:gridCol w:w="522"/>
        <w:gridCol w:w="523"/>
        <w:gridCol w:w="522"/>
        <w:gridCol w:w="523"/>
        <w:gridCol w:w="522"/>
        <w:gridCol w:w="522"/>
        <w:gridCol w:w="523"/>
        <w:gridCol w:w="522"/>
        <w:gridCol w:w="522"/>
        <w:gridCol w:w="523"/>
        <w:gridCol w:w="522"/>
        <w:gridCol w:w="381"/>
        <w:gridCol w:w="142"/>
        <w:gridCol w:w="1418"/>
      </w:tblGrid>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Parameter name</w:t>
            </w:r>
          </w:p>
        </w:tc>
        <w:tc>
          <w:tcPr>
            <w:tcW w:w="70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Mean Estimate</w:t>
            </w:r>
          </w:p>
        </w:tc>
        <w:tc>
          <w:tcPr>
            <w:tcW w:w="9783" w:type="dxa"/>
            <w:gridSpan w:val="19"/>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Covariance Matrix</w:t>
            </w:r>
          </w:p>
        </w:tc>
        <w:tc>
          <w:tcPr>
            <w:tcW w:w="142"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Distribution</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A. American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0.1520</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0.000125</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Log transformed age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-0.3841</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7.26E-06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0.00036</w:t>
            </w: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seizure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0.3846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9.93E-06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0.009393</w:t>
            </w: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psychosis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0.4189</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-2.56E-05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5.47E-05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0.015118</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OBS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0.5302</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2.45E-06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-2.2E-05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-1.40E-04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-8.12E-04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0.004751</w:t>
            </w: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VD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0.4384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-7.19E-06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3.63E-05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4.73E-05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5.81E-03</w:t>
            </w: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LH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0.3701</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1.08E-05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5.51E-05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3.95E-05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-9.3E-05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0.003091</w:t>
            </w: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tcPr>
          <w:p w:rsidR="00B97965" w:rsidRPr="00AE24EB" w:rsidRDefault="00B97965" w:rsidP="00B97965">
            <w:pPr>
              <w:spacing w:line="240" w:lineRule="auto"/>
              <w:rPr>
                <w:rFonts w:asciiTheme="majorBidi" w:hAnsiTheme="majorBidi" w:cstheme="majorBidi"/>
                <w:color w:val="000000"/>
                <w:sz w:val="10"/>
                <w:szCs w:val="10"/>
              </w:rPr>
            </w:pPr>
          </w:p>
        </w:tc>
        <w:tc>
          <w:tcPr>
            <w:tcW w:w="522" w:type="dxa"/>
          </w:tcPr>
          <w:p w:rsidR="00B97965" w:rsidRPr="00AE24EB" w:rsidRDefault="00B97965" w:rsidP="00B97965">
            <w:pPr>
              <w:spacing w:line="240" w:lineRule="auto"/>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Cerebro.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0.6579</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-1.17E-05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9.22E-05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0.00044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-0.00231</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6.37E-05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8.50E-05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5.89E-02</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vasculitis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0.5239</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-4.88E-06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3.36E-05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1.02E-05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-4.4E-05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-0.00018</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0.001678</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myositis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0.4739</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-4.42E-05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-9.92E-06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4.21E-05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3.77E-05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7.89E-05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-2.00E-05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0.004535</w:t>
            </w: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Haematuria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0.2536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-1.39E-06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2.7E-05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2.68E-05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-1.4E-05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8.14E-06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-7.59E-07</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2.25E-05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-2.4E-05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2.13E-05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1.65E-05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0.000597</w:t>
            </w: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proteinuria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0.3030</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2.39E-05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-7.68E-06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-2.27E-07</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8.60E-06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4.50E-06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-9.82E-06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-4.4E-05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3.41E-06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0.000378</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pyuria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0.1625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-8.89E-07</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1.84E-05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3.18E-05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3.69E-05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2.05E-05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-0.00013</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-3.6E-05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0.00088</w:t>
            </w: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new rash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0.1710</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6.37E-06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2.16E-05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1.74E-05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1.38E-05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-2.7E-05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1.32E-05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1.35E-05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-1.63E-06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6.59E-06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5.41E-07</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0.000327</w:t>
            </w:r>
          </w:p>
        </w:tc>
        <w:tc>
          <w:tcPr>
            <w:tcW w:w="522"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thrombocytopenia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0.3507</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2.56E-06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-5.62E-06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-2.4E-05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3.13E-05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7.67E-06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2.56E-05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-5.47E-06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9.01E-06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-5.77E-06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0.000688</w:t>
            </w:r>
          </w:p>
        </w:tc>
        <w:tc>
          <w:tcPr>
            <w:tcW w:w="522" w:type="dxa"/>
          </w:tcPr>
          <w:p w:rsidR="00B97965" w:rsidRPr="00AE24EB" w:rsidRDefault="00B97965" w:rsidP="00B97965">
            <w:pPr>
              <w:rPr>
                <w:rFonts w:asciiTheme="majorBidi" w:hAnsiTheme="majorBidi" w:cstheme="majorBidi"/>
                <w:color w:val="000000"/>
                <w:sz w:val="10"/>
                <w:szCs w:val="10"/>
              </w:rPr>
            </w:pP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pleurisy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0.2025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-3.49E-06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3.31E-05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2.39E-05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1.11E-05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-4.47E-06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1.46E-05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-8.03E-06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1.08E-05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1.41E-05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1.18E-05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-3.2E-05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-5.33E-06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0.000903</w:t>
            </w:r>
          </w:p>
        </w:tc>
        <w:tc>
          <w:tcPr>
            <w:tcW w:w="523" w:type="dxa"/>
          </w:tcPr>
          <w:p w:rsidR="00B97965" w:rsidRPr="00AE24EB" w:rsidRDefault="00B97965" w:rsidP="00B97965">
            <w:pPr>
              <w:rPr>
                <w:rFonts w:asciiTheme="majorBidi" w:hAnsiTheme="majorBidi" w:cstheme="majorBidi"/>
                <w:color w:val="000000"/>
                <w:sz w:val="10"/>
                <w:szCs w:val="10"/>
              </w:rPr>
            </w:pP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low complement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0.0770</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3.09E-06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2.2E-05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-4.6E-05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-4.85E-06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4.56E-07</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-1.60E-06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8.91E-06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2.56E-05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-1.95E-05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-9.00E-06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-7.31E-06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-7.56E-06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9.83E-06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0.000154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 xml:space="preserve">            </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Lag increased DNA coefficient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0.0424</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-9.26E-06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1.77E-05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3.24E-06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9.30E-06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1.39E-05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-3.90E-06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3.62E-05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-6.78E-06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5.29E-06</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-8.38E-06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1.56E-08</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-2.34E-06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-3.1E-05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-5.1E-05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0.000162</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Intercept</w:t>
            </w:r>
          </w:p>
        </w:tc>
        <w:tc>
          <w:tcPr>
            <w:tcW w:w="708" w:type="dxa"/>
          </w:tcPr>
          <w:p w:rsidR="00B97965" w:rsidRPr="00AE24EB" w:rsidRDefault="00B97965" w:rsidP="00B97965">
            <w:pPr>
              <w:jc w:val="center"/>
              <w:rPr>
                <w:rFonts w:asciiTheme="majorBidi" w:hAnsiTheme="majorBidi" w:cstheme="majorBidi"/>
                <w:color w:val="000000"/>
                <w:sz w:val="16"/>
                <w:szCs w:val="16"/>
              </w:rPr>
            </w:pPr>
            <w:r w:rsidRPr="00AE24EB">
              <w:rPr>
                <w:rFonts w:asciiTheme="majorBidi" w:hAnsiTheme="majorBidi" w:cstheme="majorBidi"/>
                <w:color w:val="000000"/>
                <w:sz w:val="16"/>
                <w:szCs w:val="16"/>
              </w:rPr>
              <w:t>3.4285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-7.9E-05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-0.00132</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-5.2E-05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7.35E-05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3.44E-05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-9.05E-07</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-0.00026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1.26E-05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3.68E-05</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1.84E-05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-0.00011</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-0.00012</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-7.5E-05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6.07E-06</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-0.00015</w:t>
            </w:r>
          </w:p>
        </w:tc>
        <w:tc>
          <w:tcPr>
            <w:tcW w:w="523"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-0.00012</w:t>
            </w:r>
          </w:p>
        </w:tc>
        <w:tc>
          <w:tcPr>
            <w:tcW w:w="522" w:type="dxa"/>
          </w:tcPr>
          <w:p w:rsidR="00B97965" w:rsidRPr="00AE24EB" w:rsidRDefault="00B97965" w:rsidP="00B97965">
            <w:pPr>
              <w:rPr>
                <w:rFonts w:asciiTheme="majorBidi" w:hAnsiTheme="majorBidi" w:cstheme="majorBidi"/>
                <w:color w:val="000000"/>
                <w:sz w:val="10"/>
                <w:szCs w:val="10"/>
              </w:rPr>
            </w:pPr>
            <w:r w:rsidRPr="00AE24EB">
              <w:rPr>
                <w:rFonts w:asciiTheme="majorBidi" w:hAnsiTheme="majorBidi" w:cstheme="majorBidi"/>
                <w:color w:val="000000"/>
                <w:sz w:val="10"/>
                <w:szCs w:val="10"/>
              </w:rPr>
              <w:t>-9.8E-05</w:t>
            </w:r>
          </w:p>
        </w:tc>
        <w:tc>
          <w:tcPr>
            <w:tcW w:w="523" w:type="dxa"/>
            <w:gridSpan w:val="2"/>
          </w:tcPr>
          <w:p w:rsidR="00B97965" w:rsidRPr="00AE24EB" w:rsidRDefault="00B97965" w:rsidP="00B97965">
            <w:pPr>
              <w:spacing w:line="240" w:lineRule="auto"/>
              <w:rPr>
                <w:rFonts w:asciiTheme="majorBidi" w:hAnsiTheme="majorBidi" w:cstheme="majorBidi"/>
                <w:sz w:val="10"/>
                <w:szCs w:val="10"/>
              </w:rPr>
            </w:pPr>
            <w:r>
              <w:rPr>
                <w:rFonts w:asciiTheme="majorBidi" w:hAnsiTheme="majorBidi" w:cstheme="majorBidi"/>
                <w:sz w:val="10"/>
                <w:szCs w:val="10"/>
              </w:rPr>
              <w:t>0.0005</w:t>
            </w: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14062" w:type="dxa"/>
            <w:gridSpan w:val="23"/>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lang w:val="pt-PT"/>
              </w:rPr>
              <w:t>OBS Organic Brain Syndrome; VD Visual Disturbance; LH Lupus Headache</w:t>
            </w:r>
          </w:p>
        </w:tc>
      </w:tr>
    </w:tbl>
    <w:p w:rsidR="00B97965" w:rsidRDefault="00B97965" w:rsidP="00B97965">
      <w:pPr>
        <w:rPr>
          <w:lang w:val="pt-PT"/>
        </w:rPr>
      </w:pPr>
    </w:p>
    <w:p w:rsidR="00B97965" w:rsidRDefault="00B97965" w:rsidP="00B97965">
      <w:pPr>
        <w:spacing w:after="0" w:afterAutospacing="0" w:line="240" w:lineRule="auto"/>
        <w:rPr>
          <w:b/>
          <w:bCs/>
          <w:sz w:val="18"/>
          <w:szCs w:val="16"/>
        </w:rPr>
      </w:pPr>
      <w:r>
        <w:br w:type="page"/>
      </w:r>
    </w:p>
    <w:p w:rsidR="00B97965" w:rsidRPr="00F7015A" w:rsidRDefault="00B97965" w:rsidP="00234693">
      <w:pPr>
        <w:pStyle w:val="Caption"/>
      </w:pPr>
      <w:r w:rsidRPr="00F7015A">
        <w:t xml:space="preserve">Table </w:t>
      </w:r>
      <w:r w:rsidR="00E729BA">
        <w:fldChar w:fldCharType="begin"/>
      </w:r>
      <w:r w:rsidRPr="00F7015A">
        <w:instrText xml:space="preserve"> SEQ Table \* ARABIC </w:instrText>
      </w:r>
      <w:r w:rsidR="00E729BA">
        <w:fldChar w:fldCharType="separate"/>
      </w:r>
      <w:r w:rsidR="004911B7">
        <w:rPr>
          <w:noProof/>
        </w:rPr>
        <w:t>94</w:t>
      </w:r>
      <w:r w:rsidR="00E729BA">
        <w:fldChar w:fldCharType="end"/>
      </w:r>
      <w:r w:rsidRPr="00F7015A">
        <w:t xml:space="preserve">: </w:t>
      </w:r>
      <w:r>
        <w:t>Mortality</w:t>
      </w:r>
      <w:r w:rsidRPr="00F7015A">
        <w:t xml:space="preserve"> model </w:t>
      </w:r>
      <w:r>
        <w:t xml:space="preserve">for BCTS </w:t>
      </w:r>
      <w:r w:rsidRPr="00F7015A">
        <w:t>parameter details</w:t>
      </w:r>
    </w:p>
    <w:tbl>
      <w:tblPr>
        <w:tblStyle w:val="TableGrid"/>
        <w:tblW w:w="14062" w:type="dxa"/>
        <w:tblLayout w:type="fixed"/>
        <w:tblCellMar>
          <w:left w:w="28" w:type="dxa"/>
          <w:right w:w="28" w:type="dxa"/>
        </w:tblCellMar>
        <w:tblLook w:val="04A0"/>
      </w:tblPr>
      <w:tblGrid>
        <w:gridCol w:w="2011"/>
        <w:gridCol w:w="708"/>
        <w:gridCol w:w="583"/>
        <w:gridCol w:w="584"/>
        <w:gridCol w:w="584"/>
        <w:gridCol w:w="584"/>
        <w:gridCol w:w="584"/>
        <w:gridCol w:w="583"/>
        <w:gridCol w:w="584"/>
        <w:gridCol w:w="584"/>
        <w:gridCol w:w="584"/>
        <w:gridCol w:w="584"/>
        <w:gridCol w:w="584"/>
        <w:gridCol w:w="583"/>
        <w:gridCol w:w="584"/>
        <w:gridCol w:w="584"/>
        <w:gridCol w:w="584"/>
        <w:gridCol w:w="584"/>
        <w:gridCol w:w="584"/>
        <w:gridCol w:w="1418"/>
      </w:tblGrid>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Parameter name</w:t>
            </w:r>
          </w:p>
        </w:tc>
        <w:tc>
          <w:tcPr>
            <w:tcW w:w="70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Mean Estimate</w:t>
            </w:r>
          </w:p>
        </w:tc>
        <w:tc>
          <w:tcPr>
            <w:tcW w:w="9925" w:type="dxa"/>
            <w:gridSpan w:val="17"/>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Covariance Matrix</w:t>
            </w: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Distribution</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A. American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0.7439</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0.062994</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Age at diagnosis</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0.0339</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0.000248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7.64e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Cholesterol</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0.0041</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-1.4e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-2.8e</w:t>
            </w:r>
            <w:r w:rsidRPr="00584325">
              <w:rPr>
                <w:rFonts w:asciiTheme="majorBidi" w:hAnsiTheme="majorBidi" w:cstheme="majorBidi"/>
                <w:color w:val="000000"/>
                <w:sz w:val="14"/>
                <w:szCs w:val="14"/>
              </w:rPr>
              <w:t>-07</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2.15</w:t>
            </w:r>
            <w:r>
              <w:rPr>
                <w:rFonts w:asciiTheme="majorBidi" w:hAnsiTheme="majorBidi" w:cstheme="majorBidi"/>
                <w:color w:val="000000"/>
                <w:sz w:val="14"/>
                <w:szCs w:val="14"/>
              </w:rPr>
              <w:t>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AMS</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0.2201</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-0.00055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0.000114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0.002954</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Plaquenil</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-0.5584</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0.001796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-4.2e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4.89e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0.000345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0.053345</w:t>
            </w: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Renal involvement</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0.5616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-0.00778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-9.4e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-5.9e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0.001896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0.081009</w:t>
            </w: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Haematology involvement</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0.8436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-0.00131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-1.7e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6.03e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-0.00154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0.00785</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0.000285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0.09012</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Cardio. damage</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0.3379</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-0.00277</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-1.5e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0.002466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0.000389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-0.00758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0.025392</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Renal damage</w:t>
            </w:r>
            <w:r w:rsidRPr="00AE24EB">
              <w:rPr>
                <w:rFonts w:asciiTheme="majorBidi" w:hAnsiTheme="majorBidi" w:cstheme="majorBidi"/>
                <w:sz w:val="16"/>
                <w:szCs w:val="16"/>
              </w:rPr>
              <w:t xml:space="preserv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0.5543</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0.010524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5.21e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-4.3e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0.000298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0.004583</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2.63E-05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-0.00052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0.059317</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MSK</w:t>
            </w:r>
            <w:r w:rsidRPr="00AE24EB">
              <w:rPr>
                <w:rFonts w:asciiTheme="majorBidi" w:hAnsiTheme="majorBidi" w:cstheme="majorBidi"/>
                <w:sz w:val="16"/>
                <w:szCs w:val="16"/>
              </w:rPr>
              <w:t xml:space="preserve"> </w:t>
            </w:r>
            <w:r>
              <w:rPr>
                <w:rFonts w:asciiTheme="majorBidi" w:hAnsiTheme="majorBidi" w:cstheme="majorBidi"/>
                <w:sz w:val="16"/>
                <w:szCs w:val="16"/>
              </w:rPr>
              <w:t xml:space="preserve">damage </w:t>
            </w:r>
            <w:r w:rsidRPr="00AE24EB">
              <w:rPr>
                <w:rFonts w:asciiTheme="majorBidi" w:hAnsiTheme="majorBidi" w:cstheme="majorBidi"/>
                <w:sz w:val="16"/>
                <w:szCs w:val="16"/>
              </w:rPr>
              <w:t>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0.3221</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-0.00096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8.16e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1.92</w:t>
            </w:r>
            <w:r>
              <w:rPr>
                <w:rFonts w:asciiTheme="majorBidi" w:hAnsiTheme="majorBidi" w:cstheme="majorBidi"/>
                <w:color w:val="000000"/>
                <w:sz w:val="14"/>
                <w:szCs w:val="14"/>
              </w:rPr>
              <w:t>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-0.00118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-0.00183</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0.002388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0.003523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0.000316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0.016401</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P.vascular damage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0.9025</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0.005532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2.04e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1.38e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-0.00149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-0.00184</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0.001616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0.009895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-0.00454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0.004615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0.00013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0.052979</w:t>
            </w:r>
          </w:p>
        </w:tc>
        <w:tc>
          <w:tcPr>
            <w:tcW w:w="583"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GI damage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0.6762</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0.010126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-0.00019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1.42e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-0.00082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-0.00066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0.001948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0.003848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0.000476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-0.00308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-0.00514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0.00232</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0.050647</w:t>
            </w:r>
          </w:p>
        </w:tc>
        <w:tc>
          <w:tcPr>
            <w:tcW w:w="584" w:type="dxa"/>
            <w:vAlign w:val="bottom"/>
          </w:tcPr>
          <w:p w:rsidR="00B97965" w:rsidRPr="00584325" w:rsidRDefault="00B97965" w:rsidP="00B97965">
            <w:pPr>
              <w:rPr>
                <w:rFonts w:asciiTheme="majorBidi" w:hAnsiTheme="majorBidi" w:cstheme="majorBidi"/>
                <w:color w:val="000000"/>
                <w:sz w:val="14"/>
                <w:szCs w:val="14"/>
              </w:rPr>
            </w:pP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Malignancy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0.9971</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0.015873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1.73e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0.000782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0.004116</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-0.00228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-0.00235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-0.0064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0.000765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0.002143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0.000277</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0.004341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0.068949</w:t>
            </w: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Infection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1.0265</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-0.00203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0.000146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1.37e</w:t>
            </w:r>
            <w:r w:rsidRPr="00584325">
              <w:rPr>
                <w:rFonts w:asciiTheme="majorBidi" w:hAnsiTheme="majorBidi" w:cstheme="majorBidi"/>
                <w:color w:val="000000"/>
                <w:sz w:val="14"/>
                <w:szCs w:val="14"/>
              </w:rPr>
              <w:t>-05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-0.00038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-0.00234</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0.002299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0.003036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-0.00141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0.001902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0.001342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6.73E-05</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-0.00118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0.001448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0.125797</w:t>
            </w: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584325" w:rsidRDefault="00B97965" w:rsidP="00B97965">
            <w:pPr>
              <w:spacing w:line="240" w:lineRule="auto"/>
              <w:rPr>
                <w:rFonts w:asciiTheme="majorBidi" w:hAnsiTheme="majorBidi" w:cstheme="majorBidi"/>
                <w:sz w:val="14"/>
                <w:szCs w:val="14"/>
              </w:rPr>
            </w:pP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Intercept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-10.4149</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-0.03556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-0.00371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-0.00046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-0.0176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-0.03077</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0.011064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-0.0323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0.014284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-0.01487</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0.002676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-0.00443</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-0.01556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-0.01229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-0.02106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0.5445</w:t>
            </w:r>
          </w:p>
        </w:tc>
        <w:tc>
          <w:tcPr>
            <w:tcW w:w="584" w:type="dxa"/>
            <w:vAlign w:val="bottom"/>
          </w:tcPr>
          <w:p w:rsidR="00B97965" w:rsidRPr="00584325" w:rsidRDefault="00B97965" w:rsidP="00B97965">
            <w:pPr>
              <w:rPr>
                <w:rFonts w:asciiTheme="majorBidi" w:hAnsiTheme="majorBidi" w:cstheme="majorBidi"/>
                <w:color w:val="000000"/>
                <w:sz w:val="14"/>
                <w:szCs w:val="14"/>
              </w:rPr>
            </w:pPr>
            <w:r w:rsidRPr="00584325">
              <w:rPr>
                <w:rFonts w:asciiTheme="majorBidi" w:hAnsiTheme="majorBidi" w:cstheme="majorBidi"/>
                <w:color w:val="000000"/>
                <w:sz w:val="14"/>
                <w:szCs w:val="14"/>
              </w:rPr>
              <w:t xml:space="preserve">            </w:t>
            </w: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Gamma</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sidRPr="00584325">
              <w:rPr>
                <w:rFonts w:asciiTheme="majorBidi" w:hAnsiTheme="majorBidi" w:cstheme="majorBidi"/>
                <w:color w:val="000000"/>
                <w:sz w:val="18"/>
                <w:szCs w:val="18"/>
              </w:rPr>
              <w:t>0.5957</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-0.00341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0.00014</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9.40e</w:t>
            </w:r>
            <w:r w:rsidRPr="00584325">
              <w:rPr>
                <w:rFonts w:asciiTheme="majorBidi" w:hAnsiTheme="majorBidi" w:cstheme="majorBidi"/>
                <w:color w:val="000000"/>
                <w:sz w:val="14"/>
                <w:szCs w:val="14"/>
              </w:rPr>
              <w:t>-06</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0.00157</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-0.00159</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0.00153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0.001251</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-0.00082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-0.00145</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-0.0018</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-0.00218</w:t>
            </w:r>
          </w:p>
        </w:tc>
        <w:tc>
          <w:tcPr>
            <w:tcW w:w="583"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0.000922</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-0.0023</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0.000239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-0.0429</w:t>
            </w:r>
          </w:p>
        </w:tc>
        <w:tc>
          <w:tcPr>
            <w:tcW w:w="584" w:type="dxa"/>
            <w:vAlign w:val="bottom"/>
          </w:tcPr>
          <w:p w:rsidR="00B97965" w:rsidRPr="00584325" w:rsidRDefault="00B97965" w:rsidP="00B97965">
            <w:pPr>
              <w:jc w:val="right"/>
              <w:rPr>
                <w:rFonts w:asciiTheme="majorBidi" w:hAnsiTheme="majorBidi" w:cstheme="majorBidi"/>
                <w:color w:val="000000"/>
                <w:sz w:val="14"/>
                <w:szCs w:val="14"/>
              </w:rPr>
            </w:pPr>
            <w:r w:rsidRPr="00584325">
              <w:rPr>
                <w:rFonts w:asciiTheme="majorBidi" w:hAnsiTheme="majorBidi" w:cstheme="majorBidi"/>
                <w:color w:val="000000"/>
                <w:sz w:val="14"/>
                <w:szCs w:val="14"/>
              </w:rPr>
              <w:t>0.0080</w:t>
            </w:r>
          </w:p>
        </w:tc>
        <w:tc>
          <w:tcPr>
            <w:tcW w:w="584" w:type="dxa"/>
          </w:tcPr>
          <w:p w:rsidR="00B97965" w:rsidRPr="00AE24EB" w:rsidRDefault="00B97965" w:rsidP="00B97965">
            <w:pPr>
              <w:spacing w:line="240" w:lineRule="auto"/>
              <w:rPr>
                <w:rFonts w:asciiTheme="majorBidi" w:hAnsiTheme="majorBidi" w:cstheme="majorBidi"/>
                <w:sz w:val="16"/>
                <w:szCs w:val="16"/>
              </w:rPr>
            </w:pP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AE24EB" w:rsidTr="00B97965">
        <w:tc>
          <w:tcPr>
            <w:tcW w:w="2011" w:type="dxa"/>
          </w:tcPr>
          <w:p w:rsidR="00B97965"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Treatment coefficient</w:t>
            </w:r>
          </w:p>
        </w:tc>
        <w:tc>
          <w:tcPr>
            <w:tcW w:w="708" w:type="dxa"/>
            <w:vAlign w:val="bottom"/>
          </w:tcPr>
          <w:p w:rsidR="00B97965" w:rsidRPr="0058432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-0.1935</w:t>
            </w:r>
          </w:p>
        </w:tc>
        <w:tc>
          <w:tcPr>
            <w:tcW w:w="583" w:type="dxa"/>
          </w:tcPr>
          <w:p w:rsidR="00B97965" w:rsidRPr="00584325" w:rsidRDefault="00B97965" w:rsidP="00B97965">
            <w:pPr>
              <w:rPr>
                <w:rFonts w:asciiTheme="majorBidi" w:hAnsiTheme="majorBidi" w:cstheme="majorBidi"/>
                <w:color w:val="000000"/>
                <w:sz w:val="14"/>
                <w:szCs w:val="14"/>
              </w:rPr>
            </w:pPr>
            <w:r>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3"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3"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Default="00B97965" w:rsidP="00B97965">
            <w:r w:rsidRPr="0083698C">
              <w:rPr>
                <w:rFonts w:asciiTheme="majorBidi" w:hAnsiTheme="majorBidi" w:cstheme="majorBidi"/>
                <w:color w:val="000000"/>
                <w:sz w:val="14"/>
                <w:szCs w:val="14"/>
              </w:rPr>
              <w:t>0.0000</w:t>
            </w:r>
          </w:p>
        </w:tc>
        <w:tc>
          <w:tcPr>
            <w:tcW w:w="584" w:type="dxa"/>
          </w:tcPr>
          <w:p w:rsidR="00B97965" w:rsidRPr="00AE24EB" w:rsidRDefault="00B97965" w:rsidP="00B97965">
            <w:pPr>
              <w:spacing w:line="240" w:lineRule="auto"/>
              <w:rPr>
                <w:rFonts w:asciiTheme="majorBidi" w:hAnsiTheme="majorBidi" w:cstheme="majorBidi"/>
                <w:sz w:val="16"/>
                <w:szCs w:val="16"/>
              </w:rPr>
            </w:pPr>
            <w:r>
              <w:rPr>
                <w:rFonts w:asciiTheme="majorBidi" w:hAnsiTheme="majorBidi" w:cstheme="majorBidi"/>
                <w:sz w:val="16"/>
                <w:szCs w:val="16"/>
              </w:rPr>
              <w:t>1.1426</w:t>
            </w:r>
          </w:p>
        </w:tc>
        <w:tc>
          <w:tcPr>
            <w:tcW w:w="1418" w:type="dxa"/>
          </w:tcPr>
          <w:p w:rsidR="00B97965" w:rsidRPr="00AE24EB" w:rsidRDefault="00B97965" w:rsidP="00B97965">
            <w:pPr>
              <w:spacing w:line="240" w:lineRule="auto"/>
              <w:rPr>
                <w:rFonts w:asciiTheme="majorBidi" w:hAnsiTheme="majorBidi" w:cstheme="majorBidi"/>
                <w:sz w:val="16"/>
                <w:szCs w:val="16"/>
              </w:rPr>
            </w:pPr>
            <w:r w:rsidRPr="00AE24EB">
              <w:rPr>
                <w:rFonts w:asciiTheme="majorBidi" w:hAnsiTheme="majorBidi" w:cstheme="majorBidi"/>
                <w:sz w:val="16"/>
                <w:szCs w:val="16"/>
              </w:rPr>
              <w:t>Multivariate Normal</w:t>
            </w:r>
          </w:p>
        </w:tc>
      </w:tr>
      <w:tr w:rsidR="00B97965" w:rsidRPr="00761832" w:rsidTr="00B97965">
        <w:tc>
          <w:tcPr>
            <w:tcW w:w="14062" w:type="dxa"/>
            <w:gridSpan w:val="20"/>
          </w:tcPr>
          <w:p w:rsidR="00B97965" w:rsidRPr="00761832" w:rsidRDefault="00B97965" w:rsidP="00B97965">
            <w:pPr>
              <w:spacing w:line="240" w:lineRule="auto"/>
              <w:rPr>
                <w:rFonts w:asciiTheme="majorBidi" w:hAnsiTheme="majorBidi" w:cstheme="majorBidi"/>
                <w:sz w:val="16"/>
                <w:szCs w:val="16"/>
                <w:lang w:val="pt-PT"/>
              </w:rPr>
            </w:pPr>
            <w:r w:rsidRPr="00761832">
              <w:rPr>
                <w:rFonts w:asciiTheme="majorBidi" w:hAnsiTheme="majorBidi" w:cstheme="majorBidi"/>
                <w:sz w:val="16"/>
                <w:szCs w:val="16"/>
                <w:lang w:val="pt-PT"/>
              </w:rPr>
              <w:t>Cardio. Cardiovascular; MSK Musculoskeletal; P</w:t>
            </w:r>
            <w:r>
              <w:rPr>
                <w:rFonts w:asciiTheme="majorBidi" w:hAnsiTheme="majorBidi" w:cstheme="majorBidi"/>
                <w:sz w:val="16"/>
                <w:szCs w:val="16"/>
                <w:lang w:val="pt-PT"/>
              </w:rPr>
              <w:t>. vascular Peripheral Vascular; GI Gastrointestinal</w:t>
            </w:r>
          </w:p>
        </w:tc>
      </w:tr>
    </w:tbl>
    <w:p w:rsidR="00B97965" w:rsidRDefault="00B97965" w:rsidP="00B97965">
      <w:pPr>
        <w:spacing w:after="0" w:afterAutospacing="0" w:line="240" w:lineRule="auto"/>
        <w:rPr>
          <w:lang w:val="pt-PT"/>
        </w:rPr>
      </w:pPr>
    </w:p>
    <w:p w:rsidR="00B97965" w:rsidRDefault="00B97965" w:rsidP="00B97965">
      <w:pPr>
        <w:spacing w:after="0" w:afterAutospacing="0" w:line="240" w:lineRule="auto"/>
        <w:rPr>
          <w:lang w:val="pt-PT"/>
        </w:rPr>
      </w:pPr>
      <w:r>
        <w:rPr>
          <w:lang w:val="pt-PT"/>
        </w:rPr>
        <w:br w:type="page"/>
      </w:r>
    </w:p>
    <w:p w:rsidR="00221DD6" w:rsidRDefault="00221DD6" w:rsidP="00234693">
      <w:pPr>
        <w:pStyle w:val="Caption"/>
      </w:pPr>
    </w:p>
    <w:p w:rsidR="00B97965" w:rsidRPr="00F7015A" w:rsidRDefault="00B97965" w:rsidP="00234693">
      <w:pPr>
        <w:pStyle w:val="Caption"/>
      </w:pPr>
      <w:r w:rsidRPr="00F7015A">
        <w:t xml:space="preserve">Table </w:t>
      </w:r>
      <w:r w:rsidR="00E729BA">
        <w:fldChar w:fldCharType="begin"/>
      </w:r>
      <w:r w:rsidRPr="00F7015A">
        <w:instrText xml:space="preserve"> SEQ Table \* ARABIC </w:instrText>
      </w:r>
      <w:r w:rsidR="00E729BA">
        <w:fldChar w:fldCharType="separate"/>
      </w:r>
      <w:r w:rsidR="004911B7">
        <w:rPr>
          <w:noProof/>
        </w:rPr>
        <w:t>95</w:t>
      </w:r>
      <w:r w:rsidR="00E729BA">
        <w:fldChar w:fldCharType="end"/>
      </w:r>
      <w:r w:rsidRPr="00F7015A">
        <w:t xml:space="preserve">: </w:t>
      </w:r>
      <w:r>
        <w:t xml:space="preserve">Cardiovascular </w:t>
      </w:r>
      <w:r w:rsidRPr="00F7015A">
        <w:t xml:space="preserve"> model </w:t>
      </w:r>
      <w:r>
        <w:t xml:space="preserve">for BCTS </w:t>
      </w:r>
      <w:r w:rsidRPr="00F7015A">
        <w:t>parameter details</w:t>
      </w:r>
    </w:p>
    <w:tbl>
      <w:tblPr>
        <w:tblStyle w:val="TableGrid"/>
        <w:tblW w:w="13920" w:type="dxa"/>
        <w:tblLayout w:type="fixed"/>
        <w:tblCellMar>
          <w:left w:w="28" w:type="dxa"/>
          <w:right w:w="28" w:type="dxa"/>
        </w:tblCellMar>
        <w:tblLook w:val="04A0"/>
      </w:tblPr>
      <w:tblGrid>
        <w:gridCol w:w="2011"/>
        <w:gridCol w:w="708"/>
        <w:gridCol w:w="950"/>
        <w:gridCol w:w="950"/>
        <w:gridCol w:w="950"/>
        <w:gridCol w:w="950"/>
        <w:gridCol w:w="950"/>
        <w:gridCol w:w="950"/>
        <w:gridCol w:w="950"/>
        <w:gridCol w:w="950"/>
        <w:gridCol w:w="950"/>
        <w:gridCol w:w="950"/>
        <w:gridCol w:w="1701"/>
      </w:tblGrid>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Parameter name</w:t>
            </w:r>
          </w:p>
        </w:tc>
        <w:tc>
          <w:tcPr>
            <w:tcW w:w="708"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Mean Estimate</w:t>
            </w:r>
          </w:p>
        </w:tc>
        <w:tc>
          <w:tcPr>
            <w:tcW w:w="9500" w:type="dxa"/>
            <w:gridSpan w:val="10"/>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Covariance Matrix</w:t>
            </w: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Distribution</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Age at diagnosis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0.0468</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5.89E-05</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Cholesterol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0.0027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-9.01E-07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1.59E-06</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Hypertension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0.8194</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-0.00046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-1.5E-05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0.056786</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lang w:val="fr-CA"/>
              </w:rPr>
            </w:pPr>
            <w:r w:rsidRPr="00761832">
              <w:rPr>
                <w:rFonts w:asciiTheme="majorBidi" w:hAnsiTheme="majorBidi" w:cstheme="majorBidi"/>
                <w:sz w:val="18"/>
                <w:szCs w:val="18"/>
                <w:lang w:val="fr-CA"/>
              </w:rPr>
              <w:t>Log transformed disease duration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0.6169</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0.000442</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-2.4E-05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-0.00565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0.020379</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AMS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0.1471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4.34E-05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-7.55E-06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-0.00043</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-0.00025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0.001537</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Steroid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0.0012</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8.51E-07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-1.01E-07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1.32E-05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-5.39E-06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1.41E-07</w:t>
            </w: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Serositis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1.1197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0.000233</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2.85E-05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0.000963</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0.004441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-0.00192</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7.36E-06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0.156853</w:t>
            </w: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vAlign w:val="bottom"/>
          </w:tcPr>
          <w:p w:rsidR="00B97965" w:rsidRPr="00761832" w:rsidRDefault="00B97965" w:rsidP="00B97965">
            <w:pPr>
              <w:rPr>
                <w:rFonts w:asciiTheme="majorBidi" w:hAnsiTheme="majorBidi" w:cstheme="majorBidi"/>
                <w:color w:val="000000"/>
                <w:sz w:val="18"/>
                <w:szCs w:val="18"/>
              </w:rPr>
            </w:pP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Intercept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-8.8971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-0.00307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-0.0002</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-0.00661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-0.0471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-0.00421</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-5.5E-05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-0.02954</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0.314196</w:t>
            </w:r>
          </w:p>
        </w:tc>
        <w:tc>
          <w:tcPr>
            <w:tcW w:w="950" w:type="dxa"/>
            <w:vAlign w:val="bottom"/>
          </w:tcPr>
          <w:p w:rsidR="00B97965" w:rsidRPr="00761832" w:rsidRDefault="00B97965" w:rsidP="00B97965">
            <w:pPr>
              <w:rPr>
                <w:rFonts w:asciiTheme="majorBidi" w:hAnsiTheme="majorBidi" w:cstheme="majorBidi"/>
                <w:color w:val="000000"/>
                <w:sz w:val="18"/>
                <w:szCs w:val="18"/>
              </w:rPr>
            </w:pPr>
            <w:r w:rsidRPr="00761832">
              <w:rPr>
                <w:rFonts w:asciiTheme="majorBidi" w:hAnsiTheme="majorBidi" w:cstheme="majorBidi"/>
                <w:color w:val="000000"/>
                <w:sz w:val="18"/>
                <w:szCs w:val="18"/>
              </w:rPr>
              <w:t xml:space="preserve">            </w:t>
            </w: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Gamma</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-0.0445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-4.25E-06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3.82E-06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-0.00023</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-0.00155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0.000166</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3.73E-07</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6.72E-05</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-0.00109</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sidRPr="00761832">
              <w:rPr>
                <w:rFonts w:asciiTheme="majorBidi" w:hAnsiTheme="majorBidi" w:cstheme="majorBidi"/>
                <w:color w:val="000000"/>
                <w:sz w:val="18"/>
                <w:szCs w:val="18"/>
              </w:rPr>
              <w:t>0.000641</w:t>
            </w:r>
          </w:p>
        </w:tc>
        <w:tc>
          <w:tcPr>
            <w:tcW w:w="950" w:type="dxa"/>
          </w:tcPr>
          <w:p w:rsidR="00B97965" w:rsidRPr="00761832" w:rsidRDefault="00B97965" w:rsidP="00B97965">
            <w:pPr>
              <w:spacing w:line="240" w:lineRule="auto"/>
              <w:rPr>
                <w:rFonts w:asciiTheme="majorBidi" w:hAnsiTheme="majorBidi" w:cstheme="majorBidi"/>
                <w:sz w:val="18"/>
                <w:szCs w:val="18"/>
              </w:rPr>
            </w:pP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2011" w:type="dxa"/>
          </w:tcPr>
          <w:p w:rsidR="00B97965" w:rsidRPr="00761832" w:rsidRDefault="00B97965" w:rsidP="00B97965">
            <w:pPr>
              <w:spacing w:line="240" w:lineRule="auto"/>
              <w:rPr>
                <w:rFonts w:asciiTheme="majorBidi" w:hAnsiTheme="majorBidi" w:cstheme="majorBidi"/>
                <w:sz w:val="18"/>
                <w:szCs w:val="18"/>
              </w:rPr>
            </w:pPr>
            <w:r>
              <w:rPr>
                <w:rFonts w:asciiTheme="majorBidi" w:hAnsiTheme="majorBidi" w:cstheme="majorBidi"/>
                <w:sz w:val="18"/>
                <w:szCs w:val="18"/>
              </w:rPr>
              <w:t>Treatment coefficient</w:t>
            </w:r>
          </w:p>
        </w:tc>
        <w:tc>
          <w:tcPr>
            <w:tcW w:w="708" w:type="dxa"/>
            <w:vAlign w:val="bottom"/>
          </w:tcPr>
          <w:p w:rsidR="00B97965" w:rsidRPr="00761832"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-0.0483</w:t>
            </w:r>
          </w:p>
        </w:tc>
        <w:tc>
          <w:tcPr>
            <w:tcW w:w="950" w:type="dxa"/>
            <w:vAlign w:val="bottom"/>
          </w:tcPr>
          <w:p w:rsidR="00B97965" w:rsidRPr="00761832"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Default="00B97965" w:rsidP="00B97965">
            <w:pPr>
              <w:jc w:val="right"/>
            </w:pPr>
            <w:r w:rsidRPr="00DB6CF4">
              <w:rPr>
                <w:rFonts w:asciiTheme="majorBidi" w:hAnsiTheme="majorBidi" w:cstheme="majorBidi"/>
                <w:color w:val="000000"/>
                <w:sz w:val="18"/>
                <w:szCs w:val="18"/>
              </w:rPr>
              <w:t>0.0000</w:t>
            </w:r>
          </w:p>
        </w:tc>
        <w:tc>
          <w:tcPr>
            <w:tcW w:w="950" w:type="dxa"/>
          </w:tcPr>
          <w:p w:rsidR="00B97965" w:rsidRPr="00761832" w:rsidRDefault="00B97965" w:rsidP="00B97965">
            <w:pPr>
              <w:spacing w:line="240" w:lineRule="auto"/>
              <w:jc w:val="right"/>
              <w:rPr>
                <w:rFonts w:asciiTheme="majorBidi" w:hAnsiTheme="majorBidi" w:cstheme="majorBidi"/>
                <w:sz w:val="18"/>
                <w:szCs w:val="18"/>
              </w:rPr>
            </w:pPr>
            <w:r>
              <w:rPr>
                <w:rFonts w:asciiTheme="majorBidi" w:hAnsiTheme="majorBidi" w:cstheme="majorBidi"/>
                <w:sz w:val="18"/>
                <w:szCs w:val="18"/>
              </w:rPr>
              <w:t>0.1479</w:t>
            </w:r>
          </w:p>
        </w:tc>
        <w:tc>
          <w:tcPr>
            <w:tcW w:w="1701" w:type="dxa"/>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rPr>
              <w:t>Multivariate Normal</w:t>
            </w:r>
          </w:p>
        </w:tc>
      </w:tr>
      <w:tr w:rsidR="00B97965" w:rsidRPr="00761832" w:rsidTr="00B97965">
        <w:tc>
          <w:tcPr>
            <w:tcW w:w="13920" w:type="dxa"/>
            <w:gridSpan w:val="13"/>
          </w:tcPr>
          <w:p w:rsidR="00B97965" w:rsidRPr="00761832" w:rsidRDefault="00B97965" w:rsidP="00B97965">
            <w:pPr>
              <w:spacing w:line="240" w:lineRule="auto"/>
              <w:rPr>
                <w:rFonts w:asciiTheme="majorBidi" w:hAnsiTheme="majorBidi" w:cstheme="majorBidi"/>
                <w:sz w:val="18"/>
                <w:szCs w:val="18"/>
              </w:rPr>
            </w:pPr>
            <w:r w:rsidRPr="00761832">
              <w:rPr>
                <w:rFonts w:asciiTheme="majorBidi" w:hAnsiTheme="majorBidi" w:cstheme="majorBidi"/>
                <w:sz w:val="18"/>
                <w:szCs w:val="18"/>
                <w:lang w:val="pt-PT"/>
              </w:rPr>
              <w:t>OBS Organic Brain Syndrome; VD Visual Disturbance; LH Lupus Headache</w:t>
            </w:r>
          </w:p>
        </w:tc>
      </w:tr>
    </w:tbl>
    <w:p w:rsidR="00B97965" w:rsidRDefault="00B97965" w:rsidP="00B97965">
      <w:pPr>
        <w:spacing w:after="0" w:afterAutospacing="0" w:line="240" w:lineRule="auto"/>
        <w:rPr>
          <w:lang w:val="pt-PT"/>
        </w:rPr>
      </w:pPr>
      <w:r>
        <w:rPr>
          <w:lang w:val="pt-PT"/>
        </w:rPr>
        <w:br w:type="page"/>
      </w:r>
    </w:p>
    <w:p w:rsidR="00B97965" w:rsidRPr="00D511E0" w:rsidRDefault="00B97965" w:rsidP="00B97965">
      <w:pPr>
        <w:rPr>
          <w:lang w:val="pt-PT"/>
        </w:rPr>
        <w:sectPr w:rsidR="00B97965" w:rsidRPr="00D511E0" w:rsidSect="00B97965">
          <w:pgSz w:w="16838" w:h="11906" w:orient="landscape"/>
          <w:pgMar w:top="1440" w:right="1440" w:bottom="1440" w:left="1440" w:header="708" w:footer="708" w:gutter="0"/>
          <w:cols w:space="708"/>
          <w:docGrid w:linePitch="360"/>
        </w:sect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96</w:t>
      </w:r>
      <w:r w:rsidR="00E729BA">
        <w:fldChar w:fldCharType="end"/>
      </w:r>
      <w:r w:rsidRPr="00AE2D43">
        <w:t xml:space="preserve">: </w:t>
      </w:r>
      <w:r>
        <w:t>Renal</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803"/>
        <w:gridCol w:w="803"/>
        <w:gridCol w:w="803"/>
        <w:gridCol w:w="803"/>
        <w:gridCol w:w="803"/>
        <w:gridCol w:w="804"/>
        <w:gridCol w:w="1559"/>
      </w:tblGrid>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Parameter name</w:t>
            </w:r>
          </w:p>
        </w:tc>
        <w:tc>
          <w:tcPr>
            <w:tcW w:w="709"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Mean Estimate</w:t>
            </w:r>
          </w:p>
        </w:tc>
        <w:tc>
          <w:tcPr>
            <w:tcW w:w="4819" w:type="dxa"/>
            <w:gridSpan w:val="6"/>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Covariance Matrix</w:t>
            </w:r>
          </w:p>
        </w:tc>
        <w:tc>
          <w:tcPr>
            <w:tcW w:w="1559"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Distribution</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Cholesterol coefficient</w:t>
            </w:r>
          </w:p>
        </w:tc>
        <w:tc>
          <w:tcPr>
            <w:tcW w:w="709"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-0.0078</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1.37E-05</w:t>
            </w: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 xml:space="preserve">            </w:t>
            </w:r>
          </w:p>
        </w:tc>
        <w:tc>
          <w:tcPr>
            <w:tcW w:w="804" w:type="dxa"/>
          </w:tcPr>
          <w:p w:rsidR="00B97965" w:rsidRPr="006506A1" w:rsidRDefault="00B97965" w:rsidP="00B97965">
            <w:pPr>
              <w:rPr>
                <w:rFonts w:asciiTheme="majorBidi" w:hAnsiTheme="majorBidi" w:cstheme="majorBidi"/>
                <w:sz w:val="18"/>
                <w:szCs w:val="18"/>
              </w:rPr>
            </w:pP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AMS coefficient</w:t>
            </w:r>
          </w:p>
        </w:tc>
        <w:tc>
          <w:tcPr>
            <w:tcW w:w="709"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-0.1997</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-1.5E-05</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0.006455</w:t>
            </w: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 xml:space="preserve">            </w:t>
            </w:r>
          </w:p>
        </w:tc>
        <w:tc>
          <w:tcPr>
            <w:tcW w:w="804" w:type="dxa"/>
          </w:tcPr>
          <w:p w:rsidR="00B97965" w:rsidRPr="006506A1" w:rsidRDefault="00B97965" w:rsidP="00B97965">
            <w:pPr>
              <w:rPr>
                <w:rFonts w:asciiTheme="majorBidi" w:hAnsiTheme="majorBidi" w:cstheme="majorBidi"/>
                <w:sz w:val="18"/>
                <w:szCs w:val="18"/>
              </w:rPr>
            </w:pP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Renal involvement coefficient</w:t>
            </w:r>
          </w:p>
        </w:tc>
        <w:tc>
          <w:tcPr>
            <w:tcW w:w="709"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-3.6604</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7.19E-04</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-7.70E-03</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0.774814</w:t>
            </w:r>
          </w:p>
        </w:tc>
        <w:tc>
          <w:tcPr>
            <w:tcW w:w="803" w:type="dxa"/>
            <w:vAlign w:val="bottom"/>
          </w:tcPr>
          <w:p w:rsidR="00B97965" w:rsidRPr="006506A1" w:rsidRDefault="00B97965" w:rsidP="00B97965">
            <w:pPr>
              <w:rPr>
                <w:rFonts w:asciiTheme="majorBidi" w:hAnsiTheme="majorBidi" w:cstheme="majorBidi"/>
                <w:sz w:val="18"/>
                <w:szCs w:val="18"/>
              </w:rPr>
            </w:pPr>
          </w:p>
        </w:tc>
        <w:tc>
          <w:tcPr>
            <w:tcW w:w="803" w:type="dxa"/>
            <w:vAlign w:val="bottom"/>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 xml:space="preserve">            </w:t>
            </w:r>
          </w:p>
        </w:tc>
        <w:tc>
          <w:tcPr>
            <w:tcW w:w="804" w:type="dxa"/>
          </w:tcPr>
          <w:p w:rsidR="00B97965" w:rsidRPr="006506A1" w:rsidRDefault="00B97965" w:rsidP="00B97965">
            <w:pPr>
              <w:rPr>
                <w:rFonts w:asciiTheme="majorBidi" w:hAnsiTheme="majorBidi" w:cstheme="majorBidi"/>
                <w:sz w:val="18"/>
                <w:szCs w:val="18"/>
              </w:rPr>
            </w:pP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Intercept</w:t>
            </w:r>
          </w:p>
        </w:tc>
        <w:tc>
          <w:tcPr>
            <w:tcW w:w="709"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10.2576</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-0.00429</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-0.03418</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-1.04132</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2.744691</w:t>
            </w:r>
          </w:p>
        </w:tc>
        <w:tc>
          <w:tcPr>
            <w:tcW w:w="803" w:type="dxa"/>
            <w:vAlign w:val="bottom"/>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 xml:space="preserve">            </w:t>
            </w:r>
          </w:p>
        </w:tc>
        <w:tc>
          <w:tcPr>
            <w:tcW w:w="804" w:type="dxa"/>
          </w:tcPr>
          <w:p w:rsidR="00B97965" w:rsidRPr="006506A1" w:rsidRDefault="00B97965" w:rsidP="00B97965">
            <w:pPr>
              <w:rPr>
                <w:rFonts w:asciiTheme="majorBidi" w:hAnsiTheme="majorBidi" w:cstheme="majorBidi"/>
                <w:sz w:val="18"/>
                <w:szCs w:val="18"/>
              </w:rPr>
            </w:pP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sidRPr="006506A1">
              <w:rPr>
                <w:rFonts w:asciiTheme="majorBidi" w:hAnsiTheme="majorBidi" w:cstheme="majorBidi"/>
                <w:sz w:val="18"/>
                <w:szCs w:val="18"/>
              </w:rPr>
              <w:t>Gamma</w:t>
            </w:r>
          </w:p>
        </w:tc>
        <w:tc>
          <w:tcPr>
            <w:tcW w:w="709"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0.4016</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-0.00029</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-0.0028</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-0.1361</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0.288369</w:t>
            </w:r>
          </w:p>
        </w:tc>
        <w:tc>
          <w:tcPr>
            <w:tcW w:w="803" w:type="dxa"/>
            <w:vAlign w:val="bottom"/>
          </w:tcPr>
          <w:p w:rsidR="00B97965" w:rsidRPr="006506A1" w:rsidRDefault="00B97965" w:rsidP="00B97965">
            <w:pPr>
              <w:jc w:val="right"/>
              <w:rPr>
                <w:rFonts w:asciiTheme="majorBidi" w:hAnsiTheme="majorBidi" w:cstheme="majorBidi"/>
                <w:sz w:val="18"/>
                <w:szCs w:val="18"/>
              </w:rPr>
            </w:pPr>
            <w:r w:rsidRPr="006506A1">
              <w:rPr>
                <w:rFonts w:asciiTheme="majorBidi" w:hAnsiTheme="majorBidi" w:cstheme="majorBidi"/>
                <w:sz w:val="18"/>
                <w:szCs w:val="18"/>
              </w:rPr>
              <w:t>0.039009</w:t>
            </w:r>
          </w:p>
        </w:tc>
        <w:tc>
          <w:tcPr>
            <w:tcW w:w="804" w:type="dxa"/>
          </w:tcPr>
          <w:p w:rsidR="00B97965" w:rsidRPr="006506A1" w:rsidRDefault="00B97965" w:rsidP="00B97965">
            <w:pPr>
              <w:rPr>
                <w:rFonts w:asciiTheme="majorBidi" w:hAnsiTheme="majorBidi" w:cstheme="majorBidi"/>
                <w:sz w:val="18"/>
                <w:szCs w:val="18"/>
              </w:rPr>
            </w:pP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r w:rsidR="00B97965" w:rsidRPr="006506A1" w:rsidTr="00B97965">
        <w:tc>
          <w:tcPr>
            <w:tcW w:w="2013" w:type="dxa"/>
          </w:tcPr>
          <w:p w:rsidR="00B97965" w:rsidRPr="006506A1"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Treatment coefficient</w:t>
            </w:r>
          </w:p>
        </w:tc>
        <w:tc>
          <w:tcPr>
            <w:tcW w:w="709" w:type="dxa"/>
            <w:vAlign w:val="bottom"/>
          </w:tcPr>
          <w:p w:rsidR="00B97965" w:rsidRPr="006506A1" w:rsidRDefault="00B97965" w:rsidP="00B97965">
            <w:pPr>
              <w:jc w:val="right"/>
              <w:rPr>
                <w:rFonts w:asciiTheme="majorBidi" w:hAnsiTheme="majorBidi" w:cstheme="majorBidi"/>
                <w:sz w:val="18"/>
                <w:szCs w:val="18"/>
              </w:rPr>
            </w:pPr>
            <w:r>
              <w:rPr>
                <w:rFonts w:asciiTheme="majorBidi" w:hAnsiTheme="majorBidi" w:cstheme="majorBidi"/>
                <w:sz w:val="18"/>
                <w:szCs w:val="18"/>
              </w:rPr>
              <w:t>0.0009</w:t>
            </w:r>
          </w:p>
        </w:tc>
        <w:tc>
          <w:tcPr>
            <w:tcW w:w="803" w:type="dxa"/>
            <w:vAlign w:val="bottom"/>
          </w:tcPr>
          <w:p w:rsidR="00B97965" w:rsidRPr="006506A1" w:rsidRDefault="00B97965" w:rsidP="00B97965">
            <w:pPr>
              <w:jc w:val="right"/>
              <w:rPr>
                <w:rFonts w:asciiTheme="majorBidi" w:hAnsiTheme="majorBidi" w:cstheme="majorBidi"/>
                <w:sz w:val="18"/>
                <w:szCs w:val="18"/>
              </w:rPr>
            </w:pPr>
            <w:r>
              <w:rPr>
                <w:rFonts w:asciiTheme="majorBidi" w:hAnsiTheme="majorBidi" w:cstheme="majorBidi"/>
                <w:sz w:val="18"/>
                <w:szCs w:val="18"/>
              </w:rPr>
              <w:t>0.0000</w:t>
            </w:r>
          </w:p>
        </w:tc>
        <w:tc>
          <w:tcPr>
            <w:tcW w:w="803" w:type="dxa"/>
          </w:tcPr>
          <w:p w:rsidR="00B97965" w:rsidRDefault="00B97965" w:rsidP="00B97965">
            <w:pPr>
              <w:jc w:val="right"/>
            </w:pPr>
            <w:r w:rsidRPr="00B27473">
              <w:rPr>
                <w:rFonts w:asciiTheme="majorBidi" w:hAnsiTheme="majorBidi" w:cstheme="majorBidi"/>
                <w:sz w:val="18"/>
                <w:szCs w:val="18"/>
              </w:rPr>
              <w:t>0.0000</w:t>
            </w:r>
          </w:p>
        </w:tc>
        <w:tc>
          <w:tcPr>
            <w:tcW w:w="803" w:type="dxa"/>
          </w:tcPr>
          <w:p w:rsidR="00B97965" w:rsidRDefault="00B97965" w:rsidP="00B97965">
            <w:pPr>
              <w:jc w:val="right"/>
            </w:pPr>
            <w:r w:rsidRPr="00B27473">
              <w:rPr>
                <w:rFonts w:asciiTheme="majorBidi" w:hAnsiTheme="majorBidi" w:cstheme="majorBidi"/>
                <w:sz w:val="18"/>
                <w:szCs w:val="18"/>
              </w:rPr>
              <w:t>0.0000</w:t>
            </w:r>
          </w:p>
        </w:tc>
        <w:tc>
          <w:tcPr>
            <w:tcW w:w="803" w:type="dxa"/>
          </w:tcPr>
          <w:p w:rsidR="00B97965" w:rsidRDefault="00B97965" w:rsidP="00B97965">
            <w:pPr>
              <w:jc w:val="right"/>
            </w:pPr>
            <w:r w:rsidRPr="00B27473">
              <w:rPr>
                <w:rFonts w:asciiTheme="majorBidi" w:hAnsiTheme="majorBidi" w:cstheme="majorBidi"/>
                <w:sz w:val="18"/>
                <w:szCs w:val="18"/>
              </w:rPr>
              <w:t>0.0000</w:t>
            </w:r>
          </w:p>
        </w:tc>
        <w:tc>
          <w:tcPr>
            <w:tcW w:w="803" w:type="dxa"/>
          </w:tcPr>
          <w:p w:rsidR="00B97965" w:rsidRDefault="00B97965" w:rsidP="00B97965">
            <w:pPr>
              <w:jc w:val="right"/>
            </w:pPr>
            <w:r w:rsidRPr="00B27473">
              <w:rPr>
                <w:rFonts w:asciiTheme="majorBidi" w:hAnsiTheme="majorBidi" w:cstheme="majorBidi"/>
                <w:sz w:val="18"/>
                <w:szCs w:val="18"/>
              </w:rPr>
              <w:t>0.0000</w:t>
            </w:r>
          </w:p>
        </w:tc>
        <w:tc>
          <w:tcPr>
            <w:tcW w:w="804" w:type="dxa"/>
          </w:tcPr>
          <w:p w:rsidR="00B97965" w:rsidRPr="006506A1" w:rsidRDefault="00B97965" w:rsidP="00B97965">
            <w:pPr>
              <w:jc w:val="right"/>
              <w:rPr>
                <w:rFonts w:asciiTheme="majorBidi" w:hAnsiTheme="majorBidi" w:cstheme="majorBidi"/>
                <w:sz w:val="18"/>
                <w:szCs w:val="18"/>
              </w:rPr>
            </w:pPr>
            <w:r>
              <w:rPr>
                <w:rFonts w:asciiTheme="majorBidi" w:hAnsiTheme="majorBidi" w:cstheme="majorBidi"/>
                <w:sz w:val="18"/>
                <w:szCs w:val="18"/>
              </w:rPr>
              <w:t>0.0355</w:t>
            </w:r>
          </w:p>
        </w:tc>
        <w:tc>
          <w:tcPr>
            <w:tcW w:w="1559" w:type="dxa"/>
          </w:tcPr>
          <w:p w:rsidR="00B97965" w:rsidRPr="006506A1" w:rsidRDefault="00B97965" w:rsidP="00B97965">
            <w:pPr>
              <w:rPr>
                <w:rFonts w:asciiTheme="majorBidi" w:hAnsiTheme="majorBidi" w:cstheme="majorBidi"/>
                <w:sz w:val="18"/>
                <w:szCs w:val="18"/>
              </w:rPr>
            </w:pPr>
            <w:r w:rsidRPr="006506A1">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97</w:t>
      </w:r>
      <w:r w:rsidR="00E729BA">
        <w:fldChar w:fldCharType="end"/>
      </w:r>
      <w:r w:rsidRPr="00AE2D43">
        <w:t xml:space="preserve">: </w:t>
      </w:r>
      <w:r>
        <w:t>Musculoskeletal</w:t>
      </w:r>
      <w:r w:rsidRPr="00AE2D43">
        <w:t xml:space="preserve"> model parameter details</w:t>
      </w:r>
    </w:p>
    <w:tbl>
      <w:tblPr>
        <w:tblStyle w:val="TableGrid"/>
        <w:tblW w:w="9100" w:type="dxa"/>
        <w:tblLayout w:type="fixed"/>
        <w:tblCellMar>
          <w:left w:w="28" w:type="dxa"/>
          <w:right w:w="28" w:type="dxa"/>
        </w:tblCellMar>
        <w:tblLook w:val="04A0"/>
      </w:tblPr>
      <w:tblGrid>
        <w:gridCol w:w="2013"/>
        <w:gridCol w:w="709"/>
        <w:gridCol w:w="688"/>
        <w:gridCol w:w="688"/>
        <w:gridCol w:w="689"/>
        <w:gridCol w:w="688"/>
        <w:gridCol w:w="689"/>
        <w:gridCol w:w="688"/>
        <w:gridCol w:w="689"/>
        <w:gridCol w:w="1559"/>
      </w:tblGrid>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Parameter name</w:t>
            </w:r>
          </w:p>
        </w:tc>
        <w:tc>
          <w:tcPr>
            <w:tcW w:w="709"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Mean Estimate</w:t>
            </w:r>
          </w:p>
        </w:tc>
        <w:tc>
          <w:tcPr>
            <w:tcW w:w="4819" w:type="dxa"/>
            <w:gridSpan w:val="7"/>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Covariance Matrix</w:t>
            </w:r>
          </w:p>
        </w:tc>
        <w:tc>
          <w:tcPr>
            <w:tcW w:w="1559"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Distribution</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Log transformed age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0.9725</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0.044565</w:t>
            </w:r>
          </w:p>
        </w:tc>
        <w:tc>
          <w:tcPr>
            <w:tcW w:w="688" w:type="dxa"/>
            <w:vAlign w:val="bottom"/>
          </w:tcPr>
          <w:p w:rsidR="00B97965" w:rsidRPr="006506A1" w:rsidRDefault="00B97965" w:rsidP="00B97965">
            <w:pPr>
              <w:rPr>
                <w:rFonts w:asciiTheme="majorBidi" w:hAnsiTheme="majorBidi" w:cstheme="majorBidi"/>
                <w:color w:val="000000"/>
                <w:sz w:val="16"/>
                <w:szCs w:val="16"/>
              </w:rPr>
            </w:pP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r w:rsidRPr="006506A1">
              <w:rPr>
                <w:rFonts w:asciiTheme="majorBidi" w:hAnsiTheme="majorBidi" w:cstheme="majorBidi"/>
                <w:color w:val="000000"/>
                <w:sz w:val="16"/>
                <w:szCs w:val="16"/>
              </w:rPr>
              <w:t xml:space="preserve">            </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Average steroid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0.0012</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9.32E-06</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3.74E-08</w:t>
            </w: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r w:rsidRPr="006506A1">
              <w:rPr>
                <w:rFonts w:asciiTheme="majorBidi" w:hAnsiTheme="majorBidi" w:cstheme="majorBidi"/>
                <w:color w:val="000000"/>
                <w:sz w:val="16"/>
                <w:szCs w:val="16"/>
              </w:rPr>
              <w:t xml:space="preserve">            </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Immunosuppressant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0.2589</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1.18E-03</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-7.47</w:t>
            </w:r>
            <w:r>
              <w:rPr>
                <w:rFonts w:asciiTheme="majorBidi" w:hAnsiTheme="majorBidi" w:cstheme="majorBidi"/>
                <w:color w:val="000000"/>
                <w:sz w:val="16"/>
                <w:szCs w:val="16"/>
              </w:rPr>
              <w:t>e</w:t>
            </w:r>
            <w:r w:rsidRPr="006506A1">
              <w:rPr>
                <w:rFonts w:asciiTheme="majorBidi" w:hAnsiTheme="majorBidi" w:cstheme="majorBidi"/>
                <w:color w:val="000000"/>
                <w:sz w:val="16"/>
                <w:szCs w:val="16"/>
              </w:rPr>
              <w:t>-06</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0.015713</w:t>
            </w:r>
          </w:p>
        </w:tc>
        <w:tc>
          <w:tcPr>
            <w:tcW w:w="688" w:type="dxa"/>
            <w:vAlign w:val="bottom"/>
          </w:tcPr>
          <w:p w:rsidR="00B97965" w:rsidRPr="006506A1" w:rsidRDefault="00B97965" w:rsidP="00B97965">
            <w:pPr>
              <w:rPr>
                <w:rFonts w:asciiTheme="majorBidi" w:hAnsiTheme="majorBidi" w:cstheme="majorBidi"/>
                <w:color w:val="000000"/>
                <w:sz w:val="16"/>
                <w:szCs w:val="16"/>
              </w:rPr>
            </w:pP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r w:rsidRPr="006506A1">
              <w:rPr>
                <w:rFonts w:asciiTheme="majorBidi" w:hAnsiTheme="majorBidi" w:cstheme="majorBidi"/>
                <w:color w:val="000000"/>
                <w:sz w:val="16"/>
                <w:szCs w:val="16"/>
              </w:rPr>
              <w:t xml:space="preserve">            </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SLICC/ACR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0.1029</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-0.00197</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-8.50</w:t>
            </w:r>
            <w:r>
              <w:rPr>
                <w:rFonts w:asciiTheme="majorBidi" w:hAnsiTheme="majorBidi" w:cstheme="majorBidi"/>
                <w:color w:val="000000"/>
                <w:sz w:val="16"/>
                <w:szCs w:val="16"/>
              </w:rPr>
              <w:t>e</w:t>
            </w:r>
            <w:r w:rsidRPr="006506A1">
              <w:rPr>
                <w:rFonts w:asciiTheme="majorBidi" w:hAnsiTheme="majorBidi" w:cstheme="majorBidi"/>
                <w:color w:val="000000"/>
                <w:sz w:val="16"/>
                <w:szCs w:val="16"/>
              </w:rPr>
              <w:t>-07</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-0.0004</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0.000773</w:t>
            </w:r>
          </w:p>
        </w:tc>
        <w:tc>
          <w:tcPr>
            <w:tcW w:w="689" w:type="dxa"/>
            <w:vAlign w:val="bottom"/>
          </w:tcPr>
          <w:p w:rsidR="00B97965" w:rsidRPr="006506A1" w:rsidRDefault="00B97965" w:rsidP="00B97965">
            <w:pPr>
              <w:rPr>
                <w:rFonts w:asciiTheme="majorBidi" w:hAnsiTheme="majorBidi" w:cstheme="majorBidi"/>
                <w:color w:val="000000"/>
                <w:sz w:val="16"/>
                <w:szCs w:val="16"/>
              </w:rPr>
            </w:pPr>
          </w:p>
        </w:tc>
        <w:tc>
          <w:tcPr>
            <w:tcW w:w="688" w:type="dxa"/>
            <w:vAlign w:val="bottom"/>
          </w:tcPr>
          <w:p w:rsidR="00B97965" w:rsidRPr="006506A1" w:rsidRDefault="00B97965" w:rsidP="00B97965">
            <w:pPr>
              <w:rPr>
                <w:rFonts w:asciiTheme="majorBidi" w:hAnsiTheme="majorBidi" w:cstheme="majorBidi"/>
                <w:color w:val="000000"/>
                <w:sz w:val="16"/>
                <w:szCs w:val="16"/>
              </w:rPr>
            </w:pPr>
            <w:r w:rsidRPr="006506A1">
              <w:rPr>
                <w:rFonts w:asciiTheme="majorBidi" w:hAnsiTheme="majorBidi" w:cstheme="majorBidi"/>
                <w:color w:val="000000"/>
                <w:sz w:val="16"/>
                <w:szCs w:val="16"/>
              </w:rPr>
              <w:t xml:space="preserve">            </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Intercept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-7.4545</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-0.16643</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-4.9E-05</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-0.00703</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0.006717</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0.643058</w:t>
            </w:r>
          </w:p>
        </w:tc>
        <w:tc>
          <w:tcPr>
            <w:tcW w:w="688" w:type="dxa"/>
            <w:vAlign w:val="bottom"/>
          </w:tcPr>
          <w:p w:rsidR="00B97965" w:rsidRPr="006506A1" w:rsidRDefault="00B97965" w:rsidP="00B97965">
            <w:pPr>
              <w:rPr>
                <w:rFonts w:asciiTheme="majorBidi" w:hAnsiTheme="majorBidi" w:cstheme="majorBidi"/>
                <w:color w:val="000000"/>
                <w:sz w:val="16"/>
                <w:szCs w:val="16"/>
              </w:rPr>
            </w:pPr>
            <w:r w:rsidRPr="006506A1">
              <w:rPr>
                <w:rFonts w:asciiTheme="majorBidi" w:hAnsiTheme="majorBidi" w:cstheme="majorBidi"/>
                <w:color w:val="000000"/>
                <w:sz w:val="16"/>
                <w:szCs w:val="16"/>
              </w:rPr>
              <w:t xml:space="preserve">            </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Gamma</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-0.1573</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-0.00061</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4.47E-06</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-0.00152</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-0.00032</w:t>
            </w:r>
          </w:p>
        </w:tc>
        <w:tc>
          <w:tcPr>
            <w:tcW w:w="689"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-0.00348</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sidRPr="006506A1">
              <w:rPr>
                <w:rFonts w:asciiTheme="majorBidi" w:hAnsiTheme="majorBidi" w:cstheme="majorBidi"/>
                <w:color w:val="000000"/>
                <w:sz w:val="16"/>
                <w:szCs w:val="16"/>
              </w:rPr>
              <w:t>3.19E-03</w:t>
            </w:r>
          </w:p>
        </w:tc>
        <w:tc>
          <w:tcPr>
            <w:tcW w:w="689" w:type="dxa"/>
          </w:tcPr>
          <w:p w:rsidR="00B97965" w:rsidRPr="006506A1" w:rsidRDefault="00B97965" w:rsidP="00B97965">
            <w:pPr>
              <w:rPr>
                <w:rFonts w:asciiTheme="majorBidi" w:hAnsiTheme="majorBidi" w:cstheme="majorBidi"/>
                <w:sz w:val="16"/>
                <w:szCs w:val="16"/>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2013" w:type="dxa"/>
          </w:tcPr>
          <w:p w:rsidR="00B97965" w:rsidRPr="00696B12" w:rsidRDefault="00B97965" w:rsidP="00B97965">
            <w:pPr>
              <w:spacing w:line="276" w:lineRule="auto"/>
              <w:rPr>
                <w:rFonts w:asciiTheme="majorBidi" w:hAnsiTheme="majorBidi" w:cstheme="majorBidi"/>
                <w:sz w:val="18"/>
                <w:szCs w:val="18"/>
              </w:rPr>
            </w:pPr>
            <w:r>
              <w:rPr>
                <w:rFonts w:asciiTheme="majorBidi" w:hAnsiTheme="majorBidi" w:cstheme="majorBidi"/>
                <w:sz w:val="18"/>
                <w:szCs w:val="18"/>
              </w:rPr>
              <w:t>Treatment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-0.0532</w:t>
            </w:r>
          </w:p>
        </w:tc>
        <w:tc>
          <w:tcPr>
            <w:tcW w:w="688" w:type="dxa"/>
            <w:vAlign w:val="bottom"/>
          </w:tcPr>
          <w:p w:rsidR="00B97965" w:rsidRPr="006506A1"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0.0000</w:t>
            </w:r>
          </w:p>
        </w:tc>
        <w:tc>
          <w:tcPr>
            <w:tcW w:w="688" w:type="dxa"/>
            <w:vAlign w:val="bottom"/>
          </w:tcPr>
          <w:p w:rsidR="00B97965" w:rsidRPr="00410FB6" w:rsidRDefault="00B97965" w:rsidP="00B97965">
            <w:pPr>
              <w:jc w:val="right"/>
              <w:rPr>
                <w:rFonts w:asciiTheme="majorBidi" w:hAnsiTheme="majorBidi" w:cstheme="majorBidi"/>
                <w:color w:val="000000"/>
                <w:sz w:val="16"/>
                <w:szCs w:val="16"/>
              </w:rPr>
            </w:pPr>
            <w:r w:rsidRPr="00CF1701">
              <w:rPr>
                <w:rFonts w:asciiTheme="majorBidi" w:hAnsiTheme="majorBidi" w:cstheme="majorBidi"/>
                <w:color w:val="000000"/>
                <w:sz w:val="16"/>
                <w:szCs w:val="16"/>
              </w:rPr>
              <w:t>0.0000</w:t>
            </w:r>
          </w:p>
        </w:tc>
        <w:tc>
          <w:tcPr>
            <w:tcW w:w="689" w:type="dxa"/>
            <w:vAlign w:val="bottom"/>
          </w:tcPr>
          <w:p w:rsidR="00B97965" w:rsidRPr="00410FB6" w:rsidRDefault="00B97965" w:rsidP="00B97965">
            <w:pPr>
              <w:jc w:val="right"/>
              <w:rPr>
                <w:rFonts w:asciiTheme="majorBidi" w:hAnsiTheme="majorBidi" w:cstheme="majorBidi"/>
                <w:color w:val="000000"/>
                <w:sz w:val="16"/>
                <w:szCs w:val="16"/>
              </w:rPr>
            </w:pPr>
            <w:r w:rsidRPr="00CF1701">
              <w:rPr>
                <w:rFonts w:asciiTheme="majorBidi" w:hAnsiTheme="majorBidi" w:cstheme="majorBidi"/>
                <w:color w:val="000000"/>
                <w:sz w:val="16"/>
                <w:szCs w:val="16"/>
              </w:rPr>
              <w:t>0.0000</w:t>
            </w:r>
          </w:p>
        </w:tc>
        <w:tc>
          <w:tcPr>
            <w:tcW w:w="688" w:type="dxa"/>
            <w:vAlign w:val="bottom"/>
          </w:tcPr>
          <w:p w:rsidR="00B97965" w:rsidRPr="00410FB6" w:rsidRDefault="00B97965" w:rsidP="00B97965">
            <w:pPr>
              <w:jc w:val="right"/>
              <w:rPr>
                <w:rFonts w:asciiTheme="majorBidi" w:hAnsiTheme="majorBidi" w:cstheme="majorBidi"/>
                <w:color w:val="000000"/>
                <w:sz w:val="16"/>
                <w:szCs w:val="16"/>
              </w:rPr>
            </w:pPr>
            <w:r w:rsidRPr="00CF1701">
              <w:rPr>
                <w:rFonts w:asciiTheme="majorBidi" w:hAnsiTheme="majorBidi" w:cstheme="majorBidi"/>
                <w:color w:val="000000"/>
                <w:sz w:val="16"/>
                <w:szCs w:val="16"/>
              </w:rPr>
              <w:t>0.0000</w:t>
            </w:r>
          </w:p>
        </w:tc>
        <w:tc>
          <w:tcPr>
            <w:tcW w:w="689" w:type="dxa"/>
            <w:vAlign w:val="bottom"/>
          </w:tcPr>
          <w:p w:rsidR="00B97965" w:rsidRPr="00410FB6" w:rsidRDefault="00B97965" w:rsidP="00B97965">
            <w:pPr>
              <w:jc w:val="right"/>
              <w:rPr>
                <w:rFonts w:asciiTheme="majorBidi" w:hAnsiTheme="majorBidi" w:cstheme="majorBidi"/>
                <w:color w:val="000000"/>
                <w:sz w:val="16"/>
                <w:szCs w:val="16"/>
              </w:rPr>
            </w:pPr>
            <w:r w:rsidRPr="00CF1701">
              <w:rPr>
                <w:rFonts w:asciiTheme="majorBidi" w:hAnsiTheme="majorBidi" w:cstheme="majorBidi"/>
                <w:color w:val="000000"/>
                <w:sz w:val="16"/>
                <w:szCs w:val="16"/>
              </w:rPr>
              <w:t>0.0000</w:t>
            </w:r>
          </w:p>
        </w:tc>
        <w:tc>
          <w:tcPr>
            <w:tcW w:w="688" w:type="dxa"/>
            <w:vAlign w:val="bottom"/>
          </w:tcPr>
          <w:p w:rsidR="00B97965" w:rsidRPr="00410FB6" w:rsidRDefault="00B97965" w:rsidP="00B97965">
            <w:pPr>
              <w:jc w:val="right"/>
              <w:rPr>
                <w:rFonts w:asciiTheme="majorBidi" w:hAnsiTheme="majorBidi" w:cstheme="majorBidi"/>
                <w:color w:val="000000"/>
                <w:sz w:val="16"/>
                <w:szCs w:val="16"/>
              </w:rPr>
            </w:pPr>
            <w:r w:rsidRPr="00CF1701">
              <w:rPr>
                <w:rFonts w:asciiTheme="majorBidi" w:hAnsiTheme="majorBidi" w:cstheme="majorBidi"/>
                <w:color w:val="000000"/>
                <w:sz w:val="16"/>
                <w:szCs w:val="16"/>
              </w:rPr>
              <w:t>0.0000</w:t>
            </w:r>
          </w:p>
        </w:tc>
        <w:tc>
          <w:tcPr>
            <w:tcW w:w="689" w:type="dxa"/>
            <w:vAlign w:val="bottom"/>
          </w:tcPr>
          <w:p w:rsidR="00B97965" w:rsidRPr="00410FB6" w:rsidRDefault="00B97965" w:rsidP="00B97965">
            <w:pPr>
              <w:jc w:val="right"/>
              <w:rPr>
                <w:rFonts w:asciiTheme="majorBidi" w:hAnsiTheme="majorBidi" w:cstheme="majorBidi"/>
                <w:color w:val="000000"/>
                <w:sz w:val="16"/>
                <w:szCs w:val="16"/>
              </w:rPr>
            </w:pPr>
            <w:r w:rsidRPr="00410FB6">
              <w:rPr>
                <w:rFonts w:asciiTheme="majorBidi" w:hAnsiTheme="majorBidi" w:cstheme="majorBidi"/>
                <w:color w:val="000000"/>
                <w:sz w:val="16"/>
                <w:szCs w:val="16"/>
              </w:rPr>
              <w:t>0.1622</w:t>
            </w: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98</w:t>
      </w:r>
      <w:r w:rsidR="00E729BA">
        <w:fldChar w:fldCharType="end"/>
      </w:r>
      <w:r w:rsidRPr="00AE2D43">
        <w:t xml:space="preserve">: </w:t>
      </w:r>
      <w:r>
        <w:t xml:space="preserve">Neuropsychiatric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620"/>
        <w:gridCol w:w="620"/>
        <w:gridCol w:w="620"/>
        <w:gridCol w:w="620"/>
        <w:gridCol w:w="620"/>
        <w:gridCol w:w="620"/>
        <w:gridCol w:w="620"/>
        <w:gridCol w:w="621"/>
        <w:gridCol w:w="1559"/>
      </w:tblGrid>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Parameter name</w:t>
            </w:r>
          </w:p>
        </w:tc>
        <w:tc>
          <w:tcPr>
            <w:tcW w:w="709"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Mean Estimate</w:t>
            </w:r>
          </w:p>
        </w:tc>
        <w:tc>
          <w:tcPr>
            <w:tcW w:w="4961" w:type="dxa"/>
            <w:gridSpan w:val="8"/>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Covariance Matrix</w:t>
            </w:r>
          </w:p>
        </w:tc>
        <w:tc>
          <w:tcPr>
            <w:tcW w:w="1559"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Distribution</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Cholesterol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0.0034</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1.4e</w:t>
            </w:r>
            <w:r w:rsidRPr="00696B12">
              <w:rPr>
                <w:rFonts w:asciiTheme="majorBidi" w:hAnsiTheme="majorBidi" w:cstheme="majorBidi"/>
                <w:color w:val="000000"/>
                <w:sz w:val="16"/>
                <w:szCs w:val="16"/>
              </w:rPr>
              <w:t>-06</w:t>
            </w: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Hypertension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0.5899</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-1.7</w:t>
            </w:r>
            <w:r>
              <w:rPr>
                <w:rFonts w:asciiTheme="majorBidi" w:hAnsiTheme="majorBidi" w:cstheme="majorBidi"/>
                <w:color w:val="000000"/>
                <w:sz w:val="16"/>
                <w:szCs w:val="16"/>
              </w:rPr>
              <w:t>e</w:t>
            </w:r>
            <w:r w:rsidRPr="00696B12">
              <w:rPr>
                <w:rFonts w:asciiTheme="majorBidi" w:hAnsiTheme="majorBidi" w:cstheme="majorBidi"/>
                <w:color w:val="000000"/>
                <w:sz w:val="16"/>
                <w:szCs w:val="16"/>
              </w:rPr>
              <w:t>-05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0.02718</w:t>
            </w: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 xml:space="preserve">Log transformed </w:t>
            </w:r>
            <w:r>
              <w:rPr>
                <w:rFonts w:asciiTheme="majorBidi" w:hAnsiTheme="majorBidi" w:cstheme="majorBidi"/>
                <w:sz w:val="18"/>
                <w:szCs w:val="18"/>
              </w:rPr>
              <w:t xml:space="preserve">age </w:t>
            </w:r>
            <w:r w:rsidRPr="00696B12">
              <w:rPr>
                <w:rFonts w:asciiTheme="majorBidi" w:hAnsiTheme="majorBidi" w:cstheme="majorBidi"/>
                <w:sz w:val="18"/>
                <w:szCs w:val="18"/>
              </w:rPr>
              <w:t>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0.8901</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w:t>
            </w:r>
            <w:r>
              <w:rPr>
                <w:rFonts w:asciiTheme="majorBidi" w:hAnsiTheme="majorBidi" w:cstheme="majorBidi"/>
                <w:color w:val="000000"/>
                <w:sz w:val="16"/>
                <w:szCs w:val="16"/>
              </w:rPr>
              <w:t>3e</w:t>
            </w:r>
            <w:r w:rsidRPr="00696B12">
              <w:rPr>
                <w:rFonts w:asciiTheme="majorBidi" w:hAnsiTheme="majorBidi" w:cstheme="majorBidi"/>
                <w:color w:val="000000"/>
                <w:sz w:val="16"/>
                <w:szCs w:val="16"/>
              </w:rPr>
              <w:t>-05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-1.2e</w:t>
            </w:r>
            <w:r w:rsidRPr="00696B12">
              <w:rPr>
                <w:rFonts w:asciiTheme="majorBidi" w:hAnsiTheme="majorBidi" w:cstheme="majorBidi"/>
                <w:color w:val="000000"/>
                <w:sz w:val="16"/>
                <w:szCs w:val="16"/>
              </w:rPr>
              <w:t>-02</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0.06875</w:t>
            </w: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Average steroid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0.0004</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-8</w:t>
            </w:r>
            <w:r>
              <w:rPr>
                <w:rFonts w:asciiTheme="majorBidi" w:hAnsiTheme="majorBidi" w:cstheme="majorBidi"/>
                <w:color w:val="000000"/>
                <w:sz w:val="16"/>
                <w:szCs w:val="16"/>
              </w:rPr>
              <w:t>e</w:t>
            </w:r>
            <w:r w:rsidRPr="00696B12">
              <w:rPr>
                <w:rFonts w:asciiTheme="majorBidi" w:hAnsiTheme="majorBidi" w:cstheme="majorBidi"/>
                <w:color w:val="000000"/>
                <w:sz w:val="16"/>
                <w:szCs w:val="16"/>
              </w:rPr>
              <w:t>-08</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-6.</w:t>
            </w:r>
            <w:r>
              <w:rPr>
                <w:rFonts w:asciiTheme="majorBidi" w:hAnsiTheme="majorBidi" w:cstheme="majorBidi"/>
                <w:color w:val="000000"/>
                <w:sz w:val="16"/>
                <w:szCs w:val="16"/>
              </w:rPr>
              <w:t>6e</w:t>
            </w:r>
            <w:r w:rsidRPr="00696B12">
              <w:rPr>
                <w:rFonts w:asciiTheme="majorBidi" w:hAnsiTheme="majorBidi" w:cstheme="majorBidi"/>
                <w:color w:val="000000"/>
                <w:sz w:val="16"/>
                <w:szCs w:val="16"/>
              </w:rPr>
              <w:t>-06</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1.</w:t>
            </w:r>
            <w:r w:rsidRPr="00696B12">
              <w:rPr>
                <w:rFonts w:asciiTheme="majorBidi" w:hAnsiTheme="majorBidi" w:cstheme="majorBidi"/>
                <w:color w:val="000000"/>
                <w:sz w:val="16"/>
                <w:szCs w:val="16"/>
              </w:rPr>
              <w:t>8</w:t>
            </w:r>
            <w:r>
              <w:rPr>
                <w:rFonts w:asciiTheme="majorBidi" w:hAnsiTheme="majorBidi" w:cstheme="majorBidi"/>
                <w:color w:val="000000"/>
                <w:sz w:val="16"/>
                <w:szCs w:val="16"/>
              </w:rPr>
              <w:t>e</w:t>
            </w:r>
            <w:r w:rsidRPr="00696B12">
              <w:rPr>
                <w:rFonts w:asciiTheme="majorBidi" w:hAnsiTheme="majorBidi" w:cstheme="majorBidi"/>
                <w:color w:val="000000"/>
                <w:sz w:val="16"/>
                <w:szCs w:val="16"/>
              </w:rPr>
              <w:t>-05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7e</w:t>
            </w:r>
            <w:r w:rsidRPr="00696B12">
              <w:rPr>
                <w:rFonts w:asciiTheme="majorBidi" w:hAnsiTheme="majorBidi" w:cstheme="majorBidi"/>
                <w:color w:val="000000"/>
                <w:sz w:val="16"/>
                <w:szCs w:val="16"/>
              </w:rPr>
              <w:t>-08</w:t>
            </w: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CNS involvement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2.0775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3.6</w:t>
            </w:r>
            <w:r w:rsidRPr="00696B12">
              <w:rPr>
                <w:rFonts w:asciiTheme="majorBidi" w:hAnsiTheme="majorBidi" w:cstheme="majorBidi"/>
                <w:color w:val="000000"/>
                <w:sz w:val="16"/>
                <w:szCs w:val="16"/>
              </w:rPr>
              <w:t>-06</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5.7e</w:t>
            </w:r>
            <w:r w:rsidRPr="00696B12">
              <w:rPr>
                <w:rFonts w:asciiTheme="majorBidi" w:hAnsiTheme="majorBidi" w:cstheme="majorBidi"/>
                <w:color w:val="000000"/>
                <w:sz w:val="16"/>
                <w:szCs w:val="16"/>
              </w:rPr>
              <w:t>-04</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-0.0002</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-1e</w:t>
            </w:r>
            <w:r w:rsidRPr="00696B12">
              <w:rPr>
                <w:rFonts w:asciiTheme="majorBidi" w:hAnsiTheme="majorBidi" w:cstheme="majorBidi"/>
                <w:color w:val="000000"/>
                <w:sz w:val="16"/>
                <w:szCs w:val="16"/>
              </w:rPr>
              <w:t>-05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0.04948</w:t>
            </w:r>
          </w:p>
        </w:tc>
        <w:tc>
          <w:tcPr>
            <w:tcW w:w="620" w:type="dxa"/>
            <w:vAlign w:val="bottom"/>
          </w:tcPr>
          <w:p w:rsidR="00B97965" w:rsidRPr="00696B12" w:rsidRDefault="00B97965" w:rsidP="00B97965">
            <w:pPr>
              <w:rPr>
                <w:rFonts w:asciiTheme="majorBidi" w:hAnsiTheme="majorBidi" w:cstheme="majorBidi"/>
                <w:color w:val="000000"/>
                <w:sz w:val="16"/>
                <w:szCs w:val="16"/>
              </w:rPr>
            </w:pP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Intercept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-8.0923</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-0.000</w:t>
            </w:r>
            <w:r>
              <w:rPr>
                <w:rFonts w:asciiTheme="majorBidi" w:hAnsiTheme="majorBidi" w:cstheme="majorBidi"/>
                <w:color w:val="000000"/>
                <w:sz w:val="16"/>
                <w:szCs w:val="16"/>
              </w:rPr>
              <w:t>2</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0.03339</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-0.2478</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-0.000</w:t>
            </w:r>
            <w:r>
              <w:rPr>
                <w:rFonts w:asciiTheme="majorBidi" w:hAnsiTheme="majorBidi" w:cstheme="majorBidi"/>
                <w:color w:val="000000"/>
                <w:sz w:val="16"/>
                <w:szCs w:val="16"/>
              </w:rPr>
              <w:t>1</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9.8e</w:t>
            </w:r>
            <w:r w:rsidRPr="00696B12">
              <w:rPr>
                <w:rFonts w:asciiTheme="majorBidi" w:hAnsiTheme="majorBidi" w:cstheme="majorBidi"/>
                <w:color w:val="000000"/>
                <w:sz w:val="16"/>
                <w:szCs w:val="16"/>
              </w:rPr>
              <w:t>-01</w:t>
            </w:r>
          </w:p>
        </w:tc>
        <w:tc>
          <w:tcPr>
            <w:tcW w:w="620" w:type="dxa"/>
            <w:vAlign w:val="bottom"/>
          </w:tcPr>
          <w:p w:rsidR="00B97965" w:rsidRPr="00696B12" w:rsidRDefault="00B97965" w:rsidP="00B97965">
            <w:pPr>
              <w:rPr>
                <w:rFonts w:asciiTheme="majorBidi" w:hAnsiTheme="majorBidi" w:cstheme="majorBidi"/>
                <w:color w:val="000000"/>
                <w:sz w:val="16"/>
                <w:szCs w:val="16"/>
              </w:rPr>
            </w:pPr>
            <w:r w:rsidRPr="00696B12">
              <w:rPr>
                <w:rFonts w:asciiTheme="majorBidi" w:hAnsiTheme="majorBidi" w:cstheme="majorBidi"/>
                <w:color w:val="000000"/>
                <w:sz w:val="16"/>
                <w:szCs w:val="16"/>
              </w:rPr>
              <w:t xml:space="preserve">            </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Gamma</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sidRPr="00696B12">
              <w:rPr>
                <w:rFonts w:asciiTheme="majorBidi" w:hAnsiTheme="majorBidi" w:cstheme="majorBidi"/>
                <w:color w:val="000000"/>
                <w:sz w:val="18"/>
                <w:szCs w:val="18"/>
              </w:rPr>
              <w:t>-0.1919</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6.7e</w:t>
            </w:r>
            <w:r w:rsidRPr="00696B12">
              <w:rPr>
                <w:rFonts w:asciiTheme="majorBidi" w:hAnsiTheme="majorBidi" w:cstheme="majorBidi"/>
                <w:color w:val="000000"/>
                <w:sz w:val="16"/>
                <w:szCs w:val="16"/>
              </w:rPr>
              <w:t>-06</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w:t>
            </w:r>
            <w:r>
              <w:rPr>
                <w:rFonts w:asciiTheme="majorBidi" w:hAnsiTheme="majorBidi" w:cstheme="majorBidi"/>
                <w:color w:val="000000"/>
                <w:sz w:val="16"/>
                <w:szCs w:val="16"/>
              </w:rPr>
              <w:t>1</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-0.0018</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3.5e</w:t>
            </w:r>
            <w:r w:rsidRPr="00696B12">
              <w:rPr>
                <w:rFonts w:asciiTheme="majorBidi" w:hAnsiTheme="majorBidi" w:cstheme="majorBidi"/>
                <w:color w:val="000000"/>
                <w:sz w:val="16"/>
                <w:szCs w:val="16"/>
              </w:rPr>
              <w:t>-06</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0.0007</w:t>
            </w:r>
            <w:r>
              <w:rPr>
                <w:rFonts w:asciiTheme="majorBidi" w:hAnsiTheme="majorBidi" w:cstheme="majorBidi"/>
                <w:color w:val="000000"/>
                <w:sz w:val="16"/>
                <w:szCs w:val="16"/>
              </w:rPr>
              <w:t>3</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-0.0025</w:t>
            </w:r>
          </w:p>
        </w:tc>
        <w:tc>
          <w:tcPr>
            <w:tcW w:w="620" w:type="dxa"/>
            <w:vAlign w:val="bottom"/>
          </w:tcPr>
          <w:p w:rsidR="00B97965" w:rsidRPr="00696B12" w:rsidRDefault="00B97965" w:rsidP="00B97965">
            <w:pPr>
              <w:jc w:val="right"/>
              <w:rPr>
                <w:rFonts w:asciiTheme="majorBidi" w:hAnsiTheme="majorBidi" w:cstheme="majorBidi"/>
                <w:color w:val="000000"/>
                <w:sz w:val="16"/>
                <w:szCs w:val="16"/>
              </w:rPr>
            </w:pPr>
            <w:r w:rsidRPr="00696B12">
              <w:rPr>
                <w:rFonts w:asciiTheme="majorBidi" w:hAnsiTheme="majorBidi" w:cstheme="majorBidi"/>
                <w:color w:val="000000"/>
                <w:sz w:val="16"/>
                <w:szCs w:val="16"/>
              </w:rPr>
              <w:t>0.00437</w:t>
            </w:r>
          </w:p>
        </w:tc>
        <w:tc>
          <w:tcPr>
            <w:tcW w:w="621" w:type="dxa"/>
          </w:tcPr>
          <w:p w:rsidR="00B97965" w:rsidRPr="00696B12" w:rsidRDefault="00B97965" w:rsidP="00B97965">
            <w:pPr>
              <w:rPr>
                <w:rFonts w:asciiTheme="majorBidi" w:hAnsiTheme="majorBidi" w:cstheme="majorBidi"/>
                <w:sz w:val="18"/>
                <w:szCs w:val="18"/>
              </w:rPr>
            </w:pP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r w:rsidR="00B97965" w:rsidRPr="00696B12" w:rsidTr="00B97965">
        <w:tc>
          <w:tcPr>
            <w:tcW w:w="1871" w:type="dxa"/>
          </w:tcPr>
          <w:p w:rsidR="00B97965" w:rsidRPr="00696B12" w:rsidRDefault="00B97965" w:rsidP="00B97965">
            <w:pPr>
              <w:spacing w:line="276" w:lineRule="auto"/>
              <w:rPr>
                <w:rFonts w:asciiTheme="majorBidi" w:hAnsiTheme="majorBidi" w:cstheme="majorBidi"/>
                <w:sz w:val="18"/>
                <w:szCs w:val="18"/>
              </w:rPr>
            </w:pPr>
            <w:r w:rsidRPr="00696B12">
              <w:rPr>
                <w:rFonts w:asciiTheme="majorBidi" w:hAnsiTheme="majorBidi" w:cstheme="majorBidi"/>
                <w:sz w:val="18"/>
                <w:szCs w:val="18"/>
              </w:rPr>
              <w:t>Treatment coefficient</w:t>
            </w:r>
          </w:p>
        </w:tc>
        <w:tc>
          <w:tcPr>
            <w:tcW w:w="709" w:type="dxa"/>
            <w:vAlign w:val="bottom"/>
          </w:tcPr>
          <w:p w:rsidR="00B97965" w:rsidRPr="00696B12"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-0.0488</w:t>
            </w:r>
          </w:p>
        </w:tc>
        <w:tc>
          <w:tcPr>
            <w:tcW w:w="620" w:type="dxa"/>
            <w:vAlign w:val="bottom"/>
          </w:tcPr>
          <w:p w:rsidR="00B97965" w:rsidRPr="00696B12"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0" w:type="dxa"/>
          </w:tcPr>
          <w:p w:rsidR="00B97965" w:rsidRDefault="00B97965" w:rsidP="00B97965">
            <w:pPr>
              <w:jc w:val="right"/>
            </w:pPr>
            <w:r w:rsidRPr="00693416">
              <w:rPr>
                <w:rFonts w:asciiTheme="majorBidi" w:hAnsiTheme="majorBidi" w:cstheme="majorBidi"/>
                <w:color w:val="000000"/>
                <w:sz w:val="18"/>
                <w:szCs w:val="18"/>
              </w:rPr>
              <w:t>0.0000</w:t>
            </w:r>
          </w:p>
        </w:tc>
        <w:tc>
          <w:tcPr>
            <w:tcW w:w="621" w:type="dxa"/>
            <w:vAlign w:val="bottom"/>
          </w:tcPr>
          <w:p w:rsidR="00B97965" w:rsidRPr="00696B12" w:rsidRDefault="00B97965" w:rsidP="00B97965">
            <w:pPr>
              <w:jc w:val="right"/>
              <w:rPr>
                <w:rFonts w:asciiTheme="majorBidi" w:hAnsiTheme="majorBidi" w:cstheme="majorBidi"/>
                <w:sz w:val="18"/>
                <w:szCs w:val="18"/>
              </w:rPr>
            </w:pPr>
            <w:r>
              <w:rPr>
                <w:rFonts w:asciiTheme="majorBidi" w:hAnsiTheme="majorBidi" w:cstheme="majorBidi"/>
                <w:sz w:val="18"/>
                <w:szCs w:val="18"/>
              </w:rPr>
              <w:t>0.1484</w:t>
            </w:r>
          </w:p>
        </w:tc>
        <w:tc>
          <w:tcPr>
            <w:tcW w:w="1559" w:type="dxa"/>
          </w:tcPr>
          <w:p w:rsidR="00B97965" w:rsidRPr="00696B12" w:rsidRDefault="00B97965" w:rsidP="00B97965">
            <w:pPr>
              <w:rPr>
                <w:rFonts w:asciiTheme="majorBidi" w:hAnsiTheme="majorBidi" w:cstheme="majorBidi"/>
                <w:sz w:val="18"/>
                <w:szCs w:val="18"/>
              </w:rPr>
            </w:pPr>
            <w:r w:rsidRPr="00696B12">
              <w:rPr>
                <w:rFonts w:asciiTheme="majorBidi" w:hAnsiTheme="majorBidi" w:cstheme="majorBidi"/>
                <w:sz w:val="18"/>
                <w:szCs w:val="18"/>
              </w:rPr>
              <w:t>Multivariate Normal</w:t>
            </w:r>
          </w:p>
        </w:tc>
      </w:tr>
    </w:tbl>
    <w:p w:rsidR="00B97965" w:rsidRDefault="00B97965" w:rsidP="00B97965">
      <w:pPr>
        <w:rPr>
          <w:lang w:val="pt-PT"/>
        </w:rPr>
      </w:pPr>
    </w:p>
    <w:p w:rsidR="00221DD6" w:rsidRDefault="00221DD6" w:rsidP="00B97965">
      <w:pPr>
        <w:rPr>
          <w:lang w:val="pt-PT"/>
        </w:rPr>
      </w:pPr>
    </w:p>
    <w:p w:rsidR="00221DD6" w:rsidRDefault="00221DD6"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99</w:t>
      </w:r>
      <w:r w:rsidR="00E729BA">
        <w:fldChar w:fldCharType="end"/>
      </w:r>
      <w:r w:rsidRPr="00AE2D43">
        <w:t xml:space="preserve">: </w:t>
      </w:r>
      <w:r>
        <w:t xml:space="preserve">Pulmonary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551"/>
        <w:gridCol w:w="551"/>
        <w:gridCol w:w="551"/>
        <w:gridCol w:w="551"/>
        <w:gridCol w:w="552"/>
        <w:gridCol w:w="551"/>
        <w:gridCol w:w="551"/>
        <w:gridCol w:w="551"/>
        <w:gridCol w:w="552"/>
        <w:gridCol w:w="1559"/>
      </w:tblGrid>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Parameter name</w:t>
            </w:r>
          </w:p>
        </w:tc>
        <w:tc>
          <w:tcPr>
            <w:tcW w:w="70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Mean Estimate</w:t>
            </w:r>
          </w:p>
        </w:tc>
        <w:tc>
          <w:tcPr>
            <w:tcW w:w="4961" w:type="dxa"/>
            <w:gridSpan w:val="9"/>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Covariance Matrix</w:t>
            </w:r>
          </w:p>
        </w:tc>
        <w:tc>
          <w:tcPr>
            <w:tcW w:w="155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Distribution</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Anti-cardiolipin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-1.2317</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1.83</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-01</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Log transformed age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-1.7013</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0.00743</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0.1657</w:t>
            </w:r>
            <w:r>
              <w:rPr>
                <w:rFonts w:asciiTheme="majorBidi" w:hAnsiTheme="majorBidi" w:cstheme="majorBidi"/>
                <w:color w:val="000000"/>
                <w:sz w:val="14"/>
                <w:szCs w:val="14"/>
              </w:rPr>
              <w:t>6</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Renal involvement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-0.8595</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8.85</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-03</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2.38</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-02</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0.0774</w:t>
            </w:r>
            <w:r>
              <w:rPr>
                <w:rFonts w:asciiTheme="majorBidi" w:hAnsiTheme="majorBidi" w:cstheme="majorBidi"/>
                <w:color w:val="000000"/>
                <w:sz w:val="14"/>
                <w:szCs w:val="14"/>
              </w:rPr>
              <w:t>6</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Serositis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-2.2426</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1.33</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-02</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3.59</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-02</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0.00477</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1.65</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-01</w:t>
            </w:r>
          </w:p>
        </w:tc>
        <w:tc>
          <w:tcPr>
            <w:tcW w:w="552"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Increased DNA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-0.4820</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-2.7e</w:t>
            </w:r>
            <w:r w:rsidRPr="00986EFC">
              <w:rPr>
                <w:rFonts w:asciiTheme="majorBidi" w:hAnsiTheme="majorBidi" w:cstheme="majorBidi"/>
                <w:color w:val="000000"/>
                <w:sz w:val="14"/>
                <w:szCs w:val="14"/>
              </w:rPr>
              <w:t>-03</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1.80</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-02</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-0.0030</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Pr>
                <w:rFonts w:asciiTheme="majorBidi" w:hAnsiTheme="majorBidi" w:cstheme="majorBidi"/>
                <w:color w:val="000000"/>
                <w:sz w:val="14"/>
                <w:szCs w:val="14"/>
              </w:rPr>
              <w:t>-3.8e</w:t>
            </w:r>
            <w:r w:rsidRPr="00986EFC">
              <w:rPr>
                <w:rFonts w:asciiTheme="majorBidi" w:hAnsiTheme="majorBidi" w:cstheme="majorBidi"/>
                <w:color w:val="000000"/>
                <w:sz w:val="14"/>
                <w:szCs w:val="14"/>
              </w:rPr>
              <w:t>-04</w:t>
            </w: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0.05212</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SLICC/ACR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-0.1576</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0.00211</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-0.0031</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-0.000</w:t>
            </w:r>
            <w:r>
              <w:rPr>
                <w:rFonts w:asciiTheme="majorBidi" w:hAnsiTheme="majorBidi" w:cstheme="majorBidi"/>
                <w:color w:val="000000"/>
                <w:sz w:val="14"/>
                <w:szCs w:val="14"/>
              </w:rPr>
              <w:t>4</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0.00360</w:t>
            </w: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0.000</w:t>
            </w:r>
            <w:r>
              <w:rPr>
                <w:rFonts w:asciiTheme="majorBidi" w:hAnsiTheme="majorBidi" w:cstheme="majorBidi"/>
                <w:color w:val="000000"/>
                <w:sz w:val="14"/>
                <w:szCs w:val="14"/>
              </w:rPr>
              <w:t>8</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3.12</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-03</w:t>
            </w:r>
          </w:p>
        </w:tc>
        <w:tc>
          <w:tcPr>
            <w:tcW w:w="551" w:type="dxa"/>
            <w:vAlign w:val="bottom"/>
          </w:tcPr>
          <w:p w:rsidR="00B97965" w:rsidRPr="00986EFC" w:rsidRDefault="00B97965" w:rsidP="00B97965">
            <w:pPr>
              <w:rPr>
                <w:rFonts w:asciiTheme="majorBidi" w:hAnsiTheme="majorBidi" w:cstheme="majorBidi"/>
                <w:color w:val="000000"/>
                <w:sz w:val="14"/>
                <w:szCs w:val="14"/>
              </w:rPr>
            </w:pPr>
            <w:r w:rsidRPr="00986EFC">
              <w:rPr>
                <w:rFonts w:asciiTheme="majorBidi" w:hAnsiTheme="majorBidi" w:cstheme="majorBidi"/>
                <w:color w:val="000000"/>
                <w:sz w:val="14"/>
                <w:szCs w:val="14"/>
              </w:rPr>
              <w:t xml:space="preserve">            </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Intercept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11.5193</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-5.9</w:t>
            </w:r>
            <w:r>
              <w:rPr>
                <w:rFonts w:asciiTheme="majorBidi" w:hAnsiTheme="majorBidi" w:cstheme="majorBidi"/>
                <w:color w:val="000000"/>
                <w:sz w:val="14"/>
                <w:szCs w:val="14"/>
              </w:rPr>
              <w:t>e</w:t>
            </w:r>
            <w:r w:rsidRPr="00986EFC">
              <w:rPr>
                <w:rFonts w:asciiTheme="majorBidi" w:hAnsiTheme="majorBidi" w:cstheme="majorBidi"/>
                <w:color w:val="000000"/>
                <w:sz w:val="14"/>
                <w:szCs w:val="14"/>
              </w:rPr>
              <w:t>-02</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-0.657</w:t>
            </w:r>
            <w:r>
              <w:rPr>
                <w:rFonts w:asciiTheme="majorBidi" w:hAnsiTheme="majorBidi" w:cstheme="majorBidi"/>
                <w:color w:val="000000"/>
                <w:sz w:val="14"/>
                <w:szCs w:val="14"/>
              </w:rPr>
              <w:t>4</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-0.1084</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-1.</w:t>
            </w:r>
            <w:r>
              <w:rPr>
                <w:rFonts w:asciiTheme="majorBidi" w:hAnsiTheme="majorBidi" w:cstheme="majorBidi"/>
                <w:color w:val="000000"/>
                <w:sz w:val="14"/>
                <w:szCs w:val="14"/>
              </w:rPr>
              <w:t>8e</w:t>
            </w:r>
            <w:r w:rsidRPr="00986EFC">
              <w:rPr>
                <w:rFonts w:asciiTheme="majorBidi" w:hAnsiTheme="majorBidi" w:cstheme="majorBidi"/>
                <w:color w:val="000000"/>
                <w:sz w:val="14"/>
                <w:szCs w:val="14"/>
              </w:rPr>
              <w:t>-01</w:t>
            </w: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-0.0885</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0.00211</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2.67855</w:t>
            </w:r>
          </w:p>
        </w:tc>
        <w:tc>
          <w:tcPr>
            <w:tcW w:w="551" w:type="dxa"/>
            <w:vAlign w:val="bottom"/>
          </w:tcPr>
          <w:p w:rsidR="00B97965" w:rsidRPr="00986EFC" w:rsidRDefault="00B97965" w:rsidP="00B97965">
            <w:pPr>
              <w:rPr>
                <w:rFonts w:asciiTheme="majorBidi" w:hAnsiTheme="majorBidi" w:cstheme="majorBidi"/>
                <w:color w:val="000000"/>
                <w:sz w:val="14"/>
                <w:szCs w:val="14"/>
              </w:rPr>
            </w:pP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Gamma</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0.1385</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-0.006</w:t>
            </w:r>
            <w:r>
              <w:rPr>
                <w:rFonts w:asciiTheme="majorBidi" w:hAnsiTheme="majorBidi" w:cstheme="majorBidi"/>
                <w:color w:val="000000"/>
                <w:sz w:val="14"/>
                <w:szCs w:val="14"/>
              </w:rPr>
              <w:t>6</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-0.0110</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-0.002</w:t>
            </w:r>
            <w:r>
              <w:rPr>
                <w:rFonts w:asciiTheme="majorBidi" w:hAnsiTheme="majorBidi" w:cstheme="majorBidi"/>
                <w:color w:val="000000"/>
                <w:sz w:val="14"/>
                <w:szCs w:val="14"/>
              </w:rPr>
              <w:t>9</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-0.0095</w:t>
            </w: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-0.0018</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-0.0014</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0.05780</w:t>
            </w:r>
          </w:p>
        </w:tc>
        <w:tc>
          <w:tcPr>
            <w:tcW w:w="551" w:type="dxa"/>
            <w:vAlign w:val="bottom"/>
          </w:tcPr>
          <w:p w:rsidR="00B97965" w:rsidRPr="00986EFC" w:rsidRDefault="00B97965" w:rsidP="00B97965">
            <w:pPr>
              <w:jc w:val="right"/>
              <w:rPr>
                <w:rFonts w:asciiTheme="majorBidi" w:hAnsiTheme="majorBidi" w:cstheme="majorBidi"/>
                <w:color w:val="000000"/>
                <w:sz w:val="14"/>
                <w:szCs w:val="14"/>
              </w:rPr>
            </w:pPr>
            <w:r w:rsidRPr="00986EFC">
              <w:rPr>
                <w:rFonts w:asciiTheme="majorBidi" w:hAnsiTheme="majorBidi" w:cstheme="majorBidi"/>
                <w:color w:val="000000"/>
                <w:sz w:val="14"/>
                <w:szCs w:val="14"/>
              </w:rPr>
              <w:t>0.00541</w:t>
            </w:r>
          </w:p>
        </w:tc>
        <w:tc>
          <w:tcPr>
            <w:tcW w:w="552" w:type="dxa"/>
            <w:vAlign w:val="bottom"/>
          </w:tcPr>
          <w:p w:rsidR="00B97965" w:rsidRPr="00986EFC" w:rsidRDefault="00B97965" w:rsidP="00B97965">
            <w:pPr>
              <w:jc w:val="right"/>
              <w:rPr>
                <w:rFonts w:asciiTheme="majorBidi" w:hAnsiTheme="majorBidi" w:cstheme="majorBidi"/>
                <w:color w:val="000000"/>
                <w:sz w:val="14"/>
                <w:szCs w:val="14"/>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Treatment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0.0216</w:t>
            </w:r>
          </w:p>
        </w:tc>
        <w:tc>
          <w:tcPr>
            <w:tcW w:w="551"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2" w:type="dxa"/>
          </w:tcPr>
          <w:p w:rsidR="00B97965" w:rsidRDefault="00B97965" w:rsidP="00B97965">
            <w:r w:rsidRPr="00237D5A">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1" w:type="dxa"/>
          </w:tcPr>
          <w:p w:rsidR="00B97965" w:rsidRDefault="00B97965" w:rsidP="00B97965">
            <w:r w:rsidRPr="00237D5A">
              <w:rPr>
                <w:rFonts w:asciiTheme="majorBidi" w:hAnsiTheme="majorBidi" w:cstheme="majorBidi"/>
                <w:color w:val="000000"/>
                <w:sz w:val="18"/>
                <w:szCs w:val="18"/>
              </w:rPr>
              <w:t>0.000</w:t>
            </w:r>
          </w:p>
        </w:tc>
        <w:tc>
          <w:tcPr>
            <w:tcW w:w="552" w:type="dxa"/>
            <w:vAlign w:val="bottom"/>
          </w:tcPr>
          <w:p w:rsidR="00B97965" w:rsidRPr="00986EFC" w:rsidRDefault="00B97965" w:rsidP="00B97965">
            <w:pPr>
              <w:jc w:val="right"/>
              <w:rPr>
                <w:rFonts w:asciiTheme="majorBidi" w:hAnsiTheme="majorBidi" w:cstheme="majorBidi"/>
                <w:sz w:val="18"/>
                <w:szCs w:val="18"/>
              </w:rPr>
            </w:pPr>
            <w:r>
              <w:rPr>
                <w:rFonts w:asciiTheme="majorBidi" w:hAnsiTheme="majorBidi" w:cstheme="majorBidi"/>
                <w:sz w:val="18"/>
                <w:szCs w:val="18"/>
              </w:rPr>
              <w:t>0.0721</w:t>
            </w: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100</w:t>
      </w:r>
      <w:r w:rsidR="00E729BA">
        <w:fldChar w:fldCharType="end"/>
      </w:r>
      <w:r w:rsidRPr="00AE2D43">
        <w:t xml:space="preserve">: </w:t>
      </w:r>
      <w:r>
        <w:t xml:space="preserve">Peripheral vascular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826"/>
        <w:gridCol w:w="827"/>
        <w:gridCol w:w="827"/>
        <w:gridCol w:w="827"/>
        <w:gridCol w:w="827"/>
        <w:gridCol w:w="827"/>
        <w:gridCol w:w="1559"/>
      </w:tblGrid>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Parameter name</w:t>
            </w:r>
          </w:p>
        </w:tc>
        <w:tc>
          <w:tcPr>
            <w:tcW w:w="70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Mean Estimate</w:t>
            </w:r>
          </w:p>
        </w:tc>
        <w:tc>
          <w:tcPr>
            <w:tcW w:w="4961" w:type="dxa"/>
            <w:gridSpan w:val="6"/>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Covariance Matrix</w:t>
            </w:r>
          </w:p>
        </w:tc>
        <w:tc>
          <w:tcPr>
            <w:tcW w:w="155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Distribution</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Smoking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0.6838</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8.37E-02</w:t>
            </w: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827"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Cholesterol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0.0048</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-3.1E-05</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2.02E-06</w:t>
            </w: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827"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Hypertension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0.7982</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-7.49E-03</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-4.84E-05</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0.105866</w:t>
            </w:r>
          </w:p>
        </w:tc>
        <w:tc>
          <w:tcPr>
            <w:tcW w:w="827" w:type="dxa"/>
            <w:vAlign w:val="bottom"/>
          </w:tcPr>
          <w:p w:rsidR="00B97965" w:rsidRPr="00986EFC" w:rsidRDefault="00B97965" w:rsidP="00B97965">
            <w:pPr>
              <w:rPr>
                <w:rFonts w:asciiTheme="majorBidi" w:hAnsiTheme="majorBidi" w:cstheme="majorBidi"/>
                <w:color w:val="000000"/>
                <w:sz w:val="18"/>
                <w:szCs w:val="18"/>
              </w:rPr>
            </w:pPr>
          </w:p>
        </w:tc>
        <w:tc>
          <w:tcPr>
            <w:tcW w:w="827"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827"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Lupus anticoagulant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0.8223</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7.11E-03</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-2.45E-05</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-0.00878</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1.17E-01</w:t>
            </w:r>
          </w:p>
        </w:tc>
        <w:tc>
          <w:tcPr>
            <w:tcW w:w="827"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827"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Intercept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-7.3112</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-4.03E-02</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-3.65E-04</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-0.06221</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-1.79E-02</w:t>
            </w:r>
          </w:p>
        </w:tc>
        <w:tc>
          <w:tcPr>
            <w:tcW w:w="827"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0.171403</w:t>
            </w:r>
          </w:p>
        </w:tc>
        <w:tc>
          <w:tcPr>
            <w:tcW w:w="827"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Treatment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-0.0724</w:t>
            </w:r>
          </w:p>
        </w:tc>
        <w:tc>
          <w:tcPr>
            <w:tcW w:w="826"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1748BA">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1748BA">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1748BA">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1748BA">
              <w:rPr>
                <w:rFonts w:asciiTheme="majorBidi" w:hAnsiTheme="majorBidi" w:cstheme="majorBidi"/>
                <w:color w:val="000000"/>
                <w:sz w:val="18"/>
                <w:szCs w:val="18"/>
              </w:rPr>
              <w:t>0.0000</w:t>
            </w:r>
          </w:p>
        </w:tc>
        <w:tc>
          <w:tcPr>
            <w:tcW w:w="827" w:type="dxa"/>
            <w:vAlign w:val="bottom"/>
          </w:tcPr>
          <w:p w:rsidR="00B97965" w:rsidRPr="00986EFC" w:rsidRDefault="00B97965" w:rsidP="00B97965">
            <w:pPr>
              <w:jc w:val="right"/>
              <w:rPr>
                <w:rFonts w:asciiTheme="majorBidi" w:hAnsiTheme="majorBidi" w:cstheme="majorBidi"/>
                <w:sz w:val="18"/>
                <w:szCs w:val="18"/>
              </w:rPr>
            </w:pPr>
            <w:r>
              <w:rPr>
                <w:rFonts w:asciiTheme="majorBidi" w:hAnsiTheme="majorBidi" w:cstheme="majorBidi"/>
                <w:sz w:val="18"/>
                <w:szCs w:val="18"/>
              </w:rPr>
              <w:t>0.3384</w:t>
            </w: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101</w:t>
      </w:r>
      <w:r w:rsidR="00E729BA">
        <w:fldChar w:fldCharType="end"/>
      </w:r>
      <w:r w:rsidRPr="00AE2D43">
        <w:t xml:space="preserve">: </w:t>
      </w:r>
      <w:r>
        <w:t xml:space="preserve">Gastrointestinal </w:t>
      </w:r>
      <w:r w:rsidRPr="00AE2D43">
        <w:t>model parameter details</w:t>
      </w:r>
    </w:p>
    <w:tbl>
      <w:tblPr>
        <w:tblStyle w:val="TableGrid"/>
        <w:tblW w:w="9101" w:type="dxa"/>
        <w:tblLayout w:type="fixed"/>
        <w:tblCellMar>
          <w:left w:w="28" w:type="dxa"/>
          <w:right w:w="28" w:type="dxa"/>
        </w:tblCellMar>
        <w:tblLook w:val="04A0"/>
      </w:tblPr>
      <w:tblGrid>
        <w:gridCol w:w="1871"/>
        <w:gridCol w:w="709"/>
        <w:gridCol w:w="1240"/>
        <w:gridCol w:w="1240"/>
        <w:gridCol w:w="1240"/>
        <w:gridCol w:w="1241"/>
        <w:gridCol w:w="1560"/>
      </w:tblGrid>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Parameter name</w:t>
            </w:r>
          </w:p>
        </w:tc>
        <w:tc>
          <w:tcPr>
            <w:tcW w:w="70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Mean Estimate</w:t>
            </w:r>
          </w:p>
        </w:tc>
        <w:tc>
          <w:tcPr>
            <w:tcW w:w="4961" w:type="dxa"/>
            <w:gridSpan w:val="4"/>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Covariance Matrix</w:t>
            </w:r>
          </w:p>
        </w:tc>
        <w:tc>
          <w:tcPr>
            <w:tcW w:w="1560"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Distribution</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Average steroid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0.0008</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1.48E-07</w:t>
            </w:r>
          </w:p>
        </w:tc>
        <w:tc>
          <w:tcPr>
            <w:tcW w:w="1240" w:type="dxa"/>
            <w:vAlign w:val="bottom"/>
          </w:tcPr>
          <w:p w:rsidR="00B97965" w:rsidRPr="00986EFC" w:rsidRDefault="00B97965" w:rsidP="00B97965">
            <w:pPr>
              <w:rPr>
                <w:rFonts w:asciiTheme="majorBidi" w:hAnsiTheme="majorBidi" w:cstheme="majorBidi"/>
                <w:color w:val="000000"/>
                <w:sz w:val="18"/>
                <w:szCs w:val="18"/>
              </w:rPr>
            </w:pPr>
          </w:p>
        </w:tc>
        <w:tc>
          <w:tcPr>
            <w:tcW w:w="1240"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1241" w:type="dxa"/>
          </w:tcPr>
          <w:p w:rsidR="00B97965" w:rsidRPr="00986EFC" w:rsidRDefault="00B97965" w:rsidP="00B97965">
            <w:pPr>
              <w:rPr>
                <w:rFonts w:asciiTheme="majorBidi" w:hAnsiTheme="majorBidi" w:cstheme="majorBidi"/>
                <w:sz w:val="18"/>
                <w:szCs w:val="18"/>
              </w:rPr>
            </w:pPr>
          </w:p>
        </w:tc>
        <w:tc>
          <w:tcPr>
            <w:tcW w:w="1560"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Vasculitis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1.6642</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-2.3E-05</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2.67E-01</w:t>
            </w:r>
          </w:p>
        </w:tc>
        <w:tc>
          <w:tcPr>
            <w:tcW w:w="1240" w:type="dxa"/>
            <w:vAlign w:val="bottom"/>
          </w:tcPr>
          <w:p w:rsidR="00B97965" w:rsidRPr="00986EFC" w:rsidRDefault="00B97965" w:rsidP="00B97965">
            <w:pPr>
              <w:rPr>
                <w:rFonts w:asciiTheme="majorBidi" w:hAnsiTheme="majorBidi" w:cstheme="majorBidi"/>
                <w:color w:val="000000"/>
                <w:sz w:val="18"/>
                <w:szCs w:val="18"/>
              </w:rPr>
            </w:pPr>
            <w:r w:rsidRPr="00986EFC">
              <w:rPr>
                <w:rFonts w:asciiTheme="majorBidi" w:hAnsiTheme="majorBidi" w:cstheme="majorBidi"/>
                <w:color w:val="000000"/>
                <w:sz w:val="18"/>
                <w:szCs w:val="18"/>
              </w:rPr>
              <w:t xml:space="preserve">            </w:t>
            </w:r>
          </w:p>
        </w:tc>
        <w:tc>
          <w:tcPr>
            <w:tcW w:w="1241" w:type="dxa"/>
          </w:tcPr>
          <w:p w:rsidR="00B97965" w:rsidRPr="00986EFC" w:rsidRDefault="00B97965" w:rsidP="00B97965">
            <w:pPr>
              <w:rPr>
                <w:rFonts w:asciiTheme="majorBidi" w:hAnsiTheme="majorBidi" w:cstheme="majorBidi"/>
                <w:sz w:val="18"/>
                <w:szCs w:val="18"/>
              </w:rPr>
            </w:pPr>
          </w:p>
        </w:tc>
        <w:tc>
          <w:tcPr>
            <w:tcW w:w="1560"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Intercept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-5.0533</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-3.80E-05</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-7.60E-03</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0.023291</w:t>
            </w:r>
          </w:p>
        </w:tc>
        <w:tc>
          <w:tcPr>
            <w:tcW w:w="1241" w:type="dxa"/>
          </w:tcPr>
          <w:p w:rsidR="00B97965" w:rsidRPr="00986EFC" w:rsidRDefault="00B97965" w:rsidP="00B97965">
            <w:pPr>
              <w:rPr>
                <w:rFonts w:asciiTheme="majorBidi" w:hAnsiTheme="majorBidi" w:cstheme="majorBidi"/>
                <w:sz w:val="18"/>
                <w:szCs w:val="18"/>
              </w:rPr>
            </w:pPr>
          </w:p>
        </w:tc>
        <w:tc>
          <w:tcPr>
            <w:tcW w:w="1560"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Treatment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-0.048</w:t>
            </w:r>
          </w:p>
        </w:tc>
        <w:tc>
          <w:tcPr>
            <w:tcW w:w="1240"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1240" w:type="dxa"/>
            <w:vAlign w:val="bottom"/>
          </w:tcPr>
          <w:p w:rsidR="00B97965" w:rsidRDefault="00B97965" w:rsidP="00B97965">
            <w:pPr>
              <w:jc w:val="right"/>
            </w:pPr>
            <w:r w:rsidRPr="0076343B">
              <w:rPr>
                <w:rFonts w:asciiTheme="majorBidi" w:hAnsiTheme="majorBidi" w:cstheme="majorBidi"/>
                <w:color w:val="000000"/>
                <w:sz w:val="18"/>
                <w:szCs w:val="18"/>
              </w:rPr>
              <w:t>0.0000</w:t>
            </w:r>
          </w:p>
        </w:tc>
        <w:tc>
          <w:tcPr>
            <w:tcW w:w="1240" w:type="dxa"/>
            <w:vAlign w:val="bottom"/>
          </w:tcPr>
          <w:p w:rsidR="00B97965" w:rsidRDefault="00B97965" w:rsidP="00B97965">
            <w:pPr>
              <w:jc w:val="right"/>
            </w:pPr>
            <w:r w:rsidRPr="0076343B">
              <w:rPr>
                <w:rFonts w:asciiTheme="majorBidi" w:hAnsiTheme="majorBidi" w:cstheme="majorBidi"/>
                <w:color w:val="000000"/>
                <w:sz w:val="18"/>
                <w:szCs w:val="18"/>
              </w:rPr>
              <w:t>0.0000</w:t>
            </w:r>
          </w:p>
        </w:tc>
        <w:tc>
          <w:tcPr>
            <w:tcW w:w="1241" w:type="dxa"/>
            <w:vAlign w:val="bottom"/>
          </w:tcPr>
          <w:p w:rsidR="00B97965" w:rsidRPr="00986EFC" w:rsidRDefault="00B97965" w:rsidP="00B97965">
            <w:pPr>
              <w:jc w:val="right"/>
              <w:rPr>
                <w:rFonts w:asciiTheme="majorBidi" w:hAnsiTheme="majorBidi" w:cstheme="majorBidi"/>
                <w:sz w:val="18"/>
                <w:szCs w:val="18"/>
              </w:rPr>
            </w:pPr>
            <w:r>
              <w:rPr>
                <w:rFonts w:asciiTheme="majorBidi" w:hAnsiTheme="majorBidi" w:cstheme="majorBidi"/>
                <w:sz w:val="18"/>
                <w:szCs w:val="18"/>
              </w:rPr>
              <w:t>0.1474</w:t>
            </w:r>
          </w:p>
        </w:tc>
        <w:tc>
          <w:tcPr>
            <w:tcW w:w="1560"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102</w:t>
      </w:r>
      <w:r w:rsidR="00E729BA">
        <w:fldChar w:fldCharType="end"/>
      </w:r>
      <w:r w:rsidRPr="00AE2D43">
        <w:t xml:space="preserve">: </w:t>
      </w:r>
      <w:r>
        <w:t xml:space="preserve">Ocular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708"/>
        <w:gridCol w:w="709"/>
        <w:gridCol w:w="709"/>
        <w:gridCol w:w="708"/>
        <w:gridCol w:w="709"/>
        <w:gridCol w:w="709"/>
        <w:gridCol w:w="709"/>
        <w:gridCol w:w="1559"/>
      </w:tblGrid>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Parameter name</w:t>
            </w:r>
          </w:p>
        </w:tc>
        <w:tc>
          <w:tcPr>
            <w:tcW w:w="70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Mean Estimate</w:t>
            </w:r>
          </w:p>
        </w:tc>
        <w:tc>
          <w:tcPr>
            <w:tcW w:w="4961" w:type="dxa"/>
            <w:gridSpan w:val="7"/>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Covariance Matrix</w:t>
            </w:r>
          </w:p>
        </w:tc>
        <w:tc>
          <w:tcPr>
            <w:tcW w:w="1559"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Distribution</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Hypertension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0.3916</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3.08E-02</w:t>
            </w: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8"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r w:rsidRPr="00986EFC">
              <w:rPr>
                <w:rFonts w:asciiTheme="majorBidi" w:hAnsiTheme="majorBidi" w:cstheme="majorBidi"/>
                <w:color w:val="000000"/>
                <w:sz w:val="16"/>
                <w:szCs w:val="16"/>
              </w:rPr>
              <w:t xml:space="preserve">            </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Log transformed age</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2.2778</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-0.01535</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8.71E-02</w:t>
            </w: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8"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r w:rsidRPr="00986EFC">
              <w:rPr>
                <w:rFonts w:asciiTheme="majorBidi" w:hAnsiTheme="majorBidi" w:cstheme="majorBidi"/>
                <w:color w:val="000000"/>
                <w:sz w:val="16"/>
                <w:szCs w:val="16"/>
              </w:rPr>
              <w:t xml:space="preserve">            </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Average steroid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0.0013</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-6.47E-06</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1.57E-05</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5.54E-08</w:t>
            </w:r>
          </w:p>
        </w:tc>
        <w:tc>
          <w:tcPr>
            <w:tcW w:w="708"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r w:rsidRPr="00986EFC">
              <w:rPr>
                <w:rFonts w:asciiTheme="majorBidi" w:hAnsiTheme="majorBidi" w:cstheme="majorBidi"/>
                <w:color w:val="000000"/>
                <w:sz w:val="16"/>
                <w:szCs w:val="16"/>
              </w:rPr>
              <w:t xml:space="preserve">            </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CNS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0.7796</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1.79E-04</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1.35E-03</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-9.83E-06</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1.52E-01</w:t>
            </w:r>
          </w:p>
        </w:tc>
        <w:tc>
          <w:tcPr>
            <w:tcW w:w="709" w:type="dxa"/>
            <w:vAlign w:val="bottom"/>
          </w:tcPr>
          <w:p w:rsidR="00B97965" w:rsidRPr="00986EFC" w:rsidRDefault="00B97965" w:rsidP="00B97965">
            <w:pPr>
              <w:rPr>
                <w:rFonts w:asciiTheme="majorBidi" w:hAnsiTheme="majorBidi" w:cstheme="majorBidi"/>
                <w:color w:val="000000"/>
                <w:sz w:val="16"/>
                <w:szCs w:val="16"/>
              </w:rPr>
            </w:pPr>
          </w:p>
        </w:tc>
        <w:tc>
          <w:tcPr>
            <w:tcW w:w="709" w:type="dxa"/>
            <w:vAlign w:val="bottom"/>
          </w:tcPr>
          <w:p w:rsidR="00B97965" w:rsidRPr="00986EFC" w:rsidRDefault="00B97965" w:rsidP="00B97965">
            <w:pPr>
              <w:rPr>
                <w:rFonts w:asciiTheme="majorBidi" w:hAnsiTheme="majorBidi" w:cstheme="majorBidi"/>
                <w:color w:val="000000"/>
                <w:sz w:val="16"/>
                <w:szCs w:val="16"/>
              </w:rPr>
            </w:pPr>
            <w:r w:rsidRPr="00986EFC">
              <w:rPr>
                <w:rFonts w:asciiTheme="majorBidi" w:hAnsiTheme="majorBidi" w:cstheme="majorBidi"/>
                <w:color w:val="000000"/>
                <w:sz w:val="16"/>
                <w:szCs w:val="16"/>
              </w:rPr>
              <w:t xml:space="preserve">            </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Intercept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-12.8137</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4.16E-02</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-3.30E-01</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-8.3E-05</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-9.91E-03</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1.293529</w:t>
            </w:r>
          </w:p>
        </w:tc>
        <w:tc>
          <w:tcPr>
            <w:tcW w:w="709" w:type="dxa"/>
            <w:vAlign w:val="bottom"/>
          </w:tcPr>
          <w:p w:rsidR="00B97965" w:rsidRPr="00986EFC" w:rsidRDefault="00B97965" w:rsidP="00B97965">
            <w:pPr>
              <w:rPr>
                <w:rFonts w:asciiTheme="majorBidi" w:hAnsiTheme="majorBidi" w:cstheme="majorBidi"/>
                <w:color w:val="000000"/>
                <w:sz w:val="16"/>
                <w:szCs w:val="16"/>
              </w:rPr>
            </w:pPr>
            <w:r w:rsidRPr="00986EFC">
              <w:rPr>
                <w:rFonts w:asciiTheme="majorBidi" w:hAnsiTheme="majorBidi" w:cstheme="majorBidi"/>
                <w:color w:val="000000"/>
                <w:sz w:val="16"/>
                <w:szCs w:val="16"/>
              </w:rPr>
              <w:t xml:space="preserve">            </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\Gamma</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sidRPr="00986EFC">
              <w:rPr>
                <w:rFonts w:asciiTheme="majorBidi" w:hAnsiTheme="majorBidi" w:cstheme="majorBidi"/>
                <w:color w:val="000000"/>
                <w:sz w:val="18"/>
                <w:szCs w:val="18"/>
              </w:rPr>
              <w:t>-0.2197</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-0.00116</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-0.0009</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6.12E-06</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0.000771</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-0.00619</w:t>
            </w:r>
          </w:p>
        </w:tc>
        <w:tc>
          <w:tcPr>
            <w:tcW w:w="709" w:type="dxa"/>
            <w:vAlign w:val="bottom"/>
          </w:tcPr>
          <w:p w:rsidR="00B97965" w:rsidRPr="00986EFC" w:rsidRDefault="00B97965" w:rsidP="00B97965">
            <w:pPr>
              <w:jc w:val="right"/>
              <w:rPr>
                <w:rFonts w:asciiTheme="majorBidi" w:hAnsiTheme="majorBidi" w:cstheme="majorBidi"/>
                <w:color w:val="000000"/>
                <w:sz w:val="16"/>
                <w:szCs w:val="16"/>
              </w:rPr>
            </w:pPr>
            <w:r w:rsidRPr="00986EFC">
              <w:rPr>
                <w:rFonts w:asciiTheme="majorBidi" w:hAnsiTheme="majorBidi" w:cstheme="majorBidi"/>
                <w:color w:val="000000"/>
                <w:sz w:val="16"/>
                <w:szCs w:val="16"/>
              </w:rPr>
              <w:t>0.004978</w:t>
            </w:r>
          </w:p>
        </w:tc>
        <w:tc>
          <w:tcPr>
            <w:tcW w:w="709" w:type="dxa"/>
          </w:tcPr>
          <w:p w:rsidR="00B97965" w:rsidRPr="00986EFC" w:rsidRDefault="00B97965" w:rsidP="00B97965">
            <w:pPr>
              <w:rPr>
                <w:rFonts w:asciiTheme="majorBidi" w:hAnsiTheme="majorBidi" w:cstheme="majorBidi"/>
                <w:sz w:val="18"/>
                <w:szCs w:val="18"/>
              </w:rPr>
            </w:pPr>
          </w:p>
        </w:tc>
        <w:tc>
          <w:tcPr>
            <w:tcW w:w="1559" w:type="dxa"/>
          </w:tcPr>
          <w:p w:rsidR="00B97965" w:rsidRPr="00986EFC" w:rsidRDefault="00B97965" w:rsidP="00B97965">
            <w:pPr>
              <w:rPr>
                <w:rFonts w:asciiTheme="majorBidi" w:hAnsiTheme="majorBidi" w:cstheme="majorBidi"/>
                <w:sz w:val="18"/>
                <w:szCs w:val="18"/>
              </w:rPr>
            </w:pPr>
            <w:r w:rsidRPr="00986EFC">
              <w:rPr>
                <w:rFonts w:asciiTheme="majorBidi" w:hAnsiTheme="majorBidi" w:cstheme="majorBidi"/>
                <w:sz w:val="18"/>
                <w:szCs w:val="18"/>
              </w:rPr>
              <w:t>Multivariate Normal</w:t>
            </w:r>
          </w:p>
        </w:tc>
      </w:tr>
      <w:tr w:rsidR="00B97965" w:rsidRPr="00986EFC" w:rsidTr="00B97965">
        <w:tc>
          <w:tcPr>
            <w:tcW w:w="1871" w:type="dxa"/>
          </w:tcPr>
          <w:p w:rsidR="00B97965" w:rsidRPr="00986EFC" w:rsidRDefault="00B97965" w:rsidP="00B97965">
            <w:pPr>
              <w:spacing w:line="276" w:lineRule="auto"/>
              <w:rPr>
                <w:rFonts w:asciiTheme="majorBidi" w:hAnsiTheme="majorBidi" w:cstheme="majorBidi"/>
                <w:sz w:val="18"/>
                <w:szCs w:val="18"/>
              </w:rPr>
            </w:pPr>
            <w:r w:rsidRPr="00986EFC">
              <w:rPr>
                <w:rFonts w:asciiTheme="majorBidi" w:hAnsiTheme="majorBidi" w:cstheme="majorBidi"/>
                <w:sz w:val="18"/>
                <w:szCs w:val="18"/>
              </w:rPr>
              <w:t>Treatment coefficient</w:t>
            </w:r>
          </w:p>
        </w:tc>
        <w:tc>
          <w:tcPr>
            <w:tcW w:w="709" w:type="dxa"/>
            <w:vAlign w:val="bottom"/>
          </w:tcPr>
          <w:p w:rsidR="00B97965" w:rsidRPr="00986EFC"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-0.0524</w:t>
            </w:r>
          </w:p>
        </w:tc>
        <w:tc>
          <w:tcPr>
            <w:tcW w:w="708" w:type="dxa"/>
            <w:vAlign w:val="bottom"/>
          </w:tcPr>
          <w:p w:rsidR="00B97965" w:rsidRPr="00986EFC" w:rsidRDefault="00B97965" w:rsidP="00B97965">
            <w:pPr>
              <w:jc w:val="right"/>
              <w:rPr>
                <w:rFonts w:asciiTheme="majorBidi" w:hAnsiTheme="majorBidi" w:cstheme="majorBidi"/>
                <w:color w:val="000000"/>
                <w:sz w:val="16"/>
                <w:szCs w:val="16"/>
              </w:rPr>
            </w:pPr>
            <w:r>
              <w:rPr>
                <w:rFonts w:asciiTheme="majorBidi" w:hAnsiTheme="majorBidi" w:cstheme="majorBidi"/>
                <w:color w:val="000000"/>
                <w:sz w:val="16"/>
                <w:szCs w:val="16"/>
              </w:rPr>
              <w:t>0.0000</w:t>
            </w:r>
          </w:p>
        </w:tc>
        <w:tc>
          <w:tcPr>
            <w:tcW w:w="709" w:type="dxa"/>
            <w:vAlign w:val="bottom"/>
          </w:tcPr>
          <w:p w:rsidR="00B97965" w:rsidRDefault="00B97965" w:rsidP="00B97965">
            <w:pPr>
              <w:jc w:val="right"/>
            </w:pPr>
            <w:r w:rsidRPr="00080D57">
              <w:rPr>
                <w:rFonts w:asciiTheme="majorBidi" w:hAnsiTheme="majorBidi" w:cstheme="majorBidi"/>
                <w:color w:val="000000"/>
                <w:sz w:val="16"/>
                <w:szCs w:val="16"/>
              </w:rPr>
              <w:t>0.0000</w:t>
            </w:r>
          </w:p>
        </w:tc>
        <w:tc>
          <w:tcPr>
            <w:tcW w:w="709" w:type="dxa"/>
            <w:vAlign w:val="bottom"/>
          </w:tcPr>
          <w:p w:rsidR="00B97965" w:rsidRDefault="00B97965" w:rsidP="00B97965">
            <w:pPr>
              <w:jc w:val="right"/>
            </w:pPr>
            <w:r w:rsidRPr="00080D57">
              <w:rPr>
                <w:rFonts w:asciiTheme="majorBidi" w:hAnsiTheme="majorBidi" w:cstheme="majorBidi"/>
                <w:color w:val="000000"/>
                <w:sz w:val="16"/>
                <w:szCs w:val="16"/>
              </w:rPr>
              <w:t>0.0000</w:t>
            </w:r>
          </w:p>
        </w:tc>
        <w:tc>
          <w:tcPr>
            <w:tcW w:w="708" w:type="dxa"/>
            <w:vAlign w:val="bottom"/>
          </w:tcPr>
          <w:p w:rsidR="00B97965" w:rsidRDefault="00B97965" w:rsidP="00B97965">
            <w:pPr>
              <w:jc w:val="right"/>
            </w:pPr>
            <w:r w:rsidRPr="00080D57">
              <w:rPr>
                <w:rFonts w:asciiTheme="majorBidi" w:hAnsiTheme="majorBidi" w:cstheme="majorBidi"/>
                <w:color w:val="000000"/>
                <w:sz w:val="16"/>
                <w:szCs w:val="16"/>
              </w:rPr>
              <w:t>0.0000</w:t>
            </w:r>
          </w:p>
        </w:tc>
        <w:tc>
          <w:tcPr>
            <w:tcW w:w="709" w:type="dxa"/>
            <w:vAlign w:val="bottom"/>
          </w:tcPr>
          <w:p w:rsidR="00B97965" w:rsidRDefault="00B97965" w:rsidP="00B97965">
            <w:pPr>
              <w:jc w:val="right"/>
            </w:pPr>
            <w:r w:rsidRPr="00080D57">
              <w:rPr>
                <w:rFonts w:asciiTheme="majorBidi" w:hAnsiTheme="majorBidi" w:cstheme="majorBidi"/>
                <w:color w:val="000000"/>
                <w:sz w:val="16"/>
                <w:szCs w:val="16"/>
              </w:rPr>
              <w:t>0.0000</w:t>
            </w:r>
          </w:p>
        </w:tc>
        <w:tc>
          <w:tcPr>
            <w:tcW w:w="709" w:type="dxa"/>
            <w:vAlign w:val="bottom"/>
          </w:tcPr>
          <w:p w:rsidR="00B97965" w:rsidRDefault="00B97965" w:rsidP="00B97965">
            <w:pPr>
              <w:jc w:val="right"/>
            </w:pPr>
            <w:r w:rsidRPr="00080D57">
              <w:rPr>
                <w:rFonts w:asciiTheme="majorBidi" w:hAnsiTheme="majorBidi" w:cstheme="majorBidi"/>
                <w:color w:val="000000"/>
                <w:sz w:val="16"/>
                <w:szCs w:val="16"/>
              </w:rPr>
              <w:t>0.0000</w:t>
            </w:r>
          </w:p>
        </w:tc>
        <w:tc>
          <w:tcPr>
            <w:tcW w:w="709" w:type="dxa"/>
            <w:vAlign w:val="bottom"/>
          </w:tcPr>
          <w:p w:rsidR="00B97965" w:rsidRPr="00986EFC" w:rsidRDefault="00B97965" w:rsidP="00B97965">
            <w:pPr>
              <w:jc w:val="right"/>
              <w:rPr>
                <w:rFonts w:asciiTheme="majorBidi" w:hAnsiTheme="majorBidi" w:cstheme="majorBidi"/>
                <w:sz w:val="18"/>
                <w:szCs w:val="18"/>
              </w:rPr>
            </w:pPr>
            <w:r>
              <w:rPr>
                <w:rFonts w:asciiTheme="majorBidi" w:hAnsiTheme="majorBidi" w:cstheme="majorBidi"/>
                <w:sz w:val="18"/>
                <w:szCs w:val="18"/>
              </w:rPr>
              <w:t>0.1613</w:t>
            </w:r>
          </w:p>
        </w:tc>
        <w:tc>
          <w:tcPr>
            <w:tcW w:w="1559" w:type="dxa"/>
          </w:tcPr>
          <w:p w:rsidR="00B97965" w:rsidRPr="00986EFC" w:rsidRDefault="00B97965" w:rsidP="00B97965">
            <w:pPr>
              <w:rPr>
                <w:rFonts w:asciiTheme="majorBidi" w:hAnsiTheme="majorBidi" w:cstheme="majorBidi"/>
                <w:sz w:val="18"/>
                <w:szCs w:val="18"/>
              </w:rPr>
            </w:pP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103</w:t>
      </w:r>
      <w:r w:rsidR="00E729BA">
        <w:fldChar w:fldCharType="end"/>
      </w:r>
      <w:r w:rsidRPr="00AE2D43">
        <w:t xml:space="preserve">: </w:t>
      </w:r>
      <w:r>
        <w:t xml:space="preserve">Skin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708"/>
        <w:gridCol w:w="709"/>
        <w:gridCol w:w="709"/>
        <w:gridCol w:w="708"/>
        <w:gridCol w:w="709"/>
        <w:gridCol w:w="709"/>
        <w:gridCol w:w="709"/>
        <w:gridCol w:w="1559"/>
      </w:tblGrid>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Parameter name</w:t>
            </w:r>
          </w:p>
        </w:tc>
        <w:tc>
          <w:tcPr>
            <w:tcW w:w="70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Mean Estimate</w:t>
            </w:r>
          </w:p>
        </w:tc>
        <w:tc>
          <w:tcPr>
            <w:tcW w:w="4961" w:type="dxa"/>
            <w:gridSpan w:val="7"/>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Covariance Matrix</w:t>
            </w:r>
          </w:p>
        </w:tc>
        <w:tc>
          <w:tcPr>
            <w:tcW w:w="155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Distribution</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African American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-2.4375</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0.589015</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Smoking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-1.8429</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0.115711</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0.446497</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Plaquenil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1.4960</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-0.07469</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-0.06114</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0.356567</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Skin involvement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-2.4463</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0.159855</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0.132284</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-0.13111</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0.472578</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Intercept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10.2613</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-0.84749</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-0.63616</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0.122218</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-0.62516</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2.27986</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Gamma</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0.4647</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-0.06173</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-0.04659</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0.02514</w:t>
            </w:r>
          </w:p>
        </w:tc>
        <w:tc>
          <w:tcPr>
            <w:tcW w:w="708"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-0.05834</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0.199223</w:t>
            </w:r>
          </w:p>
        </w:tc>
        <w:tc>
          <w:tcPr>
            <w:tcW w:w="709" w:type="dxa"/>
            <w:vAlign w:val="bottom"/>
          </w:tcPr>
          <w:p w:rsidR="00B97965" w:rsidRPr="001245E5" w:rsidRDefault="00B97965" w:rsidP="00B97965">
            <w:pPr>
              <w:jc w:val="right"/>
              <w:rPr>
                <w:rFonts w:asciiTheme="majorBidi" w:hAnsiTheme="majorBidi" w:cstheme="majorBidi"/>
                <w:color w:val="000000"/>
                <w:sz w:val="16"/>
                <w:szCs w:val="16"/>
              </w:rPr>
            </w:pPr>
            <w:r w:rsidRPr="001245E5">
              <w:rPr>
                <w:rFonts w:asciiTheme="majorBidi" w:hAnsiTheme="majorBidi" w:cstheme="majorBidi"/>
                <w:color w:val="000000"/>
                <w:sz w:val="16"/>
                <w:szCs w:val="16"/>
              </w:rPr>
              <w:t>0.023273</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Treatment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0.0105</w:t>
            </w:r>
          </w:p>
        </w:tc>
        <w:tc>
          <w:tcPr>
            <w:tcW w:w="708"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709" w:type="dxa"/>
            <w:vAlign w:val="bottom"/>
          </w:tcPr>
          <w:p w:rsidR="00B97965" w:rsidRDefault="00B97965" w:rsidP="00B97965">
            <w:pPr>
              <w:jc w:val="right"/>
            </w:pPr>
            <w:r w:rsidRPr="0080079A">
              <w:rPr>
                <w:rFonts w:asciiTheme="majorBidi" w:hAnsiTheme="majorBidi" w:cstheme="majorBidi"/>
                <w:color w:val="000000"/>
                <w:sz w:val="18"/>
                <w:szCs w:val="18"/>
              </w:rPr>
              <w:t>0.0000</w:t>
            </w:r>
          </w:p>
        </w:tc>
        <w:tc>
          <w:tcPr>
            <w:tcW w:w="709" w:type="dxa"/>
            <w:vAlign w:val="bottom"/>
          </w:tcPr>
          <w:p w:rsidR="00B97965" w:rsidRDefault="00B97965" w:rsidP="00B97965">
            <w:pPr>
              <w:jc w:val="right"/>
            </w:pPr>
            <w:r w:rsidRPr="0080079A">
              <w:rPr>
                <w:rFonts w:asciiTheme="majorBidi" w:hAnsiTheme="majorBidi" w:cstheme="majorBidi"/>
                <w:color w:val="000000"/>
                <w:sz w:val="18"/>
                <w:szCs w:val="18"/>
              </w:rPr>
              <w:t>0.0000</w:t>
            </w:r>
          </w:p>
        </w:tc>
        <w:tc>
          <w:tcPr>
            <w:tcW w:w="708" w:type="dxa"/>
            <w:vAlign w:val="bottom"/>
          </w:tcPr>
          <w:p w:rsidR="00B97965" w:rsidRDefault="00B97965" w:rsidP="00B97965">
            <w:pPr>
              <w:jc w:val="right"/>
            </w:pPr>
            <w:r w:rsidRPr="0080079A">
              <w:rPr>
                <w:rFonts w:asciiTheme="majorBidi" w:hAnsiTheme="majorBidi" w:cstheme="majorBidi"/>
                <w:color w:val="000000"/>
                <w:sz w:val="18"/>
                <w:szCs w:val="18"/>
              </w:rPr>
              <w:t>0.0000</w:t>
            </w:r>
          </w:p>
        </w:tc>
        <w:tc>
          <w:tcPr>
            <w:tcW w:w="709" w:type="dxa"/>
            <w:vAlign w:val="bottom"/>
          </w:tcPr>
          <w:p w:rsidR="00B97965" w:rsidRDefault="00B97965" w:rsidP="00B97965">
            <w:pPr>
              <w:jc w:val="right"/>
            </w:pPr>
            <w:r w:rsidRPr="0080079A">
              <w:rPr>
                <w:rFonts w:asciiTheme="majorBidi" w:hAnsiTheme="majorBidi" w:cstheme="majorBidi"/>
                <w:color w:val="000000"/>
                <w:sz w:val="18"/>
                <w:szCs w:val="18"/>
              </w:rPr>
              <w:t>0.0000</w:t>
            </w:r>
          </w:p>
        </w:tc>
        <w:tc>
          <w:tcPr>
            <w:tcW w:w="709" w:type="dxa"/>
            <w:vAlign w:val="bottom"/>
          </w:tcPr>
          <w:p w:rsidR="00B97965" w:rsidRDefault="00B97965" w:rsidP="00B97965">
            <w:pPr>
              <w:jc w:val="right"/>
            </w:pPr>
            <w:r w:rsidRPr="0080079A">
              <w:rPr>
                <w:rFonts w:asciiTheme="majorBidi" w:hAnsiTheme="majorBidi" w:cstheme="majorBidi"/>
                <w:color w:val="000000"/>
                <w:sz w:val="18"/>
                <w:szCs w:val="18"/>
              </w:rPr>
              <w:t>0.0000</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0.0481</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bl>
    <w:p w:rsidR="00B97965" w:rsidRPr="00D511E0"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104</w:t>
      </w:r>
      <w:r w:rsidR="00E729BA">
        <w:fldChar w:fldCharType="end"/>
      </w:r>
      <w:r w:rsidRPr="00AE2D43">
        <w:t xml:space="preserve">: </w:t>
      </w:r>
      <w:r>
        <w:t xml:space="preserve">Diabetes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826"/>
        <w:gridCol w:w="827"/>
        <w:gridCol w:w="827"/>
        <w:gridCol w:w="827"/>
        <w:gridCol w:w="827"/>
        <w:gridCol w:w="827"/>
        <w:gridCol w:w="1559"/>
      </w:tblGrid>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Parameter name</w:t>
            </w:r>
          </w:p>
        </w:tc>
        <w:tc>
          <w:tcPr>
            <w:tcW w:w="70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Mean Estimate</w:t>
            </w:r>
          </w:p>
        </w:tc>
        <w:tc>
          <w:tcPr>
            <w:tcW w:w="4961" w:type="dxa"/>
            <w:gridSpan w:val="6"/>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Covariance Matrix</w:t>
            </w:r>
          </w:p>
        </w:tc>
        <w:tc>
          <w:tcPr>
            <w:tcW w:w="155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Distribution</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African American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0.7277</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0.080798</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Log transformed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2.2843</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0.004441</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0.256724</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Average steroid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0.0012</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-1.2E-05</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5.51E-05</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2.01E-07</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Renal involvement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0.8789</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-0.00882</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0.012947</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-3.5E-05</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0.110694</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Intercept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-14.6725</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-0.0631</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-1.01357</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-0.00026</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-0.06031</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4.062102</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Treatment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-0.0518</w:t>
            </w:r>
          </w:p>
        </w:tc>
        <w:tc>
          <w:tcPr>
            <w:tcW w:w="826"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9E139C">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9E139C">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9E139C">
              <w:rPr>
                <w:rFonts w:asciiTheme="majorBidi" w:hAnsiTheme="majorBidi" w:cstheme="majorBidi"/>
                <w:color w:val="000000"/>
                <w:sz w:val="18"/>
                <w:szCs w:val="18"/>
              </w:rPr>
              <w:t>0.0000</w:t>
            </w:r>
          </w:p>
        </w:tc>
        <w:tc>
          <w:tcPr>
            <w:tcW w:w="827" w:type="dxa"/>
            <w:vAlign w:val="bottom"/>
          </w:tcPr>
          <w:p w:rsidR="00B97965" w:rsidRDefault="00B97965" w:rsidP="00B97965">
            <w:pPr>
              <w:jc w:val="right"/>
            </w:pPr>
            <w:r w:rsidRPr="009E139C">
              <w:rPr>
                <w:rFonts w:asciiTheme="majorBidi" w:hAnsiTheme="majorBidi" w:cstheme="majorBidi"/>
                <w:color w:val="000000"/>
                <w:sz w:val="18"/>
                <w:szCs w:val="18"/>
              </w:rPr>
              <w:t>0.0000</w:t>
            </w:r>
          </w:p>
        </w:tc>
        <w:tc>
          <w:tcPr>
            <w:tcW w:w="827" w:type="dxa"/>
            <w:vAlign w:val="bottom"/>
          </w:tcPr>
          <w:p w:rsidR="00B97965" w:rsidRPr="001245E5" w:rsidRDefault="00B97965" w:rsidP="00B97965">
            <w:pPr>
              <w:jc w:val="right"/>
              <w:rPr>
                <w:rFonts w:asciiTheme="majorBidi" w:hAnsiTheme="majorBidi" w:cstheme="majorBidi"/>
                <w:color w:val="000000"/>
                <w:sz w:val="18"/>
                <w:szCs w:val="18"/>
              </w:rPr>
            </w:pPr>
            <w:r>
              <w:rPr>
                <w:rFonts w:asciiTheme="majorBidi" w:hAnsiTheme="majorBidi" w:cstheme="majorBidi"/>
                <w:color w:val="000000"/>
                <w:sz w:val="18"/>
                <w:szCs w:val="18"/>
              </w:rPr>
              <w:t>0.1605</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105</w:t>
      </w:r>
      <w:r w:rsidR="00E729BA">
        <w:fldChar w:fldCharType="end"/>
      </w:r>
      <w:r w:rsidRPr="00AE2D43">
        <w:t xml:space="preserve">: </w:t>
      </w:r>
      <w:r>
        <w:t xml:space="preserve">Malignancy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992"/>
        <w:gridCol w:w="992"/>
        <w:gridCol w:w="992"/>
        <w:gridCol w:w="992"/>
        <w:gridCol w:w="993"/>
        <w:gridCol w:w="1559"/>
      </w:tblGrid>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Parameter name</w:t>
            </w:r>
          </w:p>
        </w:tc>
        <w:tc>
          <w:tcPr>
            <w:tcW w:w="70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Mean Estimate</w:t>
            </w:r>
          </w:p>
        </w:tc>
        <w:tc>
          <w:tcPr>
            <w:tcW w:w="4961" w:type="dxa"/>
            <w:gridSpan w:val="5"/>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Covariance Matrix</w:t>
            </w:r>
          </w:p>
        </w:tc>
        <w:tc>
          <w:tcPr>
            <w:tcW w:w="155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Distribution</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Age at diagnosis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0.0256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5.66E-05</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Cholesterol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-0.0094</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-1.81E-06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5.94E-06</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lang w:val="fr-CA"/>
              </w:rPr>
            </w:pPr>
            <w:r w:rsidRPr="001245E5">
              <w:rPr>
                <w:rFonts w:asciiTheme="majorBidi" w:hAnsiTheme="majorBidi" w:cstheme="majorBidi"/>
                <w:sz w:val="18"/>
                <w:szCs w:val="18"/>
                <w:lang w:val="fr-CA"/>
              </w:rPr>
              <w:t>Log transformed disease duration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0.2991</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4.11E-04</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-1.13E-05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1.92E-02</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SLICC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0.1835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-1.00E-04</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-3.29E-06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-0.00207</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1.60E-03</w:t>
            </w: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Intercept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-4.8090</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-0.00239</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-0.00093</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-5.09E-02</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0.004454</w:t>
            </w:r>
          </w:p>
        </w:tc>
        <w:tc>
          <w:tcPr>
            <w:tcW w:w="993"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0.36187</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bl>
    <w:p w:rsidR="00B97965" w:rsidRDefault="00B97965" w:rsidP="00B97965">
      <w:pPr>
        <w:rPr>
          <w:lang w:val="pt-PT"/>
        </w:rPr>
      </w:pPr>
    </w:p>
    <w:p w:rsidR="00B97965" w:rsidRPr="00AE2D43" w:rsidRDefault="00B97965" w:rsidP="00234693">
      <w:pPr>
        <w:pStyle w:val="Caption"/>
      </w:pPr>
      <w:r w:rsidRPr="00AE2D43">
        <w:t xml:space="preserve">Table </w:t>
      </w:r>
      <w:r w:rsidR="00E729BA">
        <w:fldChar w:fldCharType="begin"/>
      </w:r>
      <w:r w:rsidRPr="00AE2D43">
        <w:instrText xml:space="preserve"> SEQ Table \* ARABIC </w:instrText>
      </w:r>
      <w:r w:rsidR="00E729BA">
        <w:fldChar w:fldCharType="separate"/>
      </w:r>
      <w:r w:rsidR="004911B7">
        <w:rPr>
          <w:noProof/>
        </w:rPr>
        <w:t>106</w:t>
      </w:r>
      <w:r w:rsidR="00E729BA">
        <w:fldChar w:fldCharType="end"/>
      </w:r>
      <w:r w:rsidRPr="00AE2D43">
        <w:t xml:space="preserve">: </w:t>
      </w:r>
      <w:r>
        <w:t xml:space="preserve">Gonadal failure </w:t>
      </w:r>
      <w:r w:rsidRPr="00AE2D43">
        <w:t>model parameter details</w:t>
      </w:r>
    </w:p>
    <w:tbl>
      <w:tblPr>
        <w:tblStyle w:val="TableGrid"/>
        <w:tblW w:w="9100" w:type="dxa"/>
        <w:tblLayout w:type="fixed"/>
        <w:tblCellMar>
          <w:left w:w="28" w:type="dxa"/>
          <w:right w:w="28" w:type="dxa"/>
        </w:tblCellMar>
        <w:tblLook w:val="04A0"/>
      </w:tblPr>
      <w:tblGrid>
        <w:gridCol w:w="1871"/>
        <w:gridCol w:w="709"/>
        <w:gridCol w:w="992"/>
        <w:gridCol w:w="992"/>
        <w:gridCol w:w="992"/>
        <w:gridCol w:w="992"/>
        <w:gridCol w:w="993"/>
        <w:gridCol w:w="1559"/>
      </w:tblGrid>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Parameter name</w:t>
            </w:r>
          </w:p>
        </w:tc>
        <w:tc>
          <w:tcPr>
            <w:tcW w:w="70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Mean Estimate</w:t>
            </w:r>
          </w:p>
        </w:tc>
        <w:tc>
          <w:tcPr>
            <w:tcW w:w="4961" w:type="dxa"/>
            <w:gridSpan w:val="5"/>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Covariance Matrix</w:t>
            </w:r>
          </w:p>
        </w:tc>
        <w:tc>
          <w:tcPr>
            <w:tcW w:w="1559"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Distribution</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Cholesterol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0.0044</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2.87E-06</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Average steroid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0.0017</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-2.54E-07</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1.68E-07</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Immunosupressant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0.8361</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-5.4E-05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-3.5E-05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0.18296</w:t>
            </w:r>
          </w:p>
        </w:tc>
        <w:tc>
          <w:tcPr>
            <w:tcW w:w="992" w:type="dxa"/>
            <w:vAlign w:val="bottom"/>
          </w:tcPr>
          <w:p w:rsidR="00B97965" w:rsidRPr="001245E5" w:rsidRDefault="00B97965" w:rsidP="00B97965">
            <w:pPr>
              <w:rPr>
                <w:rFonts w:asciiTheme="majorBidi" w:hAnsiTheme="majorBidi" w:cstheme="majorBidi"/>
                <w:color w:val="000000"/>
                <w:sz w:val="18"/>
                <w:szCs w:val="18"/>
              </w:rPr>
            </w:pP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Plaquenil coefficient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-0.9426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8.39E-05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2.66E-05</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-0.00397</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0.169468</w:t>
            </w:r>
          </w:p>
        </w:tc>
        <w:tc>
          <w:tcPr>
            <w:tcW w:w="993" w:type="dxa"/>
            <w:vAlign w:val="bottom"/>
          </w:tcPr>
          <w:p w:rsidR="00B97965" w:rsidRPr="001245E5" w:rsidRDefault="00B97965" w:rsidP="00B97965">
            <w:pPr>
              <w:rPr>
                <w:rFonts w:asciiTheme="majorBidi" w:hAnsiTheme="majorBidi" w:cstheme="majorBidi"/>
                <w:color w:val="000000"/>
                <w:sz w:val="18"/>
                <w:szCs w:val="18"/>
              </w:rPr>
            </w:pPr>
            <w:r w:rsidRPr="001245E5">
              <w:rPr>
                <w:rFonts w:asciiTheme="majorBidi" w:hAnsiTheme="majorBidi" w:cstheme="majorBidi"/>
                <w:color w:val="000000"/>
                <w:sz w:val="18"/>
                <w:szCs w:val="18"/>
              </w:rPr>
              <w:t xml:space="preserve">            </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r w:rsidR="00B97965" w:rsidRPr="001245E5" w:rsidTr="00B97965">
        <w:tc>
          <w:tcPr>
            <w:tcW w:w="1871" w:type="dxa"/>
          </w:tcPr>
          <w:p w:rsidR="00B97965" w:rsidRPr="001245E5" w:rsidRDefault="00B97965" w:rsidP="00B97965">
            <w:pPr>
              <w:spacing w:line="276" w:lineRule="auto"/>
              <w:rPr>
                <w:rFonts w:asciiTheme="majorBidi" w:hAnsiTheme="majorBidi" w:cstheme="majorBidi"/>
                <w:sz w:val="18"/>
                <w:szCs w:val="18"/>
              </w:rPr>
            </w:pPr>
            <w:r w:rsidRPr="001245E5">
              <w:rPr>
                <w:rFonts w:asciiTheme="majorBidi" w:hAnsiTheme="majorBidi" w:cstheme="majorBidi"/>
                <w:sz w:val="18"/>
                <w:szCs w:val="18"/>
              </w:rPr>
              <w:t>Interecept</w:t>
            </w:r>
          </w:p>
        </w:tc>
        <w:tc>
          <w:tcPr>
            <w:tcW w:w="709"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-7.2658</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-0.00052</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-9.48E-06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-0.10216</w:t>
            </w:r>
          </w:p>
        </w:tc>
        <w:tc>
          <w:tcPr>
            <w:tcW w:w="992"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-0.08109</w:t>
            </w:r>
          </w:p>
        </w:tc>
        <w:tc>
          <w:tcPr>
            <w:tcW w:w="993" w:type="dxa"/>
            <w:vAlign w:val="bottom"/>
          </w:tcPr>
          <w:p w:rsidR="00B97965" w:rsidRPr="001245E5" w:rsidRDefault="00B97965" w:rsidP="00B97965">
            <w:pPr>
              <w:jc w:val="right"/>
              <w:rPr>
                <w:rFonts w:asciiTheme="majorBidi" w:hAnsiTheme="majorBidi" w:cstheme="majorBidi"/>
                <w:color w:val="000000"/>
                <w:sz w:val="18"/>
                <w:szCs w:val="18"/>
              </w:rPr>
            </w:pPr>
            <w:r w:rsidRPr="001245E5">
              <w:rPr>
                <w:rFonts w:asciiTheme="majorBidi" w:hAnsiTheme="majorBidi" w:cstheme="majorBidi"/>
                <w:color w:val="000000"/>
                <w:sz w:val="18"/>
                <w:szCs w:val="18"/>
              </w:rPr>
              <w:t>0.25771</w:t>
            </w:r>
          </w:p>
        </w:tc>
        <w:tc>
          <w:tcPr>
            <w:tcW w:w="1559" w:type="dxa"/>
          </w:tcPr>
          <w:p w:rsidR="00B97965" w:rsidRPr="001245E5" w:rsidRDefault="00B97965" w:rsidP="00B97965">
            <w:pPr>
              <w:rPr>
                <w:rFonts w:asciiTheme="majorBidi" w:hAnsiTheme="majorBidi" w:cstheme="majorBidi"/>
                <w:sz w:val="18"/>
                <w:szCs w:val="18"/>
              </w:rPr>
            </w:pPr>
            <w:r w:rsidRPr="001245E5">
              <w:rPr>
                <w:rFonts w:asciiTheme="majorBidi" w:hAnsiTheme="majorBidi" w:cstheme="majorBidi"/>
                <w:sz w:val="18"/>
                <w:szCs w:val="18"/>
              </w:rPr>
              <w:t>Multivariate Normal</w:t>
            </w:r>
          </w:p>
        </w:tc>
      </w:tr>
    </w:tbl>
    <w:p w:rsidR="00B97965" w:rsidRDefault="00B97965" w:rsidP="00B97965">
      <w:pPr>
        <w:rPr>
          <w:lang w:val="pt-PT"/>
        </w:rPr>
      </w:pPr>
    </w:p>
    <w:p w:rsidR="00B97965" w:rsidRDefault="00B97965" w:rsidP="00B97965">
      <w:pPr>
        <w:spacing w:after="0" w:afterAutospacing="0" w:line="240" w:lineRule="auto"/>
        <w:rPr>
          <w:lang w:val="pt-PT"/>
        </w:rPr>
      </w:pPr>
      <w:r>
        <w:rPr>
          <w:lang w:val="pt-PT"/>
        </w:rPr>
        <w:br w:type="page"/>
      </w:r>
    </w:p>
    <w:p w:rsidR="00B97965" w:rsidRDefault="00B97965" w:rsidP="00B97965">
      <w:pPr>
        <w:rPr>
          <w:lang w:val="fr-CA"/>
        </w:rPr>
        <w:sectPr w:rsidR="00B97965" w:rsidSect="00B97965">
          <w:pgSz w:w="11906" w:h="16838"/>
          <w:pgMar w:top="1440" w:right="1440" w:bottom="1440" w:left="1440" w:header="708" w:footer="708" w:gutter="0"/>
          <w:cols w:space="708"/>
          <w:docGrid w:linePitch="360"/>
        </w:sectPr>
      </w:pPr>
    </w:p>
    <w:p w:rsidR="00221DD6" w:rsidRDefault="00221DD6" w:rsidP="00BE457B">
      <w:pPr>
        <w:pStyle w:val="Heading1"/>
        <w:numPr>
          <w:ilvl w:val="0"/>
          <w:numId w:val="0"/>
        </w:numPr>
        <w:bidi/>
        <w:ind w:left="576" w:hanging="576"/>
        <w:jc w:val="right"/>
        <w:rPr>
          <w:lang w:val="fr-CA"/>
        </w:rPr>
      </w:pPr>
      <w:bookmarkStart w:id="702" w:name="_Toc341366965"/>
    </w:p>
    <w:p w:rsidR="00B97965" w:rsidRPr="00BE457B" w:rsidRDefault="00B97965" w:rsidP="00221DD6">
      <w:pPr>
        <w:pStyle w:val="Heading1"/>
        <w:numPr>
          <w:ilvl w:val="0"/>
          <w:numId w:val="0"/>
        </w:numPr>
        <w:bidi/>
        <w:ind w:left="576" w:hanging="576"/>
        <w:jc w:val="right"/>
        <w:rPr>
          <w:rStyle w:val="Emphasis"/>
          <w:spacing w:val="15"/>
          <w:lang w:val="fr-CA"/>
        </w:rPr>
      </w:pPr>
      <w:bookmarkStart w:id="703" w:name="_Toc379467716"/>
      <w:r w:rsidRPr="00396982">
        <w:rPr>
          <w:lang w:val="fr-CA"/>
        </w:rPr>
        <w:t>Appendix</w:t>
      </w:r>
      <w:r w:rsidR="00396982">
        <w:rPr>
          <w:lang w:val="fr-CA"/>
        </w:rPr>
        <w:t xml:space="preserve"> 12</w:t>
      </w:r>
      <w:r w:rsidR="00BE457B">
        <w:rPr>
          <w:lang w:val="fr-CA"/>
        </w:rPr>
        <w:t xml:space="preserve"> : </w:t>
      </w:r>
      <w:r w:rsidR="00396982" w:rsidRPr="00BE457B">
        <w:rPr>
          <w:rStyle w:val="Emphasis"/>
          <w:lang w:val="fr-CA"/>
        </w:rPr>
        <w:t>S</w:t>
      </w:r>
      <w:r w:rsidRPr="00BE457B">
        <w:rPr>
          <w:rStyle w:val="Emphasis"/>
          <w:lang w:val="fr-CA"/>
        </w:rPr>
        <w:t>LEDAI Random Effects Correlation Matrix</w:t>
      </w:r>
      <w:bookmarkEnd w:id="702"/>
      <w:bookmarkEnd w:id="703"/>
    </w:p>
    <w:tbl>
      <w:tblPr>
        <w:tblStyle w:val="TableGrid"/>
        <w:tblW w:w="0" w:type="auto"/>
        <w:tblCellMar>
          <w:left w:w="28" w:type="dxa"/>
          <w:right w:w="28" w:type="dxa"/>
        </w:tblCellMar>
        <w:tblLook w:val="04A0"/>
      </w:tblPr>
      <w:tblGrid>
        <w:gridCol w:w="561"/>
        <w:gridCol w:w="562"/>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63"/>
        <w:gridCol w:w="534"/>
        <w:gridCol w:w="534"/>
      </w:tblGrid>
      <w:tr w:rsidR="00B97965" w:rsidTr="00B97965">
        <w:trPr>
          <w:trHeight w:val="130"/>
        </w:trPr>
        <w:tc>
          <w:tcPr>
            <w:tcW w:w="561" w:type="dxa"/>
            <w:vAlign w:val="bottom"/>
          </w:tcPr>
          <w:p w:rsidR="00B97965" w:rsidRPr="005A09E3" w:rsidRDefault="00B97965" w:rsidP="00B97965">
            <w:pPr>
              <w:spacing w:line="240" w:lineRule="auto"/>
              <w:rPr>
                <w:rFonts w:ascii="Calibri" w:hAnsi="Calibri"/>
                <w:color w:val="000000"/>
                <w:sz w:val="16"/>
                <w:szCs w:val="16"/>
                <w:lang w:val="fr-CA"/>
              </w:rPr>
            </w:pPr>
          </w:p>
        </w:tc>
        <w:tc>
          <w:tcPr>
            <w:tcW w:w="562"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cns3</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cns4</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cns5</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cns6</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cns7</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vasc1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ms1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ms2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renal3</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renal4</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skin3</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heme1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heme2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sero1</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sero2</w:t>
            </w:r>
          </w:p>
        </w:tc>
        <w:tc>
          <w:tcPr>
            <w:tcW w:w="563"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imm1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imm2</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cons1</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0.0826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0.0421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0.0438</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0.0297</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0.2413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-0.0149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-0.0091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0.0175</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0.0418</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cns3</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0.2413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0.0813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0.0217</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0.0781</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cns4</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0.0826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0.0326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0.0665</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0.0374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cns5</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-0.0072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0.0444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cns6</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0.0888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0.105</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0.2563</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cns7</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0.0458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-0.0042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0.0348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-0.0026</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vasc1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0.0813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-0.0072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0.1111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0.1124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0.1434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0.111</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ms1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0.0421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0.1111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0.0864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0.1295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0.2001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0.0202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0.1068</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0.1533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ms2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0.0773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0.1065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0.1451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0.0751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0.0756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0.0519</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0.0832</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0.1124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0.0864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0.0773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0.4255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0.4362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0.2107</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0.2594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renal3</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0.4255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0.3215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-0.0714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0.0851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0.2476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0.2937</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0.0813</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renal4</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0.0268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0.1295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0.4362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0.3215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0.1869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-0.0149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0.0536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0.1378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0.1935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0.1196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0.1544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0.0577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0.0458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0.1378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0.0486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0.0665</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skin3</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-0.0069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-0.0714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0.1935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-0.0622</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0.0279</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heme1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0.0484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0.2001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0.1065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0.0801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0.0885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0.1663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0.376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0.0994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0.1106</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0.1312</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heme2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0.0326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-0.0042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0.1451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0.0851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0.376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0.0987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0.0983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0.0902</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0.1349</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sero1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-0.0091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0.0227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0.0888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0.0348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0.0202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0.0025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0.0235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0.1529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0.1224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0.148</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sero2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0.1466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0.1157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0.1041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0.0059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0.0987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0.2599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0.2644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0.1573</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0.2129</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imm1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0.0543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0.0665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0.1068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0.0751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0.2107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0.2476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0.1596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0.1196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0.0486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0.0983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0.2644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0.4039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0.1554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imm2</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0.0438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0.0175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0.0217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0.0331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0.0104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0.1533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0.0474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0.2594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0.2937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0.1869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0.0653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0.0356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-0.0622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0.1106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0.0902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0.1224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0.1573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0.4039</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w:t>
            </w:r>
          </w:p>
        </w:tc>
      </w:tr>
      <w:tr w:rsidR="00B97965" w:rsidTr="00B97965">
        <w:trPr>
          <w:trHeight w:val="114"/>
        </w:trPr>
        <w:tc>
          <w:tcPr>
            <w:tcW w:w="561" w:type="dxa"/>
            <w:vAlign w:val="bottom"/>
          </w:tcPr>
          <w:p w:rsidR="00B97965" w:rsidRPr="00274374" w:rsidRDefault="00B97965" w:rsidP="00B97965">
            <w:pPr>
              <w:spacing w:line="240" w:lineRule="auto"/>
              <w:rPr>
                <w:rFonts w:ascii="Calibri" w:hAnsi="Calibri"/>
                <w:color w:val="000000"/>
                <w:sz w:val="16"/>
                <w:szCs w:val="16"/>
              </w:rPr>
            </w:pPr>
            <w:r w:rsidRPr="00274374">
              <w:rPr>
                <w:rFonts w:ascii="Calibri" w:hAnsi="Calibri"/>
                <w:color w:val="000000"/>
                <w:sz w:val="16"/>
                <w:szCs w:val="16"/>
              </w:rPr>
              <w:t>cons1</w:t>
            </w:r>
          </w:p>
        </w:tc>
        <w:tc>
          <w:tcPr>
            <w:tcW w:w="562"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0.0297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0.0418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0.0781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0.0374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0.0444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0.2563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-0.0026</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0.111</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0.147</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0.0519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0.092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0.0813</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0.0834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0.1544</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0.0665</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0.0279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0.1312</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0.1349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0.148</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0.2129</w:t>
            </w:r>
          </w:p>
        </w:tc>
        <w:tc>
          <w:tcPr>
            <w:tcW w:w="563"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0.1554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0.084</w:t>
            </w:r>
          </w:p>
        </w:tc>
        <w:tc>
          <w:tcPr>
            <w:tcW w:w="534" w:type="dxa"/>
            <w:vAlign w:val="bottom"/>
          </w:tcPr>
          <w:p w:rsidR="00B97965" w:rsidRPr="00274374" w:rsidRDefault="00B97965" w:rsidP="00B97965">
            <w:pPr>
              <w:spacing w:line="240" w:lineRule="auto"/>
              <w:jc w:val="right"/>
              <w:rPr>
                <w:rFonts w:ascii="Calibri" w:hAnsi="Calibri"/>
                <w:color w:val="000000"/>
                <w:sz w:val="16"/>
                <w:szCs w:val="16"/>
              </w:rPr>
            </w:pPr>
            <w:r w:rsidRPr="00274374">
              <w:rPr>
                <w:rFonts w:ascii="Calibri" w:hAnsi="Calibri"/>
                <w:color w:val="000000"/>
                <w:sz w:val="16"/>
                <w:szCs w:val="16"/>
              </w:rPr>
              <w:t>1</w:t>
            </w:r>
          </w:p>
        </w:tc>
      </w:tr>
    </w:tbl>
    <w:p w:rsidR="00B97965" w:rsidRPr="00274374" w:rsidRDefault="00B97965" w:rsidP="00B97965">
      <w:pPr>
        <w:rPr>
          <w:lang w:val="fr-CA"/>
        </w:rPr>
      </w:pPr>
    </w:p>
    <w:p w:rsidR="00B97965" w:rsidRDefault="00B97965" w:rsidP="00B97965">
      <w:pPr>
        <w:rPr>
          <w:lang w:val="fr-CA"/>
        </w:rPr>
      </w:pPr>
    </w:p>
    <w:p w:rsidR="00B97965" w:rsidRDefault="00B97965" w:rsidP="00B97965">
      <w:pPr>
        <w:rPr>
          <w:lang w:val="fr-CA"/>
        </w:rPr>
        <w:sectPr w:rsidR="00B97965" w:rsidSect="00B97965">
          <w:pgSz w:w="16838" w:h="11906" w:orient="landscape"/>
          <w:pgMar w:top="1440" w:right="1440" w:bottom="1440" w:left="1440" w:header="708" w:footer="708" w:gutter="0"/>
          <w:cols w:space="708"/>
          <w:docGrid w:linePitch="360"/>
        </w:sectPr>
      </w:pPr>
    </w:p>
    <w:p w:rsidR="00B97965" w:rsidRPr="00BE457B" w:rsidRDefault="00B97965" w:rsidP="00BE457B">
      <w:pPr>
        <w:pStyle w:val="Heading1"/>
        <w:numPr>
          <w:ilvl w:val="0"/>
          <w:numId w:val="0"/>
        </w:numPr>
        <w:bidi/>
        <w:ind w:left="576" w:hanging="576"/>
        <w:jc w:val="right"/>
        <w:rPr>
          <w:rStyle w:val="Emphasis"/>
          <w:spacing w:val="15"/>
        </w:rPr>
      </w:pPr>
      <w:bookmarkStart w:id="704" w:name="_Toc341366966"/>
      <w:bookmarkStart w:id="705" w:name="_Toc379467717"/>
      <w:r>
        <w:t>Appendix</w:t>
      </w:r>
      <w:r w:rsidR="00396982">
        <w:t xml:space="preserve"> 13</w:t>
      </w:r>
      <w:r w:rsidR="00BE457B">
        <w:t xml:space="preserve">: </w:t>
      </w:r>
      <w:r w:rsidRPr="00234693">
        <w:rPr>
          <w:rStyle w:val="Emphasis"/>
        </w:rPr>
        <w:t>Elicitation Literature Search</w:t>
      </w:r>
      <w:bookmarkEnd w:id="705"/>
    </w:p>
    <w:p w:rsidR="00B97965" w:rsidRDefault="00B97965" w:rsidP="00221DD6">
      <w:r w:rsidRPr="00462288">
        <w:t>Articles describing elicitation in he</w:t>
      </w:r>
      <w:r>
        <w:t>alth economic models were identified using search terms for Elicitation AND [health economic OR cost effectiveness OR decision analytic OR cost utility OR economic evaluation]. The search was conducted on 26</w:t>
      </w:r>
      <w:r w:rsidRPr="005A6486">
        <w:rPr>
          <w:vertAlign w:val="superscript"/>
        </w:rPr>
        <w:t>th</w:t>
      </w:r>
      <w:r>
        <w:t xml:space="preserve"> August 2011 and identified 146 articles. Of these articles seven were found to describe an elicitation study for a health economic model. The titles and references for these articles are reported in </w:t>
      </w:r>
      <w:r w:rsidR="00221DD6">
        <w:t>the table below.</w:t>
      </w:r>
    </w:p>
    <w:tbl>
      <w:tblPr>
        <w:tblStyle w:val="TableGrid"/>
        <w:tblW w:w="0" w:type="auto"/>
        <w:tblLook w:val="04A0"/>
      </w:tblPr>
      <w:tblGrid>
        <w:gridCol w:w="1467"/>
        <w:gridCol w:w="5664"/>
        <w:gridCol w:w="1283"/>
      </w:tblGrid>
      <w:tr w:rsidR="00B97965" w:rsidRPr="00462288" w:rsidTr="00B97965">
        <w:tc>
          <w:tcPr>
            <w:tcW w:w="1526" w:type="dxa"/>
          </w:tcPr>
          <w:p w:rsidR="00B97965" w:rsidRPr="00462288" w:rsidRDefault="00B97965" w:rsidP="00B97965">
            <w:pPr>
              <w:rPr>
                <w:sz w:val="20"/>
              </w:rPr>
            </w:pPr>
            <w:r w:rsidRPr="00462288">
              <w:rPr>
                <w:sz w:val="20"/>
              </w:rPr>
              <w:t>First Author (year)</w:t>
            </w:r>
          </w:p>
        </w:tc>
        <w:tc>
          <w:tcPr>
            <w:tcW w:w="6379" w:type="dxa"/>
          </w:tcPr>
          <w:p w:rsidR="00B97965" w:rsidRPr="00462288" w:rsidRDefault="00B97965" w:rsidP="00B97965">
            <w:pPr>
              <w:rPr>
                <w:sz w:val="20"/>
              </w:rPr>
            </w:pPr>
            <w:r w:rsidRPr="00462288">
              <w:rPr>
                <w:sz w:val="20"/>
              </w:rPr>
              <w:t>Title</w:t>
            </w:r>
          </w:p>
        </w:tc>
        <w:tc>
          <w:tcPr>
            <w:tcW w:w="1337" w:type="dxa"/>
          </w:tcPr>
          <w:p w:rsidR="00B97965" w:rsidRPr="00462288" w:rsidRDefault="00B97965" w:rsidP="00B97965">
            <w:pPr>
              <w:rPr>
                <w:sz w:val="20"/>
              </w:rPr>
            </w:pPr>
            <w:r w:rsidRPr="00462288">
              <w:rPr>
                <w:sz w:val="20"/>
              </w:rPr>
              <w:t>reference</w:t>
            </w:r>
          </w:p>
        </w:tc>
      </w:tr>
      <w:tr w:rsidR="00B97965" w:rsidRPr="00462288" w:rsidTr="00B97965">
        <w:tc>
          <w:tcPr>
            <w:tcW w:w="1526" w:type="dxa"/>
          </w:tcPr>
          <w:p w:rsidR="00B97965" w:rsidRPr="00462288" w:rsidRDefault="00B97965" w:rsidP="00B97965">
            <w:pPr>
              <w:rPr>
                <w:sz w:val="20"/>
              </w:rPr>
            </w:pPr>
            <w:r w:rsidRPr="00462288">
              <w:rPr>
                <w:rFonts w:cs="Times New Roman"/>
                <w:sz w:val="18"/>
              </w:rPr>
              <w:t>Lau</w:t>
            </w:r>
            <w:r>
              <w:rPr>
                <w:rFonts w:cs="Times New Roman"/>
                <w:sz w:val="18"/>
              </w:rPr>
              <w:t xml:space="preserve"> (1999)</w:t>
            </w:r>
          </w:p>
        </w:tc>
        <w:tc>
          <w:tcPr>
            <w:tcW w:w="6379" w:type="dxa"/>
          </w:tcPr>
          <w:p w:rsidR="00B97965" w:rsidRPr="00462288" w:rsidRDefault="00B97965" w:rsidP="00B97965">
            <w:pPr>
              <w:rPr>
                <w:sz w:val="20"/>
              </w:rPr>
            </w:pPr>
            <w:r w:rsidRPr="00462288">
              <w:rPr>
                <w:rFonts w:cs="Times New Roman"/>
                <w:sz w:val="18"/>
              </w:rPr>
              <w:t>PROBES: a framework for probability elicitation from experts</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&lt;Refman&gt;&lt;Cite&gt;&lt;Author&gt;Lau&lt;/Author&gt;&lt;Year&gt;1999&lt;/Year&gt;&lt;RecNum&gt;124&lt;/RecNum&gt;&lt;IDText&gt;PROBES: a framework for probability elicitation from experts&lt;/IDText&gt;&lt;MDL Ref_Type="Journal"&gt;&lt;Ref_Type&gt;Journal&lt;/Ref_Type&gt;&lt;Ref_ID&gt;124&lt;/Ref_ID&gt;&lt;Title_Primary&gt;PROBES: a framework for probability elicitation from experts&lt;/Title_Primary&gt;&lt;Authors_Primary&gt;Lau,A.H.&lt;/Authors_Primary&gt;&lt;Authors_Primary&gt;Leong,T.Y.&lt;/Authors_Primary&gt;&lt;Date_Primary&gt;1999&lt;/Date_Primary&gt;&lt;Keywords&gt;cancer&lt;/Keywords&gt;&lt;Keywords&gt;Colorectal Neoplasms&lt;/Keywords&gt;&lt;Keywords&gt;Decision Support Techniques&lt;/Keywords&gt;&lt;Keywords&gt;diagnosis&lt;/Keywords&gt;&lt;Keywords&gt;Evaluation Studies as Topic&lt;/Keywords&gt;&lt;Keywords&gt;follow up&lt;/Keywords&gt;&lt;Keywords&gt;Humans&lt;/Keywords&gt;&lt;Keywords&gt;patient&lt;/Keywords&gt;&lt;Keywords&gt;Patients&lt;/Keywords&gt;&lt;Keywords&gt;Probability&lt;/Keywords&gt;&lt;Keywords&gt;Recurrence&lt;/Keywords&gt;&lt;Keywords&gt;Software&lt;/Keywords&gt;&lt;Keywords&gt;surgery&lt;/Keywords&gt;&lt;Keywords&gt;therapy&lt;/Keywords&gt;&lt;Keywords&gt;Uncertainty&lt;/Keywords&gt;&lt;Reprint&gt;Not in File&lt;/Reprint&gt;&lt;Start_Page&gt;301&lt;/Start_Page&gt;&lt;End_Page&gt;305&lt;/End_Page&gt;&lt;Periodical&gt;Proc.AMIA.Symp.&lt;/Periodical&gt;&lt;User_Def_1&gt;elicitation&lt;/User_Def_1&gt;&lt;ZZ_JournalStdAbbrev&gt;&lt;f name="System"&gt;Proc.AMIA.Symp.&lt;/f&gt;&lt;/ZZ_JournalStdAbbrev&gt;&lt;ZZ_WorkformID&gt;1&lt;/ZZ_WorkformID&gt;&lt;/MDL&gt;&lt;/Cite&gt;&lt;/Refman&gt;</w:instrText>
            </w:r>
            <w:r w:rsidRPr="00462288">
              <w:rPr>
                <w:sz w:val="20"/>
              </w:rPr>
              <w:fldChar w:fldCharType="separate"/>
            </w:r>
            <w:r w:rsidR="00DF14BD">
              <w:rPr>
                <w:sz w:val="20"/>
              </w:rPr>
              <w:t>(255)</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Bojke</w:t>
            </w:r>
            <w:r>
              <w:rPr>
                <w:rFonts w:cs="Times New Roman"/>
                <w:sz w:val="18"/>
              </w:rPr>
              <w:t xml:space="preserve"> (</w:t>
            </w:r>
            <w:r w:rsidRPr="00462288">
              <w:rPr>
                <w:rFonts w:cs="Times New Roman"/>
                <w:sz w:val="18"/>
              </w:rPr>
              <w:t>201</w:t>
            </w:r>
            <w:r>
              <w:rPr>
                <w:rFonts w:cs="Times New Roman"/>
                <w:sz w:val="18"/>
              </w:rPr>
              <w:t>0)</w:t>
            </w:r>
          </w:p>
        </w:tc>
        <w:tc>
          <w:tcPr>
            <w:tcW w:w="6379" w:type="dxa"/>
          </w:tcPr>
          <w:p w:rsidR="00B97965" w:rsidRPr="00462288" w:rsidRDefault="00B97965" w:rsidP="00B97965">
            <w:pPr>
              <w:rPr>
                <w:sz w:val="20"/>
              </w:rPr>
            </w:pPr>
            <w:r w:rsidRPr="00462288">
              <w:rPr>
                <w:rFonts w:cs="Times New Roman"/>
                <w:sz w:val="18"/>
              </w:rPr>
              <w:t>Eliciting distributions to populate decision analytic models</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&lt;Refman&gt;&lt;Cite&gt;&lt;Author&gt;Bojke&lt;/Author&gt;&lt;Year&gt;2010&lt;/Year&gt;&lt;RecNum&gt;1513&lt;/RecNum&gt;&lt;IDText&gt;Eliciting distributions to populate decision analytic models&lt;/IDText&gt;&lt;MDL Ref_Type="Journal"&gt;&lt;Ref_Type&gt;Journal&lt;/Ref_Type&gt;&lt;Ref_ID&gt;1513&lt;/Ref_ID&gt;&lt;Title_Primary&gt;Eliciting distributions to populate decision analytic models&lt;/Title_Primary&gt;&lt;Authors_Primary&gt;Bojke,L.&lt;/Authors_Primary&gt;&lt;Authors_Primary&gt;Claxton,K.&lt;/Authors_Primary&gt;&lt;Authors_Primary&gt;Bravo-Vergel,Y.&lt;/Authors_Primary&gt;&lt;Authors_Primary&gt;Sculpher,M.&lt;/Authors_Primary&gt;&lt;Authors_Primary&gt;Palmer,S.&lt;/Authors_Primary&gt;&lt;Authors_Primary&gt;Abrams,K.&lt;/Authors_Primary&gt;&lt;Date_Primary&gt;2010/8&lt;/Date_Primary&gt;&lt;Keywords&gt;Anti-Inflammatory Agents,Non-Steroidal&lt;/Keywords&gt;&lt;Keywords&gt;Antibodies,Monoclonal&lt;/Keywords&gt;&lt;Keywords&gt;Antirheumatic Agents&lt;/Keywords&gt;&lt;Keywords&gt;Arthritis&lt;/Keywords&gt;&lt;Keywords&gt;Arthritis,Psoriatic&lt;/Keywords&gt;&lt;Keywords&gt;article&lt;/Keywords&gt;&lt;Keywords&gt;Cost-Benefit Analysis&lt;/Keywords&gt;&lt;Keywords&gt;Decision Support Techniques&lt;/Keywords&gt;&lt;Keywords&gt;Disease Progression&lt;/Keywords&gt;&lt;Keywords&gt;drug therapy&lt;/Keywords&gt;&lt;Keywords&gt;economics&lt;/Keywords&gt;&lt;Keywords&gt;Feasibility Studies&lt;/Keywords&gt;&lt;Keywords&gt;Great Britain&lt;/Keywords&gt;&lt;Keywords&gt;Health&lt;/Keywords&gt;&lt;Keywords&gt;Health Care Costs&lt;/Keywords&gt;&lt;Keywords&gt;Humans&lt;/Keywords&gt;&lt;Keywords&gt;Immunoglobulin G&lt;/Keywords&gt;&lt;Keywords&gt;Life&lt;/Keywords&gt;&lt;Keywords&gt;methods&lt;/Keywords&gt;&lt;Keywords&gt;Models,Economic&lt;/Keywords&gt;&lt;Keywords&gt;Models,Statistical&lt;/Keywords&gt;&lt;Keywords&gt;Palliative Care&lt;/Keywords&gt;&lt;Keywords&gt;Probability&lt;/Keywords&gt;&lt;Keywords&gt;Program Evaluation&lt;/Keywords&gt;&lt;Keywords&gt;Quality of Life&lt;/Keywords&gt;&lt;Keywords&gt;Quality-Adjusted Life Years&lt;/Keywords&gt;&lt;Keywords&gt;Receptors,Tumor Necrosis Factor&lt;/Keywords&gt;&lt;Keywords&gt;Research&lt;/Keywords&gt;&lt;Keywords&gt;therapeutic use&lt;/Keywords&gt;&lt;Keywords&gt;Uncertainty&lt;/Keywords&gt;&lt;Reprint&gt;Not in File&lt;/Reprint&gt;&lt;Start_Page&gt;557&lt;/Start_Page&gt;&lt;End_Page&gt;564&lt;/End_Page&gt;&lt;Periodical&gt;Value.Health.&lt;/Periodical&gt;&lt;Volume&gt;13&lt;/Volume&gt;&lt;Issue&gt;5&lt;/Issue&gt;&lt;User_Def_1&gt;elicitation&lt;/User_Def_1&gt;&lt;ZZ_JournalStdAbbrev&gt;&lt;f name="System"&gt;Value.Health.&lt;/f&gt;&lt;/ZZ_JournalStdAbbrev&gt;&lt;ZZ_WorkformID&gt;1&lt;/ZZ_WorkformID&gt;&lt;/MDL&gt;&lt;/Cite&gt;&lt;/Refman&gt;</w:instrText>
            </w:r>
            <w:r w:rsidRPr="00462288">
              <w:rPr>
                <w:sz w:val="20"/>
              </w:rPr>
              <w:fldChar w:fldCharType="separate"/>
            </w:r>
            <w:r w:rsidR="0081424E">
              <w:rPr>
                <w:sz w:val="20"/>
              </w:rPr>
              <w:t>(131)</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McKenna</w:t>
            </w:r>
            <w:r>
              <w:rPr>
                <w:rFonts w:cs="Times New Roman"/>
                <w:sz w:val="18"/>
              </w:rPr>
              <w:t xml:space="preserve"> (2011)</w:t>
            </w:r>
          </w:p>
        </w:tc>
        <w:tc>
          <w:tcPr>
            <w:tcW w:w="6379" w:type="dxa"/>
          </w:tcPr>
          <w:p w:rsidR="00B97965" w:rsidRPr="00462288" w:rsidRDefault="00B97965" w:rsidP="00B97965">
            <w:pPr>
              <w:rPr>
                <w:sz w:val="20"/>
              </w:rPr>
            </w:pPr>
            <w:r w:rsidRPr="00462288">
              <w:rPr>
                <w:rFonts w:cs="Times New Roman"/>
                <w:sz w:val="18"/>
              </w:rPr>
              <w:t>Addressing Adoption and Research Design Decisions Simultaneously: The Role of Value of Sample Information Analysis</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&lt;Refman&gt;&lt;Cite&gt;&lt;Author&gt;McKenna&lt;/Author&gt;&lt;Year&gt;2011&lt;/Year&gt;&lt;RecNum&gt;682&lt;/RecNum&gt;&lt;IDText&gt;Addressing Adoption and Research Design Decisions Simultaneously: The Role of Value of Sample Information Analysis&lt;/IDText&gt;&lt;MDL Ref_Type="Journal"&gt;&lt;Ref_Type&gt;Journal&lt;/Ref_Type&gt;&lt;Ref_ID&gt;682&lt;/Ref_ID&gt;&lt;Title_Primary&gt;Addressing Adoption and Research Design Decisions Simultaneously: The Role of Value of Sample Information Analysis&lt;/Title_Primary&gt;&lt;Authors_Primary&gt;McKenna,Claire&lt;/Authors_Primary&gt;&lt;Authors_Primary&gt;Claxton,Karl&lt;/Authors_Primary&gt;&lt;Date_Primary&gt;2011&lt;/Date_Primary&gt;&lt;Keywords&gt;analysis&lt;/Keywords&gt;&lt;Keywords&gt;evaluation&lt;/Keywords&gt;&lt;Keywords&gt;follow up&lt;/Keywords&gt;&lt;Keywords&gt;Health&lt;/Keywords&gt;&lt;Keywords&gt;methods&lt;/Keywords&gt;&lt;Keywords&gt;patient&lt;/Keywords&gt;&lt;Keywords&gt;Patients&lt;/Keywords&gt;&lt;Keywords&gt;Research&lt;/Keywords&gt;&lt;Keywords&gt;Research Design&lt;/Keywords&gt;&lt;Keywords&gt;sample&lt;/Keywords&gt;&lt;Keywords&gt;Sample Size&lt;/Keywords&gt;&lt;Keywords&gt;Time&lt;/Keywords&gt;&lt;Reprint&gt;Not in File&lt;/Reprint&gt;&lt;Start_Page&gt;853&lt;/Start_Page&gt;&lt;End_Page&gt;865&lt;/End_Page&gt;&lt;Periodical&gt;Medical Decision Making&lt;/Periodical&gt;&lt;Volume&gt;31&lt;/Volume&gt;&lt;Issue&gt;6&lt;/Issue&gt;&lt;User_Def_1&gt;yes&lt;/User_Def_1&gt;&lt;ISSN_ISBN&gt;0272-989X&lt;/ISSN_ISBN&gt;&lt;Web_URL&gt;WOS:000296697100012&lt;/Web_URL&gt;&lt;ZZ_JournalFull&gt;&lt;f name="System"&gt;Medical Decision Making&lt;/f&gt;&lt;/ZZ_JournalFull&gt;&lt;ZZ_WorkformID&gt;1&lt;/ZZ_WorkformID&gt;&lt;/MDL&gt;&lt;/Cite&gt;&lt;/Refman&gt;</w:instrText>
            </w:r>
            <w:r w:rsidRPr="00462288">
              <w:rPr>
                <w:sz w:val="20"/>
              </w:rPr>
              <w:fldChar w:fldCharType="separate"/>
            </w:r>
            <w:r w:rsidR="0081424E">
              <w:rPr>
                <w:sz w:val="20"/>
              </w:rPr>
              <w:t>(112)</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Garthwaite</w:t>
            </w:r>
            <w:r>
              <w:rPr>
                <w:rFonts w:cs="Times New Roman"/>
                <w:sz w:val="18"/>
              </w:rPr>
              <w:t xml:space="preserve"> (</w:t>
            </w:r>
            <w:r w:rsidRPr="00462288">
              <w:rPr>
                <w:rFonts w:cs="Times New Roman"/>
                <w:sz w:val="18"/>
              </w:rPr>
              <w:t>200</w:t>
            </w:r>
            <w:r>
              <w:rPr>
                <w:rFonts w:cs="Times New Roman"/>
                <w:sz w:val="18"/>
              </w:rPr>
              <w:t>8)</w:t>
            </w:r>
          </w:p>
        </w:tc>
        <w:tc>
          <w:tcPr>
            <w:tcW w:w="6379" w:type="dxa"/>
          </w:tcPr>
          <w:p w:rsidR="00B97965" w:rsidRPr="00462288" w:rsidRDefault="00B97965" w:rsidP="00B97965">
            <w:pPr>
              <w:rPr>
                <w:sz w:val="20"/>
              </w:rPr>
            </w:pPr>
            <w:r w:rsidRPr="00462288">
              <w:rPr>
                <w:rFonts w:cs="Times New Roman"/>
                <w:sz w:val="18"/>
              </w:rPr>
              <w:t>Use of expert knowledge in evaluating costs and benefits of alternative service provisions: a case study</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&lt;Refman&gt;&lt;Cite&gt;&lt;Author&gt;Garthwaite&lt;/Author&gt;&lt;Year&gt;2008&lt;/Year&gt;&lt;RecNum&gt;46&lt;/RecNum&gt;&lt;IDText&gt;Use of expert knowledge in evaluating costs and benefits of alternative service provisions: a case study&lt;/IDText&gt;&lt;MDL Ref_Type="Journal"&gt;&lt;Ref_Type&gt;Journal&lt;/Ref_Type&gt;&lt;Ref_ID&gt;46&lt;/Ref_ID&gt;&lt;Title_Primary&gt;Use of expert knowledge in evaluating costs and benefits of alternative service provisions: a case study&lt;/Title_Primary&gt;&lt;Authors_Primary&gt;Garthwaite,P.H.&lt;/Authors_Primary&gt;&lt;Authors_Primary&gt;Chilcott,J.B.&lt;/Authors_Primary&gt;&lt;Authors_Primary&gt;Jenkinson,D.J.&lt;/Authors_Primary&gt;&lt;Authors_Primary&gt;Tappenden,P.&lt;/Authors_Primary&gt;&lt;Date_Primary&gt;2008&lt;/Date_Primary&gt;&lt;Keywords&gt;cancer&lt;/Keywords&gt;&lt;Keywords&gt;Colonic Neoplasms&lt;/Keywords&gt;&lt;Keywords&gt;Cost-Benefit Analysis&lt;/Keywords&gt;&lt;Keywords&gt;Critical Pathways&lt;/Keywords&gt;&lt;Keywords&gt;economics&lt;/Keywords&gt;&lt;Keywords&gt;England&lt;/Keywords&gt;&lt;Keywords&gt;Expert Testimony&lt;/Keywords&gt;&lt;Keywords&gt;Humans&lt;/Keywords&gt;&lt;Keywords&gt;methods&lt;/Keywords&gt;&lt;Keywords&gt;Primary Health Care&lt;/Keywords&gt;&lt;Keywords&gt;Probability&lt;/Keywords&gt;&lt;Keywords&gt;Software&lt;/Keywords&gt;&lt;Keywords&gt;statistics&lt;/Keywords&gt;&lt;Keywords&gt;therapy&lt;/Keywords&gt;&lt;Reprint&gt;Not in File&lt;/Reprint&gt;&lt;Start_Page&gt;350&lt;/Start_Page&gt;&lt;End_Page&gt;357&lt;/End_Page&gt;&lt;Periodical&gt;Int.J.Technol.Assess.Health Care.&lt;/Periodical&gt;&lt;Volume&gt;24&lt;/Volume&gt;&lt;Issue&gt;3&lt;/Issue&gt;&lt;User_Def_1&gt;elicitation&lt;/User_Def_1&gt;&lt;ZZ_JournalStdAbbrev&gt;&lt;f name="System"&gt;Int.J.Technol.Assess.Health Care.&lt;/f&gt;&lt;/ZZ_JournalStdAbbrev&gt;&lt;ZZ_WorkformID&gt;1&lt;/ZZ_WorkformID&gt;&lt;/MDL&gt;&lt;/Cite&gt;&lt;/Refman&gt;</w:instrText>
            </w:r>
            <w:r w:rsidRPr="00462288">
              <w:rPr>
                <w:sz w:val="20"/>
              </w:rPr>
              <w:fldChar w:fldCharType="separate"/>
            </w:r>
            <w:r w:rsidR="00DF14BD">
              <w:rPr>
                <w:sz w:val="20"/>
              </w:rPr>
              <w:t>(256)</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Leal</w:t>
            </w:r>
            <w:r>
              <w:rPr>
                <w:rFonts w:cs="Times New Roman"/>
                <w:sz w:val="18"/>
              </w:rPr>
              <w:t xml:space="preserve"> (2007)</w:t>
            </w:r>
          </w:p>
        </w:tc>
        <w:tc>
          <w:tcPr>
            <w:tcW w:w="6379" w:type="dxa"/>
          </w:tcPr>
          <w:p w:rsidR="00B97965" w:rsidRPr="00462288" w:rsidRDefault="00B97965" w:rsidP="00B97965">
            <w:pPr>
              <w:rPr>
                <w:sz w:val="20"/>
              </w:rPr>
            </w:pPr>
            <w:r w:rsidRPr="00462288">
              <w:rPr>
                <w:rFonts w:cs="Times New Roman"/>
                <w:sz w:val="18"/>
              </w:rPr>
              <w:t>Eliciting expert opinion for economic models: an applied example</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&lt;Refman&gt;&lt;Cite&gt;&lt;Author&gt;Leal&lt;/Author&gt;&lt;Year&gt;2007&lt;/Year&gt;&lt;RecNum&gt;56&lt;/RecNum&gt;&lt;IDText&gt;Eliciting expert opinion for economic models: an applied example&lt;/IDText&gt;&lt;MDL Ref_Type="Journal"&gt;&lt;Ref_Type&gt;Journal&lt;/Ref_Type&gt;&lt;Ref_ID&gt;56&lt;/Ref_ID&gt;&lt;Title_Primary&gt;Eliciting expert opinion for economic models: an applied example&lt;/Title_Primary&gt;&lt;Authors_Primary&gt;Leal,J.&lt;/Authors_Primary&gt;&lt;Authors_Primary&gt;Wordsworth,S.&lt;/Authors_Primary&gt;&lt;Authors_Primary&gt;Legood,R.&lt;/Authors_Primary&gt;&lt;Authors_Primary&gt;Blair,E.&lt;/Authors_Primary&gt;&lt;Date_Primary&gt;2007/5&lt;/Date_Primary&gt;&lt;Keywords&gt;analysis&lt;/Keywords&gt;&lt;Keywords&gt;Cardiomyopathy,Hypertrophic,Familial&lt;/Keywords&gt;&lt;Keywords&gt;Data Collection&lt;/Keywords&gt;&lt;Keywords&gt;Decision Support Techniques&lt;/Keywords&gt;&lt;Keywords&gt;Disease&lt;/Keywords&gt;&lt;Keywords&gt;Dna&lt;/Keywords&gt;&lt;Keywords&gt;economics&lt;/Keywords&gt;&lt;Keywords&gt;genetics&lt;/Keywords&gt;&lt;Keywords&gt;Health&lt;/Keywords&gt;&lt;Keywords&gt;Humans&lt;/Keywords&gt;&lt;Keywords&gt;methods&lt;/Keywords&gt;&lt;Keywords&gt;Models,Economic&lt;/Keywords&gt;&lt;Keywords&gt;patient&lt;/Keywords&gt;&lt;Keywords&gt;Pilot Projects&lt;/Keywords&gt;&lt;Keywords&gt;population&lt;/Keywords&gt;&lt;Keywords&gt;Questionnaires&lt;/Keywords&gt;&lt;Keywords&gt;Reproducibility of Results&lt;/Keywords&gt;&lt;Keywords&gt;Research&lt;/Keywords&gt;&lt;Keywords&gt;Software&lt;/Keywords&gt;&lt;Keywords&gt;Uncertainty&lt;/Keywords&gt;&lt;Keywords&gt;User-Computer Interface&lt;/Keywords&gt;&lt;Reprint&gt;Not in File&lt;/Reprint&gt;&lt;Start_Page&gt;195&lt;/Start_Page&gt;&lt;End_Page&gt;203&lt;/End_Page&gt;&lt;Periodical&gt;Value.Health.&lt;/Periodical&gt;&lt;Volume&gt;10&lt;/Volume&gt;&lt;Issue&gt;3&lt;/Issue&gt;&lt;User_Def_1&gt;Elicitation&lt;/User_Def_1&gt;&lt;ZZ_JournalStdAbbrev&gt;&lt;f name="System"&gt;Value.Health.&lt;/f&gt;&lt;/ZZ_JournalStdAbbrev&gt;&lt;ZZ_WorkformID&gt;1&lt;/ZZ_WorkformID&gt;&lt;/MDL&gt;&lt;/Cite&gt;&lt;/Refman&gt;</w:instrText>
            </w:r>
            <w:r w:rsidRPr="00462288">
              <w:rPr>
                <w:sz w:val="20"/>
              </w:rPr>
              <w:fldChar w:fldCharType="separate"/>
            </w:r>
            <w:r w:rsidR="00DF14BD">
              <w:rPr>
                <w:sz w:val="20"/>
              </w:rPr>
              <w:t>(257)</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Harmanec</w:t>
            </w:r>
            <w:r>
              <w:rPr>
                <w:rFonts w:cs="Times New Roman"/>
                <w:sz w:val="18"/>
              </w:rPr>
              <w:t xml:space="preserve"> (1999)</w:t>
            </w:r>
          </w:p>
        </w:tc>
        <w:tc>
          <w:tcPr>
            <w:tcW w:w="6379" w:type="dxa"/>
          </w:tcPr>
          <w:p w:rsidR="00B97965" w:rsidRPr="00462288" w:rsidRDefault="00B97965" w:rsidP="00B97965">
            <w:pPr>
              <w:rPr>
                <w:sz w:val="20"/>
              </w:rPr>
            </w:pPr>
            <w:r w:rsidRPr="00462288">
              <w:rPr>
                <w:rFonts w:cs="Times New Roman"/>
                <w:sz w:val="18"/>
              </w:rPr>
              <w:t>Decision analytic approach to severe head injury management</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&lt;Refman&gt;&lt;Cite&gt;&lt;Author&gt;Harmanec&lt;/Author&gt;&lt;Year&gt;1999&lt;/Year&gt;&lt;RecNum&gt;125&lt;/RecNum&gt;&lt;IDText&gt;Decision analytic approach to severe head injury management&lt;/IDText&gt;&lt;MDL Ref_Type="Journal"&gt;&lt;Ref_Type&gt;Journal&lt;/Ref_Type&gt;&lt;Ref_ID&gt;125&lt;/Ref_ID&gt;&lt;Title_Primary&gt;Decision analytic approach to severe head injury management&lt;/Title_Primary&gt;&lt;Authors_Primary&gt;Harmanec,D.&lt;/Authors_Primary&gt;&lt;Authors_Primary&gt;Leong,T.Y.&lt;/Authors_Primary&gt;&lt;Authors_Primary&gt;Sundaresh,S.&lt;/Authors_Primary&gt;&lt;Authors_Primary&gt;Poh,K.L.&lt;/Authors_Primary&gt;&lt;Authors_Primary&gt;Yeo,T.T.&lt;/Authors_Primary&gt;&lt;Authors_Primary&gt;Ng,I.&lt;/Authors_Primary&gt;&lt;Authors_Primary&gt;Lew,T.W.&lt;/Authors_Primary&gt;&lt;Date_Primary&gt;1999&lt;/Date_Primary&gt;&lt;Keywords&gt;classification&lt;/Keywords&gt;&lt;Keywords&gt;Craniocerebral Trauma&lt;/Keywords&gt;&lt;Keywords&gt;Decision Support Techniques&lt;/Keywords&gt;&lt;Keywords&gt;Feasibility Studies&lt;/Keywords&gt;&lt;Keywords&gt;Humans&lt;/Keywords&gt;&lt;Keywords&gt;Intensive Care&lt;/Keywords&gt;&lt;Keywords&gt;therapy&lt;/Keywords&gt;&lt;Keywords&gt;Trauma Severity Indices&lt;/Keywords&gt;&lt;Reprint&gt;Not in File&lt;/Reprint&gt;&lt;Start_Page&gt;271&lt;/Start_Page&gt;&lt;End_Page&gt;275&lt;/End_Page&gt;&lt;Periodical&gt;Proc.AMIA.Symp.&lt;/Periodical&gt;&lt;User_Def_1&gt;elicitation&lt;/User_Def_1&gt;&lt;ZZ_JournalStdAbbrev&gt;&lt;f name="System"&gt;Proc.AMIA.Symp.&lt;/f&gt;&lt;/ZZ_JournalStdAbbrev&gt;&lt;ZZ_WorkformID&gt;1&lt;/ZZ_WorkformID&gt;&lt;/MDL&gt;&lt;/Cite&gt;&lt;/Refman&gt;</w:instrText>
            </w:r>
            <w:r w:rsidRPr="00462288">
              <w:rPr>
                <w:sz w:val="20"/>
              </w:rPr>
              <w:fldChar w:fldCharType="separate"/>
            </w:r>
            <w:r w:rsidR="00DF14BD">
              <w:rPr>
                <w:sz w:val="20"/>
              </w:rPr>
              <w:t>(258)</w:t>
            </w:r>
            <w:r w:rsidRPr="00462288">
              <w:rPr>
                <w:sz w:val="20"/>
              </w:rPr>
              <w:fldChar w:fldCharType="end"/>
            </w:r>
          </w:p>
        </w:tc>
      </w:tr>
      <w:tr w:rsidR="00B97965" w:rsidRPr="00462288" w:rsidTr="00B97965">
        <w:tc>
          <w:tcPr>
            <w:tcW w:w="1526" w:type="dxa"/>
          </w:tcPr>
          <w:p w:rsidR="00B97965" w:rsidRPr="00462288" w:rsidRDefault="00B97965" w:rsidP="00B97965">
            <w:pPr>
              <w:rPr>
                <w:sz w:val="20"/>
              </w:rPr>
            </w:pPr>
            <w:r w:rsidRPr="00462288">
              <w:rPr>
                <w:rFonts w:cs="Times New Roman"/>
                <w:sz w:val="18"/>
              </w:rPr>
              <w:t>Soares2011</w:t>
            </w:r>
            <w:r>
              <w:rPr>
                <w:rFonts w:cs="Times New Roman"/>
                <w:sz w:val="18"/>
              </w:rPr>
              <w:t>)</w:t>
            </w:r>
          </w:p>
        </w:tc>
        <w:tc>
          <w:tcPr>
            <w:tcW w:w="6379" w:type="dxa"/>
          </w:tcPr>
          <w:p w:rsidR="00B97965" w:rsidRPr="00462288" w:rsidRDefault="00B97965" w:rsidP="00B97965">
            <w:pPr>
              <w:rPr>
                <w:sz w:val="20"/>
              </w:rPr>
            </w:pPr>
            <w:r w:rsidRPr="00462288">
              <w:rPr>
                <w:sz w:val="20"/>
              </w:rPr>
              <w:t>Methods to elicit experts' beliefs over uncertain quantities: application to a cost effectiveness transition model of negative pressure wound therapy for severe pressure ulceration</w:t>
            </w:r>
          </w:p>
        </w:tc>
        <w:tc>
          <w:tcPr>
            <w:tcW w:w="1337" w:type="dxa"/>
          </w:tcPr>
          <w:p w:rsidR="00B97965" w:rsidRPr="00462288" w:rsidRDefault="00E729BA" w:rsidP="00B97965">
            <w:pPr>
              <w:rPr>
                <w:sz w:val="20"/>
              </w:rPr>
            </w:pPr>
            <w:r w:rsidRPr="00462288">
              <w:rPr>
                <w:sz w:val="20"/>
              </w:rPr>
              <w:fldChar w:fldCharType="begin"/>
            </w:r>
            <w:r w:rsidR="00FC61FD">
              <w:rPr>
                <w:sz w:val="20"/>
              </w:rPr>
              <w:instrText xml:space="preserve"> ADDIN REFMGR.CITE &lt;Refman&gt;&lt;Cite&gt;&lt;Author&gt;Soares&lt;/Author&gt;&lt;Year&gt;2011&lt;/Year&gt;&lt;RecNum&gt;1514&lt;/RecNum&gt;&lt;IDText&gt;Methods to elicit experts&amp;apos; beliefs over uncertain quantities: application to a cost effectiveness transition model of negative pressure wound therapy for severe pressure ulceration&lt;/IDText&gt;&lt;MDL Ref_Type="Journal"&gt;&lt;Ref_Type&gt;Journal&lt;/Ref_Type&gt;&lt;Ref_ID&gt;1514&lt;/Ref_ID&gt;&lt;Title_Primary&gt;Methods to elicit experts&amp;apos; beliefs over uncertain quantities: application to a cost effectiveness transition model of negative pressure wound therapy for severe pressure ulceration&lt;/Title_Primary&gt;&lt;Authors_Primary&gt;Soares,M.O.&lt;/Authors_Primary&gt;&lt;Authors_Primary&gt;Bojke,L.&lt;/Authors_Primary&gt;&lt;Authors_Primary&gt;Dumville,J.&lt;/Authors_Primary&gt;&lt;Authors_Primary&gt;Iglesias,C.&lt;/Authors_Primary&gt;&lt;Authors_Primary&gt;Cullum,N.&lt;/Authors_Primary&gt;&lt;Authors_Primary&gt;Claxton,K.&lt;/Authors_Primary&gt;&lt;Date_Primary&gt;2011/8/30&lt;/Date_Primary&gt;&lt;Keywords&gt;analysis&lt;/Keywords&gt;&lt;Keywords&gt;economics&lt;/Keywords&gt;&lt;Keywords&gt;Health&lt;/Keywords&gt;&lt;Keywords&gt;methods&lt;/Keywords&gt;&lt;Keywords&gt;Research&lt;/Keywords&gt;&lt;Keywords&gt;therapy&lt;/Keywords&gt;&lt;Keywords&gt;Uncertainty&lt;/Keywords&gt;&lt;Reprint&gt;Not in File&lt;/Reprint&gt;&lt;Start_Page&gt;2363&lt;/Start_Page&gt;&lt;End_Page&gt;2380&lt;/End_Page&gt;&lt;Periodical&gt;Stat.Med.&lt;/Periodical&gt;&lt;Volume&gt;30&lt;/Volume&gt;&lt;Issue&gt;19&lt;/Issue&gt;&lt;User_Def_1&gt;elicitation&lt;/User_Def_1&gt;&lt;ZZ_JournalStdAbbrev&gt;&lt;f name="System"&gt;Stat.Med.&lt;/f&gt;&lt;/ZZ_JournalStdAbbrev&gt;&lt;ZZ_WorkformID&gt;1&lt;/ZZ_WorkformID&gt;&lt;/MDL&gt;&lt;/Cite&gt;&lt;/Refman&gt;</w:instrText>
            </w:r>
            <w:r w:rsidRPr="00462288">
              <w:rPr>
                <w:sz w:val="20"/>
              </w:rPr>
              <w:fldChar w:fldCharType="separate"/>
            </w:r>
            <w:r w:rsidR="0081424E">
              <w:rPr>
                <w:sz w:val="20"/>
              </w:rPr>
              <w:t>(223)</w:t>
            </w:r>
            <w:r w:rsidRPr="00462288">
              <w:rPr>
                <w:sz w:val="20"/>
              </w:rPr>
              <w:fldChar w:fldCharType="end"/>
            </w:r>
          </w:p>
        </w:tc>
      </w:tr>
    </w:tbl>
    <w:p w:rsidR="00B97965" w:rsidRDefault="00B97965" w:rsidP="00B97965"/>
    <w:p w:rsidR="00B97965" w:rsidRDefault="00B97965" w:rsidP="00B97965">
      <w:pPr>
        <w:sectPr w:rsidR="00B97965" w:rsidSect="00221DD6">
          <w:footerReference w:type="default" r:id="rId82"/>
          <w:pgSz w:w="11906" w:h="16838"/>
          <w:pgMar w:top="1440" w:right="1440" w:bottom="1440" w:left="2268" w:header="709" w:footer="709" w:gutter="0"/>
          <w:cols w:space="708"/>
          <w:docGrid w:linePitch="360"/>
        </w:sectPr>
      </w:pPr>
    </w:p>
    <w:p w:rsidR="00B97965" w:rsidRDefault="00B97965" w:rsidP="00B97965"/>
    <w:p w:rsidR="00B97965" w:rsidRDefault="00B97965" w:rsidP="00234693">
      <w:pPr>
        <w:pStyle w:val="Caption"/>
      </w:pPr>
      <w:bookmarkStart w:id="706" w:name="_Ref302571965"/>
      <w:r>
        <w:t xml:space="preserve">Table </w:t>
      </w:r>
      <w:fldSimple w:instr=" SEQ Table \* ARABIC ">
        <w:r w:rsidR="004911B7">
          <w:rPr>
            <w:noProof/>
          </w:rPr>
          <w:t>107</w:t>
        </w:r>
      </w:fldSimple>
      <w:bookmarkEnd w:id="706"/>
      <w:r>
        <w:t xml:space="preserve">: Summary of elicitation methods used </w:t>
      </w:r>
    </w:p>
    <w:tbl>
      <w:tblPr>
        <w:tblStyle w:val="TableGrid"/>
        <w:tblW w:w="14119" w:type="dxa"/>
        <w:tblLayout w:type="fixed"/>
        <w:tblCellMar>
          <w:left w:w="85" w:type="dxa"/>
          <w:right w:w="85" w:type="dxa"/>
        </w:tblCellMar>
        <w:tblLook w:val="04A0"/>
      </w:tblPr>
      <w:tblGrid>
        <w:gridCol w:w="1135"/>
        <w:gridCol w:w="2494"/>
        <w:gridCol w:w="1276"/>
        <w:gridCol w:w="1417"/>
        <w:gridCol w:w="2599"/>
        <w:gridCol w:w="2599"/>
        <w:gridCol w:w="2599"/>
      </w:tblGrid>
      <w:tr w:rsidR="00B97965" w:rsidRPr="00E2664A" w:rsidTr="00B97965">
        <w:tc>
          <w:tcPr>
            <w:tcW w:w="1135" w:type="dxa"/>
          </w:tcPr>
          <w:p w:rsidR="00B97965" w:rsidRPr="00E2664A" w:rsidRDefault="00B97965" w:rsidP="00B97965">
            <w:pPr>
              <w:spacing w:line="240" w:lineRule="auto"/>
              <w:rPr>
                <w:sz w:val="20"/>
              </w:rPr>
            </w:pPr>
            <w:r w:rsidRPr="00E2664A">
              <w:rPr>
                <w:sz w:val="20"/>
              </w:rPr>
              <w:t>Study</w:t>
            </w:r>
          </w:p>
        </w:tc>
        <w:tc>
          <w:tcPr>
            <w:tcW w:w="2494" w:type="dxa"/>
          </w:tcPr>
          <w:p w:rsidR="00B97965" w:rsidRPr="00E2664A" w:rsidRDefault="00B97965" w:rsidP="00B97965">
            <w:pPr>
              <w:spacing w:line="240" w:lineRule="auto"/>
              <w:rPr>
                <w:sz w:val="20"/>
              </w:rPr>
            </w:pPr>
            <w:r w:rsidRPr="00E2664A">
              <w:rPr>
                <w:sz w:val="20"/>
              </w:rPr>
              <w:t>Selection of participants</w:t>
            </w:r>
          </w:p>
        </w:tc>
        <w:tc>
          <w:tcPr>
            <w:tcW w:w="1276" w:type="dxa"/>
          </w:tcPr>
          <w:p w:rsidR="00B97965" w:rsidRPr="00E2664A" w:rsidRDefault="00B97965" w:rsidP="00B97965">
            <w:pPr>
              <w:spacing w:line="240" w:lineRule="auto"/>
              <w:rPr>
                <w:sz w:val="20"/>
              </w:rPr>
            </w:pPr>
            <w:r w:rsidRPr="00E2664A">
              <w:rPr>
                <w:sz w:val="20"/>
              </w:rPr>
              <w:t>Number of participants</w:t>
            </w:r>
          </w:p>
        </w:tc>
        <w:tc>
          <w:tcPr>
            <w:tcW w:w="1417" w:type="dxa"/>
          </w:tcPr>
          <w:p w:rsidR="00B97965" w:rsidRPr="00E2664A" w:rsidRDefault="00B97965" w:rsidP="00B97965">
            <w:pPr>
              <w:spacing w:line="240" w:lineRule="auto"/>
              <w:rPr>
                <w:sz w:val="20"/>
              </w:rPr>
            </w:pPr>
            <w:r w:rsidRPr="00E2664A">
              <w:rPr>
                <w:sz w:val="20"/>
              </w:rPr>
              <w:t>Survey or face to face</w:t>
            </w:r>
          </w:p>
        </w:tc>
        <w:tc>
          <w:tcPr>
            <w:tcW w:w="2599" w:type="dxa"/>
          </w:tcPr>
          <w:p w:rsidR="00B97965" w:rsidRPr="00E2664A" w:rsidRDefault="00B97965" w:rsidP="00B97965">
            <w:pPr>
              <w:spacing w:line="240" w:lineRule="auto"/>
              <w:rPr>
                <w:sz w:val="20"/>
              </w:rPr>
            </w:pPr>
            <w:r w:rsidRPr="00E2664A">
              <w:rPr>
                <w:sz w:val="20"/>
              </w:rPr>
              <w:t>Pre-elicitation training of participants</w:t>
            </w:r>
          </w:p>
        </w:tc>
        <w:tc>
          <w:tcPr>
            <w:tcW w:w="2599" w:type="dxa"/>
          </w:tcPr>
          <w:p w:rsidR="00B97965" w:rsidRPr="00E2664A" w:rsidRDefault="00B97965" w:rsidP="00B97965">
            <w:pPr>
              <w:spacing w:line="240" w:lineRule="auto"/>
              <w:rPr>
                <w:sz w:val="20"/>
              </w:rPr>
            </w:pPr>
            <w:r w:rsidRPr="00E2664A">
              <w:rPr>
                <w:sz w:val="20"/>
              </w:rPr>
              <w:t>Elicitation technique</w:t>
            </w:r>
          </w:p>
        </w:tc>
        <w:tc>
          <w:tcPr>
            <w:tcW w:w="2599" w:type="dxa"/>
          </w:tcPr>
          <w:p w:rsidR="00B97965" w:rsidRPr="00E2664A" w:rsidRDefault="00B97965" w:rsidP="00B97965">
            <w:pPr>
              <w:spacing w:line="240" w:lineRule="auto"/>
              <w:rPr>
                <w:sz w:val="20"/>
              </w:rPr>
            </w:pPr>
            <w:r w:rsidRPr="00E2664A">
              <w:rPr>
                <w:sz w:val="20"/>
              </w:rPr>
              <w:t>Synthesis</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Soares (2010)</w:t>
            </w:r>
          </w:p>
        </w:tc>
        <w:tc>
          <w:tcPr>
            <w:tcW w:w="2494" w:type="dxa"/>
          </w:tcPr>
          <w:p w:rsidR="00B97965" w:rsidRPr="00E2664A" w:rsidRDefault="00B97965" w:rsidP="00B97965">
            <w:pPr>
              <w:spacing w:line="240" w:lineRule="auto"/>
              <w:rPr>
                <w:sz w:val="20"/>
              </w:rPr>
            </w:pPr>
            <w:r w:rsidRPr="00E2664A">
              <w:rPr>
                <w:sz w:val="20"/>
              </w:rPr>
              <w:t>Nurses with knowledge and experience of patient management</w:t>
            </w:r>
          </w:p>
        </w:tc>
        <w:tc>
          <w:tcPr>
            <w:tcW w:w="1276" w:type="dxa"/>
          </w:tcPr>
          <w:p w:rsidR="00B97965" w:rsidRPr="00E2664A" w:rsidRDefault="00B97965" w:rsidP="00B97965">
            <w:pPr>
              <w:spacing w:line="240" w:lineRule="auto"/>
              <w:rPr>
                <w:sz w:val="20"/>
              </w:rPr>
            </w:pPr>
            <w:r w:rsidRPr="00E2664A">
              <w:rPr>
                <w:sz w:val="20"/>
              </w:rPr>
              <w:t>23</w:t>
            </w:r>
          </w:p>
        </w:tc>
        <w:tc>
          <w:tcPr>
            <w:tcW w:w="1417" w:type="dxa"/>
          </w:tcPr>
          <w:p w:rsidR="00B97965" w:rsidRPr="00E2664A" w:rsidRDefault="00B97965" w:rsidP="00B97965">
            <w:pPr>
              <w:spacing w:line="240" w:lineRule="auto"/>
              <w:rPr>
                <w:sz w:val="20"/>
              </w:rPr>
            </w:pPr>
            <w:r>
              <w:rPr>
                <w:sz w:val="20"/>
              </w:rPr>
              <w:t>Group face to face</w:t>
            </w:r>
          </w:p>
        </w:tc>
        <w:tc>
          <w:tcPr>
            <w:tcW w:w="2599" w:type="dxa"/>
          </w:tcPr>
          <w:p w:rsidR="00B97965" w:rsidRPr="00E2664A" w:rsidRDefault="00B97965" w:rsidP="00B97965">
            <w:pPr>
              <w:spacing w:line="240" w:lineRule="auto"/>
              <w:rPr>
                <w:sz w:val="20"/>
              </w:rPr>
            </w:pPr>
            <w:r w:rsidRPr="00E2664A">
              <w:rPr>
                <w:sz w:val="20"/>
              </w:rPr>
              <w:t>A talk on the concepts and questions covered in the exercise and example exercises.</w:t>
            </w:r>
          </w:p>
        </w:tc>
        <w:tc>
          <w:tcPr>
            <w:tcW w:w="2599" w:type="dxa"/>
          </w:tcPr>
          <w:p w:rsidR="00B97965" w:rsidRPr="00E2664A" w:rsidRDefault="00B97965" w:rsidP="00B97965">
            <w:pPr>
              <w:spacing w:line="240" w:lineRule="auto"/>
              <w:rPr>
                <w:sz w:val="20"/>
              </w:rPr>
            </w:pPr>
            <w:r w:rsidRPr="00E2664A">
              <w:rPr>
                <w:sz w:val="20"/>
              </w:rPr>
              <w:t>Histogram with discrete numerical scale. Respondents used 21 crosses to express distribution.</w:t>
            </w:r>
          </w:p>
        </w:tc>
        <w:tc>
          <w:tcPr>
            <w:tcW w:w="2599" w:type="dxa"/>
          </w:tcPr>
          <w:p w:rsidR="00B97965" w:rsidRPr="00E2664A" w:rsidRDefault="00B97965" w:rsidP="00B97965">
            <w:pPr>
              <w:spacing w:line="240" w:lineRule="auto"/>
              <w:rPr>
                <w:sz w:val="20"/>
              </w:rPr>
            </w:pPr>
            <w:r w:rsidRPr="00E2664A">
              <w:rPr>
                <w:sz w:val="20"/>
              </w:rPr>
              <w:t>Linear pooling with equal weights.</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 xml:space="preserve">Harmanec (1999) </w:t>
            </w:r>
          </w:p>
        </w:tc>
        <w:tc>
          <w:tcPr>
            <w:tcW w:w="2494" w:type="dxa"/>
          </w:tcPr>
          <w:p w:rsidR="00B97965" w:rsidRPr="00E2664A" w:rsidRDefault="00B97965" w:rsidP="00B97965">
            <w:pPr>
              <w:spacing w:line="240" w:lineRule="auto"/>
              <w:rPr>
                <w:sz w:val="20"/>
              </w:rPr>
            </w:pPr>
            <w:r w:rsidRPr="00E2664A">
              <w:rPr>
                <w:sz w:val="20"/>
              </w:rPr>
              <w:t>Doctors</w:t>
            </w:r>
          </w:p>
        </w:tc>
        <w:tc>
          <w:tcPr>
            <w:tcW w:w="1276" w:type="dxa"/>
          </w:tcPr>
          <w:p w:rsidR="00B97965" w:rsidRPr="00E2664A" w:rsidRDefault="00B97965" w:rsidP="00B97965">
            <w:pPr>
              <w:spacing w:line="240" w:lineRule="auto"/>
              <w:rPr>
                <w:sz w:val="20"/>
              </w:rPr>
            </w:pPr>
            <w:r w:rsidRPr="00E2664A">
              <w:rPr>
                <w:sz w:val="20"/>
              </w:rPr>
              <w:t>Not reported</w:t>
            </w:r>
          </w:p>
        </w:tc>
        <w:tc>
          <w:tcPr>
            <w:tcW w:w="1417" w:type="dxa"/>
          </w:tcPr>
          <w:p w:rsidR="00B97965" w:rsidRPr="00E2664A" w:rsidRDefault="00B97965" w:rsidP="00B97965">
            <w:pPr>
              <w:spacing w:line="240" w:lineRule="auto"/>
              <w:rPr>
                <w:sz w:val="20"/>
              </w:rPr>
            </w:pPr>
            <w:r>
              <w:rPr>
                <w:sz w:val="20"/>
              </w:rPr>
              <w:t>Not reported</w:t>
            </w:r>
          </w:p>
        </w:tc>
        <w:tc>
          <w:tcPr>
            <w:tcW w:w="2599" w:type="dxa"/>
          </w:tcPr>
          <w:p w:rsidR="00B97965" w:rsidRPr="00E2664A" w:rsidRDefault="00B97965" w:rsidP="00B97965">
            <w:pPr>
              <w:spacing w:line="240" w:lineRule="auto"/>
              <w:rPr>
                <w:sz w:val="20"/>
              </w:rPr>
            </w:pPr>
            <w:r w:rsidRPr="00E2664A">
              <w:rPr>
                <w:sz w:val="20"/>
              </w:rPr>
              <w:t>Not reported</w:t>
            </w:r>
          </w:p>
        </w:tc>
        <w:tc>
          <w:tcPr>
            <w:tcW w:w="2599" w:type="dxa"/>
          </w:tcPr>
          <w:p w:rsidR="00B97965" w:rsidRPr="00E2664A" w:rsidRDefault="00B97965" w:rsidP="00B97965">
            <w:pPr>
              <w:spacing w:line="240" w:lineRule="auto"/>
              <w:rPr>
                <w:sz w:val="20"/>
              </w:rPr>
            </w:pPr>
            <w:r w:rsidRPr="00E2664A">
              <w:rPr>
                <w:sz w:val="20"/>
              </w:rPr>
              <w:t>Doctors reported point estimate probabilities</w:t>
            </w:r>
          </w:p>
        </w:tc>
        <w:tc>
          <w:tcPr>
            <w:tcW w:w="2599" w:type="dxa"/>
          </w:tcPr>
          <w:p w:rsidR="00B97965" w:rsidRPr="00E2664A" w:rsidRDefault="00B97965" w:rsidP="00B97965">
            <w:pPr>
              <w:spacing w:line="240" w:lineRule="auto"/>
              <w:rPr>
                <w:sz w:val="20"/>
              </w:rPr>
            </w:pPr>
            <w:r w:rsidRPr="00E2664A">
              <w:rPr>
                <w:sz w:val="20"/>
              </w:rPr>
              <w:t>Not reported</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Gart</w:t>
            </w:r>
            <w:r>
              <w:rPr>
                <w:sz w:val="20"/>
              </w:rPr>
              <w:t>h</w:t>
            </w:r>
            <w:r w:rsidRPr="00E2664A">
              <w:rPr>
                <w:sz w:val="20"/>
              </w:rPr>
              <w:t>waite (2008)</w:t>
            </w:r>
          </w:p>
        </w:tc>
        <w:tc>
          <w:tcPr>
            <w:tcW w:w="2494" w:type="dxa"/>
          </w:tcPr>
          <w:p w:rsidR="00B97965" w:rsidRPr="00E2664A" w:rsidRDefault="00B97965" w:rsidP="00B97965">
            <w:pPr>
              <w:spacing w:line="240" w:lineRule="auto"/>
              <w:rPr>
                <w:sz w:val="20"/>
              </w:rPr>
            </w:pPr>
            <w:r w:rsidRPr="00E2664A">
              <w:rPr>
                <w:sz w:val="20"/>
              </w:rPr>
              <w:t>Medical experts with experience in a range of issues in the decision model</w:t>
            </w:r>
          </w:p>
        </w:tc>
        <w:tc>
          <w:tcPr>
            <w:tcW w:w="1276" w:type="dxa"/>
          </w:tcPr>
          <w:p w:rsidR="00B97965" w:rsidRPr="00E2664A" w:rsidRDefault="00B97965" w:rsidP="00B97965">
            <w:pPr>
              <w:spacing w:line="240" w:lineRule="auto"/>
              <w:rPr>
                <w:sz w:val="20"/>
              </w:rPr>
            </w:pPr>
            <w:r w:rsidRPr="00E2664A">
              <w:rPr>
                <w:sz w:val="20"/>
              </w:rPr>
              <w:t>4</w:t>
            </w:r>
          </w:p>
        </w:tc>
        <w:tc>
          <w:tcPr>
            <w:tcW w:w="1417" w:type="dxa"/>
          </w:tcPr>
          <w:p w:rsidR="00B97965" w:rsidRPr="00E2664A" w:rsidRDefault="00B97965" w:rsidP="00B97965">
            <w:pPr>
              <w:spacing w:line="240" w:lineRule="auto"/>
              <w:rPr>
                <w:sz w:val="20"/>
              </w:rPr>
            </w:pPr>
            <w:r>
              <w:rPr>
                <w:sz w:val="20"/>
              </w:rPr>
              <w:t>Face to face</w:t>
            </w:r>
          </w:p>
        </w:tc>
        <w:tc>
          <w:tcPr>
            <w:tcW w:w="2599" w:type="dxa"/>
          </w:tcPr>
          <w:p w:rsidR="00B97965" w:rsidRPr="00E2664A" w:rsidRDefault="00B97965" w:rsidP="00B97965">
            <w:pPr>
              <w:spacing w:line="240" w:lineRule="auto"/>
              <w:rPr>
                <w:sz w:val="20"/>
              </w:rPr>
            </w:pPr>
            <w:r w:rsidRPr="00E2664A">
              <w:rPr>
                <w:sz w:val="20"/>
              </w:rPr>
              <w:t>An outline of the questions to be asked, and consultation on what covariates to include.</w:t>
            </w:r>
          </w:p>
        </w:tc>
        <w:tc>
          <w:tcPr>
            <w:tcW w:w="2599" w:type="dxa"/>
          </w:tcPr>
          <w:p w:rsidR="00B97965" w:rsidRPr="00E2664A" w:rsidRDefault="00B97965" w:rsidP="00B97965">
            <w:pPr>
              <w:spacing w:line="240" w:lineRule="auto"/>
              <w:rPr>
                <w:sz w:val="20"/>
              </w:rPr>
            </w:pPr>
            <w:r w:rsidRPr="00E2664A">
              <w:rPr>
                <w:sz w:val="20"/>
              </w:rPr>
              <w:t>Median and quartile selection with covariates.</w:t>
            </w:r>
          </w:p>
        </w:tc>
        <w:tc>
          <w:tcPr>
            <w:tcW w:w="2599" w:type="dxa"/>
          </w:tcPr>
          <w:p w:rsidR="00B97965" w:rsidRPr="00E2664A" w:rsidRDefault="00B97965" w:rsidP="00B97965">
            <w:pPr>
              <w:spacing w:line="240" w:lineRule="auto"/>
              <w:rPr>
                <w:sz w:val="20"/>
              </w:rPr>
            </w:pPr>
            <w:r w:rsidRPr="00E2664A">
              <w:rPr>
                <w:sz w:val="20"/>
              </w:rPr>
              <w:t>The model uses one response from an expert and uncertainty in increased if other experts have different responses.</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Leal (2007)</w:t>
            </w:r>
          </w:p>
        </w:tc>
        <w:tc>
          <w:tcPr>
            <w:tcW w:w="2494" w:type="dxa"/>
          </w:tcPr>
          <w:p w:rsidR="00B97965" w:rsidRPr="00E2664A" w:rsidRDefault="00B97965" w:rsidP="00B97965">
            <w:pPr>
              <w:spacing w:line="240" w:lineRule="auto"/>
              <w:rPr>
                <w:sz w:val="20"/>
              </w:rPr>
            </w:pPr>
            <w:r w:rsidRPr="00E2664A">
              <w:rPr>
                <w:sz w:val="20"/>
              </w:rPr>
              <w:t>Genetic experts and cardiologists. Experts were selected from different geographic locations in the UK</w:t>
            </w:r>
          </w:p>
        </w:tc>
        <w:tc>
          <w:tcPr>
            <w:tcW w:w="1276" w:type="dxa"/>
          </w:tcPr>
          <w:p w:rsidR="00B97965" w:rsidRPr="00E2664A" w:rsidRDefault="00B97965" w:rsidP="00B97965">
            <w:pPr>
              <w:spacing w:line="240" w:lineRule="auto"/>
              <w:rPr>
                <w:sz w:val="20"/>
              </w:rPr>
            </w:pPr>
            <w:r w:rsidRPr="00E2664A">
              <w:rPr>
                <w:sz w:val="20"/>
              </w:rPr>
              <w:t>7</w:t>
            </w:r>
          </w:p>
        </w:tc>
        <w:tc>
          <w:tcPr>
            <w:tcW w:w="1417" w:type="dxa"/>
          </w:tcPr>
          <w:p w:rsidR="00B97965" w:rsidRPr="00E2664A" w:rsidRDefault="00B97965" w:rsidP="00B97965">
            <w:pPr>
              <w:spacing w:line="240" w:lineRule="auto"/>
              <w:rPr>
                <w:sz w:val="20"/>
              </w:rPr>
            </w:pPr>
            <w:r>
              <w:rPr>
                <w:sz w:val="20"/>
              </w:rPr>
              <w:t>Questionnaire and face to face</w:t>
            </w:r>
          </w:p>
        </w:tc>
        <w:tc>
          <w:tcPr>
            <w:tcW w:w="2599" w:type="dxa"/>
          </w:tcPr>
          <w:p w:rsidR="00B97965" w:rsidRPr="00E2664A" w:rsidRDefault="00B97965" w:rsidP="00B97965">
            <w:pPr>
              <w:spacing w:line="240" w:lineRule="auto"/>
              <w:rPr>
                <w:sz w:val="20"/>
              </w:rPr>
            </w:pPr>
            <w:r w:rsidRPr="00E2664A">
              <w:rPr>
                <w:sz w:val="20"/>
              </w:rPr>
              <w:t xml:space="preserve">An email explaining the goal of the questionnaire. </w:t>
            </w:r>
          </w:p>
        </w:tc>
        <w:tc>
          <w:tcPr>
            <w:tcW w:w="2599" w:type="dxa"/>
          </w:tcPr>
          <w:p w:rsidR="00B97965" w:rsidRPr="00E2664A" w:rsidRDefault="00B97965" w:rsidP="00B97965">
            <w:pPr>
              <w:spacing w:line="240" w:lineRule="auto"/>
              <w:rPr>
                <w:sz w:val="20"/>
              </w:rPr>
            </w:pPr>
            <w:r w:rsidRPr="00E2664A">
              <w:rPr>
                <w:sz w:val="20"/>
              </w:rPr>
              <w:t>Four complimentary intervals.</w:t>
            </w:r>
          </w:p>
        </w:tc>
        <w:tc>
          <w:tcPr>
            <w:tcW w:w="2599" w:type="dxa"/>
          </w:tcPr>
          <w:p w:rsidR="00B97965" w:rsidRPr="00E2664A" w:rsidRDefault="00B97965" w:rsidP="00B97965">
            <w:pPr>
              <w:spacing w:line="240" w:lineRule="auto"/>
              <w:rPr>
                <w:sz w:val="20"/>
              </w:rPr>
            </w:pPr>
            <w:r w:rsidRPr="00E2664A">
              <w:rPr>
                <w:sz w:val="20"/>
              </w:rPr>
              <w:t>Linear pooling with equal weights.</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McKenna (2010)</w:t>
            </w:r>
          </w:p>
        </w:tc>
        <w:tc>
          <w:tcPr>
            <w:tcW w:w="2494" w:type="dxa"/>
          </w:tcPr>
          <w:p w:rsidR="00B97965" w:rsidRPr="00E2664A" w:rsidRDefault="00B97965" w:rsidP="00B97965">
            <w:pPr>
              <w:spacing w:line="240" w:lineRule="auto"/>
              <w:rPr>
                <w:sz w:val="20"/>
              </w:rPr>
            </w:pPr>
            <w:r w:rsidRPr="00E2664A">
              <w:rPr>
                <w:sz w:val="20"/>
              </w:rPr>
              <w:t>Experience and clinical knowledge in the UK.</w:t>
            </w:r>
          </w:p>
        </w:tc>
        <w:tc>
          <w:tcPr>
            <w:tcW w:w="1276" w:type="dxa"/>
          </w:tcPr>
          <w:p w:rsidR="00B97965" w:rsidRPr="00E2664A" w:rsidRDefault="00B97965" w:rsidP="00B97965">
            <w:pPr>
              <w:spacing w:line="240" w:lineRule="auto"/>
              <w:rPr>
                <w:sz w:val="20"/>
              </w:rPr>
            </w:pPr>
            <w:r w:rsidRPr="00E2664A">
              <w:rPr>
                <w:sz w:val="20"/>
              </w:rPr>
              <w:t>5</w:t>
            </w:r>
          </w:p>
        </w:tc>
        <w:tc>
          <w:tcPr>
            <w:tcW w:w="1417" w:type="dxa"/>
          </w:tcPr>
          <w:p w:rsidR="00B97965" w:rsidRPr="00E2664A" w:rsidRDefault="00B97965" w:rsidP="00B97965">
            <w:pPr>
              <w:spacing w:line="240" w:lineRule="auto"/>
              <w:rPr>
                <w:sz w:val="20"/>
              </w:rPr>
            </w:pPr>
            <w:r>
              <w:rPr>
                <w:sz w:val="20"/>
              </w:rPr>
              <w:t>Questionnaire</w:t>
            </w:r>
          </w:p>
        </w:tc>
        <w:tc>
          <w:tcPr>
            <w:tcW w:w="2599" w:type="dxa"/>
          </w:tcPr>
          <w:p w:rsidR="00B97965" w:rsidRPr="00E2664A" w:rsidRDefault="00B97965" w:rsidP="00B97965">
            <w:pPr>
              <w:spacing w:line="240" w:lineRule="auto"/>
              <w:rPr>
                <w:sz w:val="20"/>
              </w:rPr>
            </w:pPr>
            <w:r w:rsidRPr="00E2664A">
              <w:rPr>
                <w:sz w:val="20"/>
              </w:rPr>
              <w:t>Not reported</w:t>
            </w:r>
          </w:p>
        </w:tc>
        <w:tc>
          <w:tcPr>
            <w:tcW w:w="2599" w:type="dxa"/>
          </w:tcPr>
          <w:p w:rsidR="00B97965" w:rsidRPr="00E2664A" w:rsidRDefault="00B97965" w:rsidP="00B97965">
            <w:pPr>
              <w:spacing w:line="240" w:lineRule="auto"/>
              <w:rPr>
                <w:sz w:val="20"/>
              </w:rPr>
            </w:pPr>
            <w:r w:rsidRPr="00E2664A">
              <w:rPr>
                <w:sz w:val="20"/>
              </w:rPr>
              <w:t>Frequency chart. Respondents used 20 crosses to express distribution.</w:t>
            </w:r>
          </w:p>
        </w:tc>
        <w:tc>
          <w:tcPr>
            <w:tcW w:w="2599" w:type="dxa"/>
          </w:tcPr>
          <w:p w:rsidR="00B97965" w:rsidRPr="00E2664A" w:rsidRDefault="00B97965" w:rsidP="00B97965">
            <w:pPr>
              <w:spacing w:line="240" w:lineRule="auto"/>
              <w:rPr>
                <w:sz w:val="20"/>
              </w:rPr>
            </w:pPr>
            <w:r w:rsidRPr="00E2664A">
              <w:rPr>
                <w:sz w:val="20"/>
              </w:rPr>
              <w:t xml:space="preserve">Linear pool with equal weights. </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Boike (2009)</w:t>
            </w:r>
          </w:p>
        </w:tc>
        <w:tc>
          <w:tcPr>
            <w:tcW w:w="2494" w:type="dxa"/>
          </w:tcPr>
          <w:p w:rsidR="00B97965" w:rsidRPr="00E2664A" w:rsidRDefault="00B97965" w:rsidP="00B97965">
            <w:pPr>
              <w:spacing w:line="240" w:lineRule="auto"/>
              <w:rPr>
                <w:sz w:val="20"/>
              </w:rPr>
            </w:pPr>
            <w:r>
              <w:rPr>
                <w:sz w:val="20"/>
              </w:rPr>
              <w:t>Senior rheumatologist with experience of disease activity index used in the model.</w:t>
            </w:r>
          </w:p>
        </w:tc>
        <w:tc>
          <w:tcPr>
            <w:tcW w:w="1276" w:type="dxa"/>
          </w:tcPr>
          <w:p w:rsidR="00B97965" w:rsidRPr="00E2664A" w:rsidRDefault="00B97965" w:rsidP="00B97965">
            <w:pPr>
              <w:spacing w:line="240" w:lineRule="auto"/>
              <w:rPr>
                <w:sz w:val="20"/>
              </w:rPr>
            </w:pPr>
            <w:r w:rsidRPr="00E2664A">
              <w:rPr>
                <w:sz w:val="20"/>
              </w:rPr>
              <w:t>5</w:t>
            </w:r>
          </w:p>
        </w:tc>
        <w:tc>
          <w:tcPr>
            <w:tcW w:w="1417" w:type="dxa"/>
          </w:tcPr>
          <w:p w:rsidR="00B97965" w:rsidRPr="00E2664A" w:rsidRDefault="00B97965" w:rsidP="00B97965">
            <w:pPr>
              <w:spacing w:line="240" w:lineRule="auto"/>
              <w:rPr>
                <w:sz w:val="20"/>
              </w:rPr>
            </w:pPr>
            <w:r>
              <w:rPr>
                <w:sz w:val="20"/>
              </w:rPr>
              <w:t>Questionnaire</w:t>
            </w:r>
          </w:p>
        </w:tc>
        <w:tc>
          <w:tcPr>
            <w:tcW w:w="2599" w:type="dxa"/>
          </w:tcPr>
          <w:p w:rsidR="00B97965" w:rsidRPr="00E2664A" w:rsidRDefault="00B97965" w:rsidP="00B97965">
            <w:pPr>
              <w:spacing w:line="240" w:lineRule="auto"/>
              <w:rPr>
                <w:sz w:val="20"/>
              </w:rPr>
            </w:pPr>
            <w:r w:rsidRPr="00E2664A">
              <w:rPr>
                <w:sz w:val="20"/>
              </w:rPr>
              <w:t>Not reported</w:t>
            </w:r>
          </w:p>
        </w:tc>
        <w:tc>
          <w:tcPr>
            <w:tcW w:w="2599" w:type="dxa"/>
          </w:tcPr>
          <w:p w:rsidR="00B97965" w:rsidRPr="00E2664A" w:rsidRDefault="00B97965" w:rsidP="00B97965">
            <w:pPr>
              <w:spacing w:line="240" w:lineRule="auto"/>
              <w:rPr>
                <w:sz w:val="20"/>
              </w:rPr>
            </w:pPr>
            <w:r w:rsidRPr="00E2664A">
              <w:rPr>
                <w:sz w:val="20"/>
              </w:rPr>
              <w:t>Histogram with a discrete numerical scale. Respondents used 20 crosses to express distribution.</w:t>
            </w:r>
          </w:p>
        </w:tc>
        <w:tc>
          <w:tcPr>
            <w:tcW w:w="2599" w:type="dxa"/>
          </w:tcPr>
          <w:p w:rsidR="00B97965" w:rsidRPr="00E2664A" w:rsidRDefault="00B97965" w:rsidP="00B97965">
            <w:pPr>
              <w:spacing w:line="240" w:lineRule="auto"/>
              <w:rPr>
                <w:sz w:val="20"/>
              </w:rPr>
            </w:pPr>
            <w:r w:rsidRPr="00E2664A">
              <w:rPr>
                <w:sz w:val="20"/>
              </w:rPr>
              <w:t>Linear pool with weights derived calibration questions and random effects meta-analysis.</w:t>
            </w:r>
          </w:p>
        </w:tc>
      </w:tr>
      <w:tr w:rsidR="00B97965" w:rsidRPr="00E2664A" w:rsidTr="00B97965">
        <w:tc>
          <w:tcPr>
            <w:tcW w:w="1135" w:type="dxa"/>
          </w:tcPr>
          <w:p w:rsidR="00B97965" w:rsidRPr="00E2664A" w:rsidRDefault="00B97965" w:rsidP="00B97965">
            <w:pPr>
              <w:spacing w:line="240" w:lineRule="auto"/>
              <w:rPr>
                <w:sz w:val="20"/>
              </w:rPr>
            </w:pPr>
            <w:r w:rsidRPr="00E2664A">
              <w:rPr>
                <w:sz w:val="20"/>
              </w:rPr>
              <w:t>Lau (1999)</w:t>
            </w:r>
          </w:p>
        </w:tc>
        <w:tc>
          <w:tcPr>
            <w:tcW w:w="2494" w:type="dxa"/>
          </w:tcPr>
          <w:p w:rsidR="00B97965" w:rsidRPr="00E2664A" w:rsidRDefault="00B97965" w:rsidP="00B97965">
            <w:pPr>
              <w:spacing w:line="240" w:lineRule="auto"/>
              <w:rPr>
                <w:sz w:val="20"/>
              </w:rPr>
            </w:pPr>
            <w:r w:rsidRPr="00E2664A">
              <w:rPr>
                <w:sz w:val="20"/>
              </w:rPr>
              <w:t>Physicians.</w:t>
            </w:r>
          </w:p>
        </w:tc>
        <w:tc>
          <w:tcPr>
            <w:tcW w:w="1276" w:type="dxa"/>
          </w:tcPr>
          <w:p w:rsidR="00B97965" w:rsidRPr="00E2664A" w:rsidRDefault="00B97965" w:rsidP="00B97965">
            <w:pPr>
              <w:spacing w:line="240" w:lineRule="auto"/>
              <w:rPr>
                <w:sz w:val="20"/>
              </w:rPr>
            </w:pPr>
            <w:r w:rsidRPr="00E2664A">
              <w:rPr>
                <w:sz w:val="20"/>
              </w:rPr>
              <w:t>2</w:t>
            </w:r>
          </w:p>
        </w:tc>
        <w:tc>
          <w:tcPr>
            <w:tcW w:w="1417" w:type="dxa"/>
          </w:tcPr>
          <w:p w:rsidR="00B97965" w:rsidRPr="00E2664A" w:rsidRDefault="00B97965" w:rsidP="00B97965">
            <w:pPr>
              <w:spacing w:line="240" w:lineRule="auto"/>
              <w:rPr>
                <w:sz w:val="20"/>
              </w:rPr>
            </w:pPr>
            <w:r>
              <w:rPr>
                <w:sz w:val="20"/>
              </w:rPr>
              <w:t>Face to face</w:t>
            </w:r>
          </w:p>
        </w:tc>
        <w:tc>
          <w:tcPr>
            <w:tcW w:w="2599" w:type="dxa"/>
          </w:tcPr>
          <w:p w:rsidR="00B97965" w:rsidRPr="00E2664A" w:rsidRDefault="00B97965" w:rsidP="00B97965">
            <w:pPr>
              <w:spacing w:line="240" w:lineRule="auto"/>
              <w:rPr>
                <w:sz w:val="20"/>
              </w:rPr>
            </w:pPr>
            <w:r w:rsidRPr="00E2664A">
              <w:rPr>
                <w:sz w:val="20"/>
              </w:rPr>
              <w:t>Document outlining the objectives, description of cognitive heuristics and biases and other relevant issues was read by expert.</w:t>
            </w:r>
          </w:p>
        </w:tc>
        <w:tc>
          <w:tcPr>
            <w:tcW w:w="2599" w:type="dxa"/>
          </w:tcPr>
          <w:p w:rsidR="00B97965" w:rsidRPr="00E2664A" w:rsidRDefault="00B97965" w:rsidP="00B97965">
            <w:pPr>
              <w:spacing w:line="240" w:lineRule="auto"/>
              <w:rPr>
                <w:sz w:val="20"/>
              </w:rPr>
            </w:pPr>
            <w:r w:rsidRPr="00E2664A">
              <w:rPr>
                <w:sz w:val="20"/>
              </w:rPr>
              <w:t xml:space="preserve">Techniques include sample distribution, the betting and the likelihood method. </w:t>
            </w:r>
          </w:p>
        </w:tc>
        <w:tc>
          <w:tcPr>
            <w:tcW w:w="2599" w:type="dxa"/>
          </w:tcPr>
          <w:p w:rsidR="00B97965" w:rsidRPr="00E2664A" w:rsidRDefault="00B97965" w:rsidP="00B97965">
            <w:pPr>
              <w:spacing w:line="240" w:lineRule="auto"/>
              <w:rPr>
                <w:sz w:val="20"/>
              </w:rPr>
            </w:pPr>
            <w:r w:rsidRPr="00E2664A">
              <w:rPr>
                <w:sz w:val="20"/>
              </w:rPr>
              <w:t>Not reported</w:t>
            </w:r>
          </w:p>
        </w:tc>
      </w:tr>
    </w:tbl>
    <w:p w:rsidR="00B97965" w:rsidRDefault="00B97965" w:rsidP="00B97965"/>
    <w:p w:rsidR="00B97965" w:rsidRDefault="00B97965" w:rsidP="00B97965">
      <w:pPr>
        <w:sectPr w:rsidR="00B97965" w:rsidSect="00B97965">
          <w:pgSz w:w="16838" w:h="11906" w:orient="landscape"/>
          <w:pgMar w:top="1440" w:right="1440" w:bottom="1440" w:left="1440" w:header="708" w:footer="708" w:gutter="0"/>
          <w:cols w:space="708"/>
          <w:docGrid w:linePitch="360"/>
        </w:sectPr>
      </w:pPr>
    </w:p>
    <w:p w:rsidR="00B97965" w:rsidRPr="00BE457B" w:rsidRDefault="00B97965" w:rsidP="00BE457B">
      <w:pPr>
        <w:pStyle w:val="Heading1"/>
        <w:numPr>
          <w:ilvl w:val="0"/>
          <w:numId w:val="0"/>
        </w:numPr>
        <w:bidi/>
        <w:ind w:left="576" w:hanging="576"/>
        <w:jc w:val="right"/>
        <w:rPr>
          <w:rStyle w:val="Emphasis"/>
          <w:spacing w:val="15"/>
        </w:rPr>
      </w:pPr>
      <w:bookmarkStart w:id="707" w:name="_Toc379467718"/>
      <w:r>
        <w:t>ApPendix</w:t>
      </w:r>
      <w:r w:rsidR="00396982">
        <w:t xml:space="preserve"> 14</w:t>
      </w:r>
      <w:r w:rsidR="00BE457B">
        <w:t xml:space="preserve">: </w:t>
      </w:r>
      <w:r w:rsidR="00396982" w:rsidRPr="00234693">
        <w:rPr>
          <w:rStyle w:val="Emphasis"/>
        </w:rPr>
        <w:t>E</w:t>
      </w:r>
      <w:r w:rsidRPr="00234693">
        <w:rPr>
          <w:rStyle w:val="Emphasis"/>
        </w:rPr>
        <w:t>licitation Pre-Reading</w:t>
      </w:r>
      <w:bookmarkEnd w:id="704"/>
      <w:bookmarkEnd w:id="707"/>
    </w:p>
    <w:p w:rsidR="00B97965" w:rsidRPr="00CD5F7B" w:rsidRDefault="00B97965" w:rsidP="00B97965">
      <w:pPr>
        <w:spacing w:after="0" w:afterAutospacing="0" w:line="240" w:lineRule="auto"/>
        <w:jc w:val="center"/>
        <w:rPr>
          <w:rFonts w:asciiTheme="majorBidi" w:hAnsiTheme="majorBidi" w:cstheme="majorBidi"/>
          <w:sz w:val="21"/>
          <w:szCs w:val="21"/>
          <w:u w:val="single"/>
        </w:rPr>
      </w:pPr>
      <w:r w:rsidRPr="00771983">
        <w:rPr>
          <w:rFonts w:asciiTheme="majorBidi" w:hAnsiTheme="majorBidi" w:cstheme="majorBidi"/>
          <w:sz w:val="21"/>
          <w:szCs w:val="21"/>
          <w:u w:val="single"/>
        </w:rPr>
        <w:t>Clinical Experts Briefing Document</w:t>
      </w:r>
    </w:p>
    <w:p w:rsidR="00B97965" w:rsidRPr="00771983" w:rsidRDefault="00B97965" w:rsidP="00B97965">
      <w:pPr>
        <w:spacing w:after="0" w:afterAutospacing="0" w:line="240" w:lineRule="auto"/>
        <w:rPr>
          <w:rFonts w:asciiTheme="majorBidi" w:hAnsiTheme="majorBidi" w:cstheme="majorBidi"/>
          <w:b/>
          <w:bCs/>
          <w:sz w:val="21"/>
          <w:szCs w:val="21"/>
        </w:rPr>
      </w:pPr>
      <w:r w:rsidRPr="00771983">
        <w:rPr>
          <w:rFonts w:asciiTheme="majorBidi" w:hAnsiTheme="majorBidi" w:cstheme="majorBidi"/>
          <w:b/>
          <w:bCs/>
          <w:sz w:val="21"/>
          <w:szCs w:val="21"/>
        </w:rPr>
        <w:t>What is Elicitation?</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Elicitation is the appropriate method by which to formulate judgements from people. The purpose of elicitation is to construct a quantitative judgement that represents the experts’ knowledge and uncertainty of an unknown quantity. This exercise is particularly challenging because the questions relate to clinical outcomes which have not been observed by the experts or anyone else. However, the experts can draw on their knowledge and experiences to characterise their uncertainty and judge the probability of different outcomes occurring.</w:t>
      </w:r>
    </w:p>
    <w:p w:rsidR="00B97965" w:rsidRPr="00771983" w:rsidRDefault="00B97965" w:rsidP="00B97965">
      <w:pPr>
        <w:spacing w:after="0" w:afterAutospacing="0" w:line="240" w:lineRule="auto"/>
        <w:rPr>
          <w:rFonts w:asciiTheme="majorBidi" w:hAnsiTheme="majorBidi" w:cstheme="majorBidi"/>
          <w:b/>
          <w:bCs/>
          <w:sz w:val="21"/>
          <w:szCs w:val="21"/>
        </w:rPr>
      </w:pPr>
      <w:r w:rsidRPr="00771983">
        <w:rPr>
          <w:rFonts w:asciiTheme="majorBidi" w:hAnsiTheme="majorBidi" w:cstheme="majorBidi"/>
          <w:b/>
          <w:bCs/>
          <w:sz w:val="21"/>
          <w:szCs w:val="21"/>
        </w:rPr>
        <w:t>What I want to elicit and why</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I have developed a computer simulation that predicts individual patients’ disease pathway and how it develops and evolves over their lifetime. The simulation is based on a set of statistical equations which predict the probability of each of the SLEDAI items being present, prednisone dose, organ damage, and mortality every 3 months. These models can be used to simulate future clinical trials and estimate the probability that the trial will be successful. I want to compare a 12 month trial with a trial with 3 to 5 years of follow-up to assess the value of longer trials in SLE for drug reimbursement decision makers. </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I am therefore interested in testing this method in a hypothetical scenario where a new treatment for SLE has just finished its 12 month long Phase II trial with positive results. I am proposing to use my simulation in the planning stages for the Phase III trial to decide what duration of follow-up should be used. However, we do not have all the data necessary to populate the simulation. </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There are two stages to the questioning. The first set of questions relates to the reduction in disease activity from the new treatment. The second asks about the impact of the new drug on organ damage and mortality. Full details of the questions are detailed on the other side of the page.</w:t>
      </w:r>
    </w:p>
    <w:p w:rsidR="00B97965" w:rsidRPr="00771983" w:rsidRDefault="00B97965" w:rsidP="00B97965">
      <w:pPr>
        <w:spacing w:after="0" w:afterAutospacing="0" w:line="240" w:lineRule="auto"/>
        <w:rPr>
          <w:rFonts w:asciiTheme="majorBidi" w:hAnsiTheme="majorBidi" w:cstheme="majorBidi"/>
          <w:b/>
          <w:bCs/>
          <w:sz w:val="21"/>
          <w:szCs w:val="21"/>
        </w:rPr>
      </w:pPr>
      <w:r w:rsidRPr="00771983">
        <w:rPr>
          <w:rFonts w:asciiTheme="majorBidi" w:hAnsiTheme="majorBidi" w:cstheme="majorBidi"/>
          <w:b/>
          <w:bCs/>
          <w:sz w:val="21"/>
          <w:szCs w:val="21"/>
        </w:rPr>
        <w:t>Probability and proportions</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In this exercise I will ask questions about several disease outcomes in SLE, such as whether patients have renal involvement, a cardiovascular event, or die before their next clinic visit. In my simulation I need estimates for the probability that events will happen. If I had a large set of data I could use the proportion of patients who experience the event to estimate the proportion. In the elicitation I use the hypothetical future sample method to ask the proportion of patients who they would expect to experience the event out of a sample of 1000 patients. By estimating the proportion of a sample that experiences an event I can extrapolate the probability of the event. </w:t>
      </w:r>
    </w:p>
    <w:p w:rsidR="00B97965" w:rsidRPr="00771983" w:rsidRDefault="00B97965" w:rsidP="00B97965">
      <w:pPr>
        <w:spacing w:after="0" w:afterAutospacing="0" w:line="240" w:lineRule="auto"/>
        <w:rPr>
          <w:rFonts w:asciiTheme="majorBidi" w:hAnsiTheme="majorBidi" w:cstheme="majorBidi"/>
          <w:b/>
          <w:bCs/>
          <w:sz w:val="21"/>
          <w:szCs w:val="21"/>
        </w:rPr>
      </w:pPr>
      <w:r w:rsidRPr="00771983">
        <w:rPr>
          <w:rFonts w:asciiTheme="majorBidi" w:hAnsiTheme="majorBidi" w:cstheme="majorBidi"/>
          <w:b/>
          <w:bCs/>
          <w:sz w:val="21"/>
          <w:szCs w:val="21"/>
        </w:rPr>
        <w:t>Expressing uncertainty</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Many of the questions in this exercise relate to the treatment effect of a new hypothetical drug for SLE. We need to ask clinical experts because we have no data. Consequently, the questions may be difficult to answer and it is reasonable to assume that they may be uncertain about their answers. Furthermore, it is very important that the elicitation captures experts’ uncertainty because this will be very important in the simulation because greater uncertainty about the new treatment indicates that there are greater risks in conducting the Phase III trial.</w:t>
      </w:r>
    </w:p>
    <w:p w:rsidR="00B97965" w:rsidRPr="00771983" w:rsidRDefault="00B97965" w:rsidP="00234693">
      <w:pPr>
        <w:pStyle w:val="Caption"/>
      </w:pPr>
      <w:bookmarkStart w:id="708" w:name="_Ref305745010"/>
      <w:r w:rsidRPr="00771983">
        <w:t xml:space="preserve">Figure </w:t>
      </w:r>
      <w:r w:rsidR="00E729BA">
        <w:fldChar w:fldCharType="begin"/>
      </w:r>
      <w:r w:rsidR="000B0EDB">
        <w:instrText xml:space="preserve"> SEQ Figure \* ARABIC </w:instrText>
      </w:r>
      <w:r w:rsidR="00E729BA">
        <w:fldChar w:fldCharType="separate"/>
      </w:r>
      <w:r w:rsidR="004911B7">
        <w:rPr>
          <w:noProof/>
        </w:rPr>
        <w:t>36</w:t>
      </w:r>
      <w:r w:rsidR="00E729BA">
        <w:fldChar w:fldCharType="end"/>
      </w:r>
      <w:bookmarkEnd w:id="708"/>
      <w:r w:rsidRPr="00771983">
        <w:t>: probability mass function for X</w:t>
      </w:r>
    </w:p>
    <w:p w:rsidR="00B97965" w:rsidRPr="00771983" w:rsidRDefault="00B97965" w:rsidP="00B97965">
      <w:pPr>
        <w:spacing w:after="0" w:afterAutospacing="0" w:line="240" w:lineRule="auto"/>
        <w:rPr>
          <w:rFonts w:asciiTheme="majorBidi" w:hAnsiTheme="majorBidi" w:cstheme="majorBidi"/>
          <w:sz w:val="21"/>
          <w:szCs w:val="21"/>
        </w:rPr>
      </w:pPr>
      <w:r>
        <w:rPr>
          <w:rFonts w:asciiTheme="majorBidi" w:hAnsiTheme="majorBidi" w:cstheme="majorBidi"/>
          <w:noProof/>
          <w:sz w:val="21"/>
          <w:szCs w:val="21"/>
          <w:lang w:eastAsia="zh-CN" w:bidi="ar-SA"/>
        </w:rPr>
        <w:drawing>
          <wp:anchor distT="0" distB="0" distL="114300" distR="114300" simplePos="0" relativeHeight="251659264" behindDoc="0" locked="0" layoutInCell="1" allowOverlap="1">
            <wp:simplePos x="0" y="0"/>
            <wp:positionH relativeFrom="column">
              <wp:posOffset>-38100</wp:posOffset>
            </wp:positionH>
            <wp:positionV relativeFrom="paragraph">
              <wp:posOffset>17145</wp:posOffset>
            </wp:positionV>
            <wp:extent cx="3053715" cy="1837690"/>
            <wp:effectExtent l="19050" t="0" r="0" b="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3053715" cy="1837690"/>
                    </a:xfrm>
                    <a:prstGeom prst="rect">
                      <a:avLst/>
                    </a:prstGeom>
                    <a:noFill/>
                    <a:ln w="9525">
                      <a:noFill/>
                      <a:miter lim="800000"/>
                      <a:headEnd/>
                      <a:tailEnd/>
                    </a:ln>
                  </pic:spPr>
                </pic:pic>
              </a:graphicData>
            </a:graphic>
          </wp:anchor>
        </w:drawing>
      </w:r>
      <w:r w:rsidRPr="00771983">
        <w:rPr>
          <w:rFonts w:asciiTheme="majorBidi" w:hAnsiTheme="majorBidi" w:cstheme="majorBidi"/>
          <w:sz w:val="21"/>
          <w:szCs w:val="21"/>
        </w:rPr>
        <w:t xml:space="preserve">In the elicitation uncertainty can be expressed as a probability distribution function in a histogram illustrated in </w:t>
      </w:r>
      <w:fldSimple w:instr=" REF _Ref305745010 \h  \* MERGEFORMAT ">
        <w:r w:rsidR="004911B7" w:rsidRPr="004911B7">
          <w:rPr>
            <w:rFonts w:asciiTheme="majorBidi" w:hAnsiTheme="majorBidi" w:cstheme="majorBidi"/>
            <w:sz w:val="21"/>
            <w:szCs w:val="21"/>
          </w:rPr>
          <w:t xml:space="preserve">Figure </w:t>
        </w:r>
        <w:r w:rsidR="004911B7" w:rsidRPr="004911B7">
          <w:rPr>
            <w:rFonts w:asciiTheme="majorBidi" w:hAnsiTheme="majorBidi" w:cstheme="majorBidi"/>
            <w:noProof/>
            <w:sz w:val="21"/>
            <w:szCs w:val="21"/>
          </w:rPr>
          <w:t>36</w:t>
        </w:r>
      </w:fldSimple>
      <w:r w:rsidRPr="00771983">
        <w:rPr>
          <w:rFonts w:asciiTheme="majorBidi" w:hAnsiTheme="majorBidi" w:cstheme="majorBidi"/>
          <w:sz w:val="21"/>
          <w:szCs w:val="21"/>
        </w:rPr>
        <w:t xml:space="preserve">. The X axis represents the quantity that is being estimated. The probability of observing that quantity is expressed by the height of the bar. </w:t>
      </w:r>
    </w:p>
    <w:p w:rsidR="00B97965" w:rsidRPr="00771983" w:rsidRDefault="00B97965" w:rsidP="00B97965">
      <w:pPr>
        <w:spacing w:after="0" w:afterAutospacing="0" w:line="240" w:lineRule="auto"/>
        <w:rPr>
          <w:sz w:val="21"/>
          <w:szCs w:val="21"/>
        </w:rPr>
      </w:pPr>
    </w:p>
    <w:p w:rsidR="00B97965" w:rsidRDefault="00B97965" w:rsidP="00B97965">
      <w:pPr>
        <w:spacing w:after="0" w:afterAutospacing="0" w:line="240" w:lineRule="auto"/>
        <w:rPr>
          <w:rFonts w:asciiTheme="majorBidi" w:hAnsiTheme="majorBidi" w:cstheme="majorBidi"/>
          <w:sz w:val="21"/>
          <w:szCs w:val="21"/>
          <w:u w:val="single"/>
        </w:rPr>
      </w:pPr>
      <w:r>
        <w:rPr>
          <w:rFonts w:asciiTheme="majorBidi" w:hAnsiTheme="majorBidi" w:cstheme="majorBidi"/>
          <w:sz w:val="21"/>
          <w:szCs w:val="21"/>
          <w:u w:val="single"/>
        </w:rPr>
        <w:br w:type="page"/>
      </w:r>
    </w:p>
    <w:p w:rsidR="00B97965" w:rsidRPr="00CD5F7B" w:rsidRDefault="00B97965" w:rsidP="00B97965">
      <w:pPr>
        <w:spacing w:after="0" w:afterAutospacing="0" w:line="240" w:lineRule="auto"/>
        <w:jc w:val="center"/>
        <w:rPr>
          <w:rFonts w:asciiTheme="majorBidi" w:hAnsiTheme="majorBidi" w:cstheme="majorBidi"/>
          <w:sz w:val="21"/>
          <w:szCs w:val="21"/>
          <w:u w:val="single"/>
        </w:rPr>
      </w:pPr>
      <w:r w:rsidRPr="00771983">
        <w:rPr>
          <w:rFonts w:asciiTheme="majorBidi" w:hAnsiTheme="majorBidi" w:cstheme="majorBidi"/>
          <w:sz w:val="21"/>
          <w:szCs w:val="21"/>
          <w:u w:val="single"/>
        </w:rPr>
        <w:t>Hypothetical Phase II</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New therapies in SLE are more targeted due to the improved understanding of the immunogenesis of the disease. The treatments have been developed to target selective components of the immune system. The clinical trial simulation is designed to be a non treatment specific tool that can be applied to different new treatments in SLE. Therefore, in this study the treatment will be a hypothetical new biologic drug for SLE.</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The study will focus of the design of a phase III trial. It is therefore necessary to assume that the drug has completed a hypothetical Phase II trial to indicate that the treatment is effective. In recent years several Phase II trials for new lupus treatments have been unsuccessful; however the phase II trial for belimumab found a sub-group of antinuclear antibody positive patients in whom the treatment was effective. Therefore, the hypothetical Phase II trial is based on the outcomes of the Phase II belimumab trial as this represents reasonable outcomes of a biologic treatment using the SELENA SLEDAI. The sample size, duration of follow-up and SELENA SLEDAI outcomes of the hypothetical trial are taken from the belimumab trial and are detailed below. </w:t>
      </w:r>
    </w:p>
    <w:tbl>
      <w:tblPr>
        <w:tblStyle w:val="TableGrid"/>
        <w:tblW w:w="0" w:type="auto"/>
        <w:tblLook w:val="04A0"/>
      </w:tblPr>
      <w:tblGrid>
        <w:gridCol w:w="4109"/>
        <w:gridCol w:w="2150"/>
        <w:gridCol w:w="2155"/>
      </w:tblGrid>
      <w:tr w:rsidR="00B97965" w:rsidRPr="00771983" w:rsidTr="00B97965">
        <w:tc>
          <w:tcPr>
            <w:tcW w:w="4219" w:type="dxa"/>
          </w:tcPr>
          <w:p w:rsidR="00B97965" w:rsidRPr="00771983" w:rsidRDefault="00B97965" w:rsidP="00B97965">
            <w:pPr>
              <w:spacing w:after="0" w:afterAutospacing="0" w:line="240" w:lineRule="auto"/>
              <w:rPr>
                <w:rFonts w:asciiTheme="majorBidi" w:hAnsiTheme="majorBidi" w:cstheme="majorBidi"/>
                <w:sz w:val="21"/>
                <w:szCs w:val="21"/>
              </w:rPr>
            </w:pP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Standard of care</w:t>
            </w: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Treatment</w:t>
            </w:r>
          </w:p>
        </w:tc>
      </w:tr>
      <w:tr w:rsidR="00B97965" w:rsidRPr="00771983" w:rsidTr="00B97965">
        <w:tc>
          <w:tcPr>
            <w:tcW w:w="4219"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n</w:t>
            </w: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86</w:t>
            </w: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235</w:t>
            </w:r>
          </w:p>
        </w:tc>
      </w:tr>
      <w:tr w:rsidR="00B97965" w:rsidRPr="00771983" w:rsidTr="00B97965">
        <w:tc>
          <w:tcPr>
            <w:tcW w:w="4219"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number of patients with a ≥4 improvement in the SELENA SLEDAI</w:t>
            </w:r>
          </w:p>
        </w:tc>
        <w:tc>
          <w:tcPr>
            <w:tcW w:w="2197" w:type="dxa"/>
          </w:tcPr>
          <w:p w:rsidR="00B97965" w:rsidRPr="00771983" w:rsidRDefault="00B97965" w:rsidP="00B97965">
            <w:pPr>
              <w:spacing w:after="0" w:afterAutospacing="0" w:line="240" w:lineRule="auto"/>
              <w:rPr>
                <w:rFonts w:asciiTheme="majorBidi" w:hAnsiTheme="majorBidi" w:cstheme="majorBidi"/>
                <w:color w:val="000000"/>
                <w:sz w:val="21"/>
                <w:szCs w:val="21"/>
              </w:rPr>
            </w:pPr>
            <w:r w:rsidRPr="00771983">
              <w:rPr>
                <w:rFonts w:asciiTheme="majorBidi" w:hAnsiTheme="majorBidi" w:cstheme="majorBidi"/>
                <w:color w:val="000000"/>
                <w:sz w:val="21"/>
                <w:szCs w:val="21"/>
              </w:rPr>
              <w:t>34</w:t>
            </w:r>
          </w:p>
        </w:tc>
        <w:tc>
          <w:tcPr>
            <w:tcW w:w="2197" w:type="dxa"/>
          </w:tcPr>
          <w:p w:rsidR="00B97965" w:rsidRPr="00771983" w:rsidRDefault="00B97965" w:rsidP="00B97965">
            <w:pPr>
              <w:spacing w:after="0" w:afterAutospacing="0" w:line="240" w:lineRule="auto"/>
              <w:rPr>
                <w:rFonts w:asciiTheme="majorBidi" w:hAnsiTheme="majorBidi" w:cstheme="majorBidi"/>
                <w:color w:val="000000"/>
                <w:sz w:val="21"/>
                <w:szCs w:val="21"/>
              </w:rPr>
            </w:pPr>
            <w:r w:rsidRPr="00771983">
              <w:rPr>
                <w:rFonts w:asciiTheme="majorBidi" w:hAnsiTheme="majorBidi" w:cstheme="majorBidi"/>
                <w:color w:val="000000"/>
                <w:sz w:val="21"/>
                <w:szCs w:val="21"/>
              </w:rPr>
              <w:t>116</w:t>
            </w:r>
          </w:p>
        </w:tc>
      </w:tr>
      <w:tr w:rsidR="00B97965" w:rsidRPr="00771983" w:rsidTr="00B97965">
        <w:tc>
          <w:tcPr>
            <w:tcW w:w="4219"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patients with a ≥4 improvement in the SELENA SLEDAI</w:t>
            </w: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39.6%</w:t>
            </w: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49.4%</w:t>
            </w:r>
          </w:p>
        </w:tc>
      </w:tr>
      <w:tr w:rsidR="00B97965" w:rsidRPr="00771983" w:rsidTr="00B97965">
        <w:tc>
          <w:tcPr>
            <w:tcW w:w="4219"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Relative risk of response to treatment after 12 months*</w:t>
            </w:r>
          </w:p>
        </w:tc>
        <w:tc>
          <w:tcPr>
            <w:tcW w:w="2197" w:type="dxa"/>
            <w:shd w:val="clear" w:color="auto" w:fill="D9D9D9" w:themeFill="background1" w:themeFillShade="D9"/>
          </w:tcPr>
          <w:p w:rsidR="00B97965" w:rsidRPr="00771983" w:rsidRDefault="00B97965" w:rsidP="00B97965">
            <w:pPr>
              <w:spacing w:after="0" w:afterAutospacing="0" w:line="240" w:lineRule="auto"/>
              <w:rPr>
                <w:rFonts w:asciiTheme="majorBidi" w:hAnsiTheme="majorBidi" w:cstheme="majorBidi"/>
                <w:sz w:val="21"/>
                <w:szCs w:val="21"/>
                <w:highlight w:val="lightGray"/>
              </w:rPr>
            </w:pPr>
          </w:p>
        </w:tc>
        <w:tc>
          <w:tcPr>
            <w:tcW w:w="2197"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1.25</w:t>
            </w:r>
          </w:p>
        </w:tc>
      </w:tr>
      <w:tr w:rsidR="00B97965" w:rsidRPr="00771983" w:rsidTr="00B97965">
        <w:tc>
          <w:tcPr>
            <w:tcW w:w="8613" w:type="dxa"/>
            <w:gridSpan w:val="3"/>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Response to treatment ≥4 improvement in the SELENA SLEDAI after 12 months</w:t>
            </w:r>
          </w:p>
        </w:tc>
      </w:tr>
    </w:tbl>
    <w:p w:rsidR="00B97965" w:rsidRPr="00771983" w:rsidRDefault="00B97965" w:rsidP="00B97965">
      <w:pPr>
        <w:spacing w:after="0" w:afterAutospacing="0" w:line="240" w:lineRule="auto"/>
        <w:rPr>
          <w:rFonts w:asciiTheme="majorBidi" w:hAnsiTheme="majorBidi" w:cstheme="majorBidi"/>
          <w:sz w:val="21"/>
          <w:szCs w:val="21"/>
        </w:rPr>
      </w:pPr>
    </w:p>
    <w:p w:rsidR="00B97965" w:rsidRPr="00CD5F7B" w:rsidRDefault="00B97965" w:rsidP="00B97965">
      <w:pPr>
        <w:spacing w:after="0" w:afterAutospacing="0" w:line="240" w:lineRule="auto"/>
        <w:jc w:val="center"/>
        <w:rPr>
          <w:rFonts w:asciiTheme="majorBidi" w:hAnsiTheme="majorBidi" w:cstheme="majorBidi"/>
          <w:sz w:val="21"/>
          <w:szCs w:val="21"/>
          <w:u w:val="single"/>
        </w:rPr>
      </w:pPr>
      <w:r w:rsidRPr="00771983">
        <w:rPr>
          <w:rFonts w:asciiTheme="majorBidi" w:hAnsiTheme="majorBidi" w:cstheme="majorBidi"/>
          <w:sz w:val="21"/>
          <w:szCs w:val="21"/>
          <w:u w:val="single"/>
        </w:rPr>
        <w:t>Phase III simulation</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I have developed a computer simulation which generates a cohort of SLE patients and can predict SELENA SLEDAI scores and the incidence of organ damage and mortality over time. The estimates are based on statistical analyses of the Hopkins Lupus Cohort. The predicted outcomes from the Hopkins natural history model will be used to estimate the outcomes for standard of care patients.</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The effectiveness of the new treatment in reducing SELENA SLEDAI scores after 12 months is taken from the hypothetical phase II trial. However, the simulation will consider the value of running a Phase III trial for longer than 12 months therefore we need a plausible estimate of treatment effect after 12 months. The longer trial may also capture treatment effects on the reduction of long term outcomes of organ damage and mortality. </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In this situation the designers of the Phase III trial would not have data available to estimate the effectiveness of treatment on SELENA SLEDAI, organ damage or mortality. However, we need plausible estimates for the simulation to reflect the most likely estimates for the effect and the uncertainty in those estimates. We have developed a formal elicitation exercise to help clinical experts to express their best estimates for the treatment effect and their uncertainty about how effective the treatment may be.</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The elicitation will ask you to consider a sample of 2000 patients who meet the criteria detailed below:</w:t>
      </w:r>
    </w:p>
    <w:tbl>
      <w:tblPr>
        <w:tblStyle w:val="TableGrid"/>
        <w:tblW w:w="0" w:type="auto"/>
        <w:tblLook w:val="04A0"/>
      </w:tblPr>
      <w:tblGrid>
        <w:gridCol w:w="1101"/>
        <w:gridCol w:w="4961"/>
      </w:tblGrid>
      <w:tr w:rsidR="00B97965" w:rsidRPr="00771983" w:rsidTr="00B97965">
        <w:tc>
          <w:tcPr>
            <w:tcW w:w="1101" w:type="dxa"/>
          </w:tcPr>
          <w:p w:rsidR="00B97965" w:rsidRPr="00771983" w:rsidRDefault="00B97965" w:rsidP="00B97965">
            <w:pPr>
              <w:spacing w:after="0" w:afterAutospacing="0" w:line="240" w:lineRule="auto"/>
              <w:rPr>
                <w:rFonts w:asciiTheme="majorBidi" w:hAnsiTheme="majorBidi" w:cstheme="majorBidi"/>
                <w:sz w:val="21"/>
                <w:szCs w:val="21"/>
              </w:rPr>
            </w:pPr>
          </w:p>
        </w:tc>
        <w:tc>
          <w:tcPr>
            <w:tcW w:w="496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Inclusion/Exclusion criteria</w:t>
            </w:r>
          </w:p>
        </w:tc>
      </w:tr>
      <w:tr w:rsidR="00B97965" w:rsidRPr="00771983" w:rsidTr="00B97965">
        <w:tc>
          <w:tcPr>
            <w:tcW w:w="110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1.</w:t>
            </w:r>
          </w:p>
        </w:tc>
        <w:tc>
          <w:tcPr>
            <w:tcW w:w="496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Diagnosis of SLE</w:t>
            </w:r>
          </w:p>
        </w:tc>
      </w:tr>
      <w:tr w:rsidR="00B97965" w:rsidRPr="00771983" w:rsidTr="00B97965">
        <w:tc>
          <w:tcPr>
            <w:tcW w:w="110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2.</w:t>
            </w:r>
          </w:p>
        </w:tc>
        <w:tc>
          <w:tcPr>
            <w:tcW w:w="496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SELENA SLEDAI score ≥4 at baseline</w:t>
            </w:r>
          </w:p>
        </w:tc>
      </w:tr>
      <w:tr w:rsidR="00B97965" w:rsidRPr="00771983" w:rsidTr="00B97965">
        <w:tc>
          <w:tcPr>
            <w:tcW w:w="110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3. </w:t>
            </w:r>
          </w:p>
        </w:tc>
        <w:tc>
          <w:tcPr>
            <w:tcW w:w="496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No neuropsychiatric involvement at baseline</w:t>
            </w:r>
          </w:p>
        </w:tc>
      </w:tr>
      <w:tr w:rsidR="00B97965" w:rsidRPr="00771983" w:rsidTr="00B97965">
        <w:tc>
          <w:tcPr>
            <w:tcW w:w="110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 xml:space="preserve">4. </w:t>
            </w:r>
          </w:p>
        </w:tc>
        <w:tc>
          <w:tcPr>
            <w:tcW w:w="4961" w:type="dxa"/>
          </w:tcPr>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No proteinuria or haematuria at baseline</w:t>
            </w:r>
          </w:p>
        </w:tc>
      </w:tr>
    </w:tbl>
    <w:p w:rsidR="00B97965" w:rsidRPr="00771983" w:rsidRDefault="00B97965" w:rsidP="00B97965">
      <w:pPr>
        <w:spacing w:after="0" w:afterAutospacing="0" w:line="240" w:lineRule="auto"/>
        <w:rPr>
          <w:rFonts w:asciiTheme="majorBidi" w:hAnsiTheme="majorBidi" w:cstheme="majorBidi"/>
          <w:sz w:val="21"/>
          <w:szCs w:val="21"/>
        </w:rPr>
      </w:pP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The questions will present data extracted from the simulation to indicate the proportion of the cohort who have the attribute in question, such as</w:t>
      </w:r>
    </w:p>
    <w:p w:rsidR="00B97965" w:rsidRPr="00CD5F7B" w:rsidRDefault="00B97965" w:rsidP="00B97965">
      <w:pPr>
        <w:spacing w:after="0" w:afterAutospacing="0" w:line="240" w:lineRule="auto"/>
        <w:jc w:val="center"/>
        <w:rPr>
          <w:rFonts w:asciiTheme="majorBidi" w:hAnsiTheme="majorBidi" w:cstheme="majorBidi"/>
          <w:i/>
          <w:iCs/>
          <w:sz w:val="21"/>
          <w:szCs w:val="21"/>
        </w:rPr>
      </w:pPr>
      <w:r w:rsidRPr="00771983">
        <w:rPr>
          <w:rFonts w:asciiTheme="majorBidi" w:hAnsiTheme="majorBidi" w:cstheme="majorBidi"/>
          <w:i/>
          <w:iCs/>
          <w:sz w:val="21"/>
          <w:szCs w:val="21"/>
        </w:rPr>
        <w:t>“After 24 months of standard of care 21 patients have an infection”</w:t>
      </w:r>
    </w:p>
    <w:p w:rsidR="00B97965" w:rsidRPr="00771983" w:rsidRDefault="00B97965" w:rsidP="00B97965">
      <w:pPr>
        <w:spacing w:after="0" w:afterAutospacing="0" w:line="240" w:lineRule="auto"/>
        <w:rPr>
          <w:rFonts w:asciiTheme="majorBidi" w:hAnsiTheme="majorBidi" w:cstheme="majorBidi"/>
          <w:sz w:val="21"/>
          <w:szCs w:val="21"/>
        </w:rPr>
      </w:pPr>
      <w:r w:rsidRPr="00771983">
        <w:rPr>
          <w:rFonts w:asciiTheme="majorBidi" w:hAnsiTheme="majorBidi" w:cstheme="majorBidi"/>
          <w:sz w:val="21"/>
          <w:szCs w:val="21"/>
        </w:rPr>
        <w:t>The elicitation will ask whether you believe that the treatment arm of the cohort will have a different number of patients with infection and estimate the magnitude of the difference. We will ask you to reflect your uncertainty in your estimate by identifying 1 or more estimates and weighting the likelihood of the estimates with the size of the bars.</w:t>
      </w:r>
    </w:p>
    <w:p w:rsidR="00B97965" w:rsidRPr="00771983" w:rsidRDefault="00B97965" w:rsidP="00B97965">
      <w:pPr>
        <w:spacing w:after="0" w:afterAutospacing="0" w:line="240" w:lineRule="auto"/>
        <w:rPr>
          <w:i/>
          <w:iCs/>
          <w:sz w:val="21"/>
          <w:szCs w:val="21"/>
        </w:rPr>
      </w:pPr>
      <w:r w:rsidRPr="00771983">
        <w:rPr>
          <w:rFonts w:asciiTheme="majorBidi" w:hAnsiTheme="majorBidi" w:cstheme="majorBidi"/>
          <w:sz w:val="21"/>
          <w:szCs w:val="21"/>
        </w:rPr>
        <w:t>The table below details the list of questions we would like to address in the elicitation.</w:t>
      </w:r>
      <w:r w:rsidRPr="00771983">
        <w:rPr>
          <w:i/>
          <w:iCs/>
          <w:sz w:val="21"/>
          <w:szCs w:val="21"/>
        </w:rPr>
        <w:br w:type="page"/>
      </w:r>
    </w:p>
    <w:tbl>
      <w:tblPr>
        <w:tblStyle w:val="TableGrid"/>
        <w:tblW w:w="9129" w:type="dxa"/>
        <w:tblLayout w:type="fixed"/>
        <w:tblCellMar>
          <w:left w:w="57" w:type="dxa"/>
          <w:right w:w="57" w:type="dxa"/>
        </w:tblCellMar>
        <w:tblLook w:val="04A0"/>
      </w:tblPr>
      <w:tblGrid>
        <w:gridCol w:w="341"/>
        <w:gridCol w:w="6095"/>
        <w:gridCol w:w="2693"/>
      </w:tblGrid>
      <w:tr w:rsidR="00B97965" w:rsidRPr="00CD5F7B" w:rsidTr="00B97965">
        <w:tc>
          <w:tcPr>
            <w:tcW w:w="9129" w:type="dxa"/>
            <w:gridSpan w:val="3"/>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Section A: Disease Activity Questions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Question asked</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Role in Clinical trial Simulation</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1.</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neuropsychiatric involvement on the SLEDAI score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Informs the relative risk of neuropsychiatric involvement beyond 12 months. </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2.</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renal involvement on the SLEDAI score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renal involvement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3.</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musculoskeletal involvement on the SLEDAI score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ms involvement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4.</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skin involvement on the SLEDAI score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skin involvement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5.</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increased DNA binding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increased DNA binding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6.</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low complement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low complement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7.</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serositis on the SLEDAI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serositis beyond 12 months.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8.</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After 24 months of follow-up what difference do you think there could be in the number of patients with haematological involvement on the SLEDAI between standard of care and the new drug?</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haematological involvement beyond 12 months.</w:t>
            </w:r>
          </w:p>
        </w:tc>
      </w:tr>
      <w:tr w:rsidR="00B97965" w:rsidRPr="00CD5F7B" w:rsidTr="00B97965">
        <w:tc>
          <w:tcPr>
            <w:tcW w:w="9129" w:type="dxa"/>
            <w:gridSpan w:val="3"/>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Section B: Organ Damage and Mortality Questions</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8.</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What difference do you think there could be in the number of patients who have cardiovascular, neuropsychiatric, or gastrointestinal damage after 5 years of biologic treatment compared with the natural history predictions. </w:t>
            </w:r>
          </w:p>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i/>
                <w:iCs/>
                <w:sz w:val="18"/>
                <w:szCs w:val="18"/>
              </w:rPr>
              <w:t>In this question reductions in damage risk due to lower disease activity scores and prednisone dose have been adjusted for.</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cardiovascular, neuropsychiatric, or gastrointestinal damage for patients receiving the new treatment.</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9.</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What difference do you think there could be in the number of patients who have either renal, skin, peripheral vascular, or pulmonary  damage after 5 years of biologic treatment compared with the natural history predictions. </w:t>
            </w:r>
          </w:p>
          <w:p w:rsidR="00B97965" w:rsidRPr="00CD5F7B" w:rsidRDefault="00B97965" w:rsidP="00B97965">
            <w:pPr>
              <w:spacing w:after="0" w:afterAutospacing="0" w:line="240" w:lineRule="auto"/>
              <w:rPr>
                <w:rFonts w:asciiTheme="majorBidi" w:hAnsiTheme="majorBidi" w:cstheme="majorBidi"/>
                <w:i/>
                <w:iCs/>
                <w:sz w:val="18"/>
                <w:szCs w:val="18"/>
              </w:rPr>
            </w:pPr>
            <w:r w:rsidRPr="00CD5F7B">
              <w:rPr>
                <w:rFonts w:asciiTheme="majorBidi" w:hAnsiTheme="majorBidi" w:cstheme="majorBidi"/>
                <w:i/>
                <w:iCs/>
                <w:sz w:val="18"/>
                <w:szCs w:val="18"/>
              </w:rPr>
              <w:t>In this question reductions in damage risk due to lower disease activity scores have been adjusted for.</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renal, skin, peripheral vascular and pulmonary damage for patients receiving the new treatment.</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10.</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What difference do you think there could be in the number of patients who have musculoskeletal damage, ocular damage or diabetes after 5 years of biologic treatment compared with the natural history predictions. </w:t>
            </w:r>
          </w:p>
          <w:p w:rsidR="00B97965" w:rsidRPr="00CD5F7B" w:rsidRDefault="00B97965" w:rsidP="00B97965">
            <w:pPr>
              <w:spacing w:after="0" w:afterAutospacing="0" w:line="240" w:lineRule="auto"/>
              <w:rPr>
                <w:rFonts w:asciiTheme="majorBidi" w:hAnsiTheme="majorBidi" w:cstheme="majorBidi"/>
                <w:i/>
                <w:iCs/>
                <w:sz w:val="18"/>
                <w:szCs w:val="18"/>
              </w:rPr>
            </w:pPr>
            <w:r w:rsidRPr="00CD5F7B">
              <w:rPr>
                <w:rFonts w:asciiTheme="majorBidi" w:hAnsiTheme="majorBidi" w:cstheme="majorBidi"/>
                <w:i/>
                <w:iCs/>
                <w:sz w:val="18"/>
                <w:szCs w:val="18"/>
              </w:rPr>
              <w:t>In this question reductions in damage risk due to lower prednisone dose have been adjusted for.</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musculoskeletal or ocular damage for patients receiving the new treatment.</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11.</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What difference do you think there could be in the number of patients who have gonadal failure or malignancy after 5 years of biologic treatment compared with the natural history predictions. </w:t>
            </w:r>
          </w:p>
          <w:p w:rsidR="00B97965" w:rsidRPr="00CD5F7B" w:rsidRDefault="00B97965" w:rsidP="00B97965">
            <w:pPr>
              <w:spacing w:after="0" w:afterAutospacing="0" w:line="240" w:lineRule="auto"/>
              <w:rPr>
                <w:rFonts w:asciiTheme="majorBidi" w:hAnsiTheme="majorBidi" w:cstheme="majorBidi"/>
                <w:i/>
                <w:iCs/>
                <w:sz w:val="18"/>
                <w:szCs w:val="18"/>
              </w:rPr>
            </w:pPr>
            <w:r w:rsidRPr="00CD5F7B">
              <w:rPr>
                <w:rFonts w:asciiTheme="majorBidi" w:hAnsiTheme="majorBidi" w:cstheme="majorBidi"/>
                <w:i/>
                <w:iCs/>
                <w:sz w:val="18"/>
                <w:szCs w:val="18"/>
              </w:rPr>
              <w:t>In this question reductions in damage risk due to lower prednisone dose have been adjusted for.</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gonadal failure or malignancy for patients receiving the new treatment.</w:t>
            </w:r>
          </w:p>
        </w:tc>
      </w:tr>
      <w:tr w:rsidR="00B97965" w:rsidRPr="00CD5F7B" w:rsidTr="00B97965">
        <w:tc>
          <w:tcPr>
            <w:tcW w:w="341"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12.</w:t>
            </w:r>
          </w:p>
        </w:tc>
        <w:tc>
          <w:tcPr>
            <w:tcW w:w="6095"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 xml:space="preserve">What difference do you think there could be in the number of patients who have died after 5 years of biologic treatment compared with the natural history predictions. </w:t>
            </w:r>
          </w:p>
          <w:p w:rsidR="00B97965" w:rsidRPr="00CD5F7B" w:rsidRDefault="00B97965" w:rsidP="00B97965">
            <w:pPr>
              <w:spacing w:after="0" w:afterAutospacing="0" w:line="240" w:lineRule="auto"/>
              <w:rPr>
                <w:rFonts w:asciiTheme="majorBidi" w:hAnsiTheme="majorBidi" w:cstheme="majorBidi"/>
                <w:i/>
                <w:iCs/>
                <w:sz w:val="18"/>
                <w:szCs w:val="18"/>
              </w:rPr>
            </w:pPr>
            <w:r w:rsidRPr="00CD5F7B">
              <w:rPr>
                <w:rFonts w:asciiTheme="majorBidi" w:hAnsiTheme="majorBidi" w:cstheme="majorBidi"/>
                <w:i/>
                <w:iCs/>
                <w:sz w:val="18"/>
                <w:szCs w:val="18"/>
              </w:rPr>
              <w:t>In this question reductions in mortality risk due to lower disease activity scores have been adjusted for.</w:t>
            </w:r>
          </w:p>
        </w:tc>
        <w:tc>
          <w:tcPr>
            <w:tcW w:w="2693" w:type="dxa"/>
          </w:tcPr>
          <w:p w:rsidR="00B97965" w:rsidRPr="00CD5F7B" w:rsidRDefault="00B97965" w:rsidP="00B97965">
            <w:pPr>
              <w:spacing w:after="0" w:afterAutospacing="0" w:line="240" w:lineRule="auto"/>
              <w:rPr>
                <w:rFonts w:asciiTheme="majorBidi" w:hAnsiTheme="majorBidi" w:cstheme="majorBidi"/>
                <w:sz w:val="18"/>
                <w:szCs w:val="18"/>
              </w:rPr>
            </w:pPr>
            <w:r w:rsidRPr="00CD5F7B">
              <w:rPr>
                <w:rFonts w:asciiTheme="majorBidi" w:hAnsiTheme="majorBidi" w:cstheme="majorBidi"/>
                <w:sz w:val="18"/>
                <w:szCs w:val="18"/>
              </w:rPr>
              <w:t>Informs the relative risk of mortality for patients receiving the new treatment.</w:t>
            </w:r>
          </w:p>
        </w:tc>
      </w:tr>
    </w:tbl>
    <w:p w:rsidR="00B97965" w:rsidRPr="00274374" w:rsidRDefault="00B97965" w:rsidP="00B97965"/>
    <w:p w:rsidR="00B97965" w:rsidRDefault="00B97965" w:rsidP="00B97965">
      <w:pPr>
        <w:spacing w:after="0" w:afterAutospacing="0" w:line="240" w:lineRule="auto"/>
      </w:pPr>
      <w:r>
        <w:br w:type="page"/>
      </w:r>
    </w:p>
    <w:p w:rsidR="00B97965" w:rsidRPr="00BE457B" w:rsidRDefault="00B97965" w:rsidP="00BE457B">
      <w:pPr>
        <w:pStyle w:val="Heading1"/>
        <w:numPr>
          <w:ilvl w:val="0"/>
          <w:numId w:val="0"/>
        </w:numPr>
        <w:bidi/>
        <w:ind w:left="576" w:hanging="576"/>
        <w:jc w:val="right"/>
        <w:rPr>
          <w:rStyle w:val="Emphasis"/>
          <w:spacing w:val="15"/>
        </w:rPr>
      </w:pPr>
      <w:bookmarkStart w:id="709" w:name="_Ref334701643"/>
      <w:bookmarkStart w:id="710" w:name="_Toc335051134"/>
      <w:bookmarkStart w:id="711" w:name="_Toc341366958"/>
      <w:bookmarkStart w:id="712" w:name="_Toc379467719"/>
      <w:r>
        <w:t>Appendix</w:t>
      </w:r>
      <w:r w:rsidR="00396982">
        <w:t xml:space="preserve"> 15</w:t>
      </w:r>
      <w:r w:rsidR="00BE457B">
        <w:t xml:space="preserve">: </w:t>
      </w:r>
      <w:r w:rsidR="00396982" w:rsidRPr="00234693">
        <w:rPr>
          <w:rStyle w:val="Emphasis"/>
        </w:rPr>
        <w:t>C</w:t>
      </w:r>
      <w:r w:rsidRPr="00234693">
        <w:rPr>
          <w:rStyle w:val="Emphasis"/>
        </w:rPr>
        <w:t>linical Trial Validation</w:t>
      </w:r>
      <w:bookmarkEnd w:id="709"/>
      <w:bookmarkEnd w:id="710"/>
      <w:bookmarkEnd w:id="711"/>
      <w:bookmarkEnd w:id="712"/>
    </w:p>
    <w:p w:rsidR="00B97965" w:rsidRPr="00C83E80" w:rsidRDefault="00BE457B" w:rsidP="00BE457B">
      <w:bookmarkStart w:id="713" w:name="_Toc335051135"/>
      <w:bookmarkStart w:id="714" w:name="_Toc341366959"/>
      <w:r>
        <w:t>METHOD</w:t>
      </w:r>
      <w:bookmarkEnd w:id="713"/>
      <w:bookmarkEnd w:id="714"/>
    </w:p>
    <w:p w:rsidR="00B97965" w:rsidRDefault="00B97965" w:rsidP="00B97965">
      <w:r>
        <w:t>A validation of the SLE BCTS was performed to evaluate whether the simulation predicts realistic SLE outcomes. The validity of the simulation can be assessed by comparing the outcomes of the simulation against real life observations from observational data and clinical trials. The simulation output was compared against the Hopkins Lupus cohort, and three successful clinical trials reporting outcomes using a SLEDAI index.</w:t>
      </w:r>
    </w:p>
    <w:p w:rsidR="00B97965" w:rsidRDefault="00B97965" w:rsidP="00B97965">
      <w:r>
        <w:t xml:space="preserve">The validation exercise aimed to observe whether the BCTS meets the following assessments, which were used to indicate how well the simulation fits to reality.  </w:t>
      </w:r>
    </w:p>
    <w:p w:rsidR="00B97965" w:rsidRDefault="00B97965" w:rsidP="00B97965">
      <w:pPr>
        <w:pStyle w:val="ListParagraph"/>
        <w:numPr>
          <w:ilvl w:val="0"/>
          <w:numId w:val="35"/>
        </w:numPr>
        <w:spacing w:after="200" w:afterAutospacing="0"/>
      </w:pPr>
      <w:r>
        <w:t>The proportion of simulated observations where the proportion of patients were outside the 95% Confidence Interval of the respective time point in the Hopkins Lupus Cohort data.</w:t>
      </w:r>
    </w:p>
    <w:p w:rsidR="00B97965" w:rsidRDefault="00B97965" w:rsidP="00B97965">
      <w:pPr>
        <w:pStyle w:val="ListParagraph"/>
        <w:numPr>
          <w:ilvl w:val="0"/>
          <w:numId w:val="35"/>
        </w:numPr>
        <w:spacing w:after="200" w:afterAutospacing="0"/>
      </w:pPr>
      <w:r>
        <w:t>The distribution of simulated SLEDAI scores and steroid doses should have a similar distribution to the Hopkins data.</w:t>
      </w:r>
    </w:p>
    <w:p w:rsidR="00B97965" w:rsidRDefault="00B97965" w:rsidP="00B97965">
      <w:pPr>
        <w:pStyle w:val="ListParagraph"/>
        <w:numPr>
          <w:ilvl w:val="0"/>
          <w:numId w:val="35"/>
        </w:numPr>
        <w:spacing w:after="200" w:afterAutospacing="0"/>
      </w:pPr>
      <w:r>
        <w:t xml:space="preserve">Observed clinical trial endpoints should fall within the distribution of simulated trial endpoints. </w:t>
      </w:r>
    </w:p>
    <w:p w:rsidR="00B97965" w:rsidRDefault="00B97965" w:rsidP="00B97965">
      <w:r>
        <w:t xml:space="preserve">The criteria were assessed with the following analyses from three simulation runs, each of 1000 iterations. The accumulation of organ damage and mortality events was not tested in this analysis. </w:t>
      </w:r>
    </w:p>
    <w:p w:rsidR="00B97965" w:rsidRDefault="00B97965" w:rsidP="00B97965">
      <w:r>
        <w:t>Simulation 1- The Hopkins Lupus Cohort</w:t>
      </w:r>
    </w:p>
    <w:p w:rsidR="00B97965" w:rsidRDefault="00B97965" w:rsidP="00B97965">
      <w:r>
        <w:t xml:space="preserve">The simulation was run to reproduce outcomes from the Hopkins Lupus cohort for the first 5 years of individual’s follow-up. The SLE population used in this simulation was based on the baseline characteristics of the Hopkins SLE population. Summary statistics for the baseline profile of patients are reported in </w:t>
      </w:r>
      <w:r w:rsidR="00E729BA">
        <w:fldChar w:fldCharType="begin"/>
      </w:r>
      <w:r>
        <w:instrText xml:space="preserve"> REF _Ref324840892 \h </w:instrText>
      </w:r>
      <w:r w:rsidR="00E729BA">
        <w:fldChar w:fldCharType="separate"/>
      </w:r>
      <w:r w:rsidR="004911B7">
        <w:t xml:space="preserve">Table </w:t>
      </w:r>
      <w:r w:rsidR="004911B7">
        <w:rPr>
          <w:noProof/>
        </w:rPr>
        <w:t>108</w:t>
      </w:r>
      <w:r w:rsidR="00E729BA">
        <w:fldChar w:fldCharType="end"/>
      </w:r>
      <w:r>
        <w:t xml:space="preserve">. The analysis was only conducted on placebo patients to compare the natural history outcomes for patients without treatment. Statistical tests at each observation period were performed and the proportion of observation more extreme than the observed data was evaluated. </w:t>
      </w:r>
    </w:p>
    <w:p w:rsidR="00B97965" w:rsidRDefault="00B97965" w:rsidP="00B97965">
      <w:r>
        <w:t>Simulation 2 – The Phase II Clinical Trial</w:t>
      </w:r>
    </w:p>
    <w:p w:rsidR="00B97965" w:rsidRDefault="00B97965" w:rsidP="00B97965">
      <w:r>
        <w:t xml:space="preserve">The simulation was set up to run a 1 year clinical trial of 321 patients. The baseline characteristics of the patients were designed to match with the demographic profile of the belimumab Phase II trial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rsidR="00E729BA">
        <w:fldChar w:fldCharType="separate"/>
      </w:r>
      <w:r w:rsidR="0081424E">
        <w:t>(73)</w:t>
      </w:r>
      <w:r w:rsidR="00E729BA">
        <w:fldChar w:fldCharType="end"/>
      </w:r>
      <w:r>
        <w:t xml:space="preserve">. Treatment efficacy was estimated from summary statistics reported in Furie et al. (2009). Summary statistics for the baseline profile of patients is reported in </w:t>
      </w:r>
      <w:r w:rsidR="00E729BA">
        <w:fldChar w:fldCharType="begin"/>
      </w:r>
      <w:r>
        <w:instrText xml:space="preserve"> REF _Ref324840892 \h </w:instrText>
      </w:r>
      <w:r w:rsidR="00E729BA">
        <w:fldChar w:fldCharType="separate"/>
      </w:r>
      <w:r w:rsidR="004911B7">
        <w:t xml:space="preserve">Table </w:t>
      </w:r>
      <w:r w:rsidR="004911B7">
        <w:rPr>
          <w:noProof/>
        </w:rPr>
        <w:t>108</w:t>
      </w:r>
      <w:r w:rsidR="00E729BA">
        <w:fldChar w:fldCharType="end"/>
      </w:r>
      <w:r>
        <w:t xml:space="preserve">. The mean percentage change in SELENA SLEDAI score from baseline to week 52, and the percentage of patients who experienced a change in SELENA SLEDAI score of 4 units or more in each treatment arms, were reported for each simulation run. The odds ratio for treatment effect was estimated. The simulated outcomes are compared with the published trial outcomes from Wallace and Furie et al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sidR="00E729BA">
        <w:fldChar w:fldCharType="separate"/>
      </w:r>
      <w:r w:rsidR="0081424E">
        <w:t>(72;73)</w:t>
      </w:r>
      <w:r w:rsidR="00E729BA">
        <w:fldChar w:fldCharType="end"/>
      </w:r>
      <w:r>
        <w:t xml:space="preserve">. </w:t>
      </w:r>
    </w:p>
    <w:p w:rsidR="00B97965" w:rsidRDefault="00B97965" w:rsidP="00B97965">
      <w:r>
        <w:t>Simulation 3 – The Phase III Clinical Trial</w:t>
      </w:r>
    </w:p>
    <w:p w:rsidR="00B97965" w:rsidRDefault="00B97965" w:rsidP="00B97965">
      <w:r>
        <w:t xml:space="preserve">The simulation was set up to run a 1 year clinical trial of 800 patients. The baseline characteristics of the patients were designed to match with the demographic profiles of the belimumab Phase III trials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81424E">
        <w:t>(74;75)</w:t>
      </w:r>
      <w:r w:rsidR="00E729BA">
        <w:fldChar w:fldCharType="end"/>
      </w:r>
      <w:r>
        <w:t xml:space="preserve">. Prior estimates for treatment efficacy were estimated from summary statistics reported the Phase II trial </w:t>
      </w:r>
      <w:r w:rsidR="00E729BA">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rsidR="00E729BA">
        <w:fldChar w:fldCharType="separate"/>
      </w:r>
      <w:r w:rsidR="0081424E">
        <w:t>(72;73)</w:t>
      </w:r>
      <w:r w:rsidR="00E729BA">
        <w:fldChar w:fldCharType="end"/>
      </w:r>
      <w:r>
        <w:t xml:space="preserve">. The percentage of patients who experienced a change in SELENA SLEDAI score of 4 units or more in the treatment and placebo arms were reported for each simulation run. The odds ratio for treatment effect was calculated. Summary statistics for the baseline profile of patients is reported in </w:t>
      </w:r>
      <w:r w:rsidR="00E729BA">
        <w:fldChar w:fldCharType="begin"/>
      </w:r>
      <w:r>
        <w:instrText xml:space="preserve"> REF _Ref324840892 \h </w:instrText>
      </w:r>
      <w:r w:rsidR="00E729BA">
        <w:fldChar w:fldCharType="separate"/>
      </w:r>
      <w:r w:rsidR="004911B7">
        <w:t xml:space="preserve">Table </w:t>
      </w:r>
      <w:r w:rsidR="004911B7">
        <w:rPr>
          <w:noProof/>
        </w:rPr>
        <w:t>108</w:t>
      </w:r>
      <w:r w:rsidR="00E729BA">
        <w:fldChar w:fldCharType="end"/>
      </w:r>
      <w:r>
        <w:t>.</w:t>
      </w:r>
    </w:p>
    <w:p w:rsidR="00B97965" w:rsidRDefault="00B97965" w:rsidP="00234693">
      <w:pPr>
        <w:pStyle w:val="Caption"/>
      </w:pPr>
      <w:bookmarkStart w:id="715" w:name="_Ref324840892"/>
      <w:r>
        <w:t xml:space="preserve">Table </w:t>
      </w:r>
      <w:fldSimple w:instr=" SEQ Table \* ARABIC ">
        <w:r w:rsidR="004911B7">
          <w:rPr>
            <w:noProof/>
          </w:rPr>
          <w:t>108</w:t>
        </w:r>
      </w:fldSimple>
      <w:bookmarkEnd w:id="715"/>
      <w:r>
        <w:t>: Baseline characteristic of patients for each simulation</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2486"/>
        <w:gridCol w:w="1977"/>
        <w:gridCol w:w="1977"/>
        <w:gridCol w:w="1974"/>
      </w:tblGrid>
      <w:tr w:rsidR="00B97965" w:rsidRPr="00220228" w:rsidTr="00B97965">
        <w:tc>
          <w:tcPr>
            <w:tcW w:w="2660" w:type="dxa"/>
            <w:tcBorders>
              <w:top w:val="single" w:sz="8" w:space="0" w:color="auto"/>
              <w:bottom w:val="single" w:sz="4" w:space="0" w:color="auto"/>
            </w:tcBorders>
          </w:tcPr>
          <w:p w:rsidR="00B97965" w:rsidRPr="00220228" w:rsidRDefault="00B97965" w:rsidP="00B97965">
            <w:pPr>
              <w:rPr>
                <w:sz w:val="18"/>
                <w:szCs w:val="18"/>
              </w:rPr>
            </w:pPr>
          </w:p>
        </w:tc>
        <w:tc>
          <w:tcPr>
            <w:tcW w:w="2079"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Hopkins Simulation</w:t>
            </w:r>
          </w:p>
        </w:tc>
        <w:tc>
          <w:tcPr>
            <w:tcW w:w="2079"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Phase II Simulation</w:t>
            </w:r>
          </w:p>
        </w:tc>
        <w:tc>
          <w:tcPr>
            <w:tcW w:w="2079"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Phase III simulation</w:t>
            </w:r>
          </w:p>
        </w:tc>
      </w:tr>
      <w:tr w:rsidR="00B97965" w:rsidRPr="00220228" w:rsidTr="00B97965">
        <w:tc>
          <w:tcPr>
            <w:tcW w:w="2660" w:type="dxa"/>
            <w:tcBorders>
              <w:top w:val="single" w:sz="4" w:space="0" w:color="auto"/>
            </w:tcBorders>
          </w:tcPr>
          <w:p w:rsidR="00B97965" w:rsidRPr="00220228" w:rsidRDefault="00B97965" w:rsidP="00B97965">
            <w:pPr>
              <w:rPr>
                <w:sz w:val="18"/>
                <w:szCs w:val="18"/>
              </w:rPr>
            </w:pPr>
            <w:r w:rsidRPr="00220228">
              <w:rPr>
                <w:sz w:val="18"/>
                <w:szCs w:val="18"/>
              </w:rPr>
              <w:t>Number of patients</w:t>
            </w:r>
          </w:p>
        </w:tc>
        <w:tc>
          <w:tcPr>
            <w:tcW w:w="2079" w:type="dxa"/>
            <w:tcBorders>
              <w:top w:val="single" w:sz="4" w:space="0" w:color="auto"/>
            </w:tcBorders>
          </w:tcPr>
          <w:p w:rsidR="00B97965" w:rsidRPr="00220228" w:rsidRDefault="00B97965" w:rsidP="00B97965">
            <w:pPr>
              <w:rPr>
                <w:sz w:val="18"/>
                <w:szCs w:val="18"/>
              </w:rPr>
            </w:pPr>
            <w:r w:rsidRPr="00220228">
              <w:rPr>
                <w:sz w:val="18"/>
                <w:szCs w:val="18"/>
              </w:rPr>
              <w:t>1354</w:t>
            </w:r>
          </w:p>
        </w:tc>
        <w:tc>
          <w:tcPr>
            <w:tcW w:w="2079" w:type="dxa"/>
            <w:tcBorders>
              <w:top w:val="single" w:sz="4" w:space="0" w:color="auto"/>
            </w:tcBorders>
          </w:tcPr>
          <w:p w:rsidR="00B97965" w:rsidRPr="00220228" w:rsidRDefault="00B97965" w:rsidP="00B97965">
            <w:pPr>
              <w:rPr>
                <w:sz w:val="18"/>
                <w:szCs w:val="18"/>
              </w:rPr>
            </w:pPr>
            <w:r w:rsidRPr="00220228">
              <w:rPr>
                <w:sz w:val="18"/>
                <w:szCs w:val="18"/>
              </w:rPr>
              <w:t>321</w:t>
            </w:r>
          </w:p>
        </w:tc>
        <w:tc>
          <w:tcPr>
            <w:tcW w:w="2079" w:type="dxa"/>
            <w:tcBorders>
              <w:top w:val="single" w:sz="4" w:space="0" w:color="auto"/>
            </w:tcBorders>
          </w:tcPr>
          <w:p w:rsidR="00B97965" w:rsidRPr="00220228" w:rsidRDefault="00B97965" w:rsidP="00B97965">
            <w:pPr>
              <w:rPr>
                <w:sz w:val="18"/>
                <w:szCs w:val="18"/>
              </w:rPr>
            </w:pPr>
            <w:r w:rsidRPr="00220228">
              <w:rPr>
                <w:sz w:val="18"/>
                <w:szCs w:val="18"/>
              </w:rPr>
              <w:t>842</w:t>
            </w:r>
          </w:p>
        </w:tc>
      </w:tr>
      <w:tr w:rsidR="00B97965" w:rsidRPr="00220228" w:rsidTr="00B97965">
        <w:tc>
          <w:tcPr>
            <w:tcW w:w="2660" w:type="dxa"/>
          </w:tcPr>
          <w:p w:rsidR="00B97965" w:rsidRPr="00220228" w:rsidRDefault="00B97965" w:rsidP="00B97965">
            <w:pPr>
              <w:rPr>
                <w:sz w:val="18"/>
                <w:szCs w:val="18"/>
              </w:rPr>
            </w:pPr>
            <w:r w:rsidRPr="00220228">
              <w:rPr>
                <w:sz w:val="18"/>
                <w:szCs w:val="18"/>
              </w:rPr>
              <w:t>Age mean (sd)</w:t>
            </w:r>
          </w:p>
        </w:tc>
        <w:tc>
          <w:tcPr>
            <w:tcW w:w="2079" w:type="dxa"/>
          </w:tcPr>
          <w:p w:rsidR="00B97965" w:rsidRPr="00220228" w:rsidRDefault="00B97965" w:rsidP="00B97965">
            <w:pPr>
              <w:rPr>
                <w:sz w:val="18"/>
                <w:szCs w:val="18"/>
              </w:rPr>
            </w:pPr>
            <w:r w:rsidRPr="00220228">
              <w:rPr>
                <w:sz w:val="18"/>
                <w:szCs w:val="18"/>
              </w:rPr>
              <w:t>37.8 (13.05)</w:t>
            </w:r>
          </w:p>
        </w:tc>
        <w:tc>
          <w:tcPr>
            <w:tcW w:w="2079" w:type="dxa"/>
          </w:tcPr>
          <w:p w:rsidR="00B97965" w:rsidRPr="00220228" w:rsidRDefault="00B97965" w:rsidP="00B97965">
            <w:pPr>
              <w:rPr>
                <w:sz w:val="18"/>
                <w:szCs w:val="18"/>
              </w:rPr>
            </w:pPr>
            <w:r w:rsidRPr="00220228">
              <w:rPr>
                <w:sz w:val="18"/>
                <w:szCs w:val="18"/>
              </w:rPr>
              <w:t>40.6 (11.0)</w:t>
            </w:r>
          </w:p>
        </w:tc>
        <w:tc>
          <w:tcPr>
            <w:tcW w:w="2079" w:type="dxa"/>
          </w:tcPr>
          <w:p w:rsidR="00B97965" w:rsidRPr="00220228" w:rsidRDefault="00B97965" w:rsidP="00B97965">
            <w:pPr>
              <w:rPr>
                <w:sz w:val="18"/>
                <w:szCs w:val="18"/>
              </w:rPr>
            </w:pPr>
            <w:r w:rsidRPr="00220228">
              <w:rPr>
                <w:sz w:val="18"/>
                <w:szCs w:val="18"/>
              </w:rPr>
              <w:t>37.8 (11.8)</w:t>
            </w:r>
          </w:p>
        </w:tc>
      </w:tr>
      <w:tr w:rsidR="00B97965" w:rsidRPr="00220228" w:rsidTr="00B97965">
        <w:tc>
          <w:tcPr>
            <w:tcW w:w="2660" w:type="dxa"/>
          </w:tcPr>
          <w:p w:rsidR="00B97965" w:rsidRPr="00220228" w:rsidRDefault="00B97965" w:rsidP="00B97965">
            <w:pPr>
              <w:rPr>
                <w:sz w:val="18"/>
                <w:szCs w:val="18"/>
              </w:rPr>
            </w:pPr>
            <w:r w:rsidRPr="00220228">
              <w:rPr>
                <w:sz w:val="18"/>
                <w:szCs w:val="18"/>
              </w:rPr>
              <w:t>Disease duration mean (sd)</w:t>
            </w:r>
          </w:p>
        </w:tc>
        <w:tc>
          <w:tcPr>
            <w:tcW w:w="2079" w:type="dxa"/>
          </w:tcPr>
          <w:p w:rsidR="00B97965" w:rsidRPr="00220228" w:rsidRDefault="00B97965" w:rsidP="00B97965">
            <w:pPr>
              <w:rPr>
                <w:sz w:val="18"/>
                <w:szCs w:val="18"/>
              </w:rPr>
            </w:pPr>
            <w:r w:rsidRPr="00220228">
              <w:rPr>
                <w:sz w:val="18"/>
                <w:szCs w:val="18"/>
              </w:rPr>
              <w:t>4.83 (6.3)</w:t>
            </w:r>
          </w:p>
        </w:tc>
        <w:tc>
          <w:tcPr>
            <w:tcW w:w="2079" w:type="dxa"/>
          </w:tcPr>
          <w:p w:rsidR="00B97965" w:rsidRPr="00220228" w:rsidRDefault="00B97965" w:rsidP="00B97965">
            <w:pPr>
              <w:rPr>
                <w:sz w:val="18"/>
                <w:szCs w:val="18"/>
              </w:rPr>
            </w:pPr>
            <w:r w:rsidRPr="00220228">
              <w:rPr>
                <w:sz w:val="18"/>
                <w:szCs w:val="18"/>
              </w:rPr>
              <w:t>8.98 (8.1)</w:t>
            </w:r>
          </w:p>
        </w:tc>
        <w:tc>
          <w:tcPr>
            <w:tcW w:w="2079" w:type="dxa"/>
          </w:tcPr>
          <w:p w:rsidR="00B97965" w:rsidRPr="00220228" w:rsidRDefault="00B97965" w:rsidP="00B97965">
            <w:pPr>
              <w:rPr>
                <w:sz w:val="18"/>
                <w:szCs w:val="18"/>
              </w:rPr>
            </w:pPr>
            <w:r w:rsidRPr="00220228">
              <w:rPr>
                <w:sz w:val="18"/>
                <w:szCs w:val="18"/>
              </w:rPr>
              <w:t>6.37 (6.2)</w:t>
            </w:r>
          </w:p>
        </w:tc>
      </w:tr>
      <w:tr w:rsidR="00B97965" w:rsidRPr="00220228" w:rsidTr="00B97965">
        <w:tc>
          <w:tcPr>
            <w:tcW w:w="2660" w:type="dxa"/>
          </w:tcPr>
          <w:p w:rsidR="00B97965" w:rsidRPr="00220228" w:rsidRDefault="00B97965" w:rsidP="00B97965">
            <w:pPr>
              <w:rPr>
                <w:sz w:val="18"/>
                <w:szCs w:val="18"/>
              </w:rPr>
            </w:pPr>
            <w:r w:rsidRPr="00220228">
              <w:rPr>
                <w:sz w:val="18"/>
                <w:szCs w:val="18"/>
              </w:rPr>
              <w:t>Women %</w:t>
            </w:r>
          </w:p>
        </w:tc>
        <w:tc>
          <w:tcPr>
            <w:tcW w:w="2079" w:type="dxa"/>
          </w:tcPr>
          <w:p w:rsidR="00B97965" w:rsidRPr="00220228" w:rsidRDefault="00B97965" w:rsidP="00B97965">
            <w:pPr>
              <w:rPr>
                <w:sz w:val="18"/>
                <w:szCs w:val="18"/>
              </w:rPr>
            </w:pPr>
            <w:r w:rsidRPr="00220228">
              <w:rPr>
                <w:sz w:val="18"/>
                <w:szCs w:val="18"/>
              </w:rPr>
              <w:t>92.9</w:t>
            </w:r>
          </w:p>
        </w:tc>
        <w:tc>
          <w:tcPr>
            <w:tcW w:w="2079" w:type="dxa"/>
          </w:tcPr>
          <w:p w:rsidR="00B97965" w:rsidRPr="00220228" w:rsidRDefault="00B97965" w:rsidP="00B97965">
            <w:pPr>
              <w:rPr>
                <w:sz w:val="18"/>
                <w:szCs w:val="18"/>
              </w:rPr>
            </w:pPr>
            <w:r w:rsidRPr="00220228">
              <w:rPr>
                <w:sz w:val="18"/>
                <w:szCs w:val="18"/>
              </w:rPr>
              <w:t>95.2</w:t>
            </w:r>
          </w:p>
        </w:tc>
        <w:tc>
          <w:tcPr>
            <w:tcW w:w="2079" w:type="dxa"/>
          </w:tcPr>
          <w:p w:rsidR="00B97965" w:rsidRPr="00220228" w:rsidRDefault="00B97965" w:rsidP="00B97965">
            <w:pPr>
              <w:rPr>
                <w:sz w:val="18"/>
                <w:szCs w:val="18"/>
              </w:rPr>
            </w:pPr>
            <w:r w:rsidRPr="00220228">
              <w:rPr>
                <w:sz w:val="18"/>
                <w:szCs w:val="18"/>
              </w:rPr>
              <w:t>94.0</w:t>
            </w:r>
          </w:p>
        </w:tc>
      </w:tr>
      <w:tr w:rsidR="00B97965" w:rsidRPr="00220228" w:rsidTr="00B97965">
        <w:tc>
          <w:tcPr>
            <w:tcW w:w="2660" w:type="dxa"/>
          </w:tcPr>
          <w:p w:rsidR="00B97965" w:rsidRPr="00220228" w:rsidRDefault="00B97965" w:rsidP="00B97965">
            <w:pPr>
              <w:rPr>
                <w:sz w:val="18"/>
                <w:szCs w:val="18"/>
              </w:rPr>
            </w:pPr>
            <w:r w:rsidRPr="00220228">
              <w:rPr>
                <w:sz w:val="18"/>
                <w:szCs w:val="18"/>
              </w:rPr>
              <w:t>Black %</w:t>
            </w:r>
          </w:p>
        </w:tc>
        <w:tc>
          <w:tcPr>
            <w:tcW w:w="2079" w:type="dxa"/>
          </w:tcPr>
          <w:p w:rsidR="00B97965" w:rsidRPr="00220228" w:rsidRDefault="00B97965" w:rsidP="00B97965">
            <w:pPr>
              <w:rPr>
                <w:sz w:val="18"/>
                <w:szCs w:val="18"/>
              </w:rPr>
            </w:pPr>
            <w:r w:rsidRPr="00220228">
              <w:rPr>
                <w:sz w:val="18"/>
                <w:szCs w:val="18"/>
              </w:rPr>
              <w:t>38.8</w:t>
            </w:r>
          </w:p>
        </w:tc>
        <w:tc>
          <w:tcPr>
            <w:tcW w:w="2079" w:type="dxa"/>
          </w:tcPr>
          <w:p w:rsidR="00B97965" w:rsidRPr="00220228" w:rsidRDefault="00B97965" w:rsidP="00B97965">
            <w:pPr>
              <w:rPr>
                <w:sz w:val="18"/>
                <w:szCs w:val="18"/>
              </w:rPr>
            </w:pPr>
            <w:r w:rsidRPr="00220228">
              <w:rPr>
                <w:sz w:val="18"/>
                <w:szCs w:val="18"/>
              </w:rPr>
              <w:t>26.2</w:t>
            </w:r>
          </w:p>
        </w:tc>
        <w:tc>
          <w:tcPr>
            <w:tcW w:w="2079" w:type="dxa"/>
          </w:tcPr>
          <w:p w:rsidR="00B97965" w:rsidRPr="00220228" w:rsidRDefault="00B97965" w:rsidP="00B97965">
            <w:pPr>
              <w:rPr>
                <w:sz w:val="18"/>
                <w:szCs w:val="18"/>
              </w:rPr>
            </w:pPr>
            <w:r w:rsidRPr="00220228">
              <w:rPr>
                <w:sz w:val="18"/>
                <w:szCs w:val="18"/>
              </w:rPr>
              <w:t>9.0</w:t>
            </w:r>
          </w:p>
        </w:tc>
      </w:tr>
    </w:tbl>
    <w:p w:rsidR="00B97965" w:rsidRDefault="00B97965" w:rsidP="00B97965"/>
    <w:p w:rsidR="00B97965" w:rsidRDefault="00BE457B" w:rsidP="00BE457B">
      <w:bookmarkStart w:id="716" w:name="_Toc335051136"/>
      <w:bookmarkStart w:id="717" w:name="_Toc341366960"/>
      <w:r>
        <w:t>RESULTS</w:t>
      </w:r>
      <w:bookmarkEnd w:id="716"/>
      <w:bookmarkEnd w:id="717"/>
    </w:p>
    <w:p w:rsidR="00B97965" w:rsidRDefault="00B97965" w:rsidP="00B97965">
      <w:r>
        <w:t>The Hopkins Lupus Cohort</w:t>
      </w:r>
    </w:p>
    <w:p w:rsidR="00B97965" w:rsidRDefault="00B97965" w:rsidP="00B97965">
      <w:r>
        <w:t xml:space="preserve">The simulation replicates most of the outcomes from the Hopkins Lupus Cohort with good accuracy. The proportion of patients with each SLEDAI item was recorded at every visit for five years and compared with those observed in the first five years of the Hopkins lupus Cohort. Graphical plots indicated that the simulated outcomes were close to the Hopkins data and that most of the Hopkins observations fell within the 95% percentile plots to indicate the upper and lower limits of the simulation (results not reported here). </w:t>
      </w:r>
      <w:r w:rsidR="00E729BA">
        <w:fldChar w:fldCharType="begin"/>
      </w:r>
      <w:r>
        <w:instrText xml:space="preserve"> REF _Ref325450609 \h </w:instrText>
      </w:r>
      <w:r w:rsidR="00E729BA">
        <w:fldChar w:fldCharType="separate"/>
      </w:r>
      <w:r w:rsidR="004911B7">
        <w:t xml:space="preserve">Table </w:t>
      </w:r>
      <w:r w:rsidR="004911B7">
        <w:rPr>
          <w:noProof/>
        </w:rPr>
        <w:t>109</w:t>
      </w:r>
      <w:r w:rsidR="00E729BA">
        <w:fldChar w:fldCharType="end"/>
      </w:r>
      <w:r>
        <w:t xml:space="preserve"> reports summary results for statistical tests on the difference between the simulated proportion at each time point and the observed Hopkins data. In eighteen of the items of the SLEDAI the proportion of simulated outcomes that were statistically significantly different from the Hopkins data was less than 5%. Two items of the SLEDAI had more than 10% of simulated outcomes that were statistically significantly different. </w:t>
      </w:r>
    </w:p>
    <w:p w:rsidR="00B97965" w:rsidRDefault="00B97965" w:rsidP="00234693">
      <w:pPr>
        <w:pStyle w:val="Caption"/>
      </w:pPr>
      <w:bookmarkStart w:id="718" w:name="_Ref325450609"/>
      <w:r>
        <w:t xml:space="preserve">Table </w:t>
      </w:r>
      <w:fldSimple w:instr=" SEQ Table \* ARABIC ">
        <w:r w:rsidR="004911B7">
          <w:rPr>
            <w:noProof/>
          </w:rPr>
          <w:t>109</w:t>
        </w:r>
      </w:fldSimple>
      <w:bookmarkEnd w:id="718"/>
      <w:r>
        <w:t>: Simulation results for the SLEDAI items and proportion of simulated outcomes within the 95% confidence interval of Hopkins results</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left w:w="57" w:type="dxa"/>
          <w:right w:w="57" w:type="dxa"/>
        </w:tblCellMar>
        <w:tblLook w:val="04A0"/>
      </w:tblPr>
      <w:tblGrid>
        <w:gridCol w:w="2145"/>
        <w:gridCol w:w="2055"/>
        <w:gridCol w:w="2056"/>
        <w:gridCol w:w="2056"/>
      </w:tblGrid>
      <w:tr w:rsidR="00B97965" w:rsidRPr="00220228" w:rsidTr="00B97965">
        <w:tc>
          <w:tcPr>
            <w:tcW w:w="2292"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SLEDAI Item</w:t>
            </w:r>
          </w:p>
        </w:tc>
        <w:tc>
          <w:tcPr>
            <w:tcW w:w="2282"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 xml:space="preserve">Proportion of events in Hopkins Lupus Cohort across all observations up to 5 years </w:t>
            </w:r>
          </w:p>
        </w:tc>
        <w:tc>
          <w:tcPr>
            <w:tcW w:w="2283"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Average simulated proportions of events across all observations up to 5 years</w:t>
            </w:r>
          </w:p>
        </w:tc>
        <w:tc>
          <w:tcPr>
            <w:tcW w:w="2283" w:type="dxa"/>
            <w:tcBorders>
              <w:top w:val="single" w:sz="8" w:space="0" w:color="auto"/>
              <w:bottom w:val="single" w:sz="4" w:space="0" w:color="auto"/>
            </w:tcBorders>
          </w:tcPr>
          <w:p w:rsidR="00B97965" w:rsidRPr="00220228" w:rsidRDefault="00B97965" w:rsidP="00B97965">
            <w:pPr>
              <w:rPr>
                <w:sz w:val="18"/>
                <w:szCs w:val="18"/>
              </w:rPr>
            </w:pPr>
            <w:r w:rsidRPr="00220228">
              <w:rPr>
                <w:sz w:val="18"/>
                <w:szCs w:val="18"/>
              </w:rPr>
              <w:t>Proportion of simulated observations significantly different from Cohort</w:t>
            </w:r>
          </w:p>
        </w:tc>
      </w:tr>
      <w:tr w:rsidR="00B97965" w:rsidRPr="00220228" w:rsidTr="00B97965">
        <w:tc>
          <w:tcPr>
            <w:tcW w:w="2292" w:type="dxa"/>
            <w:tcBorders>
              <w:top w:val="single" w:sz="4" w:space="0" w:color="auto"/>
            </w:tcBorders>
          </w:tcPr>
          <w:p w:rsidR="00B97965" w:rsidRPr="00220228" w:rsidRDefault="00B97965" w:rsidP="00B97965">
            <w:pPr>
              <w:spacing w:line="240" w:lineRule="auto"/>
              <w:rPr>
                <w:sz w:val="18"/>
                <w:szCs w:val="18"/>
              </w:rPr>
            </w:pPr>
            <w:r w:rsidRPr="00220228">
              <w:rPr>
                <w:sz w:val="18"/>
                <w:szCs w:val="18"/>
              </w:rPr>
              <w:t xml:space="preserve">Seizure </w:t>
            </w:r>
          </w:p>
        </w:tc>
        <w:tc>
          <w:tcPr>
            <w:tcW w:w="2282" w:type="dxa"/>
            <w:tcBorders>
              <w:top w:val="single" w:sz="4" w:space="0" w:color="auto"/>
            </w:tcBorders>
          </w:tcPr>
          <w:p w:rsidR="00B97965" w:rsidRPr="00220228" w:rsidRDefault="00B97965" w:rsidP="00B97965">
            <w:pPr>
              <w:jc w:val="right"/>
              <w:rPr>
                <w:sz w:val="18"/>
                <w:szCs w:val="18"/>
              </w:rPr>
            </w:pPr>
            <w:r w:rsidRPr="00220228">
              <w:rPr>
                <w:sz w:val="18"/>
                <w:szCs w:val="18"/>
              </w:rPr>
              <w:t>0.002</w:t>
            </w:r>
          </w:p>
        </w:tc>
        <w:tc>
          <w:tcPr>
            <w:tcW w:w="2283" w:type="dxa"/>
            <w:tcBorders>
              <w:top w:val="single" w:sz="4" w:space="0" w:color="auto"/>
            </w:tcBorders>
          </w:tcPr>
          <w:p w:rsidR="00B97965" w:rsidRPr="00220228" w:rsidRDefault="00B97965" w:rsidP="00B97965">
            <w:pPr>
              <w:spacing w:line="240" w:lineRule="auto"/>
              <w:jc w:val="right"/>
              <w:rPr>
                <w:sz w:val="18"/>
                <w:szCs w:val="18"/>
              </w:rPr>
            </w:pPr>
            <w:r w:rsidRPr="00220228">
              <w:rPr>
                <w:sz w:val="18"/>
                <w:szCs w:val="18"/>
              </w:rPr>
              <w:t>0.003</w:t>
            </w:r>
          </w:p>
        </w:tc>
        <w:tc>
          <w:tcPr>
            <w:tcW w:w="2283" w:type="dxa"/>
            <w:tcBorders>
              <w:top w:val="single" w:sz="4" w:space="0" w:color="auto"/>
            </w:tcBorders>
          </w:tcPr>
          <w:p w:rsidR="00B97965" w:rsidRPr="00220228" w:rsidRDefault="00B97965" w:rsidP="00B97965">
            <w:pPr>
              <w:jc w:val="right"/>
              <w:rPr>
                <w:sz w:val="18"/>
                <w:szCs w:val="18"/>
              </w:rPr>
            </w:pPr>
            <w:r w:rsidRPr="00220228">
              <w:rPr>
                <w:sz w:val="18"/>
                <w:szCs w:val="18"/>
              </w:rPr>
              <w:t>0.017</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Psychosis</w:t>
            </w:r>
          </w:p>
        </w:tc>
        <w:tc>
          <w:tcPr>
            <w:tcW w:w="2282" w:type="dxa"/>
          </w:tcPr>
          <w:p w:rsidR="00B97965" w:rsidRPr="00220228" w:rsidRDefault="00B97965" w:rsidP="00B97965">
            <w:pPr>
              <w:jc w:val="right"/>
              <w:rPr>
                <w:sz w:val="18"/>
                <w:szCs w:val="18"/>
              </w:rPr>
            </w:pPr>
            <w:r w:rsidRPr="00220228">
              <w:rPr>
                <w:sz w:val="18"/>
                <w:szCs w:val="18"/>
              </w:rPr>
              <w:t>0.001</w:t>
            </w:r>
          </w:p>
        </w:tc>
        <w:tc>
          <w:tcPr>
            <w:tcW w:w="2283" w:type="dxa"/>
          </w:tcPr>
          <w:p w:rsidR="00B97965" w:rsidRPr="00220228" w:rsidRDefault="00B97965" w:rsidP="00B97965">
            <w:pPr>
              <w:spacing w:line="240" w:lineRule="auto"/>
              <w:jc w:val="right"/>
              <w:rPr>
                <w:sz w:val="18"/>
                <w:szCs w:val="18"/>
              </w:rPr>
            </w:pPr>
            <w:r w:rsidRPr="00220228">
              <w:rPr>
                <w:sz w:val="18"/>
                <w:szCs w:val="18"/>
              </w:rPr>
              <w:t>0.002</w:t>
            </w:r>
          </w:p>
        </w:tc>
        <w:tc>
          <w:tcPr>
            <w:tcW w:w="2283" w:type="dxa"/>
          </w:tcPr>
          <w:p w:rsidR="00B97965" w:rsidRPr="00220228" w:rsidRDefault="00B97965" w:rsidP="00B97965">
            <w:pPr>
              <w:jc w:val="right"/>
              <w:rPr>
                <w:sz w:val="18"/>
                <w:szCs w:val="18"/>
              </w:rPr>
            </w:pPr>
            <w:r w:rsidRPr="00220228">
              <w:rPr>
                <w:sz w:val="18"/>
                <w:szCs w:val="18"/>
              </w:rPr>
              <w:t>0.014</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Organic Brain Syndrome</w:t>
            </w:r>
          </w:p>
        </w:tc>
        <w:tc>
          <w:tcPr>
            <w:tcW w:w="2282" w:type="dxa"/>
          </w:tcPr>
          <w:p w:rsidR="00B97965" w:rsidRPr="00220228" w:rsidRDefault="00B97965" w:rsidP="00B97965">
            <w:pPr>
              <w:jc w:val="right"/>
              <w:rPr>
                <w:sz w:val="18"/>
                <w:szCs w:val="18"/>
              </w:rPr>
            </w:pPr>
            <w:r w:rsidRPr="00220228">
              <w:rPr>
                <w:sz w:val="18"/>
                <w:szCs w:val="18"/>
              </w:rPr>
              <w:t>0.004</w:t>
            </w:r>
          </w:p>
        </w:tc>
        <w:tc>
          <w:tcPr>
            <w:tcW w:w="2283" w:type="dxa"/>
          </w:tcPr>
          <w:p w:rsidR="00B97965" w:rsidRPr="00220228" w:rsidRDefault="00B97965" w:rsidP="00B97965">
            <w:pPr>
              <w:spacing w:line="240" w:lineRule="auto"/>
              <w:jc w:val="right"/>
              <w:rPr>
                <w:sz w:val="18"/>
                <w:szCs w:val="18"/>
              </w:rPr>
            </w:pPr>
            <w:r w:rsidRPr="00220228">
              <w:rPr>
                <w:sz w:val="18"/>
                <w:szCs w:val="18"/>
              </w:rPr>
              <w:t>0.006</w:t>
            </w:r>
          </w:p>
        </w:tc>
        <w:tc>
          <w:tcPr>
            <w:tcW w:w="2283" w:type="dxa"/>
          </w:tcPr>
          <w:p w:rsidR="00B97965" w:rsidRPr="00220228" w:rsidRDefault="00B97965" w:rsidP="00B97965">
            <w:pPr>
              <w:jc w:val="right"/>
              <w:rPr>
                <w:sz w:val="18"/>
                <w:szCs w:val="18"/>
              </w:rPr>
            </w:pPr>
            <w:r w:rsidRPr="00220228">
              <w:rPr>
                <w:sz w:val="18"/>
                <w:szCs w:val="18"/>
              </w:rPr>
              <w:t>0.030</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Visual Disturbance</w:t>
            </w:r>
          </w:p>
        </w:tc>
        <w:tc>
          <w:tcPr>
            <w:tcW w:w="2282" w:type="dxa"/>
          </w:tcPr>
          <w:p w:rsidR="00B97965" w:rsidRPr="00220228" w:rsidRDefault="00B97965" w:rsidP="00B97965">
            <w:pPr>
              <w:jc w:val="right"/>
              <w:rPr>
                <w:sz w:val="18"/>
                <w:szCs w:val="18"/>
              </w:rPr>
            </w:pPr>
            <w:r w:rsidRPr="00220228">
              <w:rPr>
                <w:sz w:val="18"/>
                <w:szCs w:val="18"/>
              </w:rPr>
              <w:t>0.004</w:t>
            </w:r>
          </w:p>
        </w:tc>
        <w:tc>
          <w:tcPr>
            <w:tcW w:w="2283" w:type="dxa"/>
          </w:tcPr>
          <w:p w:rsidR="00B97965" w:rsidRPr="00220228" w:rsidRDefault="00B97965" w:rsidP="00B97965">
            <w:pPr>
              <w:spacing w:line="240" w:lineRule="auto"/>
              <w:jc w:val="right"/>
              <w:rPr>
                <w:sz w:val="18"/>
                <w:szCs w:val="18"/>
              </w:rPr>
            </w:pPr>
            <w:r w:rsidRPr="00220228">
              <w:rPr>
                <w:sz w:val="18"/>
                <w:szCs w:val="18"/>
              </w:rPr>
              <w:t>0.004</w:t>
            </w:r>
          </w:p>
        </w:tc>
        <w:tc>
          <w:tcPr>
            <w:tcW w:w="2283" w:type="dxa"/>
          </w:tcPr>
          <w:p w:rsidR="00B97965" w:rsidRPr="00220228" w:rsidRDefault="00B97965" w:rsidP="00B97965">
            <w:pPr>
              <w:jc w:val="right"/>
              <w:rPr>
                <w:sz w:val="18"/>
                <w:szCs w:val="18"/>
              </w:rPr>
            </w:pPr>
            <w:r w:rsidRPr="00220228">
              <w:rPr>
                <w:sz w:val="18"/>
                <w:szCs w:val="18"/>
              </w:rPr>
              <w:t>0.017</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Cranial Nerve Disorder</w:t>
            </w:r>
          </w:p>
        </w:tc>
        <w:tc>
          <w:tcPr>
            <w:tcW w:w="2282" w:type="dxa"/>
          </w:tcPr>
          <w:p w:rsidR="00B97965" w:rsidRPr="00220228" w:rsidRDefault="00B97965" w:rsidP="00B97965">
            <w:pPr>
              <w:jc w:val="right"/>
              <w:rPr>
                <w:sz w:val="18"/>
                <w:szCs w:val="18"/>
              </w:rPr>
            </w:pPr>
            <w:r w:rsidRPr="00220228">
              <w:rPr>
                <w:sz w:val="18"/>
                <w:szCs w:val="18"/>
              </w:rPr>
              <w:t>0.005</w:t>
            </w:r>
          </w:p>
        </w:tc>
        <w:tc>
          <w:tcPr>
            <w:tcW w:w="2283" w:type="dxa"/>
          </w:tcPr>
          <w:p w:rsidR="00B97965" w:rsidRPr="00220228" w:rsidRDefault="00B97965" w:rsidP="00B97965">
            <w:pPr>
              <w:spacing w:line="240" w:lineRule="auto"/>
              <w:jc w:val="right"/>
              <w:rPr>
                <w:sz w:val="18"/>
                <w:szCs w:val="18"/>
              </w:rPr>
            </w:pPr>
            <w:r w:rsidRPr="00220228">
              <w:rPr>
                <w:sz w:val="18"/>
                <w:szCs w:val="18"/>
              </w:rPr>
              <w:t>0.004</w:t>
            </w:r>
          </w:p>
        </w:tc>
        <w:tc>
          <w:tcPr>
            <w:tcW w:w="2283" w:type="dxa"/>
          </w:tcPr>
          <w:p w:rsidR="00B97965" w:rsidRPr="00220228" w:rsidRDefault="00B97965" w:rsidP="00B97965">
            <w:pPr>
              <w:jc w:val="right"/>
              <w:rPr>
                <w:sz w:val="18"/>
                <w:szCs w:val="18"/>
              </w:rPr>
            </w:pPr>
            <w:r w:rsidRPr="00220228">
              <w:rPr>
                <w:sz w:val="18"/>
                <w:szCs w:val="18"/>
              </w:rPr>
              <w:t>0.005</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Lupus Headache</w:t>
            </w:r>
          </w:p>
        </w:tc>
        <w:tc>
          <w:tcPr>
            <w:tcW w:w="2282" w:type="dxa"/>
          </w:tcPr>
          <w:p w:rsidR="00B97965" w:rsidRPr="00220228" w:rsidRDefault="00B97965" w:rsidP="00B97965">
            <w:pPr>
              <w:jc w:val="right"/>
              <w:rPr>
                <w:sz w:val="18"/>
                <w:szCs w:val="18"/>
              </w:rPr>
            </w:pPr>
            <w:r w:rsidRPr="00220228">
              <w:rPr>
                <w:sz w:val="18"/>
                <w:szCs w:val="18"/>
              </w:rPr>
              <w:t>0.009</w:t>
            </w:r>
          </w:p>
        </w:tc>
        <w:tc>
          <w:tcPr>
            <w:tcW w:w="2283" w:type="dxa"/>
          </w:tcPr>
          <w:p w:rsidR="00B97965" w:rsidRPr="00220228" w:rsidRDefault="00B97965" w:rsidP="00B97965">
            <w:pPr>
              <w:spacing w:line="240" w:lineRule="auto"/>
              <w:jc w:val="right"/>
              <w:rPr>
                <w:sz w:val="18"/>
                <w:szCs w:val="18"/>
              </w:rPr>
            </w:pPr>
            <w:r w:rsidRPr="00220228">
              <w:rPr>
                <w:sz w:val="18"/>
                <w:szCs w:val="18"/>
              </w:rPr>
              <w:t>0.010</w:t>
            </w:r>
          </w:p>
        </w:tc>
        <w:tc>
          <w:tcPr>
            <w:tcW w:w="2283" w:type="dxa"/>
          </w:tcPr>
          <w:p w:rsidR="00B97965" w:rsidRPr="00220228" w:rsidRDefault="00B97965" w:rsidP="00B97965">
            <w:pPr>
              <w:jc w:val="right"/>
              <w:rPr>
                <w:sz w:val="18"/>
                <w:szCs w:val="18"/>
              </w:rPr>
            </w:pPr>
            <w:r w:rsidRPr="00220228">
              <w:rPr>
                <w:sz w:val="18"/>
                <w:szCs w:val="18"/>
              </w:rPr>
              <w:t>0.029</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CVA</w:t>
            </w:r>
          </w:p>
        </w:tc>
        <w:tc>
          <w:tcPr>
            <w:tcW w:w="2282" w:type="dxa"/>
          </w:tcPr>
          <w:p w:rsidR="00B97965" w:rsidRPr="00220228" w:rsidRDefault="00B97965" w:rsidP="00B97965">
            <w:pPr>
              <w:jc w:val="right"/>
              <w:rPr>
                <w:sz w:val="18"/>
                <w:szCs w:val="18"/>
              </w:rPr>
            </w:pPr>
            <w:r w:rsidRPr="00220228">
              <w:rPr>
                <w:sz w:val="18"/>
                <w:szCs w:val="18"/>
              </w:rPr>
              <w:t>0.001</w:t>
            </w:r>
          </w:p>
        </w:tc>
        <w:tc>
          <w:tcPr>
            <w:tcW w:w="2283" w:type="dxa"/>
          </w:tcPr>
          <w:p w:rsidR="00B97965" w:rsidRPr="00220228" w:rsidRDefault="00B97965" w:rsidP="00B97965">
            <w:pPr>
              <w:spacing w:line="240" w:lineRule="auto"/>
              <w:jc w:val="right"/>
              <w:rPr>
                <w:sz w:val="18"/>
                <w:szCs w:val="18"/>
              </w:rPr>
            </w:pPr>
            <w:r w:rsidRPr="00220228">
              <w:rPr>
                <w:sz w:val="18"/>
                <w:szCs w:val="18"/>
              </w:rPr>
              <w:t>0.009</w:t>
            </w:r>
          </w:p>
        </w:tc>
        <w:tc>
          <w:tcPr>
            <w:tcW w:w="2283" w:type="dxa"/>
          </w:tcPr>
          <w:p w:rsidR="00B97965" w:rsidRPr="00220228" w:rsidRDefault="00B97965" w:rsidP="00B97965">
            <w:pPr>
              <w:jc w:val="right"/>
              <w:rPr>
                <w:sz w:val="18"/>
                <w:szCs w:val="18"/>
              </w:rPr>
            </w:pPr>
            <w:r w:rsidRPr="00220228">
              <w:rPr>
                <w:sz w:val="18"/>
                <w:szCs w:val="18"/>
              </w:rPr>
              <w:t>0.029</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Vasculitis</w:t>
            </w:r>
          </w:p>
        </w:tc>
        <w:tc>
          <w:tcPr>
            <w:tcW w:w="2282" w:type="dxa"/>
          </w:tcPr>
          <w:p w:rsidR="00B97965" w:rsidRPr="00220228" w:rsidRDefault="00B97965" w:rsidP="00B97965">
            <w:pPr>
              <w:jc w:val="right"/>
              <w:rPr>
                <w:sz w:val="18"/>
                <w:szCs w:val="18"/>
              </w:rPr>
            </w:pPr>
            <w:r w:rsidRPr="00220228">
              <w:rPr>
                <w:sz w:val="18"/>
                <w:szCs w:val="18"/>
              </w:rPr>
              <w:t>0.013</w:t>
            </w:r>
          </w:p>
        </w:tc>
        <w:tc>
          <w:tcPr>
            <w:tcW w:w="2283" w:type="dxa"/>
          </w:tcPr>
          <w:p w:rsidR="00B97965" w:rsidRPr="00220228" w:rsidRDefault="00B97965" w:rsidP="00B97965">
            <w:pPr>
              <w:spacing w:line="240" w:lineRule="auto"/>
              <w:jc w:val="right"/>
              <w:rPr>
                <w:sz w:val="18"/>
                <w:szCs w:val="18"/>
              </w:rPr>
            </w:pPr>
            <w:r w:rsidRPr="00220228">
              <w:rPr>
                <w:sz w:val="18"/>
                <w:szCs w:val="18"/>
              </w:rPr>
              <w:t>0.015</w:t>
            </w:r>
          </w:p>
        </w:tc>
        <w:tc>
          <w:tcPr>
            <w:tcW w:w="2283" w:type="dxa"/>
          </w:tcPr>
          <w:p w:rsidR="00B97965" w:rsidRPr="00220228" w:rsidRDefault="00B97965" w:rsidP="00B97965">
            <w:pPr>
              <w:jc w:val="right"/>
              <w:rPr>
                <w:sz w:val="18"/>
                <w:szCs w:val="18"/>
              </w:rPr>
            </w:pPr>
            <w:r w:rsidRPr="00220228">
              <w:rPr>
                <w:sz w:val="18"/>
                <w:szCs w:val="18"/>
              </w:rPr>
              <w:t>0.026</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Arthritis</w:t>
            </w:r>
          </w:p>
        </w:tc>
        <w:tc>
          <w:tcPr>
            <w:tcW w:w="2282" w:type="dxa"/>
          </w:tcPr>
          <w:p w:rsidR="00B97965" w:rsidRPr="00220228" w:rsidRDefault="00B97965" w:rsidP="00B97965">
            <w:pPr>
              <w:jc w:val="right"/>
              <w:rPr>
                <w:sz w:val="18"/>
                <w:szCs w:val="18"/>
              </w:rPr>
            </w:pPr>
            <w:r w:rsidRPr="00220228">
              <w:rPr>
                <w:sz w:val="18"/>
                <w:szCs w:val="18"/>
              </w:rPr>
              <w:t>0.098</w:t>
            </w:r>
          </w:p>
        </w:tc>
        <w:tc>
          <w:tcPr>
            <w:tcW w:w="2283" w:type="dxa"/>
          </w:tcPr>
          <w:p w:rsidR="00B97965" w:rsidRPr="00220228" w:rsidRDefault="00B97965" w:rsidP="00B97965">
            <w:pPr>
              <w:spacing w:line="240" w:lineRule="auto"/>
              <w:jc w:val="right"/>
              <w:rPr>
                <w:sz w:val="18"/>
                <w:szCs w:val="18"/>
              </w:rPr>
            </w:pPr>
            <w:r w:rsidRPr="00220228">
              <w:rPr>
                <w:sz w:val="18"/>
                <w:szCs w:val="18"/>
              </w:rPr>
              <w:t>0.079</w:t>
            </w:r>
          </w:p>
        </w:tc>
        <w:tc>
          <w:tcPr>
            <w:tcW w:w="2283" w:type="dxa"/>
          </w:tcPr>
          <w:p w:rsidR="00B97965" w:rsidRPr="00220228" w:rsidRDefault="00B97965" w:rsidP="00B97965">
            <w:pPr>
              <w:jc w:val="right"/>
              <w:rPr>
                <w:sz w:val="18"/>
                <w:szCs w:val="18"/>
              </w:rPr>
            </w:pPr>
            <w:r w:rsidRPr="00220228">
              <w:rPr>
                <w:sz w:val="18"/>
                <w:szCs w:val="18"/>
              </w:rPr>
              <w:t>0.217*</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Myositis</w:t>
            </w:r>
          </w:p>
        </w:tc>
        <w:tc>
          <w:tcPr>
            <w:tcW w:w="2282" w:type="dxa"/>
          </w:tcPr>
          <w:p w:rsidR="00B97965" w:rsidRPr="00220228" w:rsidRDefault="00B97965" w:rsidP="00B97965">
            <w:pPr>
              <w:jc w:val="right"/>
              <w:rPr>
                <w:sz w:val="18"/>
                <w:szCs w:val="18"/>
              </w:rPr>
            </w:pPr>
            <w:r w:rsidRPr="00220228">
              <w:rPr>
                <w:sz w:val="18"/>
                <w:szCs w:val="18"/>
              </w:rPr>
              <w:t>0.006</w:t>
            </w:r>
          </w:p>
        </w:tc>
        <w:tc>
          <w:tcPr>
            <w:tcW w:w="2283" w:type="dxa"/>
          </w:tcPr>
          <w:p w:rsidR="00B97965" w:rsidRPr="00220228" w:rsidRDefault="00B97965" w:rsidP="00B97965">
            <w:pPr>
              <w:spacing w:line="240" w:lineRule="auto"/>
              <w:jc w:val="right"/>
              <w:rPr>
                <w:sz w:val="18"/>
                <w:szCs w:val="18"/>
              </w:rPr>
            </w:pPr>
            <w:r w:rsidRPr="00220228">
              <w:rPr>
                <w:sz w:val="18"/>
                <w:szCs w:val="18"/>
              </w:rPr>
              <w:t>0.006</w:t>
            </w:r>
          </w:p>
        </w:tc>
        <w:tc>
          <w:tcPr>
            <w:tcW w:w="2283" w:type="dxa"/>
          </w:tcPr>
          <w:p w:rsidR="00B97965" w:rsidRPr="00220228" w:rsidRDefault="00B97965" w:rsidP="00B97965">
            <w:pPr>
              <w:jc w:val="right"/>
              <w:rPr>
                <w:sz w:val="18"/>
                <w:szCs w:val="18"/>
              </w:rPr>
            </w:pPr>
            <w:r w:rsidRPr="00220228">
              <w:rPr>
                <w:sz w:val="18"/>
                <w:szCs w:val="18"/>
              </w:rPr>
              <w:t>0.040</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Urinary Casts</w:t>
            </w:r>
          </w:p>
        </w:tc>
        <w:tc>
          <w:tcPr>
            <w:tcW w:w="2282" w:type="dxa"/>
          </w:tcPr>
          <w:p w:rsidR="00B97965" w:rsidRPr="00220228" w:rsidRDefault="00B97965" w:rsidP="00B97965">
            <w:pPr>
              <w:jc w:val="right"/>
              <w:rPr>
                <w:sz w:val="18"/>
                <w:szCs w:val="18"/>
              </w:rPr>
            </w:pPr>
            <w:r w:rsidRPr="00220228">
              <w:rPr>
                <w:sz w:val="18"/>
                <w:szCs w:val="18"/>
              </w:rPr>
              <w:t>0.001</w:t>
            </w:r>
          </w:p>
        </w:tc>
        <w:tc>
          <w:tcPr>
            <w:tcW w:w="2283" w:type="dxa"/>
          </w:tcPr>
          <w:p w:rsidR="00B97965" w:rsidRPr="00220228" w:rsidRDefault="00B97965" w:rsidP="00B97965">
            <w:pPr>
              <w:spacing w:line="240" w:lineRule="auto"/>
              <w:jc w:val="right"/>
              <w:rPr>
                <w:sz w:val="18"/>
                <w:szCs w:val="18"/>
              </w:rPr>
            </w:pPr>
            <w:r w:rsidRPr="00220228">
              <w:rPr>
                <w:sz w:val="18"/>
                <w:szCs w:val="18"/>
              </w:rPr>
              <w:t>0.001</w:t>
            </w:r>
          </w:p>
        </w:tc>
        <w:tc>
          <w:tcPr>
            <w:tcW w:w="2283" w:type="dxa"/>
          </w:tcPr>
          <w:p w:rsidR="00B97965" w:rsidRPr="00220228" w:rsidRDefault="00B97965" w:rsidP="00B97965">
            <w:pPr>
              <w:jc w:val="right"/>
              <w:rPr>
                <w:sz w:val="18"/>
                <w:szCs w:val="18"/>
              </w:rPr>
            </w:pPr>
            <w:r w:rsidRPr="00220228">
              <w:rPr>
                <w:sz w:val="18"/>
                <w:szCs w:val="18"/>
              </w:rPr>
              <w:t>0.005</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Hematuria</w:t>
            </w:r>
          </w:p>
        </w:tc>
        <w:tc>
          <w:tcPr>
            <w:tcW w:w="2282" w:type="dxa"/>
          </w:tcPr>
          <w:p w:rsidR="00B97965" w:rsidRPr="00220228" w:rsidRDefault="00B97965" w:rsidP="00B97965">
            <w:pPr>
              <w:jc w:val="right"/>
              <w:rPr>
                <w:sz w:val="18"/>
                <w:szCs w:val="18"/>
              </w:rPr>
            </w:pPr>
            <w:r w:rsidRPr="00220228">
              <w:rPr>
                <w:sz w:val="18"/>
                <w:szCs w:val="18"/>
              </w:rPr>
              <w:t>0.048</w:t>
            </w:r>
          </w:p>
        </w:tc>
        <w:tc>
          <w:tcPr>
            <w:tcW w:w="2283" w:type="dxa"/>
          </w:tcPr>
          <w:p w:rsidR="00B97965" w:rsidRPr="00220228" w:rsidRDefault="00B97965" w:rsidP="00B97965">
            <w:pPr>
              <w:spacing w:line="240" w:lineRule="auto"/>
              <w:jc w:val="right"/>
              <w:rPr>
                <w:sz w:val="18"/>
                <w:szCs w:val="18"/>
              </w:rPr>
            </w:pPr>
            <w:r w:rsidRPr="00220228">
              <w:rPr>
                <w:sz w:val="18"/>
                <w:szCs w:val="18"/>
              </w:rPr>
              <w:t>0.049</w:t>
            </w:r>
          </w:p>
        </w:tc>
        <w:tc>
          <w:tcPr>
            <w:tcW w:w="2283" w:type="dxa"/>
          </w:tcPr>
          <w:p w:rsidR="00B97965" w:rsidRPr="00220228" w:rsidRDefault="00B97965" w:rsidP="00B97965">
            <w:pPr>
              <w:jc w:val="right"/>
              <w:rPr>
                <w:sz w:val="18"/>
                <w:szCs w:val="18"/>
              </w:rPr>
            </w:pPr>
            <w:r w:rsidRPr="00220228">
              <w:rPr>
                <w:sz w:val="18"/>
                <w:szCs w:val="18"/>
              </w:rPr>
              <w:t>0.034</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Proteinuria</w:t>
            </w:r>
          </w:p>
        </w:tc>
        <w:tc>
          <w:tcPr>
            <w:tcW w:w="2282" w:type="dxa"/>
          </w:tcPr>
          <w:p w:rsidR="00B97965" w:rsidRPr="00220228" w:rsidRDefault="00B97965" w:rsidP="00B97965">
            <w:pPr>
              <w:jc w:val="right"/>
              <w:rPr>
                <w:sz w:val="18"/>
                <w:szCs w:val="18"/>
              </w:rPr>
            </w:pPr>
            <w:r w:rsidRPr="00220228">
              <w:rPr>
                <w:sz w:val="18"/>
                <w:szCs w:val="18"/>
              </w:rPr>
              <w:t>0.076</w:t>
            </w:r>
          </w:p>
        </w:tc>
        <w:tc>
          <w:tcPr>
            <w:tcW w:w="2283" w:type="dxa"/>
          </w:tcPr>
          <w:p w:rsidR="00B97965" w:rsidRPr="00220228" w:rsidRDefault="00B97965" w:rsidP="00B97965">
            <w:pPr>
              <w:spacing w:line="240" w:lineRule="auto"/>
              <w:jc w:val="right"/>
              <w:rPr>
                <w:sz w:val="18"/>
                <w:szCs w:val="18"/>
              </w:rPr>
            </w:pPr>
            <w:r w:rsidRPr="00220228">
              <w:rPr>
                <w:sz w:val="18"/>
                <w:szCs w:val="18"/>
              </w:rPr>
              <w:t>0.087</w:t>
            </w:r>
          </w:p>
        </w:tc>
        <w:tc>
          <w:tcPr>
            <w:tcW w:w="2283" w:type="dxa"/>
          </w:tcPr>
          <w:p w:rsidR="00B97965" w:rsidRPr="00220228" w:rsidRDefault="00B97965" w:rsidP="00B97965">
            <w:pPr>
              <w:jc w:val="right"/>
              <w:rPr>
                <w:sz w:val="18"/>
                <w:szCs w:val="18"/>
              </w:rPr>
            </w:pPr>
            <w:r w:rsidRPr="00220228">
              <w:rPr>
                <w:sz w:val="18"/>
                <w:szCs w:val="18"/>
              </w:rPr>
              <w:t>0.084*</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Pyuria</w:t>
            </w:r>
          </w:p>
        </w:tc>
        <w:tc>
          <w:tcPr>
            <w:tcW w:w="2282" w:type="dxa"/>
          </w:tcPr>
          <w:p w:rsidR="00B97965" w:rsidRPr="00220228" w:rsidRDefault="00B97965" w:rsidP="00B97965">
            <w:pPr>
              <w:jc w:val="right"/>
              <w:rPr>
                <w:sz w:val="18"/>
                <w:szCs w:val="18"/>
              </w:rPr>
            </w:pPr>
            <w:r w:rsidRPr="00220228">
              <w:rPr>
                <w:sz w:val="18"/>
                <w:szCs w:val="18"/>
              </w:rPr>
              <w:t>0.029</w:t>
            </w:r>
          </w:p>
        </w:tc>
        <w:tc>
          <w:tcPr>
            <w:tcW w:w="2283" w:type="dxa"/>
          </w:tcPr>
          <w:p w:rsidR="00B97965" w:rsidRPr="00220228" w:rsidRDefault="00B97965" w:rsidP="00B97965">
            <w:pPr>
              <w:spacing w:line="240" w:lineRule="auto"/>
              <w:jc w:val="right"/>
              <w:rPr>
                <w:sz w:val="18"/>
                <w:szCs w:val="18"/>
              </w:rPr>
            </w:pPr>
            <w:r w:rsidRPr="00220228">
              <w:rPr>
                <w:sz w:val="18"/>
                <w:szCs w:val="18"/>
              </w:rPr>
              <w:t>0.027</w:t>
            </w:r>
          </w:p>
        </w:tc>
        <w:tc>
          <w:tcPr>
            <w:tcW w:w="2283" w:type="dxa"/>
          </w:tcPr>
          <w:p w:rsidR="00B97965" w:rsidRPr="00220228" w:rsidRDefault="00B97965" w:rsidP="00B97965">
            <w:pPr>
              <w:jc w:val="right"/>
              <w:rPr>
                <w:sz w:val="18"/>
                <w:szCs w:val="18"/>
              </w:rPr>
            </w:pPr>
            <w:r w:rsidRPr="00220228">
              <w:rPr>
                <w:sz w:val="18"/>
                <w:szCs w:val="18"/>
              </w:rPr>
              <w:t>0.019</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New rash</w:t>
            </w:r>
          </w:p>
        </w:tc>
        <w:tc>
          <w:tcPr>
            <w:tcW w:w="2282" w:type="dxa"/>
          </w:tcPr>
          <w:p w:rsidR="00B97965" w:rsidRPr="00220228" w:rsidRDefault="00B97965" w:rsidP="00B97965">
            <w:pPr>
              <w:jc w:val="right"/>
              <w:rPr>
                <w:sz w:val="18"/>
                <w:szCs w:val="18"/>
              </w:rPr>
            </w:pPr>
            <w:r w:rsidRPr="00220228">
              <w:rPr>
                <w:sz w:val="18"/>
                <w:szCs w:val="18"/>
              </w:rPr>
              <w:t>0.089</w:t>
            </w:r>
          </w:p>
        </w:tc>
        <w:tc>
          <w:tcPr>
            <w:tcW w:w="2283" w:type="dxa"/>
          </w:tcPr>
          <w:p w:rsidR="00B97965" w:rsidRPr="00220228" w:rsidRDefault="00B97965" w:rsidP="00B97965">
            <w:pPr>
              <w:spacing w:line="240" w:lineRule="auto"/>
              <w:jc w:val="right"/>
              <w:rPr>
                <w:sz w:val="18"/>
                <w:szCs w:val="18"/>
              </w:rPr>
            </w:pPr>
            <w:r w:rsidRPr="00220228">
              <w:rPr>
                <w:sz w:val="18"/>
                <w:szCs w:val="18"/>
              </w:rPr>
              <w:t>0.089</w:t>
            </w:r>
          </w:p>
        </w:tc>
        <w:tc>
          <w:tcPr>
            <w:tcW w:w="2283" w:type="dxa"/>
          </w:tcPr>
          <w:p w:rsidR="00B97965" w:rsidRPr="00220228" w:rsidRDefault="00B97965" w:rsidP="00B97965">
            <w:pPr>
              <w:jc w:val="right"/>
              <w:rPr>
                <w:sz w:val="18"/>
                <w:szCs w:val="18"/>
              </w:rPr>
            </w:pPr>
            <w:r w:rsidRPr="00220228">
              <w:rPr>
                <w:sz w:val="18"/>
                <w:szCs w:val="18"/>
              </w:rPr>
              <w:t>0.023</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Alopecia</w:t>
            </w:r>
          </w:p>
        </w:tc>
        <w:tc>
          <w:tcPr>
            <w:tcW w:w="2282" w:type="dxa"/>
          </w:tcPr>
          <w:p w:rsidR="00B97965" w:rsidRPr="00220228" w:rsidRDefault="00B97965" w:rsidP="00B97965">
            <w:pPr>
              <w:jc w:val="right"/>
              <w:rPr>
                <w:sz w:val="18"/>
                <w:szCs w:val="18"/>
              </w:rPr>
            </w:pPr>
            <w:r w:rsidRPr="00220228">
              <w:rPr>
                <w:sz w:val="18"/>
                <w:szCs w:val="18"/>
              </w:rPr>
              <w:t>0.072</w:t>
            </w:r>
          </w:p>
        </w:tc>
        <w:tc>
          <w:tcPr>
            <w:tcW w:w="2283" w:type="dxa"/>
          </w:tcPr>
          <w:p w:rsidR="00B97965" w:rsidRPr="00220228" w:rsidRDefault="00B97965" w:rsidP="00B97965">
            <w:pPr>
              <w:spacing w:line="240" w:lineRule="auto"/>
              <w:jc w:val="right"/>
              <w:rPr>
                <w:sz w:val="18"/>
                <w:szCs w:val="18"/>
              </w:rPr>
            </w:pPr>
            <w:r w:rsidRPr="00220228">
              <w:rPr>
                <w:sz w:val="18"/>
                <w:szCs w:val="18"/>
              </w:rPr>
              <w:t>0.060</w:t>
            </w:r>
          </w:p>
        </w:tc>
        <w:tc>
          <w:tcPr>
            <w:tcW w:w="2283" w:type="dxa"/>
          </w:tcPr>
          <w:p w:rsidR="00B97965" w:rsidRPr="00220228" w:rsidRDefault="00B97965" w:rsidP="00B97965">
            <w:pPr>
              <w:jc w:val="right"/>
              <w:rPr>
                <w:sz w:val="18"/>
                <w:szCs w:val="18"/>
              </w:rPr>
            </w:pPr>
            <w:r w:rsidRPr="00220228">
              <w:rPr>
                <w:sz w:val="18"/>
                <w:szCs w:val="18"/>
              </w:rPr>
              <w:t>0.051*</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Mucosal Ulcers</w:t>
            </w:r>
          </w:p>
        </w:tc>
        <w:tc>
          <w:tcPr>
            <w:tcW w:w="2282" w:type="dxa"/>
          </w:tcPr>
          <w:p w:rsidR="00B97965" w:rsidRPr="00220228" w:rsidRDefault="00B97965" w:rsidP="00B97965">
            <w:pPr>
              <w:jc w:val="right"/>
              <w:rPr>
                <w:sz w:val="18"/>
                <w:szCs w:val="18"/>
              </w:rPr>
            </w:pPr>
            <w:r w:rsidRPr="00220228">
              <w:rPr>
                <w:sz w:val="18"/>
                <w:szCs w:val="18"/>
              </w:rPr>
              <w:t>0.043</w:t>
            </w:r>
          </w:p>
        </w:tc>
        <w:tc>
          <w:tcPr>
            <w:tcW w:w="2283" w:type="dxa"/>
          </w:tcPr>
          <w:p w:rsidR="00B97965" w:rsidRPr="00220228" w:rsidRDefault="00B97965" w:rsidP="00B97965">
            <w:pPr>
              <w:spacing w:line="240" w:lineRule="auto"/>
              <w:jc w:val="right"/>
              <w:rPr>
                <w:sz w:val="18"/>
                <w:szCs w:val="18"/>
              </w:rPr>
            </w:pPr>
            <w:r w:rsidRPr="00220228">
              <w:rPr>
                <w:sz w:val="18"/>
                <w:szCs w:val="18"/>
              </w:rPr>
              <w:t>0.041</w:t>
            </w:r>
          </w:p>
        </w:tc>
        <w:tc>
          <w:tcPr>
            <w:tcW w:w="2283" w:type="dxa"/>
          </w:tcPr>
          <w:p w:rsidR="00B97965" w:rsidRPr="00220228" w:rsidRDefault="00B97965" w:rsidP="00B97965">
            <w:pPr>
              <w:jc w:val="right"/>
              <w:rPr>
                <w:sz w:val="18"/>
                <w:szCs w:val="18"/>
              </w:rPr>
            </w:pPr>
            <w:r w:rsidRPr="00220228">
              <w:rPr>
                <w:sz w:val="18"/>
                <w:szCs w:val="18"/>
              </w:rPr>
              <w:t>0.018</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Pleurisy</w:t>
            </w:r>
          </w:p>
        </w:tc>
        <w:tc>
          <w:tcPr>
            <w:tcW w:w="2282" w:type="dxa"/>
          </w:tcPr>
          <w:p w:rsidR="00B97965" w:rsidRPr="00220228" w:rsidRDefault="00B97965" w:rsidP="00B97965">
            <w:pPr>
              <w:jc w:val="right"/>
              <w:rPr>
                <w:sz w:val="18"/>
                <w:szCs w:val="18"/>
              </w:rPr>
            </w:pPr>
            <w:r w:rsidRPr="00220228">
              <w:rPr>
                <w:sz w:val="18"/>
                <w:szCs w:val="18"/>
              </w:rPr>
              <w:t>0.029</w:t>
            </w:r>
          </w:p>
        </w:tc>
        <w:tc>
          <w:tcPr>
            <w:tcW w:w="2283" w:type="dxa"/>
          </w:tcPr>
          <w:p w:rsidR="00B97965" w:rsidRPr="00220228" w:rsidRDefault="00B97965" w:rsidP="00B97965">
            <w:pPr>
              <w:spacing w:line="240" w:lineRule="auto"/>
              <w:jc w:val="right"/>
              <w:rPr>
                <w:sz w:val="18"/>
                <w:szCs w:val="18"/>
              </w:rPr>
            </w:pPr>
            <w:r w:rsidRPr="00220228">
              <w:rPr>
                <w:sz w:val="18"/>
                <w:szCs w:val="18"/>
              </w:rPr>
              <w:t>0.024</w:t>
            </w:r>
          </w:p>
        </w:tc>
        <w:tc>
          <w:tcPr>
            <w:tcW w:w="2283" w:type="dxa"/>
          </w:tcPr>
          <w:p w:rsidR="00B97965" w:rsidRPr="00220228" w:rsidRDefault="00B97965" w:rsidP="00B97965">
            <w:pPr>
              <w:jc w:val="right"/>
              <w:rPr>
                <w:sz w:val="18"/>
                <w:szCs w:val="18"/>
              </w:rPr>
            </w:pPr>
            <w:r w:rsidRPr="00220228">
              <w:rPr>
                <w:sz w:val="18"/>
                <w:szCs w:val="18"/>
              </w:rPr>
              <w:t>0.071*</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Pericarditis</w:t>
            </w:r>
          </w:p>
        </w:tc>
        <w:tc>
          <w:tcPr>
            <w:tcW w:w="2282" w:type="dxa"/>
          </w:tcPr>
          <w:p w:rsidR="00B97965" w:rsidRPr="00220228" w:rsidRDefault="00B97965" w:rsidP="00B97965">
            <w:pPr>
              <w:jc w:val="right"/>
              <w:rPr>
                <w:sz w:val="18"/>
                <w:szCs w:val="18"/>
              </w:rPr>
            </w:pPr>
            <w:r w:rsidRPr="00220228">
              <w:rPr>
                <w:sz w:val="18"/>
                <w:szCs w:val="18"/>
              </w:rPr>
              <w:t>0.008</w:t>
            </w:r>
          </w:p>
        </w:tc>
        <w:tc>
          <w:tcPr>
            <w:tcW w:w="2283" w:type="dxa"/>
          </w:tcPr>
          <w:p w:rsidR="00B97965" w:rsidRPr="00220228" w:rsidRDefault="00B97965" w:rsidP="00B97965">
            <w:pPr>
              <w:spacing w:line="240" w:lineRule="auto"/>
              <w:jc w:val="right"/>
              <w:rPr>
                <w:sz w:val="18"/>
                <w:szCs w:val="18"/>
              </w:rPr>
            </w:pPr>
            <w:r w:rsidRPr="00220228">
              <w:rPr>
                <w:sz w:val="18"/>
                <w:szCs w:val="18"/>
              </w:rPr>
              <w:t>0.008</w:t>
            </w:r>
          </w:p>
        </w:tc>
        <w:tc>
          <w:tcPr>
            <w:tcW w:w="2283" w:type="dxa"/>
          </w:tcPr>
          <w:p w:rsidR="00B97965" w:rsidRPr="00220228" w:rsidRDefault="00B97965" w:rsidP="00B97965">
            <w:pPr>
              <w:jc w:val="right"/>
              <w:rPr>
                <w:sz w:val="18"/>
                <w:szCs w:val="18"/>
              </w:rPr>
            </w:pPr>
            <w:r w:rsidRPr="00220228">
              <w:rPr>
                <w:sz w:val="18"/>
                <w:szCs w:val="18"/>
              </w:rPr>
              <w:t>0.012</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Low Complement</w:t>
            </w:r>
          </w:p>
        </w:tc>
        <w:tc>
          <w:tcPr>
            <w:tcW w:w="2282" w:type="dxa"/>
          </w:tcPr>
          <w:p w:rsidR="00B97965" w:rsidRPr="00220228" w:rsidRDefault="00B97965" w:rsidP="00B97965">
            <w:pPr>
              <w:jc w:val="right"/>
              <w:rPr>
                <w:sz w:val="18"/>
                <w:szCs w:val="18"/>
              </w:rPr>
            </w:pPr>
            <w:r w:rsidRPr="00220228">
              <w:rPr>
                <w:sz w:val="18"/>
                <w:szCs w:val="18"/>
              </w:rPr>
              <w:t>0.298</w:t>
            </w:r>
          </w:p>
        </w:tc>
        <w:tc>
          <w:tcPr>
            <w:tcW w:w="2283" w:type="dxa"/>
          </w:tcPr>
          <w:p w:rsidR="00B97965" w:rsidRPr="00220228" w:rsidRDefault="00B97965" w:rsidP="00B97965">
            <w:pPr>
              <w:spacing w:line="240" w:lineRule="auto"/>
              <w:jc w:val="right"/>
              <w:rPr>
                <w:sz w:val="18"/>
                <w:szCs w:val="18"/>
              </w:rPr>
            </w:pPr>
            <w:r w:rsidRPr="00220228">
              <w:rPr>
                <w:sz w:val="18"/>
                <w:szCs w:val="18"/>
              </w:rPr>
              <w:t>0.281</w:t>
            </w:r>
          </w:p>
        </w:tc>
        <w:tc>
          <w:tcPr>
            <w:tcW w:w="2283" w:type="dxa"/>
          </w:tcPr>
          <w:p w:rsidR="00B97965" w:rsidRPr="00220228" w:rsidRDefault="00B97965" w:rsidP="00B97965">
            <w:pPr>
              <w:jc w:val="right"/>
              <w:rPr>
                <w:sz w:val="18"/>
                <w:szCs w:val="18"/>
              </w:rPr>
            </w:pPr>
            <w:r w:rsidRPr="00220228">
              <w:rPr>
                <w:sz w:val="18"/>
                <w:szCs w:val="18"/>
              </w:rPr>
              <w:t>0.027</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Increased DNA binding</w:t>
            </w:r>
          </w:p>
        </w:tc>
        <w:tc>
          <w:tcPr>
            <w:tcW w:w="2282" w:type="dxa"/>
          </w:tcPr>
          <w:p w:rsidR="00B97965" w:rsidRPr="00220228" w:rsidRDefault="00B97965" w:rsidP="00B97965">
            <w:pPr>
              <w:jc w:val="right"/>
              <w:rPr>
                <w:sz w:val="18"/>
                <w:szCs w:val="18"/>
              </w:rPr>
            </w:pPr>
            <w:r w:rsidRPr="00220228">
              <w:rPr>
                <w:sz w:val="18"/>
                <w:szCs w:val="18"/>
              </w:rPr>
              <w:t>0.283</w:t>
            </w:r>
          </w:p>
        </w:tc>
        <w:tc>
          <w:tcPr>
            <w:tcW w:w="2283" w:type="dxa"/>
          </w:tcPr>
          <w:p w:rsidR="00B97965" w:rsidRPr="00220228" w:rsidRDefault="00B97965" w:rsidP="00B97965">
            <w:pPr>
              <w:spacing w:line="240" w:lineRule="auto"/>
              <w:jc w:val="right"/>
              <w:rPr>
                <w:sz w:val="18"/>
                <w:szCs w:val="18"/>
              </w:rPr>
            </w:pPr>
            <w:r w:rsidRPr="00220228">
              <w:rPr>
                <w:sz w:val="18"/>
                <w:szCs w:val="18"/>
              </w:rPr>
              <w:t>0.266</w:t>
            </w:r>
          </w:p>
        </w:tc>
        <w:tc>
          <w:tcPr>
            <w:tcW w:w="2283" w:type="dxa"/>
          </w:tcPr>
          <w:p w:rsidR="00B97965" w:rsidRPr="00220228" w:rsidRDefault="00B97965" w:rsidP="00B97965">
            <w:pPr>
              <w:jc w:val="right"/>
              <w:rPr>
                <w:sz w:val="18"/>
                <w:szCs w:val="18"/>
              </w:rPr>
            </w:pPr>
            <w:r w:rsidRPr="00220228">
              <w:rPr>
                <w:sz w:val="18"/>
                <w:szCs w:val="18"/>
              </w:rPr>
              <w:t>0.044</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Fever</w:t>
            </w:r>
          </w:p>
        </w:tc>
        <w:tc>
          <w:tcPr>
            <w:tcW w:w="2282" w:type="dxa"/>
          </w:tcPr>
          <w:p w:rsidR="00B97965" w:rsidRPr="00220228" w:rsidRDefault="00B97965" w:rsidP="00B97965">
            <w:pPr>
              <w:jc w:val="right"/>
              <w:rPr>
                <w:sz w:val="18"/>
                <w:szCs w:val="18"/>
              </w:rPr>
            </w:pPr>
            <w:r w:rsidRPr="00220228">
              <w:rPr>
                <w:sz w:val="18"/>
                <w:szCs w:val="18"/>
              </w:rPr>
              <w:t>0.036</w:t>
            </w:r>
          </w:p>
        </w:tc>
        <w:tc>
          <w:tcPr>
            <w:tcW w:w="2283" w:type="dxa"/>
          </w:tcPr>
          <w:p w:rsidR="00B97965" w:rsidRPr="00220228" w:rsidRDefault="00B97965" w:rsidP="00B97965">
            <w:pPr>
              <w:spacing w:line="240" w:lineRule="auto"/>
              <w:jc w:val="right"/>
              <w:rPr>
                <w:sz w:val="18"/>
                <w:szCs w:val="18"/>
              </w:rPr>
            </w:pPr>
            <w:r w:rsidRPr="00220228">
              <w:rPr>
                <w:sz w:val="18"/>
                <w:szCs w:val="18"/>
              </w:rPr>
              <w:t>0.022</w:t>
            </w:r>
          </w:p>
        </w:tc>
        <w:tc>
          <w:tcPr>
            <w:tcW w:w="2283" w:type="dxa"/>
          </w:tcPr>
          <w:p w:rsidR="00B97965" w:rsidRPr="00220228" w:rsidRDefault="00B97965" w:rsidP="00B97965">
            <w:pPr>
              <w:spacing w:line="240" w:lineRule="auto"/>
              <w:jc w:val="right"/>
              <w:rPr>
                <w:sz w:val="18"/>
                <w:szCs w:val="18"/>
              </w:rPr>
            </w:pPr>
            <w:r w:rsidRPr="00220228">
              <w:rPr>
                <w:sz w:val="18"/>
                <w:szCs w:val="18"/>
              </w:rPr>
              <w:t>0.016</w:t>
            </w:r>
          </w:p>
        </w:tc>
      </w:tr>
      <w:tr w:rsidR="00B97965" w:rsidRPr="00220228" w:rsidTr="00B97965">
        <w:tc>
          <w:tcPr>
            <w:tcW w:w="2292" w:type="dxa"/>
          </w:tcPr>
          <w:p w:rsidR="00B97965" w:rsidRPr="00220228" w:rsidRDefault="00B97965" w:rsidP="00B97965">
            <w:pPr>
              <w:spacing w:line="240" w:lineRule="auto"/>
              <w:rPr>
                <w:sz w:val="18"/>
                <w:szCs w:val="18"/>
              </w:rPr>
            </w:pPr>
            <w:r w:rsidRPr="00220228">
              <w:rPr>
                <w:sz w:val="18"/>
                <w:szCs w:val="18"/>
              </w:rPr>
              <w:t>Thrombocytopenia</w:t>
            </w:r>
          </w:p>
        </w:tc>
        <w:tc>
          <w:tcPr>
            <w:tcW w:w="2282" w:type="dxa"/>
          </w:tcPr>
          <w:p w:rsidR="00B97965" w:rsidRPr="00220228" w:rsidRDefault="00B97965" w:rsidP="00B97965">
            <w:pPr>
              <w:jc w:val="right"/>
              <w:rPr>
                <w:sz w:val="18"/>
                <w:szCs w:val="18"/>
              </w:rPr>
            </w:pPr>
            <w:r w:rsidRPr="00220228">
              <w:rPr>
                <w:sz w:val="18"/>
                <w:szCs w:val="18"/>
              </w:rPr>
              <w:t>0.067</w:t>
            </w:r>
          </w:p>
        </w:tc>
        <w:tc>
          <w:tcPr>
            <w:tcW w:w="2283" w:type="dxa"/>
          </w:tcPr>
          <w:p w:rsidR="00B97965" w:rsidRPr="00220228" w:rsidRDefault="00B97965" w:rsidP="00B97965">
            <w:pPr>
              <w:spacing w:line="240" w:lineRule="auto"/>
              <w:jc w:val="right"/>
              <w:rPr>
                <w:sz w:val="18"/>
                <w:szCs w:val="18"/>
              </w:rPr>
            </w:pPr>
            <w:r w:rsidRPr="00220228">
              <w:rPr>
                <w:sz w:val="18"/>
                <w:szCs w:val="18"/>
              </w:rPr>
              <w:t>0.054</w:t>
            </w:r>
          </w:p>
        </w:tc>
        <w:tc>
          <w:tcPr>
            <w:tcW w:w="2283" w:type="dxa"/>
          </w:tcPr>
          <w:p w:rsidR="00B97965" w:rsidRPr="00220228" w:rsidRDefault="00B97965" w:rsidP="00B97965">
            <w:pPr>
              <w:spacing w:line="240" w:lineRule="auto"/>
              <w:jc w:val="right"/>
              <w:rPr>
                <w:sz w:val="18"/>
                <w:szCs w:val="18"/>
              </w:rPr>
            </w:pPr>
            <w:r w:rsidRPr="00220228">
              <w:rPr>
                <w:sz w:val="18"/>
                <w:szCs w:val="18"/>
              </w:rPr>
              <w:t>0.212*</w:t>
            </w:r>
          </w:p>
        </w:tc>
      </w:tr>
      <w:tr w:rsidR="00B97965" w:rsidRPr="00220228" w:rsidTr="00B97965">
        <w:tc>
          <w:tcPr>
            <w:tcW w:w="2292" w:type="dxa"/>
            <w:tcBorders>
              <w:bottom w:val="single" w:sz="4" w:space="0" w:color="auto"/>
            </w:tcBorders>
          </w:tcPr>
          <w:p w:rsidR="00B97965" w:rsidRPr="00220228" w:rsidRDefault="00B97965" w:rsidP="00B97965">
            <w:pPr>
              <w:spacing w:line="240" w:lineRule="auto"/>
              <w:rPr>
                <w:sz w:val="18"/>
                <w:szCs w:val="18"/>
              </w:rPr>
            </w:pPr>
            <w:r w:rsidRPr="00220228">
              <w:rPr>
                <w:sz w:val="18"/>
                <w:szCs w:val="18"/>
              </w:rPr>
              <w:t>Leukopenia</w:t>
            </w:r>
          </w:p>
        </w:tc>
        <w:tc>
          <w:tcPr>
            <w:tcW w:w="2282" w:type="dxa"/>
            <w:tcBorders>
              <w:bottom w:val="single" w:sz="4" w:space="0" w:color="auto"/>
            </w:tcBorders>
          </w:tcPr>
          <w:p w:rsidR="00B97965" w:rsidRPr="00220228" w:rsidRDefault="00B97965" w:rsidP="00B97965">
            <w:pPr>
              <w:jc w:val="right"/>
              <w:rPr>
                <w:sz w:val="18"/>
                <w:szCs w:val="18"/>
              </w:rPr>
            </w:pPr>
            <w:r w:rsidRPr="00220228">
              <w:rPr>
                <w:sz w:val="18"/>
                <w:szCs w:val="18"/>
              </w:rPr>
              <w:t>0.006</w:t>
            </w:r>
          </w:p>
        </w:tc>
        <w:tc>
          <w:tcPr>
            <w:tcW w:w="2283" w:type="dxa"/>
            <w:tcBorders>
              <w:bottom w:val="single" w:sz="4" w:space="0" w:color="auto"/>
            </w:tcBorders>
          </w:tcPr>
          <w:p w:rsidR="00B97965" w:rsidRPr="00220228" w:rsidRDefault="00B97965" w:rsidP="00B97965">
            <w:pPr>
              <w:spacing w:line="240" w:lineRule="auto"/>
              <w:jc w:val="right"/>
              <w:rPr>
                <w:sz w:val="18"/>
                <w:szCs w:val="18"/>
              </w:rPr>
            </w:pPr>
            <w:r w:rsidRPr="00220228">
              <w:rPr>
                <w:sz w:val="18"/>
                <w:szCs w:val="18"/>
              </w:rPr>
              <w:t>0.008</w:t>
            </w:r>
          </w:p>
        </w:tc>
        <w:tc>
          <w:tcPr>
            <w:tcW w:w="2283" w:type="dxa"/>
            <w:tcBorders>
              <w:bottom w:val="single" w:sz="4" w:space="0" w:color="auto"/>
            </w:tcBorders>
          </w:tcPr>
          <w:p w:rsidR="00B97965" w:rsidRPr="00220228" w:rsidRDefault="00B97965" w:rsidP="00B97965">
            <w:pPr>
              <w:jc w:val="right"/>
              <w:rPr>
                <w:sz w:val="18"/>
                <w:szCs w:val="18"/>
              </w:rPr>
            </w:pPr>
            <w:r w:rsidRPr="00220228">
              <w:rPr>
                <w:sz w:val="18"/>
                <w:szCs w:val="18"/>
              </w:rPr>
              <w:t>0.079*</w:t>
            </w:r>
          </w:p>
        </w:tc>
      </w:tr>
      <w:tr w:rsidR="00B97965" w:rsidRPr="00220228" w:rsidTr="00B97965">
        <w:tc>
          <w:tcPr>
            <w:tcW w:w="9140" w:type="dxa"/>
            <w:gridSpan w:val="4"/>
            <w:tcBorders>
              <w:top w:val="single" w:sz="4" w:space="0" w:color="auto"/>
              <w:bottom w:val="single" w:sz="8" w:space="0" w:color="auto"/>
            </w:tcBorders>
          </w:tcPr>
          <w:p w:rsidR="00B97965" w:rsidRPr="00220228" w:rsidRDefault="00B97965" w:rsidP="00B97965">
            <w:pPr>
              <w:rPr>
                <w:sz w:val="18"/>
                <w:szCs w:val="18"/>
              </w:rPr>
            </w:pPr>
            <w:r w:rsidRPr="00220228">
              <w:rPr>
                <w:sz w:val="18"/>
                <w:szCs w:val="18"/>
              </w:rPr>
              <w:t>* Proportion of simulation runs considered extreme (statistically significantly different 5% significant level) in comparison with Hopkins Cohort</w:t>
            </w:r>
          </w:p>
        </w:tc>
      </w:tr>
    </w:tbl>
    <w:p w:rsidR="00B97965" w:rsidRDefault="00B97965" w:rsidP="00B97965"/>
    <w:p w:rsidR="00B97965" w:rsidRDefault="00E729BA" w:rsidP="00B97965">
      <w:r>
        <w:fldChar w:fldCharType="begin"/>
      </w:r>
      <w:r w:rsidR="00B97965">
        <w:instrText xml:space="preserve"> REF _Ref325117353 \h </w:instrText>
      </w:r>
      <w:r>
        <w:fldChar w:fldCharType="separate"/>
      </w:r>
      <w:r w:rsidR="004911B7">
        <w:t xml:space="preserve">Figure </w:t>
      </w:r>
      <w:r w:rsidR="004911B7">
        <w:rPr>
          <w:noProof/>
        </w:rPr>
        <w:t>15</w:t>
      </w:r>
      <w:r>
        <w:fldChar w:fldCharType="end"/>
      </w:r>
      <w:r w:rsidR="00B97965">
        <w:t xml:space="preserve"> illustrates a histogram of SLEDAI scores generated in the simulation and compared this with a histogram of observed SLEDAI score from the Hopkins cohort. The diagram shows that the simulation produces a very similar distribution of SLEDAI score to those observed in the Hopkins Lupus Cohort. </w:t>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37</w:t>
      </w:r>
      <w:r w:rsidR="00E729BA">
        <w:fldChar w:fldCharType="end"/>
      </w:r>
      <w:r>
        <w:t>: A histogram of SLEDAI scores from the Simulation and Hopkins cohort</w:t>
      </w:r>
    </w:p>
    <w:p w:rsidR="00B97965" w:rsidRDefault="00B97965" w:rsidP="00B97965">
      <w:r w:rsidRPr="002C20F5">
        <w:rPr>
          <w:noProof/>
          <w:lang w:eastAsia="zh-CN" w:bidi="ar-SA"/>
        </w:rPr>
        <w:drawing>
          <wp:inline distT="0" distB="0" distL="0" distR="0">
            <wp:extent cx="3605514" cy="3600000"/>
            <wp:effectExtent l="19050" t="19050" r="13986" b="195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605514" cy="3600000"/>
                    </a:xfrm>
                    <a:prstGeom prst="rect">
                      <a:avLst/>
                    </a:prstGeom>
                    <a:noFill/>
                    <a:ln w="9525">
                      <a:solidFill>
                        <a:schemeClr val="tx1"/>
                      </a:solidFill>
                      <a:miter lim="800000"/>
                      <a:headEnd/>
                      <a:tailEnd/>
                    </a:ln>
                  </pic:spPr>
                </pic:pic>
              </a:graphicData>
            </a:graphic>
          </wp:inline>
        </w:drawing>
      </w:r>
    </w:p>
    <w:p w:rsidR="00B97965" w:rsidRDefault="00E729BA" w:rsidP="00B97965">
      <w:r>
        <w:fldChar w:fldCharType="begin"/>
      </w:r>
      <w:r w:rsidR="00B97965">
        <w:instrText xml:space="preserve"> REF _Ref325277173 \h </w:instrText>
      </w:r>
      <w:r>
        <w:fldChar w:fldCharType="separate"/>
      </w:r>
      <w:r w:rsidR="004911B7">
        <w:t xml:space="preserve">Figure </w:t>
      </w:r>
      <w:r w:rsidR="004911B7">
        <w:rPr>
          <w:noProof/>
        </w:rPr>
        <w:t>16</w:t>
      </w:r>
      <w:r>
        <w:fldChar w:fldCharType="end"/>
      </w:r>
      <w:r w:rsidR="00B97965">
        <w:t xml:space="preserve"> illustrates a histogram of Steroid doses generated in the simulation and compares this with a histogram of observed Steroid dose in the Hopkins cohort. The simulation accurately simulated the proportion of patients with zero Steroid dose. The distribution of positive steroid doses in the simulation is much smoother than those observed in the Hopkins Cohort. The real-life observations cluster around certain values, which is difficult to replicate in a simulation. </w:t>
      </w:r>
      <w:r w:rsidR="00527615">
        <w:t>Steroid</w:t>
      </w:r>
      <w:r w:rsidR="00B97965">
        <w:t xml:space="preserve"> dose in the first year of the simulation is significantly lower than that observed in the Hopkins cohort (results not reported here). This is due to the aggressive treatment of patient’s when they are referred to doctors at the Hopkins cohort. </w:t>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38</w:t>
      </w:r>
      <w:r w:rsidR="00E729BA">
        <w:fldChar w:fldCharType="end"/>
      </w:r>
      <w:r>
        <w:t>: A histogram of Steroid dose from the Simulation and Hopkins cohort</w:t>
      </w:r>
    </w:p>
    <w:p w:rsidR="00B97965" w:rsidRDefault="00B97965" w:rsidP="00B97965">
      <w:r>
        <w:rPr>
          <w:noProof/>
          <w:lang w:eastAsia="zh-CN" w:bidi="ar-SA"/>
        </w:rPr>
        <w:drawing>
          <wp:inline distT="0" distB="0" distL="0" distR="0">
            <wp:extent cx="3604249" cy="3600000"/>
            <wp:effectExtent l="19050" t="19050" r="15251" b="1950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604249" cy="3600000"/>
                    </a:xfrm>
                    <a:prstGeom prst="rect">
                      <a:avLst/>
                    </a:prstGeom>
                    <a:noFill/>
                    <a:ln w="9525">
                      <a:solidFill>
                        <a:schemeClr val="tx1"/>
                      </a:solidFill>
                      <a:miter lim="800000"/>
                      <a:headEnd/>
                      <a:tailEnd/>
                    </a:ln>
                  </pic:spPr>
                </pic:pic>
              </a:graphicData>
            </a:graphic>
          </wp:inline>
        </w:drawing>
      </w:r>
    </w:p>
    <w:p w:rsidR="00B97965" w:rsidRDefault="00B97965" w:rsidP="00B97965">
      <w:r>
        <w:t>Phase II trial results</w:t>
      </w:r>
    </w:p>
    <w:p w:rsidR="00B97965" w:rsidRDefault="00E729BA" w:rsidP="00B97965">
      <w:r>
        <w:fldChar w:fldCharType="begin"/>
      </w:r>
      <w:r w:rsidR="00B97965">
        <w:instrText xml:space="preserve"> REF _Ref324933527 \h </w:instrText>
      </w:r>
      <w:r>
        <w:fldChar w:fldCharType="separate"/>
      </w:r>
      <w:r w:rsidR="004911B7">
        <w:t xml:space="preserve">Figure </w:t>
      </w:r>
      <w:r w:rsidR="004911B7">
        <w:rPr>
          <w:noProof/>
        </w:rPr>
        <w:t>39</w:t>
      </w:r>
      <w:r>
        <w:fldChar w:fldCharType="end"/>
      </w:r>
      <w:r w:rsidR="00B97965">
        <w:t xml:space="preserve"> reports the percentage change in SLEDAI score from baseline to week 52 reported in the belimumab Phase II trial and the Phase II simulation model. The thin line depicts a normal distribution fitted to summary statistics reported in Wallace et al. (2009) </w:t>
      </w:r>
      <w:r>
        <w:fldChar w:fldCharType="begin"/>
      </w:r>
      <w:r w:rsidR="00FC61FD">
        <w:instrText xml:space="preserve"> ADDIN REFMGR.CITE &lt;Refman&gt;&lt;Cite&gt;&lt;Author&gt;Wallace&lt;/Author&gt;&lt;Year&gt;2009&lt;/Year&gt;&lt;RecNum&gt;8&lt;/RecNum&gt;&lt;IDText&gt;A phase II, randomized, double-blind, placebo-controlled, dose-ranging study of belimumab in patients with active systemic lupus erythematosus&lt;/IDText&gt;&lt;MDL Ref_Type="Journal"&gt;&lt;Ref_Type&gt;Journal&lt;/Ref_Type&gt;&lt;Ref_ID&gt;8&lt;/Ref_ID&gt;&lt;Title_Primary&gt;A phase II, randomized, double-blind, placebo-controlled, dose-ranging study of belimumab in patients with active systemic lupus erythematosus&lt;/Title_Primary&gt;&lt;Authors_Primary&gt;Wallace,D.J.&lt;/Authors_Primary&gt;&lt;Authors_Primary&gt;Stohl,W.&lt;/Authors_Primary&gt;&lt;Authors_Primary&gt;Furie,R.A.&lt;/Authors_Primary&gt;&lt;Authors_Primary&gt;Lisse,J.R.&lt;/Authors_Primary&gt;&lt;Authors_Primary&gt;McKay,J.D.&lt;/Authors_Primary&gt;&lt;Authors_Primary&gt;Merrill,J.T.&lt;/Authors_Primary&gt;&lt;Authors_Primary&gt;Petri,M.A.&lt;/Authors_Primary&gt;&lt;Authors_Primary&gt;Ginzler,E.M.&lt;/Authors_Primary&gt;&lt;Authors_Primary&gt;Chatham,W.W.&lt;/Authors_Primary&gt;&lt;Authors_Primary&gt;McCune,W.J.&lt;/Authors_Primary&gt;&lt;Authors_Primary&gt;Fernandez,V.&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Dna&lt;/Keywords&gt;&lt;Keywords&gt;Dose-Response Relationship,Drug&lt;/Keywords&gt;&lt;Keywords&gt;Double-Blind Method&lt;/Keywords&gt;&lt;Keywords&gt;drug therapy&lt;/Keywords&gt;&lt;Keywords&gt;Endpoint Determination&lt;/Keywords&gt;&lt;Keywords&gt;Female&lt;/Keywords&gt;&lt;Keywords&gt;Humans&lt;/Keywords&gt;&lt;Keywords&gt;immunology&lt;/Keywords&gt;&lt;Keywords&gt;Lupus Erythematosus,Systemic&lt;/Keywords&gt;&lt;Keywords&gt;Male&lt;/Keywords&gt;&lt;Keywords&gt;methods&lt;/Keywords&gt;&lt;Keywords&gt;Middle Aged&lt;/Keywords&gt;&lt;Keywords&gt;Severity of Illness Index&lt;/Keywords&gt;&lt;Keywords&gt;therapeutic use&lt;/Keywords&gt;&lt;Keywords&gt;therapy&lt;/Keywords&gt;&lt;Keywords&gt;Treatment Outcome&lt;/Keywords&gt;&lt;Reprint&gt;Not in File&lt;/Reprint&gt;&lt;Start_Page&gt;1168&lt;/Start_Page&gt;&lt;End_Page&gt;1178&lt;/End_Page&gt;&lt;Periodical&gt;Arthritis Rheum.&lt;/Periodical&gt;&lt;Volume&gt;61&lt;/Volume&gt;&lt;Issue&gt;9&lt;/Issue&gt;&lt;User_Def_1&gt;Clinical Trial&lt;/User_Def_1&gt;&lt;ZZ_JournalStdAbbrev&gt;&lt;f name="System"&gt;Arthritis Rheum.&lt;/f&gt;&lt;/ZZ_JournalStdAbbrev&gt;&lt;ZZ_WorkformID&gt;1&lt;/ZZ_WorkformID&gt;&lt;/MDL&gt;&lt;/Cite&gt;&lt;/Refman&gt;</w:instrText>
      </w:r>
      <w:r>
        <w:fldChar w:fldCharType="separate"/>
      </w:r>
      <w:r w:rsidR="0081424E">
        <w:t>(72)</w:t>
      </w:r>
      <w:r>
        <w:fldChar w:fldCharType="end"/>
      </w:r>
      <w:r w:rsidR="00B97965">
        <w:t xml:space="preserve">. The bars indicate the distribution of 1000 simulated trial results. The two graphs describe the outcomes for placebo and treatment. In both diagrams the simulation tends to produce lower percentage change in SLEDAI scores than those observed in the Phase II trial. However, the Phase II results are within the simulated range of possible trial outcomes. </w:t>
      </w:r>
    </w:p>
    <w:p w:rsidR="00B97965" w:rsidRDefault="00B97965" w:rsidP="00234693">
      <w:pPr>
        <w:pStyle w:val="Caption"/>
      </w:pPr>
      <w:bookmarkStart w:id="719" w:name="_Ref324933527"/>
      <w:r>
        <w:t xml:space="preserve">Figure </w:t>
      </w:r>
      <w:r w:rsidR="00E729BA">
        <w:fldChar w:fldCharType="begin"/>
      </w:r>
      <w:r w:rsidR="000B0EDB">
        <w:instrText xml:space="preserve"> SEQ Figure \* ARABIC </w:instrText>
      </w:r>
      <w:r w:rsidR="00E729BA">
        <w:fldChar w:fldCharType="separate"/>
      </w:r>
      <w:r w:rsidR="004911B7">
        <w:rPr>
          <w:noProof/>
        </w:rPr>
        <w:t>39</w:t>
      </w:r>
      <w:r w:rsidR="00E729BA">
        <w:fldChar w:fldCharType="end"/>
      </w:r>
      <w:bookmarkEnd w:id="719"/>
      <w:r>
        <w:t>: Distribution of percentage change in SLEDAI for simulated trials (red bars) and estimate distribution of Phase II results (Blue line) for placebo and treatment arm</w:t>
      </w:r>
    </w:p>
    <w:p w:rsidR="00B97965" w:rsidRDefault="00B97965" w:rsidP="00B97965">
      <w:r w:rsidRPr="0078135A">
        <w:rPr>
          <w:noProof/>
          <w:lang w:eastAsia="zh-CN" w:bidi="ar-SA"/>
        </w:rPr>
        <w:drawing>
          <wp:inline distT="0" distB="0" distL="0" distR="0">
            <wp:extent cx="4977680" cy="2520000"/>
            <wp:effectExtent l="19050" t="19050" r="13420" b="136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4977680" cy="2520000"/>
                    </a:xfrm>
                    <a:prstGeom prst="rect">
                      <a:avLst/>
                    </a:prstGeom>
                    <a:noFill/>
                    <a:ln w="9525">
                      <a:solidFill>
                        <a:schemeClr val="tx1"/>
                      </a:solidFill>
                      <a:miter lim="800000"/>
                      <a:headEnd/>
                      <a:tailEnd/>
                    </a:ln>
                  </pic:spPr>
                </pic:pic>
              </a:graphicData>
            </a:graphic>
          </wp:inline>
        </w:drawing>
      </w:r>
    </w:p>
    <w:p w:rsidR="00B97965" w:rsidRDefault="00E729BA" w:rsidP="00B97965">
      <w:r>
        <w:fldChar w:fldCharType="begin"/>
      </w:r>
      <w:r w:rsidR="00B97965">
        <w:instrText xml:space="preserve"> REF _Ref325279969 \h </w:instrText>
      </w:r>
      <w:r>
        <w:fldChar w:fldCharType="separate"/>
      </w:r>
      <w:r w:rsidR="004911B7">
        <w:t xml:space="preserve">Figure </w:t>
      </w:r>
      <w:r w:rsidR="004911B7">
        <w:rPr>
          <w:noProof/>
        </w:rPr>
        <w:t>40</w:t>
      </w:r>
      <w:r>
        <w:fldChar w:fldCharType="end"/>
      </w:r>
      <w:r w:rsidR="00B97965">
        <w:t xml:space="preserve"> reports the proportion of patients who achieve a 4 unit reduction in the SLEDAI score in the Phase II trial. The mean difference in the proportion of responders and the odds ratio of response are also illustrated. The thin line represents a normal distribution fitted to the summary statistics of responders reported in Furie et al. (2009) </w:t>
      </w:r>
      <w:r>
        <w:fldChar w:fldCharType="begin"/>
      </w:r>
      <w:r w:rsidR="00FC61FD">
        <w:instrText xml:space="preserve"> ADDIN REFMGR.CITE &lt;Refman&gt;&lt;Cite&gt;&lt;Author&gt;Furie&lt;/Author&gt;&lt;Year&gt;2009&lt;/Year&gt;&lt;RecNum&gt;7&lt;/RecNum&gt;&lt;IDText&gt;Novel evidence-based systemic lupus erythematosus responder index&lt;/IDText&gt;&lt;MDL Ref_Type="Journal"&gt;&lt;Ref_Type&gt;Journal&lt;/Ref_Type&gt;&lt;Ref_ID&gt;7&lt;/Ref_ID&gt;&lt;Title_Primary&gt;Novel evidence-based systemic lupus erythematosus responder index&lt;/Title_Primary&gt;&lt;Authors_Primary&gt;Furie,R.A.&lt;/Authors_Primary&gt;&lt;Authors_Primary&gt;Petri,M.A.&lt;/Authors_Primary&gt;&lt;Authors_Primary&gt;Wallace,D.J.&lt;/Authors_Primary&gt;&lt;Authors_Primary&gt;Ginzler,E.M.&lt;/Authors_Primary&gt;&lt;Authors_Primary&gt;Merrill,J.T.&lt;/Authors_Primary&gt;&lt;Authors_Primary&gt;Stohl,W.&lt;/Authors_Primary&gt;&lt;Authors_Primary&gt;Chatham,W.W.&lt;/Authors_Primary&gt;&lt;Authors_Primary&gt;Strand,V.&lt;/Authors_Primary&gt;&lt;Authors_Primary&gt;Weinstein,A.&lt;/Authors_Primary&gt;&lt;Authors_Primary&gt;Chevrier,M.R.&lt;/Authors_Primary&gt;&lt;Authors_Primary&gt;Zhong,Z.J.&lt;/Authors_Primary&gt;&lt;Authors_Primary&gt;Freimuth,W.W.&lt;/Authors_Primary&gt;&lt;Date_Primary&gt;2009/9/15&lt;/Date_Primary&gt;&lt;Keywords&gt;Adult&lt;/Keywords&gt;&lt;Keywords&gt;Antibodies,Anti-Idiotypic&lt;/Keywords&gt;&lt;Keywords&gt;Antibodies,Antinuclear&lt;/Keywords&gt;&lt;Keywords&gt;Antibodies,Monoclonal&lt;/Keywords&gt;&lt;Keywords&gt;blood&lt;/Keywords&gt;&lt;Keywords&gt;Clinical Trials,Phase II as Topic&lt;/Keywords&gt;&lt;Keywords&gt;Dna&lt;/Keywords&gt;&lt;Keywords&gt;drug therapy&lt;/Keywords&gt;&lt;Keywords&gt;Endpoint Determination&lt;/Keywords&gt;&lt;Keywords&gt;Evidence-Based Medicine&lt;/Keywords&gt;&lt;Keywords&gt;Female&lt;/Keywords&gt;&lt;Keywords&gt;Health Status Indicators&lt;/Keywords&gt;&lt;Keywords&gt;Humans&lt;/Keywords&gt;&lt;Keywords&gt;immunology&lt;/Keywords&gt;&lt;Keywords&gt;Lupus Erythematosus,Systemic&lt;/Keywords&gt;&lt;Keywords&gt;Male&lt;/Keywords&gt;&lt;Keywords&gt;methods&lt;/Keywords&gt;&lt;Keywords&gt;Middle Aged&lt;/Keywords&gt;&lt;Keywords&gt;Randomized Controlled Trials as Topic&lt;/Keywords&gt;&lt;Keywords&gt;Retrospective Studies&lt;/Keywords&gt;&lt;Keywords&gt;Severity of Illness Index&lt;/Keywords&gt;&lt;Keywords&gt;therapeutic use&lt;/Keywords&gt;&lt;Keywords&gt;therapy&lt;/Keywords&gt;&lt;Keywords&gt;Treatment Outcome&lt;/Keywords&gt;&lt;Reprint&gt;Not in File&lt;/Reprint&gt;&lt;Start_Page&gt;1143&lt;/Start_Page&gt;&lt;End_Page&gt;1151&lt;/End_Page&gt;&lt;Periodical&gt;Arthritis Rheum.&lt;/Periodical&gt;&lt;Volume&gt;61&lt;/Volume&gt;&lt;Issue&gt;9&lt;/Issue&gt;&lt;ZZ_JournalStdAbbrev&gt;&lt;f name="System"&gt;Arthritis Rheum.&lt;/f&gt;&lt;/ZZ_JournalStdAbbrev&gt;&lt;ZZ_WorkformID&gt;1&lt;/ZZ_WorkformID&gt;&lt;/MDL&gt;&lt;/Cite&gt;&lt;/Refman&gt;</w:instrText>
      </w:r>
      <w:r>
        <w:fldChar w:fldCharType="separate"/>
      </w:r>
      <w:r w:rsidR="0081424E">
        <w:t>(73)</w:t>
      </w:r>
      <w:r>
        <w:fldChar w:fldCharType="end"/>
      </w:r>
      <w:r w:rsidR="00B97965">
        <w:t xml:space="preserve"> and the bars represents the distribution of simulated outcomes. The graphs show that the simulation tends to predict greater proportions of responders than those observed in the Phase II trial. However, the difference between placebo and treatment and odds ratio have the same distribution as that fitted to the Phase II trial summary statistics. </w:t>
      </w:r>
    </w:p>
    <w:p w:rsidR="00B97965" w:rsidRDefault="00B97965" w:rsidP="00234693">
      <w:pPr>
        <w:pStyle w:val="Caption"/>
      </w:pPr>
      <w:bookmarkStart w:id="720" w:name="_Ref325279969"/>
      <w:r>
        <w:t xml:space="preserve">Figure </w:t>
      </w:r>
      <w:r w:rsidR="00E729BA">
        <w:fldChar w:fldCharType="begin"/>
      </w:r>
      <w:r w:rsidR="000B0EDB">
        <w:instrText xml:space="preserve"> SEQ Figure \* ARABIC </w:instrText>
      </w:r>
      <w:r w:rsidR="00E729BA">
        <w:fldChar w:fldCharType="separate"/>
      </w:r>
      <w:r w:rsidR="004911B7">
        <w:rPr>
          <w:noProof/>
        </w:rPr>
        <w:t>40</w:t>
      </w:r>
      <w:r w:rsidR="00E729BA">
        <w:fldChar w:fldCharType="end"/>
      </w:r>
      <w:bookmarkEnd w:id="720"/>
      <w:r>
        <w:t>:</w:t>
      </w:r>
      <w:r w:rsidRPr="0078135A">
        <w:t xml:space="preserve"> </w:t>
      </w:r>
      <w:r>
        <w:t xml:space="preserve">Distribution of proportion of patients with a </w:t>
      </w:r>
      <w:r>
        <w:rPr>
          <w:rFonts w:cs="Times New Roman"/>
        </w:rPr>
        <w:t>≥</w:t>
      </w:r>
      <w:r>
        <w:t>4 unit reduction in SLEDAI for simulated trials (red bars) and estimate distribution of Phase II results (Blue line) for placebo and treatment arm</w:t>
      </w:r>
    </w:p>
    <w:p w:rsidR="00B97965" w:rsidRDefault="00B97965" w:rsidP="00B97965">
      <w:r w:rsidRPr="0078135A">
        <w:rPr>
          <w:noProof/>
          <w:lang w:eastAsia="zh-CN" w:bidi="ar-SA"/>
        </w:rPr>
        <w:drawing>
          <wp:inline distT="0" distB="0" distL="0" distR="0">
            <wp:extent cx="4099859" cy="3240000"/>
            <wp:effectExtent l="19050" t="19050" r="14941" b="1755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4099859" cy="3240000"/>
                    </a:xfrm>
                    <a:prstGeom prst="rect">
                      <a:avLst/>
                    </a:prstGeom>
                    <a:noFill/>
                    <a:ln w="9525">
                      <a:solidFill>
                        <a:schemeClr val="tx1"/>
                      </a:solidFill>
                      <a:miter lim="800000"/>
                      <a:headEnd/>
                      <a:tailEnd/>
                    </a:ln>
                  </pic:spPr>
                </pic:pic>
              </a:graphicData>
            </a:graphic>
          </wp:inline>
        </w:drawing>
      </w:r>
    </w:p>
    <w:p w:rsidR="00B97965" w:rsidRDefault="00B97965" w:rsidP="00B97965">
      <w:r>
        <w:t>Phase III belimumab trial</w:t>
      </w:r>
    </w:p>
    <w:p w:rsidR="00B97965" w:rsidRPr="00C83E80" w:rsidRDefault="00B97965" w:rsidP="00EE2E22">
      <w:r>
        <w:t xml:space="preserve">The Phase III belimumab trial and simulation results are illustrated </w:t>
      </w:r>
      <w:r w:rsidR="00EE2E22">
        <w:t>below</w:t>
      </w:r>
      <w:r>
        <w:t xml:space="preserve">. The thin line represents a normal distribution fitted to relevant summary statistics from two Phase III trials </w:t>
      </w:r>
      <w:r w:rsidR="00E729BA">
        <w:fldChar w:fldCharType="begin"/>
      </w:r>
      <w:r w:rsidR="00FC61FD">
        <w:instrText xml:space="preserve"> ADDIN REFMGR.CITE &lt;Refman&gt;&lt;Cite&gt;&lt;Author&gt;Navarra&lt;/Author&gt;&lt;Year&gt;2011&lt;/Year&gt;&lt;RecNum&gt;1502&lt;/RecNum&gt;&lt;IDText&gt;Efficacy and safety of belimumab in patients with active systemic lupus erythematosus: a randomised, placebo-controlled, phase 3 trial&lt;/IDText&gt;&lt;MDL Ref_Type="Journal"&gt;&lt;Ref_Type&gt;Journal&lt;/Ref_Type&gt;&lt;Ref_ID&gt;1502&lt;/Ref_ID&gt;&lt;Title_Primary&gt;Efficacy and safety of belimumab in patients with active systemic lupus erythematosus: a randomised, placebo-controlled, phase 3 trial&lt;/Title_Primary&gt;&lt;Authors_Primary&gt;Navarra,S.V.&lt;/Authors_Primary&gt;&lt;Authors_Primary&gt;Guzman,R.M.&lt;/Authors_Primary&gt;&lt;Authors_Primary&gt;Gallacher,A.E.&lt;/Authors_Primary&gt;&lt;Authors_Primary&gt;Hall,S.&lt;/Authors_Primary&gt;&lt;Authors_Primary&gt;Levy,R.A.&lt;/Authors_Primary&gt;&lt;Authors_Primary&gt;Jimenez,R.E.&lt;/Authors_Primary&gt;&lt;Authors_Primary&gt;Li,E.K.&lt;/Authors_Primary&gt;&lt;Authors_Primary&gt;Thomas,M.&lt;/Authors_Primary&gt;&lt;Authors_Primary&gt;Kim,H.Y.&lt;/Authors_Primary&gt;&lt;Authors_Primary&gt;Leon,M.G.&lt;/Authors_Primary&gt;&lt;Authors_Primary&gt;Tanasescu,C.&lt;/Authors_Primary&gt;&lt;Authors_Primary&gt;Nasonov,E.&lt;/Authors_Primary&gt;&lt;Authors_Primary&gt;Lan,J.L.&lt;/Authors_Primary&gt;&lt;Authors_Primary&gt;Pineda,L.&lt;/Authors_Primary&gt;&lt;Authors_Primary&gt;Zhong,Z.J.&lt;/Authors_Primary&gt;&lt;Authors_Primary&gt;Freimuth,W.&lt;/Authors_Primary&gt;&lt;Authors_Primary&gt;Petri,M.A.&lt;/Authors_Primary&gt;&lt;Date_Primary&gt;2011/2/26&lt;/Date_Primary&gt;&lt;Keywords&gt;Acute Disease&lt;/Keywords&gt;&lt;Keywords&gt;administration &amp;amp; dosage&lt;/Keywords&gt;&lt;Keywords&gt;Adult&lt;/Keywords&gt;&lt;Keywords&gt;adverse effects&lt;/Keywords&gt;&lt;Keywords&gt;Aged&lt;/Keywords&gt;&lt;Keywords&gt;analysis&lt;/Keywords&gt;&lt;Keywords&gt;Antibodies&lt;/Keywords&gt;&lt;Keywords&gt;Antibodies,Monoclonal&lt;/Keywords&gt;&lt;Keywords&gt;Autoantibodies&lt;/Keywords&gt;&lt;Keywords&gt;B lymphocyte&lt;/Keywords&gt;&lt;Keywords&gt;diagnosis&lt;/Keywords&gt;&lt;Keywords&gt;Disease&lt;/Keywords&gt;&lt;Keywords&gt;disease activity&lt;/Keywords&gt;&lt;Keywords&gt;disease activity index&lt;/Keywords&gt;&lt;Keywords&gt;Drug Administration Schedule&lt;/Keywords&gt;&lt;Keywords&gt;drug therapy&lt;/Keywords&gt;&lt;Keywords&gt;erythematosus&lt;/Keywords&gt;&lt;Keywords&gt;estrogen&lt;/Keywords&gt;&lt;Keywords&gt;Estrogens&lt;/Keywords&gt;&lt;Keywords&gt;Europe&lt;/Keywords&gt;&lt;Keywords&gt;Female&lt;/Keywords&gt;&lt;Keywords&gt;hospital&lt;/Keywords&gt;&lt;Keywords&gt;human&lt;/Keywords&gt;&lt;Keywords&gt;Humans&lt;/Keywords&gt;&lt;Keywords&gt;Immunologic Factors&lt;/Keywords&gt;&lt;Keywords&gt;Infection&lt;/Keywords&gt;&lt;Keywords&gt;Latin America&lt;/Keywords&gt;&lt;Keywords&gt;Logistic Models&lt;/Keywords&gt;&lt;Keywords&gt;lupus erythematosus&lt;/Keywords&gt;&lt;Keywords&gt;Lupus Erythematosus,Systemic&lt;/Keywords&gt;&lt;Keywords&gt;Male&lt;/Keywords&gt;&lt;Keywords&gt;methods&lt;/Keywords&gt;&lt;Keywords&gt;Middle Aged&lt;/Keywords&gt;&lt;Keywords&gt;Odds Ratio&lt;/Keywords&gt;&lt;Keywords&gt;patient&lt;/Keywords&gt;&lt;Keywords&gt;Patients&lt;/Keywords&gt;&lt;Keywords&gt;placebo&lt;/Keywords&gt;&lt;Keywords&gt;Questionnaires&lt;/Keywords&gt;&lt;Keywords&gt;safety&lt;/Keywords&gt;&lt;Keywords&gt;Severity of Illness Index&lt;/Keywords&gt;&lt;Keywords&gt;systemic lupus erythematosus&lt;/Keywords&gt;&lt;Keywords&gt;therapeutic use&lt;/Keywords&gt;&lt;Keywords&gt;Treatment Outcome&lt;/Keywords&gt;&lt;Reprint&gt;Not in File&lt;/Reprint&gt;&lt;Start_Page&gt;721&lt;/Start_Page&gt;&lt;End_Page&gt;731&lt;/End_Page&gt;&lt;Periodical&gt;Lancet.&lt;/Periodical&gt;&lt;Volume&gt;377&lt;/Volume&gt;&lt;Issue&gt;9767&lt;/Issue&gt;&lt;ZZ_JournalStdAbbrev&gt;&lt;f name="System"&gt;Lancet.&lt;/f&gt;&lt;/ZZ_JournalStdAbbrev&gt;&lt;ZZ_WorkformID&gt;1&lt;/ZZ_WorkformID&gt;&lt;/MDL&gt;&lt;/Cite&gt;&lt;Cite&gt;&lt;Author&gt;Furie&lt;/Author&gt;&lt;Year&gt;2011&lt;/Year&gt;&lt;RecNum&gt;1639&lt;/RecNum&gt;&lt;IDText&gt;A phase III, randomized, placebo-controlled study of belimumab, a monoclonal antibody that inhibits B lymphocyte stimulator, in patients with systemic lupus erythematosus&lt;/IDText&gt;&lt;MDL Ref_Type="Journal"&gt;&lt;Ref_Type&gt;Journal&lt;/Ref_Type&gt;&lt;Ref_ID&gt;1639&lt;/Ref_ID&gt;&lt;Title_Primary&gt;A phase III, randomized, placebo-controlled study of belimumab, a monoclonal antibody that inhibits B lymphocyte stimulator, in patients with systemic lupus erythematosus&lt;/Title_Primary&gt;&lt;Authors_Primary&gt;Furie,R.&lt;/Authors_Primary&gt;&lt;Authors_Primary&gt;Petri,M.&lt;/Authors_Primary&gt;&lt;Authors_Primary&gt;Zamani,O.&lt;/Authors_Primary&gt;&lt;Authors_Primary&gt;Cervera,R.&lt;/Authors_Primary&gt;&lt;Authors_Primary&gt;Wallace,D.J.&lt;/Authors_Primary&gt;&lt;Authors_Primary&gt;Tegzova,D.&lt;/Authors_Primary&gt;&lt;Authors_Primary&gt;Sanchez-Guerrero,J.&lt;/Authors_Primary&gt;&lt;Authors_Primary&gt;Schwarting,A.&lt;/Authors_Primary&gt;&lt;Authors_Primary&gt;Merrill,J.T.&lt;/Authors_Primary&gt;&lt;Authors_Primary&gt;Chatham,W.W.&lt;/Authors_Primary&gt;&lt;Authors_Primary&gt;Stohl,W.&lt;/Authors_Primary&gt;&lt;Authors_Primary&gt;Ginzler,E.M.&lt;/Authors_Primary&gt;&lt;Authors_Primary&gt;Hough,D.R.&lt;/Authors_Primary&gt;&lt;Authors_Primary&gt;Zhong,Z.J.&lt;/Authors_Primary&gt;&lt;Authors_Primary&gt;Freimuth,W.&lt;/Authors_Primary&gt;&lt;Authors_Primary&gt;van Vollenhoven,R.F.&lt;/Authors_Primary&gt;&lt;Date_Primary&gt;2011/12&lt;/Date_Primary&gt;&lt;Keywords&gt;Adult&lt;/Keywords&gt;&lt;Keywords&gt;adverse effects&lt;/Keywords&gt;&lt;Keywords&gt;antagonists &amp;amp; inhibitors&lt;/Keywords&gt;&lt;Keywords&gt;Antibodies&lt;/Keywords&gt;&lt;Keywords&gt;Antibodies,Antinuclear&lt;/Keywords&gt;&lt;Keywords&gt;Antibodies,Monoclonal&lt;/Keywords&gt;&lt;Keywords&gt;B lymphocyte&lt;/Keywords&gt;&lt;Keywords&gt;B-Cell Activating Factor&lt;/Keywords&gt;&lt;Keywords&gt;blood&lt;/Keywords&gt;&lt;Keywords&gt;death&lt;/Keywords&gt;&lt;Keywords&gt;Disease&lt;/Keywords&gt;&lt;Keywords&gt;disease activity&lt;/Keywords&gt;&lt;Keywords&gt;disease activity index&lt;/Keywords&gt;&lt;Keywords&gt;Dna&lt;/Keywords&gt;&lt;Keywords&gt;Dose-Response Relationship,Drug&lt;/Keywords&gt;&lt;Keywords&gt;Double-Blind Method&lt;/Keywords&gt;&lt;Keywords&gt;drug effects&lt;/Keywords&gt;&lt;Keywords&gt;drug therapy&lt;/Keywords&gt;&lt;Keywords&gt;erythematosus&lt;/Keywords&gt;&lt;Keywords&gt;estrogen&lt;/Keywords&gt;&lt;Keywords&gt;Estrogens&lt;/Keywords&gt;&lt;Keywords&gt;Female&lt;/Keywords&gt;&lt;Keywords&gt;Health&lt;/Keywords&gt;&lt;Keywords&gt;Humans&lt;/Keywords&gt;&lt;Keywords&gt;immunology&lt;/Keywords&gt;&lt;Keywords&gt;Infection&lt;/Keywords&gt;&lt;Keywords&gt;lupus erythematosus&lt;/Keywords&gt;&lt;Keywords&gt;Lupus Erythematosus,Systemic&lt;/Keywords&gt;&lt;Keywords&gt;Male&lt;/Keywords&gt;&lt;Keywords&gt;methods&lt;/Keywords&gt;&lt;Keywords&gt;Middle Aged&lt;/Keywords&gt;&lt;Keywords&gt;pathology&lt;/Keywords&gt;&lt;Keywords&gt;patient&lt;/Keywords&gt;&lt;Keywords&gt;Patients&lt;/Keywords&gt;&lt;Keywords&gt;pharmacology&lt;/Keywords&gt;&lt;Keywords&gt;placebo&lt;/Keywords&gt;&lt;Keywords&gt;Rheumatology&lt;/Keywords&gt;&lt;Keywords&gt;Risk&lt;/Keywords&gt;&lt;Keywords&gt;safety&lt;/Keywords&gt;&lt;Keywords&gt;Severity of Illness Index&lt;/Keywords&gt;&lt;Keywords&gt;systemic lupus erythematosus&lt;/Keywords&gt;&lt;Keywords&gt;therapeutic use&lt;/Keywords&gt;&lt;Keywords&gt;therapy&lt;/Keywords&gt;&lt;Keywords&gt;Treatment Outcome&lt;/Keywords&gt;&lt;Reprint&gt;Not in File&lt;/Reprint&gt;&lt;Start_Page&gt;3918&lt;/Start_Page&gt;&lt;End_Page&gt;3930&lt;/End_Page&gt;&lt;Periodical&gt;Arthritis Rheum.&lt;/Periodical&gt;&lt;Volume&gt;63&lt;/Volume&gt;&lt;Issue&gt;12&lt;/Issue&gt;&lt;ZZ_JournalStdAbbrev&gt;&lt;f name="System"&gt;Arthritis Rheum.&lt;/f&gt;&lt;/ZZ_JournalStdAbbrev&gt;&lt;ZZ_WorkformID&gt;1&lt;/ZZ_WorkformID&gt;&lt;/MDL&gt;&lt;/Cite&gt;&lt;/Refman&gt;</w:instrText>
      </w:r>
      <w:r w:rsidR="00E729BA">
        <w:fldChar w:fldCharType="separate"/>
      </w:r>
      <w:r w:rsidR="0081424E">
        <w:t>(74;75)</w:t>
      </w:r>
      <w:r w:rsidR="00E729BA">
        <w:fldChar w:fldCharType="end"/>
      </w:r>
      <w:r>
        <w:t xml:space="preserve">. The bars represent the distribution of simulated observations. The simulation output fits well with the summary statistics for the Phase III trial. The simulation tends to predict slightly lower proportions of responding patients than that observed in the Phase III trial. </w:t>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41</w:t>
      </w:r>
      <w:r w:rsidR="00E729BA">
        <w:fldChar w:fldCharType="end"/>
      </w:r>
      <w:r>
        <w:t xml:space="preserve">: Distribution of proportion of patients with a </w:t>
      </w:r>
      <w:r>
        <w:rPr>
          <w:rFonts w:cs="Times New Roman"/>
        </w:rPr>
        <w:t>≥</w:t>
      </w:r>
      <w:r>
        <w:t>4 unit reduction in SLEDAI for simulated trials (red bars) and estimate distribution of Phase III results (Blue line) for placebo and treatment arm</w:t>
      </w:r>
    </w:p>
    <w:p w:rsidR="00B97965" w:rsidRDefault="00B97965" w:rsidP="00B97965">
      <w:r w:rsidRPr="0078135A">
        <w:rPr>
          <w:noProof/>
          <w:lang w:eastAsia="zh-CN" w:bidi="ar-SA"/>
        </w:rPr>
        <w:drawing>
          <wp:inline distT="0" distB="0" distL="0" distR="0">
            <wp:extent cx="3254352" cy="3240000"/>
            <wp:effectExtent l="19050" t="19050" r="22248" b="1755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3254352" cy="3240000"/>
                    </a:xfrm>
                    <a:prstGeom prst="rect">
                      <a:avLst/>
                    </a:prstGeom>
                    <a:noFill/>
                    <a:ln w="9525">
                      <a:solidFill>
                        <a:schemeClr val="tx1"/>
                      </a:solidFill>
                      <a:miter lim="800000"/>
                      <a:headEnd/>
                      <a:tailEnd/>
                    </a:ln>
                  </pic:spPr>
                </pic:pic>
              </a:graphicData>
            </a:graphic>
          </wp:inline>
        </w:drawing>
      </w:r>
    </w:p>
    <w:p w:rsidR="00B97965" w:rsidRDefault="00B97965" w:rsidP="00B97965">
      <w:pPr>
        <w:spacing w:after="0" w:afterAutospacing="0" w:line="240" w:lineRule="auto"/>
      </w:pPr>
      <w:r>
        <w:br w:type="page"/>
      </w:r>
    </w:p>
    <w:p w:rsidR="00B97965" w:rsidRPr="00BE457B" w:rsidRDefault="00B97965" w:rsidP="00BE457B">
      <w:pPr>
        <w:pStyle w:val="Heading1"/>
        <w:numPr>
          <w:ilvl w:val="0"/>
          <w:numId w:val="0"/>
        </w:numPr>
        <w:bidi/>
        <w:ind w:left="576" w:hanging="576"/>
        <w:jc w:val="right"/>
        <w:rPr>
          <w:rStyle w:val="Emphasis"/>
          <w:spacing w:val="15"/>
        </w:rPr>
      </w:pPr>
      <w:bookmarkStart w:id="721" w:name="_Toc337139018"/>
      <w:bookmarkStart w:id="722" w:name="_Toc379467720"/>
      <w:r>
        <w:t>Appendix</w:t>
      </w:r>
      <w:r w:rsidR="00396982">
        <w:t xml:space="preserve"> 16</w:t>
      </w:r>
      <w:r w:rsidR="00BE457B">
        <w:t xml:space="preserve">: </w:t>
      </w:r>
      <w:r w:rsidRPr="00234693">
        <w:rPr>
          <w:rStyle w:val="Emphasis"/>
        </w:rPr>
        <w:t>CE model Parameter distributions</w:t>
      </w:r>
      <w:bookmarkEnd w:id="721"/>
      <w:bookmarkEnd w:id="722"/>
    </w:p>
    <w:p w:rsidR="00B97965" w:rsidRDefault="00B97965" w:rsidP="00234693">
      <w:pPr>
        <w:pStyle w:val="Caption"/>
      </w:pPr>
      <w:r>
        <w:t xml:space="preserve">Table </w:t>
      </w:r>
      <w:fldSimple w:instr=" SEQ Table \* ARABIC ">
        <w:r w:rsidR="004911B7">
          <w:rPr>
            <w:noProof/>
          </w:rPr>
          <w:t>110</w:t>
        </w:r>
      </w:fldSimple>
      <w:r>
        <w:t>: Parameter distributions for costs</w:t>
      </w:r>
    </w:p>
    <w:tbl>
      <w:tblPr>
        <w:tblStyle w:val="TableGrid"/>
        <w:tblW w:w="0" w:type="auto"/>
        <w:tblLayout w:type="fixed"/>
        <w:tblLook w:val="04A0"/>
      </w:tblPr>
      <w:tblGrid>
        <w:gridCol w:w="2802"/>
        <w:gridCol w:w="1288"/>
        <w:gridCol w:w="1288"/>
        <w:gridCol w:w="1288"/>
        <w:gridCol w:w="1288"/>
        <w:gridCol w:w="1288"/>
      </w:tblGrid>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Parameter name</w:t>
            </w:r>
          </w:p>
        </w:tc>
        <w:tc>
          <w:tcPr>
            <w:tcW w:w="1288" w:type="dxa"/>
          </w:tcPr>
          <w:p w:rsidR="00B97965" w:rsidRPr="008E57FF" w:rsidRDefault="00B97965" w:rsidP="00B97965">
            <w:pPr>
              <w:spacing w:line="240" w:lineRule="auto"/>
              <w:rPr>
                <w:sz w:val="18"/>
                <w:szCs w:val="18"/>
              </w:rPr>
            </w:pPr>
            <w:r w:rsidRPr="008E57FF">
              <w:rPr>
                <w:sz w:val="18"/>
                <w:szCs w:val="18"/>
              </w:rPr>
              <w:t>Mean</w:t>
            </w:r>
          </w:p>
        </w:tc>
        <w:tc>
          <w:tcPr>
            <w:tcW w:w="1288" w:type="dxa"/>
          </w:tcPr>
          <w:p w:rsidR="00B97965" w:rsidRPr="008E57FF" w:rsidRDefault="00B97965" w:rsidP="00B97965">
            <w:pPr>
              <w:spacing w:line="240" w:lineRule="auto"/>
              <w:rPr>
                <w:sz w:val="18"/>
                <w:szCs w:val="18"/>
              </w:rPr>
            </w:pPr>
            <w:r w:rsidRPr="008E57FF">
              <w:rPr>
                <w:sz w:val="18"/>
                <w:szCs w:val="18"/>
              </w:rPr>
              <w:t>Standard Deviation</w:t>
            </w:r>
          </w:p>
        </w:tc>
        <w:tc>
          <w:tcPr>
            <w:tcW w:w="1288" w:type="dxa"/>
          </w:tcPr>
          <w:p w:rsidR="00B97965" w:rsidRPr="008E57FF" w:rsidRDefault="00B97965" w:rsidP="00B97965">
            <w:pPr>
              <w:spacing w:line="240" w:lineRule="auto"/>
              <w:rPr>
                <w:sz w:val="18"/>
                <w:szCs w:val="18"/>
              </w:rPr>
            </w:pPr>
            <w:r w:rsidRPr="008E57FF">
              <w:rPr>
                <w:sz w:val="18"/>
                <w:szCs w:val="18"/>
              </w:rPr>
              <w:t>Alpha</w:t>
            </w:r>
          </w:p>
        </w:tc>
        <w:tc>
          <w:tcPr>
            <w:tcW w:w="1288" w:type="dxa"/>
          </w:tcPr>
          <w:p w:rsidR="00B97965" w:rsidRPr="008E57FF" w:rsidRDefault="00B97965" w:rsidP="00B97965">
            <w:pPr>
              <w:spacing w:line="240" w:lineRule="auto"/>
              <w:rPr>
                <w:sz w:val="18"/>
                <w:szCs w:val="18"/>
              </w:rPr>
            </w:pPr>
            <w:r w:rsidRPr="008E57FF">
              <w:rPr>
                <w:sz w:val="18"/>
                <w:szCs w:val="18"/>
              </w:rPr>
              <w:t>Beta</w:t>
            </w:r>
          </w:p>
        </w:tc>
        <w:tc>
          <w:tcPr>
            <w:tcW w:w="1288" w:type="dxa"/>
          </w:tcPr>
          <w:p w:rsidR="00B97965" w:rsidRPr="008E57FF" w:rsidRDefault="00B97965" w:rsidP="00B97965">
            <w:pPr>
              <w:spacing w:line="240" w:lineRule="auto"/>
              <w:rPr>
                <w:sz w:val="18"/>
                <w:szCs w:val="18"/>
              </w:rPr>
            </w:pPr>
            <w:r w:rsidRPr="008E57FF">
              <w:rPr>
                <w:sz w:val="18"/>
                <w:szCs w:val="18"/>
              </w:rPr>
              <w:t>Distribution</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SLEDAI score fixed cost</w:t>
            </w:r>
          </w:p>
        </w:tc>
        <w:tc>
          <w:tcPr>
            <w:tcW w:w="1288" w:type="dxa"/>
          </w:tcPr>
          <w:p w:rsidR="00B97965" w:rsidRPr="008E57FF" w:rsidRDefault="00B97965" w:rsidP="00B97965">
            <w:pPr>
              <w:spacing w:line="240" w:lineRule="auto"/>
              <w:rPr>
                <w:sz w:val="18"/>
                <w:szCs w:val="18"/>
              </w:rPr>
            </w:pPr>
            <w:r w:rsidRPr="008E57FF">
              <w:rPr>
                <w:sz w:val="18"/>
                <w:szCs w:val="18"/>
              </w:rPr>
              <w:t>1152.44</w:t>
            </w:r>
          </w:p>
        </w:tc>
        <w:tc>
          <w:tcPr>
            <w:tcW w:w="1288" w:type="dxa"/>
          </w:tcPr>
          <w:p w:rsidR="00B97965" w:rsidRPr="008E57FF" w:rsidRDefault="00B97965" w:rsidP="00B97965">
            <w:pPr>
              <w:spacing w:line="240" w:lineRule="auto"/>
              <w:rPr>
                <w:sz w:val="18"/>
                <w:szCs w:val="18"/>
              </w:rPr>
            </w:pPr>
            <w:r w:rsidRPr="008E57FF">
              <w:rPr>
                <w:sz w:val="18"/>
                <w:szCs w:val="18"/>
              </w:rPr>
              <w:t>115.24</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11</w:t>
            </w:r>
            <w:r>
              <w:rPr>
                <w:sz w:val="18"/>
                <w:szCs w:val="18"/>
              </w:rPr>
              <w:t>.5</w:t>
            </w:r>
            <w:r w:rsidRPr="008E57FF">
              <w:rPr>
                <w:sz w:val="18"/>
                <w:szCs w:val="18"/>
              </w:rPr>
              <w:t>2</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SLEDAI score variable cost</w:t>
            </w:r>
          </w:p>
        </w:tc>
        <w:tc>
          <w:tcPr>
            <w:tcW w:w="1288" w:type="dxa"/>
          </w:tcPr>
          <w:p w:rsidR="00B97965" w:rsidRPr="008E57FF" w:rsidRDefault="00B97965" w:rsidP="00B97965">
            <w:pPr>
              <w:spacing w:line="240" w:lineRule="auto"/>
              <w:rPr>
                <w:sz w:val="18"/>
                <w:szCs w:val="18"/>
              </w:rPr>
            </w:pPr>
            <w:r w:rsidRPr="008E57FF">
              <w:rPr>
                <w:sz w:val="18"/>
                <w:szCs w:val="18"/>
              </w:rPr>
              <w:t>55.4</w:t>
            </w:r>
          </w:p>
        </w:tc>
        <w:tc>
          <w:tcPr>
            <w:tcW w:w="1288" w:type="dxa"/>
          </w:tcPr>
          <w:p w:rsidR="00B97965" w:rsidRPr="008E57FF" w:rsidRDefault="00B97965" w:rsidP="00B97965">
            <w:pPr>
              <w:spacing w:line="240" w:lineRule="auto"/>
              <w:rPr>
                <w:sz w:val="18"/>
                <w:szCs w:val="18"/>
              </w:rPr>
            </w:pPr>
            <w:r w:rsidRPr="008E57FF">
              <w:rPr>
                <w:sz w:val="18"/>
                <w:szCs w:val="18"/>
              </w:rPr>
              <w:t>5.4</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0.5</w:t>
            </w:r>
            <w:r w:rsidRPr="008E57FF">
              <w:rPr>
                <w:sz w:val="18"/>
                <w:szCs w:val="18"/>
              </w:rPr>
              <w:t>4</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Cardiovascular y1</w:t>
            </w:r>
          </w:p>
        </w:tc>
        <w:tc>
          <w:tcPr>
            <w:tcW w:w="1288" w:type="dxa"/>
          </w:tcPr>
          <w:p w:rsidR="00B97965" w:rsidRPr="008E57FF" w:rsidRDefault="00B97965" w:rsidP="00B97965">
            <w:pPr>
              <w:spacing w:line="240" w:lineRule="auto"/>
              <w:rPr>
                <w:sz w:val="18"/>
                <w:szCs w:val="18"/>
              </w:rPr>
            </w:pPr>
            <w:r w:rsidRPr="008E57FF">
              <w:rPr>
                <w:sz w:val="18"/>
                <w:szCs w:val="18"/>
              </w:rPr>
              <w:t>3440</w:t>
            </w:r>
          </w:p>
        </w:tc>
        <w:tc>
          <w:tcPr>
            <w:tcW w:w="1288" w:type="dxa"/>
          </w:tcPr>
          <w:p w:rsidR="00B97965" w:rsidRPr="008E57FF" w:rsidRDefault="00B97965" w:rsidP="00B97965">
            <w:pPr>
              <w:spacing w:line="240" w:lineRule="auto"/>
              <w:rPr>
                <w:sz w:val="18"/>
                <w:szCs w:val="18"/>
              </w:rPr>
            </w:pPr>
            <w:r w:rsidRPr="008E57FF">
              <w:rPr>
                <w:sz w:val="18"/>
                <w:szCs w:val="18"/>
              </w:rPr>
              <w:t>344</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34</w:t>
            </w:r>
            <w:r>
              <w:rPr>
                <w:sz w:val="18"/>
                <w:szCs w:val="18"/>
              </w:rPr>
              <w:t>.4</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Cardiovascular y&gt;1</w:t>
            </w:r>
          </w:p>
        </w:tc>
        <w:tc>
          <w:tcPr>
            <w:tcW w:w="1288" w:type="dxa"/>
          </w:tcPr>
          <w:p w:rsidR="00B97965" w:rsidRPr="008E57FF" w:rsidRDefault="00B97965" w:rsidP="00B97965">
            <w:pPr>
              <w:spacing w:line="240" w:lineRule="auto"/>
              <w:rPr>
                <w:sz w:val="18"/>
                <w:szCs w:val="18"/>
              </w:rPr>
            </w:pPr>
            <w:r w:rsidRPr="008E57FF">
              <w:rPr>
                <w:sz w:val="18"/>
                <w:szCs w:val="18"/>
              </w:rPr>
              <w:t>505</w:t>
            </w:r>
          </w:p>
        </w:tc>
        <w:tc>
          <w:tcPr>
            <w:tcW w:w="1288" w:type="dxa"/>
          </w:tcPr>
          <w:p w:rsidR="00B97965" w:rsidRPr="008E57FF" w:rsidRDefault="00B97965" w:rsidP="00B97965">
            <w:pPr>
              <w:spacing w:line="240" w:lineRule="auto"/>
              <w:rPr>
                <w:sz w:val="18"/>
                <w:szCs w:val="18"/>
              </w:rPr>
            </w:pPr>
            <w:r w:rsidRPr="008E57FF">
              <w:rPr>
                <w:sz w:val="18"/>
                <w:szCs w:val="18"/>
              </w:rPr>
              <w:t>50.5</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5.0</w:t>
            </w:r>
            <w:r w:rsidRPr="008E57FF">
              <w:rPr>
                <w:sz w:val="18"/>
                <w:szCs w:val="18"/>
              </w:rPr>
              <w:t>5</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Renal y1</w:t>
            </w:r>
          </w:p>
        </w:tc>
        <w:tc>
          <w:tcPr>
            <w:tcW w:w="1288" w:type="dxa"/>
          </w:tcPr>
          <w:p w:rsidR="00B97965" w:rsidRPr="008E57FF" w:rsidRDefault="00B97965" w:rsidP="00B97965">
            <w:pPr>
              <w:spacing w:line="240" w:lineRule="auto"/>
              <w:rPr>
                <w:sz w:val="18"/>
                <w:szCs w:val="18"/>
              </w:rPr>
            </w:pPr>
            <w:r w:rsidRPr="008E57FF">
              <w:rPr>
                <w:sz w:val="18"/>
                <w:szCs w:val="18"/>
              </w:rPr>
              <w:t>1765</w:t>
            </w:r>
          </w:p>
        </w:tc>
        <w:tc>
          <w:tcPr>
            <w:tcW w:w="1288" w:type="dxa"/>
          </w:tcPr>
          <w:p w:rsidR="00B97965" w:rsidRPr="008E57FF" w:rsidRDefault="00B97965" w:rsidP="00B97965">
            <w:pPr>
              <w:spacing w:line="240" w:lineRule="auto"/>
              <w:rPr>
                <w:sz w:val="18"/>
                <w:szCs w:val="18"/>
              </w:rPr>
            </w:pPr>
            <w:r w:rsidRPr="008E57FF">
              <w:rPr>
                <w:sz w:val="18"/>
                <w:szCs w:val="18"/>
              </w:rPr>
              <w:t>176.5</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17</w:t>
            </w:r>
            <w:r>
              <w:rPr>
                <w:sz w:val="18"/>
                <w:szCs w:val="18"/>
              </w:rPr>
              <w:t>.</w:t>
            </w:r>
            <w:r w:rsidRPr="008E57FF">
              <w:rPr>
                <w:sz w:val="18"/>
                <w:szCs w:val="18"/>
              </w:rPr>
              <w:t>65</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Renal y&gt;1</w:t>
            </w:r>
          </w:p>
        </w:tc>
        <w:tc>
          <w:tcPr>
            <w:tcW w:w="1288" w:type="dxa"/>
          </w:tcPr>
          <w:p w:rsidR="00B97965" w:rsidRPr="008E57FF" w:rsidRDefault="00B97965" w:rsidP="00B97965">
            <w:pPr>
              <w:spacing w:line="240" w:lineRule="auto"/>
              <w:rPr>
                <w:sz w:val="18"/>
                <w:szCs w:val="18"/>
              </w:rPr>
            </w:pPr>
            <w:r w:rsidRPr="008E57FF">
              <w:rPr>
                <w:sz w:val="18"/>
                <w:szCs w:val="18"/>
              </w:rPr>
              <w:t>2453</w:t>
            </w:r>
          </w:p>
        </w:tc>
        <w:tc>
          <w:tcPr>
            <w:tcW w:w="1288" w:type="dxa"/>
          </w:tcPr>
          <w:p w:rsidR="00B97965" w:rsidRPr="008E57FF" w:rsidRDefault="00B97965" w:rsidP="00B97965">
            <w:pPr>
              <w:spacing w:line="240" w:lineRule="auto"/>
              <w:rPr>
                <w:sz w:val="18"/>
                <w:szCs w:val="18"/>
              </w:rPr>
            </w:pPr>
            <w:r w:rsidRPr="008E57FF">
              <w:rPr>
                <w:sz w:val="18"/>
                <w:szCs w:val="18"/>
              </w:rPr>
              <w:t>245.3</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24</w:t>
            </w:r>
            <w:r>
              <w:rPr>
                <w:sz w:val="18"/>
                <w:szCs w:val="18"/>
              </w:rPr>
              <w:t>.</w:t>
            </w:r>
            <w:r w:rsidRPr="008E57FF">
              <w:rPr>
                <w:sz w:val="18"/>
                <w:szCs w:val="18"/>
              </w:rPr>
              <w:t>53</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Musculoskeletal y1</w:t>
            </w:r>
          </w:p>
        </w:tc>
        <w:tc>
          <w:tcPr>
            <w:tcW w:w="1288" w:type="dxa"/>
          </w:tcPr>
          <w:p w:rsidR="00B97965" w:rsidRPr="008E57FF" w:rsidRDefault="00B97965" w:rsidP="00B97965">
            <w:pPr>
              <w:spacing w:line="240" w:lineRule="auto"/>
              <w:rPr>
                <w:sz w:val="18"/>
                <w:szCs w:val="18"/>
              </w:rPr>
            </w:pPr>
            <w:r w:rsidRPr="008E57FF">
              <w:rPr>
                <w:sz w:val="18"/>
                <w:szCs w:val="18"/>
              </w:rPr>
              <w:t>5431</w:t>
            </w:r>
          </w:p>
        </w:tc>
        <w:tc>
          <w:tcPr>
            <w:tcW w:w="1288" w:type="dxa"/>
          </w:tcPr>
          <w:p w:rsidR="00B97965" w:rsidRPr="008E57FF" w:rsidRDefault="00B97965" w:rsidP="00B97965">
            <w:pPr>
              <w:spacing w:line="240" w:lineRule="auto"/>
              <w:rPr>
                <w:sz w:val="18"/>
                <w:szCs w:val="18"/>
              </w:rPr>
            </w:pPr>
            <w:r w:rsidRPr="008E57FF">
              <w:rPr>
                <w:sz w:val="18"/>
                <w:szCs w:val="18"/>
              </w:rPr>
              <w:t>543.1</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54</w:t>
            </w:r>
            <w:r>
              <w:rPr>
                <w:sz w:val="18"/>
                <w:szCs w:val="18"/>
              </w:rPr>
              <w:t>.</w:t>
            </w:r>
            <w:r w:rsidRPr="008E57FF">
              <w:rPr>
                <w:sz w:val="18"/>
                <w:szCs w:val="18"/>
              </w:rPr>
              <w:t>31</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Musculoskeletal y&gt;1</w:t>
            </w:r>
          </w:p>
        </w:tc>
        <w:tc>
          <w:tcPr>
            <w:tcW w:w="1288" w:type="dxa"/>
          </w:tcPr>
          <w:p w:rsidR="00B97965" w:rsidRPr="008E57FF" w:rsidRDefault="00B97965" w:rsidP="00B97965">
            <w:pPr>
              <w:spacing w:line="240" w:lineRule="auto"/>
              <w:rPr>
                <w:sz w:val="18"/>
                <w:szCs w:val="18"/>
              </w:rPr>
            </w:pPr>
            <w:r w:rsidRPr="008E57FF">
              <w:rPr>
                <w:sz w:val="18"/>
                <w:szCs w:val="18"/>
              </w:rPr>
              <w:t>1903</w:t>
            </w:r>
          </w:p>
        </w:tc>
        <w:tc>
          <w:tcPr>
            <w:tcW w:w="1288" w:type="dxa"/>
          </w:tcPr>
          <w:p w:rsidR="00B97965" w:rsidRPr="008E57FF" w:rsidRDefault="00B97965" w:rsidP="00B97965">
            <w:pPr>
              <w:spacing w:line="240" w:lineRule="auto"/>
              <w:rPr>
                <w:sz w:val="18"/>
                <w:szCs w:val="18"/>
              </w:rPr>
            </w:pPr>
            <w:r w:rsidRPr="008E57FF">
              <w:rPr>
                <w:sz w:val="18"/>
                <w:szCs w:val="18"/>
              </w:rPr>
              <w:t>190.3</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19</w:t>
            </w:r>
            <w:r>
              <w:rPr>
                <w:sz w:val="18"/>
                <w:szCs w:val="18"/>
              </w:rPr>
              <w:t>.</w:t>
            </w:r>
            <w:r w:rsidRPr="008E57FF">
              <w:rPr>
                <w:sz w:val="18"/>
                <w:szCs w:val="18"/>
              </w:rPr>
              <w:t>03</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Neuropsychiatric y1</w:t>
            </w:r>
          </w:p>
        </w:tc>
        <w:tc>
          <w:tcPr>
            <w:tcW w:w="1288" w:type="dxa"/>
          </w:tcPr>
          <w:p w:rsidR="00B97965" w:rsidRPr="008E57FF" w:rsidRDefault="00B97965" w:rsidP="00B97965">
            <w:pPr>
              <w:spacing w:line="240" w:lineRule="auto"/>
              <w:rPr>
                <w:sz w:val="18"/>
                <w:szCs w:val="18"/>
              </w:rPr>
            </w:pPr>
            <w:r w:rsidRPr="008E57FF">
              <w:rPr>
                <w:sz w:val="18"/>
                <w:szCs w:val="18"/>
              </w:rPr>
              <w:t>3660</w:t>
            </w:r>
          </w:p>
        </w:tc>
        <w:tc>
          <w:tcPr>
            <w:tcW w:w="1288" w:type="dxa"/>
          </w:tcPr>
          <w:p w:rsidR="00B97965" w:rsidRPr="008E57FF" w:rsidRDefault="00B97965" w:rsidP="00B97965">
            <w:pPr>
              <w:spacing w:line="240" w:lineRule="auto"/>
              <w:rPr>
                <w:sz w:val="18"/>
                <w:szCs w:val="18"/>
              </w:rPr>
            </w:pPr>
            <w:r w:rsidRPr="008E57FF">
              <w:rPr>
                <w:sz w:val="18"/>
                <w:szCs w:val="18"/>
              </w:rPr>
              <w:t>366</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36</w:t>
            </w:r>
            <w:r>
              <w:rPr>
                <w:sz w:val="18"/>
                <w:szCs w:val="18"/>
              </w:rPr>
              <w:t>.</w:t>
            </w:r>
            <w:r w:rsidRPr="008E57FF">
              <w:rPr>
                <w:sz w:val="18"/>
                <w:szCs w:val="18"/>
              </w:rPr>
              <w:t>6</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Neuropsychiatric y&gt;1</w:t>
            </w:r>
          </w:p>
        </w:tc>
        <w:tc>
          <w:tcPr>
            <w:tcW w:w="1288" w:type="dxa"/>
          </w:tcPr>
          <w:p w:rsidR="00B97965" w:rsidRPr="008E57FF" w:rsidRDefault="00B97965" w:rsidP="00B97965">
            <w:pPr>
              <w:spacing w:line="240" w:lineRule="auto"/>
              <w:rPr>
                <w:sz w:val="18"/>
                <w:szCs w:val="18"/>
              </w:rPr>
            </w:pPr>
            <w:r w:rsidRPr="008E57FF">
              <w:rPr>
                <w:sz w:val="18"/>
                <w:szCs w:val="18"/>
              </w:rPr>
              <w:t>1144</w:t>
            </w:r>
          </w:p>
        </w:tc>
        <w:tc>
          <w:tcPr>
            <w:tcW w:w="1288" w:type="dxa"/>
          </w:tcPr>
          <w:p w:rsidR="00B97965" w:rsidRPr="008E57FF" w:rsidRDefault="00B97965" w:rsidP="00B97965">
            <w:pPr>
              <w:spacing w:line="240" w:lineRule="auto"/>
              <w:rPr>
                <w:sz w:val="18"/>
                <w:szCs w:val="18"/>
              </w:rPr>
            </w:pPr>
            <w:r w:rsidRPr="008E57FF">
              <w:rPr>
                <w:sz w:val="18"/>
                <w:szCs w:val="18"/>
              </w:rPr>
              <w:t>114.4</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11</w:t>
            </w:r>
            <w:r>
              <w:rPr>
                <w:sz w:val="18"/>
                <w:szCs w:val="18"/>
              </w:rPr>
              <w:t>.</w:t>
            </w:r>
            <w:r w:rsidRPr="008E57FF">
              <w:rPr>
                <w:sz w:val="18"/>
                <w:szCs w:val="18"/>
              </w:rPr>
              <w:t>44</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Pulmonary y1</w:t>
            </w:r>
          </w:p>
        </w:tc>
        <w:tc>
          <w:tcPr>
            <w:tcW w:w="1288" w:type="dxa"/>
          </w:tcPr>
          <w:p w:rsidR="00B97965" w:rsidRPr="008E57FF" w:rsidRDefault="00B97965" w:rsidP="00B97965">
            <w:pPr>
              <w:spacing w:line="240" w:lineRule="auto"/>
              <w:rPr>
                <w:sz w:val="18"/>
                <w:szCs w:val="18"/>
              </w:rPr>
            </w:pPr>
            <w:r w:rsidRPr="008E57FF">
              <w:rPr>
                <w:sz w:val="18"/>
                <w:szCs w:val="18"/>
              </w:rPr>
              <w:t>9679</w:t>
            </w:r>
          </w:p>
        </w:tc>
        <w:tc>
          <w:tcPr>
            <w:tcW w:w="1288" w:type="dxa"/>
          </w:tcPr>
          <w:p w:rsidR="00B97965" w:rsidRPr="008E57FF" w:rsidRDefault="00B97965" w:rsidP="00B97965">
            <w:pPr>
              <w:spacing w:line="240" w:lineRule="auto"/>
              <w:rPr>
                <w:sz w:val="18"/>
                <w:szCs w:val="18"/>
              </w:rPr>
            </w:pPr>
            <w:r w:rsidRPr="008E57FF">
              <w:rPr>
                <w:sz w:val="18"/>
                <w:szCs w:val="18"/>
              </w:rPr>
              <w:t>967.9</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sidRPr="008E57FF">
              <w:rPr>
                <w:sz w:val="18"/>
                <w:szCs w:val="18"/>
              </w:rPr>
              <w:t>96</w:t>
            </w:r>
            <w:r>
              <w:rPr>
                <w:sz w:val="18"/>
                <w:szCs w:val="18"/>
              </w:rPr>
              <w:t>.</w:t>
            </w:r>
            <w:r w:rsidRPr="008E57FF">
              <w:rPr>
                <w:sz w:val="18"/>
                <w:szCs w:val="18"/>
              </w:rPr>
              <w:t>79</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Pulmonary y&gt;1</w:t>
            </w:r>
          </w:p>
        </w:tc>
        <w:tc>
          <w:tcPr>
            <w:tcW w:w="1288" w:type="dxa"/>
          </w:tcPr>
          <w:p w:rsidR="00B97965" w:rsidRPr="008E57FF" w:rsidRDefault="00B97965" w:rsidP="00B97965">
            <w:pPr>
              <w:spacing w:line="240" w:lineRule="auto"/>
              <w:rPr>
                <w:sz w:val="18"/>
                <w:szCs w:val="18"/>
              </w:rPr>
            </w:pPr>
            <w:r>
              <w:rPr>
                <w:sz w:val="18"/>
                <w:szCs w:val="18"/>
              </w:rPr>
              <w:t>9603</w:t>
            </w:r>
          </w:p>
        </w:tc>
        <w:tc>
          <w:tcPr>
            <w:tcW w:w="1288" w:type="dxa"/>
          </w:tcPr>
          <w:p w:rsidR="00B97965" w:rsidRPr="008E57FF" w:rsidRDefault="00B97965" w:rsidP="00B97965">
            <w:pPr>
              <w:spacing w:line="240" w:lineRule="auto"/>
              <w:rPr>
                <w:sz w:val="18"/>
                <w:szCs w:val="18"/>
              </w:rPr>
            </w:pPr>
            <w:r>
              <w:rPr>
                <w:sz w:val="18"/>
                <w:szCs w:val="18"/>
              </w:rPr>
              <w:t>960.3</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96</w:t>
            </w:r>
            <w:r>
              <w:rPr>
                <w:sz w:val="18"/>
                <w:szCs w:val="18"/>
                <w:lang w:val="es-ES_tradnl"/>
              </w:rPr>
              <w:t>.</w:t>
            </w:r>
            <w:r w:rsidRPr="008E57FF">
              <w:rPr>
                <w:sz w:val="18"/>
                <w:szCs w:val="18"/>
                <w:lang w:val="es-ES_tradnl"/>
              </w:rPr>
              <w:t>03</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Gamma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Peripheral vascular y1</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2988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298.8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100</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29</w:t>
            </w:r>
            <w:r>
              <w:rPr>
                <w:sz w:val="18"/>
                <w:szCs w:val="18"/>
                <w:lang w:val="es-ES_tradnl"/>
              </w:rPr>
              <w:t>.</w:t>
            </w:r>
            <w:r w:rsidRPr="008E57FF">
              <w:rPr>
                <w:sz w:val="18"/>
                <w:szCs w:val="18"/>
                <w:lang w:val="es-ES_tradnl"/>
              </w:rPr>
              <w:t>8</w:t>
            </w:r>
            <w:r>
              <w:rPr>
                <w:sz w:val="18"/>
                <w:szCs w:val="18"/>
                <w:lang w:val="es-ES_tradnl"/>
              </w:rPr>
              <w:t>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Gamma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Peripheral vascular y&gt;1</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598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59.8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100</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5</w:t>
            </w:r>
            <w:r>
              <w:rPr>
                <w:sz w:val="18"/>
                <w:szCs w:val="18"/>
                <w:lang w:val="es-ES_tradnl"/>
              </w:rPr>
              <w:t>.</w:t>
            </w:r>
            <w:r w:rsidRPr="008E57FF">
              <w:rPr>
                <w:sz w:val="18"/>
                <w:szCs w:val="18"/>
                <w:lang w:val="es-ES_tradnl"/>
              </w:rPr>
              <w:t>98</w:t>
            </w:r>
          </w:p>
        </w:tc>
        <w:tc>
          <w:tcPr>
            <w:tcW w:w="1288" w:type="dxa"/>
          </w:tcPr>
          <w:p w:rsidR="00B97965" w:rsidRPr="008E57FF" w:rsidRDefault="00B97965" w:rsidP="00B97965">
            <w:pPr>
              <w:spacing w:line="240" w:lineRule="auto"/>
              <w:rPr>
                <w:sz w:val="18"/>
                <w:szCs w:val="18"/>
                <w:lang w:val="es-ES_tradnl"/>
              </w:rPr>
            </w:pPr>
            <w:r w:rsidRPr="008E57FF">
              <w:rPr>
                <w:sz w:val="18"/>
                <w:szCs w:val="18"/>
                <w:lang w:val="es-ES_tradnl"/>
              </w:rPr>
              <w:t>Gamma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Gastrointestinal y1</w:t>
            </w:r>
          </w:p>
        </w:tc>
        <w:tc>
          <w:tcPr>
            <w:tcW w:w="1288" w:type="dxa"/>
          </w:tcPr>
          <w:p w:rsidR="00B97965" w:rsidRPr="008E57FF" w:rsidRDefault="00B97965" w:rsidP="00B97965">
            <w:pPr>
              <w:spacing w:line="240" w:lineRule="auto"/>
              <w:rPr>
                <w:sz w:val="18"/>
                <w:szCs w:val="18"/>
              </w:rPr>
            </w:pPr>
            <w:r>
              <w:rPr>
                <w:sz w:val="18"/>
                <w:szCs w:val="18"/>
              </w:rPr>
              <w:t>2708</w:t>
            </w:r>
          </w:p>
        </w:tc>
        <w:tc>
          <w:tcPr>
            <w:tcW w:w="1288" w:type="dxa"/>
          </w:tcPr>
          <w:p w:rsidR="00B97965" w:rsidRPr="008E57FF" w:rsidRDefault="00B97965" w:rsidP="00B97965">
            <w:pPr>
              <w:spacing w:line="240" w:lineRule="auto"/>
              <w:rPr>
                <w:sz w:val="18"/>
                <w:szCs w:val="18"/>
              </w:rPr>
            </w:pPr>
            <w:r>
              <w:rPr>
                <w:sz w:val="18"/>
                <w:szCs w:val="18"/>
              </w:rPr>
              <w:t>270.8</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27.08</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Ocular y1</w:t>
            </w:r>
          </w:p>
        </w:tc>
        <w:tc>
          <w:tcPr>
            <w:tcW w:w="1288" w:type="dxa"/>
          </w:tcPr>
          <w:p w:rsidR="00B97965" w:rsidRPr="008E57FF" w:rsidRDefault="00B97965" w:rsidP="00B97965">
            <w:pPr>
              <w:spacing w:line="240" w:lineRule="auto"/>
              <w:rPr>
                <w:sz w:val="18"/>
                <w:szCs w:val="18"/>
              </w:rPr>
            </w:pPr>
            <w:r>
              <w:rPr>
                <w:sz w:val="18"/>
                <w:szCs w:val="18"/>
              </w:rPr>
              <w:t>1535</w:t>
            </w:r>
          </w:p>
        </w:tc>
        <w:tc>
          <w:tcPr>
            <w:tcW w:w="1288" w:type="dxa"/>
          </w:tcPr>
          <w:p w:rsidR="00B97965" w:rsidRPr="008E57FF" w:rsidRDefault="00B97965" w:rsidP="00B97965">
            <w:pPr>
              <w:spacing w:line="240" w:lineRule="auto"/>
              <w:rPr>
                <w:sz w:val="18"/>
                <w:szCs w:val="18"/>
              </w:rPr>
            </w:pPr>
            <w:r>
              <w:rPr>
                <w:sz w:val="18"/>
                <w:szCs w:val="18"/>
              </w:rPr>
              <w:t>153.5</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15.35</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Ocular y&gt;1</w:t>
            </w:r>
          </w:p>
        </w:tc>
        <w:tc>
          <w:tcPr>
            <w:tcW w:w="1288" w:type="dxa"/>
          </w:tcPr>
          <w:p w:rsidR="00B97965" w:rsidRPr="008E57FF" w:rsidRDefault="00B97965" w:rsidP="00B97965">
            <w:pPr>
              <w:spacing w:line="240" w:lineRule="auto"/>
              <w:rPr>
                <w:sz w:val="18"/>
                <w:szCs w:val="18"/>
              </w:rPr>
            </w:pPr>
            <w:r>
              <w:rPr>
                <w:sz w:val="18"/>
                <w:szCs w:val="18"/>
              </w:rPr>
              <w:t>17</w:t>
            </w:r>
          </w:p>
        </w:tc>
        <w:tc>
          <w:tcPr>
            <w:tcW w:w="1288" w:type="dxa"/>
          </w:tcPr>
          <w:p w:rsidR="00B97965" w:rsidRPr="008E57FF" w:rsidRDefault="00B97965" w:rsidP="00B97965">
            <w:pPr>
              <w:spacing w:line="240" w:lineRule="auto"/>
              <w:rPr>
                <w:sz w:val="18"/>
                <w:szCs w:val="18"/>
              </w:rPr>
            </w:pPr>
            <w:r>
              <w:rPr>
                <w:sz w:val="18"/>
                <w:szCs w:val="18"/>
              </w:rPr>
              <w:t>1.7</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0.17</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Diabetes</w:t>
            </w:r>
            <w:r w:rsidRPr="008E57FF">
              <w:rPr>
                <w:sz w:val="18"/>
                <w:szCs w:val="18"/>
              </w:rPr>
              <w:t xml:space="preserve"> y1</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Diabetes</w:t>
            </w:r>
            <w:r w:rsidRPr="008E57FF">
              <w:rPr>
                <w:sz w:val="18"/>
                <w:szCs w:val="18"/>
              </w:rPr>
              <w:t xml:space="preserve"> y&gt;1</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sidRPr="008E57FF">
              <w:rPr>
                <w:sz w:val="18"/>
                <w:szCs w:val="18"/>
              </w:rPr>
              <w:t>100</w:t>
            </w:r>
          </w:p>
        </w:tc>
        <w:tc>
          <w:tcPr>
            <w:tcW w:w="1288" w:type="dxa"/>
          </w:tcPr>
          <w:p w:rsidR="00B97965" w:rsidRPr="008E57FF" w:rsidRDefault="00B97965" w:rsidP="00B97965">
            <w:pPr>
              <w:spacing w:line="240" w:lineRule="auto"/>
              <w:rPr>
                <w:sz w:val="18"/>
                <w:szCs w:val="18"/>
              </w:rPr>
            </w:pPr>
            <w:r>
              <w:rPr>
                <w:sz w:val="18"/>
                <w:szCs w:val="18"/>
              </w:rPr>
              <w:t>23.38</w:t>
            </w:r>
          </w:p>
        </w:tc>
        <w:tc>
          <w:tcPr>
            <w:tcW w:w="1288" w:type="dxa"/>
          </w:tcPr>
          <w:p w:rsidR="00B97965" w:rsidRPr="008E57FF" w:rsidRDefault="00B97965" w:rsidP="00B97965">
            <w:pPr>
              <w:spacing w:line="240" w:lineRule="auto"/>
              <w:rPr>
                <w:sz w:val="18"/>
                <w:szCs w:val="18"/>
              </w:rPr>
            </w:pPr>
            <w:r w:rsidRPr="008E57FF">
              <w:rPr>
                <w:sz w:val="18"/>
                <w:szCs w:val="18"/>
              </w:rPr>
              <w:t>Gamma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Malignancy y1</w:t>
            </w:r>
          </w:p>
        </w:tc>
        <w:tc>
          <w:tcPr>
            <w:tcW w:w="1288" w:type="dxa"/>
          </w:tcPr>
          <w:p w:rsidR="00B97965" w:rsidRPr="008E57FF" w:rsidRDefault="00B97965" w:rsidP="00B97965">
            <w:pPr>
              <w:spacing w:line="240" w:lineRule="auto"/>
              <w:rPr>
                <w:sz w:val="18"/>
                <w:szCs w:val="18"/>
              </w:rPr>
            </w:pPr>
            <w:r>
              <w:rPr>
                <w:sz w:val="18"/>
                <w:szCs w:val="18"/>
              </w:rPr>
              <w:t>6123</w:t>
            </w:r>
          </w:p>
        </w:tc>
        <w:tc>
          <w:tcPr>
            <w:tcW w:w="1288" w:type="dxa"/>
          </w:tcPr>
          <w:p w:rsidR="00B97965" w:rsidRPr="008E57FF" w:rsidRDefault="00B97965" w:rsidP="00B97965">
            <w:pPr>
              <w:spacing w:line="240" w:lineRule="auto"/>
              <w:rPr>
                <w:sz w:val="18"/>
                <w:szCs w:val="18"/>
              </w:rPr>
            </w:pPr>
            <w:r>
              <w:rPr>
                <w:sz w:val="18"/>
                <w:szCs w:val="18"/>
              </w:rPr>
              <w:t>612.3</w:t>
            </w:r>
          </w:p>
        </w:tc>
        <w:tc>
          <w:tcPr>
            <w:tcW w:w="1288" w:type="dxa"/>
          </w:tcPr>
          <w:p w:rsidR="00B97965" w:rsidRPr="008E57FF" w:rsidRDefault="00B97965" w:rsidP="00B97965">
            <w:pPr>
              <w:spacing w:line="240" w:lineRule="auto"/>
              <w:rPr>
                <w:sz w:val="18"/>
                <w:szCs w:val="18"/>
              </w:rPr>
            </w:pPr>
            <w:r>
              <w:rPr>
                <w:sz w:val="18"/>
                <w:szCs w:val="18"/>
              </w:rPr>
              <w:t>100</w:t>
            </w:r>
          </w:p>
        </w:tc>
        <w:tc>
          <w:tcPr>
            <w:tcW w:w="1288" w:type="dxa"/>
          </w:tcPr>
          <w:p w:rsidR="00B97965" w:rsidRPr="008E57FF" w:rsidRDefault="00B97965" w:rsidP="00B97965">
            <w:pPr>
              <w:spacing w:line="240" w:lineRule="auto"/>
              <w:rPr>
                <w:sz w:val="18"/>
                <w:szCs w:val="18"/>
              </w:rPr>
            </w:pPr>
            <w:r>
              <w:rPr>
                <w:sz w:val="18"/>
                <w:szCs w:val="18"/>
              </w:rPr>
              <w:t>61.23</w:t>
            </w:r>
          </w:p>
        </w:tc>
        <w:tc>
          <w:tcPr>
            <w:tcW w:w="1288" w:type="dxa"/>
          </w:tcPr>
          <w:p w:rsidR="00B97965" w:rsidRPr="008E57FF" w:rsidRDefault="00B97965" w:rsidP="00B97965">
            <w:pPr>
              <w:spacing w:line="240" w:lineRule="auto"/>
              <w:rPr>
                <w:sz w:val="18"/>
                <w:szCs w:val="18"/>
              </w:rPr>
            </w:pPr>
            <w:r>
              <w:rPr>
                <w:sz w:val="18"/>
                <w:szCs w:val="18"/>
              </w:rPr>
              <w:t>Gamma</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111</w:t>
        </w:r>
      </w:fldSimple>
      <w:r>
        <w:t>: Parameter distribution for baseline utility regression</w:t>
      </w:r>
    </w:p>
    <w:tbl>
      <w:tblPr>
        <w:tblStyle w:val="TableGrid"/>
        <w:tblW w:w="9242" w:type="dxa"/>
        <w:tblLook w:val="04A0"/>
      </w:tblPr>
      <w:tblGrid>
        <w:gridCol w:w="2660"/>
        <w:gridCol w:w="850"/>
        <w:gridCol w:w="992"/>
        <w:gridCol w:w="992"/>
        <w:gridCol w:w="992"/>
        <w:gridCol w:w="993"/>
        <w:gridCol w:w="1763"/>
      </w:tblGrid>
      <w:tr w:rsidR="00B97965" w:rsidRPr="00964AF5" w:rsidTr="00B97965">
        <w:tc>
          <w:tcPr>
            <w:tcW w:w="2660" w:type="dxa"/>
          </w:tcPr>
          <w:p w:rsidR="00B97965" w:rsidRPr="00964AF5" w:rsidRDefault="00B97965" w:rsidP="00B97965">
            <w:pPr>
              <w:spacing w:line="240" w:lineRule="auto"/>
              <w:rPr>
                <w:sz w:val="18"/>
                <w:szCs w:val="18"/>
              </w:rPr>
            </w:pPr>
            <w:r w:rsidRPr="00964AF5">
              <w:rPr>
                <w:sz w:val="18"/>
                <w:szCs w:val="18"/>
              </w:rPr>
              <w:t>Parameter name</w:t>
            </w:r>
          </w:p>
        </w:tc>
        <w:tc>
          <w:tcPr>
            <w:tcW w:w="850" w:type="dxa"/>
          </w:tcPr>
          <w:p w:rsidR="00B97965" w:rsidRPr="00964AF5" w:rsidRDefault="00B97965" w:rsidP="00B97965">
            <w:pPr>
              <w:spacing w:line="240" w:lineRule="auto"/>
              <w:rPr>
                <w:sz w:val="18"/>
                <w:szCs w:val="18"/>
              </w:rPr>
            </w:pPr>
            <w:r w:rsidRPr="00964AF5">
              <w:rPr>
                <w:sz w:val="18"/>
                <w:szCs w:val="18"/>
              </w:rPr>
              <w:t>Mean Estimate</w:t>
            </w:r>
          </w:p>
        </w:tc>
        <w:tc>
          <w:tcPr>
            <w:tcW w:w="3969" w:type="dxa"/>
            <w:gridSpan w:val="4"/>
          </w:tcPr>
          <w:p w:rsidR="00B97965" w:rsidRPr="00964AF5" w:rsidRDefault="00B97965" w:rsidP="00B97965">
            <w:pPr>
              <w:spacing w:line="240" w:lineRule="auto"/>
              <w:rPr>
                <w:sz w:val="18"/>
                <w:szCs w:val="18"/>
              </w:rPr>
            </w:pPr>
            <w:r w:rsidRPr="00964AF5">
              <w:rPr>
                <w:sz w:val="18"/>
                <w:szCs w:val="18"/>
              </w:rPr>
              <w:t>Covariance Matrix</w:t>
            </w:r>
          </w:p>
        </w:tc>
        <w:tc>
          <w:tcPr>
            <w:tcW w:w="1763" w:type="dxa"/>
          </w:tcPr>
          <w:p w:rsidR="00B97965" w:rsidRPr="00964AF5" w:rsidRDefault="00B97965" w:rsidP="00B97965">
            <w:pPr>
              <w:spacing w:line="240" w:lineRule="auto"/>
              <w:rPr>
                <w:sz w:val="18"/>
                <w:szCs w:val="18"/>
              </w:rPr>
            </w:pPr>
            <w:r w:rsidRPr="00964AF5">
              <w:rPr>
                <w:sz w:val="18"/>
                <w:szCs w:val="18"/>
              </w:rPr>
              <w:t>Distribution</w:t>
            </w:r>
          </w:p>
        </w:tc>
      </w:tr>
      <w:tr w:rsidR="00B97965" w:rsidRPr="00964AF5" w:rsidTr="00B97965">
        <w:tc>
          <w:tcPr>
            <w:tcW w:w="2660" w:type="dxa"/>
          </w:tcPr>
          <w:p w:rsidR="00B97965" w:rsidRPr="00964AF5" w:rsidRDefault="00B97965" w:rsidP="00B97965">
            <w:pPr>
              <w:spacing w:line="240" w:lineRule="auto"/>
              <w:rPr>
                <w:sz w:val="18"/>
                <w:szCs w:val="18"/>
              </w:rPr>
            </w:pPr>
            <w:r>
              <w:rPr>
                <w:sz w:val="18"/>
                <w:szCs w:val="18"/>
              </w:rPr>
              <w:t>African American coefficient</w:t>
            </w:r>
          </w:p>
        </w:tc>
        <w:tc>
          <w:tcPr>
            <w:tcW w:w="850" w:type="dxa"/>
          </w:tcPr>
          <w:p w:rsidR="00B97965" w:rsidRDefault="00B97965" w:rsidP="00B97965">
            <w:pPr>
              <w:spacing w:line="240" w:lineRule="auto"/>
              <w:rPr>
                <w:sz w:val="18"/>
                <w:szCs w:val="18"/>
              </w:rPr>
            </w:pPr>
            <w:r>
              <w:rPr>
                <w:sz w:val="18"/>
                <w:szCs w:val="18"/>
              </w:rPr>
              <w:t>-0.036</w:t>
            </w:r>
          </w:p>
        </w:tc>
        <w:tc>
          <w:tcPr>
            <w:tcW w:w="992" w:type="dxa"/>
          </w:tcPr>
          <w:p w:rsidR="00B97965" w:rsidRDefault="00B97965" w:rsidP="00B97965">
            <w:pPr>
              <w:spacing w:line="240" w:lineRule="auto"/>
              <w:rPr>
                <w:sz w:val="18"/>
                <w:szCs w:val="18"/>
              </w:rPr>
            </w:pPr>
            <w:r>
              <w:rPr>
                <w:sz w:val="18"/>
                <w:szCs w:val="18"/>
              </w:rPr>
              <w:t>0.0004</w:t>
            </w:r>
          </w:p>
        </w:tc>
        <w:tc>
          <w:tcPr>
            <w:tcW w:w="992" w:type="dxa"/>
          </w:tcPr>
          <w:p w:rsidR="00B97965" w:rsidRDefault="00B97965" w:rsidP="00B97965">
            <w:pPr>
              <w:spacing w:line="240" w:lineRule="auto"/>
              <w:rPr>
                <w:sz w:val="18"/>
                <w:szCs w:val="18"/>
              </w:rPr>
            </w:pPr>
          </w:p>
        </w:tc>
        <w:tc>
          <w:tcPr>
            <w:tcW w:w="992" w:type="dxa"/>
          </w:tcPr>
          <w:p w:rsidR="00B97965" w:rsidRDefault="00B97965" w:rsidP="00B97965">
            <w:pPr>
              <w:spacing w:line="240" w:lineRule="auto"/>
              <w:rPr>
                <w:sz w:val="18"/>
                <w:szCs w:val="18"/>
              </w:rPr>
            </w:pPr>
          </w:p>
        </w:tc>
        <w:tc>
          <w:tcPr>
            <w:tcW w:w="993" w:type="dxa"/>
          </w:tcPr>
          <w:p w:rsidR="00B97965" w:rsidRPr="00964AF5" w:rsidRDefault="00B97965" w:rsidP="00B97965">
            <w:pPr>
              <w:spacing w:line="240" w:lineRule="auto"/>
              <w:rPr>
                <w:sz w:val="18"/>
                <w:szCs w:val="18"/>
              </w:rPr>
            </w:pPr>
          </w:p>
        </w:tc>
        <w:tc>
          <w:tcPr>
            <w:tcW w:w="1763"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660" w:type="dxa"/>
          </w:tcPr>
          <w:p w:rsidR="00B97965" w:rsidRPr="00964AF5" w:rsidRDefault="00B97965" w:rsidP="00B97965">
            <w:pPr>
              <w:spacing w:line="240" w:lineRule="auto"/>
              <w:rPr>
                <w:sz w:val="18"/>
                <w:szCs w:val="18"/>
              </w:rPr>
            </w:pPr>
            <w:r>
              <w:rPr>
                <w:sz w:val="18"/>
                <w:szCs w:val="18"/>
              </w:rPr>
              <w:t>Log transformed age</w:t>
            </w:r>
          </w:p>
        </w:tc>
        <w:tc>
          <w:tcPr>
            <w:tcW w:w="850" w:type="dxa"/>
          </w:tcPr>
          <w:p w:rsidR="00B97965" w:rsidRDefault="00B97965" w:rsidP="00B97965">
            <w:pPr>
              <w:spacing w:line="240" w:lineRule="auto"/>
              <w:rPr>
                <w:sz w:val="18"/>
                <w:szCs w:val="18"/>
              </w:rPr>
            </w:pPr>
            <w:r>
              <w:rPr>
                <w:sz w:val="18"/>
                <w:szCs w:val="18"/>
              </w:rPr>
              <w:t>-0.14</w:t>
            </w:r>
          </w:p>
        </w:tc>
        <w:tc>
          <w:tcPr>
            <w:tcW w:w="992" w:type="dxa"/>
          </w:tcPr>
          <w:p w:rsidR="00B97965" w:rsidRDefault="00B97965" w:rsidP="00B97965">
            <w:pPr>
              <w:spacing w:line="240" w:lineRule="auto"/>
              <w:rPr>
                <w:sz w:val="18"/>
                <w:szCs w:val="18"/>
              </w:rPr>
            </w:pPr>
            <w:r>
              <w:rPr>
                <w:sz w:val="18"/>
                <w:szCs w:val="18"/>
              </w:rPr>
              <w:t>-1.01e05</w:t>
            </w:r>
          </w:p>
        </w:tc>
        <w:tc>
          <w:tcPr>
            <w:tcW w:w="992" w:type="dxa"/>
          </w:tcPr>
          <w:p w:rsidR="00B97965" w:rsidRDefault="00B97965" w:rsidP="00B97965">
            <w:pPr>
              <w:spacing w:line="240" w:lineRule="auto"/>
              <w:rPr>
                <w:sz w:val="18"/>
                <w:szCs w:val="18"/>
              </w:rPr>
            </w:pPr>
            <w:r>
              <w:rPr>
                <w:sz w:val="18"/>
                <w:szCs w:val="18"/>
              </w:rPr>
              <w:t>0.0004</w:t>
            </w:r>
          </w:p>
        </w:tc>
        <w:tc>
          <w:tcPr>
            <w:tcW w:w="992" w:type="dxa"/>
          </w:tcPr>
          <w:p w:rsidR="00B97965" w:rsidRDefault="00B97965" w:rsidP="00B97965">
            <w:pPr>
              <w:spacing w:line="240" w:lineRule="auto"/>
              <w:rPr>
                <w:sz w:val="18"/>
                <w:szCs w:val="18"/>
              </w:rPr>
            </w:pPr>
          </w:p>
        </w:tc>
        <w:tc>
          <w:tcPr>
            <w:tcW w:w="993" w:type="dxa"/>
          </w:tcPr>
          <w:p w:rsidR="00B97965" w:rsidRPr="00964AF5" w:rsidRDefault="00B97965" w:rsidP="00B97965">
            <w:pPr>
              <w:spacing w:line="240" w:lineRule="auto"/>
              <w:rPr>
                <w:sz w:val="18"/>
                <w:szCs w:val="18"/>
              </w:rPr>
            </w:pPr>
          </w:p>
        </w:tc>
        <w:tc>
          <w:tcPr>
            <w:tcW w:w="1763"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660" w:type="dxa"/>
          </w:tcPr>
          <w:p w:rsidR="00B97965" w:rsidRPr="00964AF5" w:rsidRDefault="00B97965" w:rsidP="00B97965">
            <w:pPr>
              <w:spacing w:line="240" w:lineRule="auto"/>
              <w:rPr>
                <w:sz w:val="18"/>
                <w:szCs w:val="18"/>
              </w:rPr>
            </w:pPr>
            <w:r w:rsidRPr="00964AF5">
              <w:rPr>
                <w:sz w:val="18"/>
                <w:szCs w:val="18"/>
              </w:rPr>
              <w:t>SLEDAI coefficient</w:t>
            </w:r>
          </w:p>
        </w:tc>
        <w:tc>
          <w:tcPr>
            <w:tcW w:w="850" w:type="dxa"/>
          </w:tcPr>
          <w:p w:rsidR="00B97965" w:rsidRPr="00964AF5" w:rsidRDefault="00B97965" w:rsidP="00B97965">
            <w:pPr>
              <w:spacing w:line="240" w:lineRule="auto"/>
              <w:rPr>
                <w:sz w:val="18"/>
                <w:szCs w:val="18"/>
              </w:rPr>
            </w:pPr>
            <w:r>
              <w:rPr>
                <w:sz w:val="18"/>
                <w:szCs w:val="18"/>
              </w:rPr>
              <w:t>-0.0009</w:t>
            </w:r>
          </w:p>
        </w:tc>
        <w:tc>
          <w:tcPr>
            <w:tcW w:w="992" w:type="dxa"/>
          </w:tcPr>
          <w:p w:rsidR="00B97965" w:rsidRDefault="00B97965" w:rsidP="00B97965">
            <w:pPr>
              <w:spacing w:line="240" w:lineRule="auto"/>
              <w:rPr>
                <w:sz w:val="18"/>
                <w:szCs w:val="18"/>
              </w:rPr>
            </w:pPr>
            <w:r>
              <w:rPr>
                <w:sz w:val="18"/>
                <w:szCs w:val="18"/>
              </w:rPr>
              <w:t>1.27e-09</w:t>
            </w:r>
          </w:p>
        </w:tc>
        <w:tc>
          <w:tcPr>
            <w:tcW w:w="992" w:type="dxa"/>
          </w:tcPr>
          <w:p w:rsidR="00B97965" w:rsidRDefault="00B97965" w:rsidP="00B97965">
            <w:pPr>
              <w:spacing w:line="240" w:lineRule="auto"/>
              <w:rPr>
                <w:sz w:val="18"/>
                <w:szCs w:val="18"/>
              </w:rPr>
            </w:pPr>
            <w:r>
              <w:rPr>
                <w:sz w:val="18"/>
                <w:szCs w:val="18"/>
              </w:rPr>
              <w:t>4.06e07</w:t>
            </w:r>
          </w:p>
        </w:tc>
        <w:tc>
          <w:tcPr>
            <w:tcW w:w="992" w:type="dxa"/>
          </w:tcPr>
          <w:p w:rsidR="00B97965" w:rsidRPr="00964AF5" w:rsidRDefault="00B97965" w:rsidP="00B97965">
            <w:pPr>
              <w:spacing w:line="240" w:lineRule="auto"/>
              <w:rPr>
                <w:sz w:val="18"/>
                <w:szCs w:val="18"/>
              </w:rPr>
            </w:pPr>
            <w:r>
              <w:rPr>
                <w:sz w:val="18"/>
                <w:szCs w:val="18"/>
              </w:rPr>
              <w:t>3.87e-07</w:t>
            </w:r>
          </w:p>
        </w:tc>
        <w:tc>
          <w:tcPr>
            <w:tcW w:w="993" w:type="dxa"/>
          </w:tcPr>
          <w:p w:rsidR="00B97965" w:rsidRPr="00964AF5" w:rsidRDefault="00B97965" w:rsidP="00B97965">
            <w:pPr>
              <w:spacing w:line="240" w:lineRule="auto"/>
              <w:rPr>
                <w:sz w:val="18"/>
                <w:szCs w:val="18"/>
              </w:rPr>
            </w:pPr>
          </w:p>
        </w:tc>
        <w:tc>
          <w:tcPr>
            <w:tcW w:w="1763"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660" w:type="dxa"/>
          </w:tcPr>
          <w:p w:rsidR="00B97965" w:rsidRPr="00964AF5" w:rsidRDefault="00B97965" w:rsidP="00B97965">
            <w:pPr>
              <w:spacing w:line="240" w:lineRule="auto"/>
              <w:rPr>
                <w:sz w:val="18"/>
                <w:szCs w:val="18"/>
              </w:rPr>
            </w:pPr>
            <w:r>
              <w:rPr>
                <w:sz w:val="18"/>
                <w:szCs w:val="18"/>
              </w:rPr>
              <w:t>Intercept</w:t>
            </w:r>
          </w:p>
        </w:tc>
        <w:tc>
          <w:tcPr>
            <w:tcW w:w="850" w:type="dxa"/>
          </w:tcPr>
          <w:p w:rsidR="00B97965" w:rsidRPr="00964AF5" w:rsidRDefault="00B97965" w:rsidP="00B97965">
            <w:pPr>
              <w:spacing w:line="240" w:lineRule="auto"/>
              <w:rPr>
                <w:sz w:val="18"/>
                <w:szCs w:val="18"/>
              </w:rPr>
            </w:pPr>
            <w:r>
              <w:rPr>
                <w:sz w:val="18"/>
                <w:szCs w:val="18"/>
              </w:rPr>
              <w:t>1.275</w:t>
            </w:r>
          </w:p>
        </w:tc>
        <w:tc>
          <w:tcPr>
            <w:tcW w:w="992" w:type="dxa"/>
          </w:tcPr>
          <w:p w:rsidR="00B97965" w:rsidRDefault="00B97965" w:rsidP="00B97965">
            <w:pPr>
              <w:spacing w:line="240" w:lineRule="auto"/>
              <w:rPr>
                <w:sz w:val="18"/>
                <w:szCs w:val="18"/>
              </w:rPr>
            </w:pPr>
            <w:r>
              <w:rPr>
                <w:sz w:val="18"/>
                <w:szCs w:val="18"/>
              </w:rPr>
              <w:t>-2.69e-06</w:t>
            </w:r>
          </w:p>
        </w:tc>
        <w:tc>
          <w:tcPr>
            <w:tcW w:w="992" w:type="dxa"/>
          </w:tcPr>
          <w:p w:rsidR="00B97965" w:rsidRDefault="00B97965" w:rsidP="00B97965">
            <w:pPr>
              <w:spacing w:line="240" w:lineRule="auto"/>
              <w:rPr>
                <w:sz w:val="18"/>
                <w:szCs w:val="18"/>
              </w:rPr>
            </w:pPr>
            <w:r>
              <w:rPr>
                <w:sz w:val="18"/>
                <w:szCs w:val="18"/>
              </w:rPr>
              <w:t>-0.0014</w:t>
            </w:r>
          </w:p>
        </w:tc>
        <w:tc>
          <w:tcPr>
            <w:tcW w:w="992" w:type="dxa"/>
          </w:tcPr>
          <w:p w:rsidR="00B97965" w:rsidRPr="00964AF5" w:rsidRDefault="00B97965" w:rsidP="00B97965">
            <w:pPr>
              <w:spacing w:line="240" w:lineRule="auto"/>
              <w:rPr>
                <w:sz w:val="18"/>
                <w:szCs w:val="18"/>
              </w:rPr>
            </w:pPr>
            <w:r>
              <w:rPr>
                <w:sz w:val="18"/>
                <w:szCs w:val="18"/>
              </w:rPr>
              <w:t>-4.17e-06</w:t>
            </w:r>
          </w:p>
        </w:tc>
        <w:tc>
          <w:tcPr>
            <w:tcW w:w="993" w:type="dxa"/>
          </w:tcPr>
          <w:p w:rsidR="00B97965" w:rsidRPr="00964AF5" w:rsidRDefault="00B97965" w:rsidP="00B97965">
            <w:pPr>
              <w:spacing w:line="240" w:lineRule="auto"/>
              <w:rPr>
                <w:sz w:val="18"/>
                <w:szCs w:val="18"/>
              </w:rPr>
            </w:pPr>
            <w:r>
              <w:rPr>
                <w:sz w:val="18"/>
                <w:szCs w:val="18"/>
              </w:rPr>
              <w:t>0.0052</w:t>
            </w:r>
          </w:p>
        </w:tc>
        <w:tc>
          <w:tcPr>
            <w:tcW w:w="1763"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112</w:t>
        </w:r>
      </w:fldSimple>
      <w:r>
        <w:t>: Parameter distribution for organ damage disutilities</w:t>
      </w:r>
    </w:p>
    <w:tbl>
      <w:tblPr>
        <w:tblStyle w:val="TableGrid"/>
        <w:tblW w:w="0" w:type="auto"/>
        <w:tblLayout w:type="fixed"/>
        <w:tblLook w:val="04A0"/>
      </w:tblPr>
      <w:tblGrid>
        <w:gridCol w:w="2802"/>
        <w:gridCol w:w="1288"/>
        <w:gridCol w:w="1288"/>
        <w:gridCol w:w="1288"/>
        <w:gridCol w:w="1288"/>
        <w:gridCol w:w="1288"/>
      </w:tblGrid>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Parameter name</w:t>
            </w:r>
          </w:p>
        </w:tc>
        <w:tc>
          <w:tcPr>
            <w:tcW w:w="1288" w:type="dxa"/>
          </w:tcPr>
          <w:p w:rsidR="00B97965" w:rsidRPr="008E57FF" w:rsidRDefault="00B97965" w:rsidP="00B97965">
            <w:pPr>
              <w:spacing w:line="240" w:lineRule="auto"/>
              <w:rPr>
                <w:sz w:val="18"/>
                <w:szCs w:val="18"/>
              </w:rPr>
            </w:pPr>
            <w:r w:rsidRPr="008E57FF">
              <w:rPr>
                <w:sz w:val="18"/>
                <w:szCs w:val="18"/>
              </w:rPr>
              <w:t>Mean</w:t>
            </w:r>
          </w:p>
        </w:tc>
        <w:tc>
          <w:tcPr>
            <w:tcW w:w="1288" w:type="dxa"/>
          </w:tcPr>
          <w:p w:rsidR="00B97965" w:rsidRPr="008E57FF" w:rsidRDefault="00B97965" w:rsidP="00B97965">
            <w:pPr>
              <w:spacing w:line="240" w:lineRule="auto"/>
              <w:rPr>
                <w:sz w:val="18"/>
                <w:szCs w:val="18"/>
              </w:rPr>
            </w:pPr>
            <w:r w:rsidRPr="008E57FF">
              <w:rPr>
                <w:sz w:val="18"/>
                <w:szCs w:val="18"/>
              </w:rPr>
              <w:t>Standard Deviation</w:t>
            </w:r>
          </w:p>
        </w:tc>
        <w:tc>
          <w:tcPr>
            <w:tcW w:w="1288" w:type="dxa"/>
          </w:tcPr>
          <w:p w:rsidR="00B97965" w:rsidRPr="008E57FF" w:rsidRDefault="00B97965" w:rsidP="00B97965">
            <w:pPr>
              <w:spacing w:line="240" w:lineRule="auto"/>
              <w:rPr>
                <w:sz w:val="18"/>
                <w:szCs w:val="18"/>
              </w:rPr>
            </w:pPr>
            <w:r w:rsidRPr="008E57FF">
              <w:rPr>
                <w:sz w:val="18"/>
                <w:szCs w:val="18"/>
              </w:rPr>
              <w:t>Alpha</w:t>
            </w:r>
          </w:p>
        </w:tc>
        <w:tc>
          <w:tcPr>
            <w:tcW w:w="1288" w:type="dxa"/>
          </w:tcPr>
          <w:p w:rsidR="00B97965" w:rsidRPr="008E57FF" w:rsidRDefault="00B97965" w:rsidP="00B97965">
            <w:pPr>
              <w:spacing w:line="240" w:lineRule="auto"/>
              <w:rPr>
                <w:sz w:val="18"/>
                <w:szCs w:val="18"/>
              </w:rPr>
            </w:pPr>
            <w:r w:rsidRPr="008E57FF">
              <w:rPr>
                <w:sz w:val="18"/>
                <w:szCs w:val="18"/>
              </w:rPr>
              <w:t>Beta</w:t>
            </w:r>
          </w:p>
        </w:tc>
        <w:tc>
          <w:tcPr>
            <w:tcW w:w="1288" w:type="dxa"/>
          </w:tcPr>
          <w:p w:rsidR="00B97965" w:rsidRPr="008E57FF" w:rsidRDefault="00B97965" w:rsidP="00B97965">
            <w:pPr>
              <w:spacing w:line="240" w:lineRule="auto"/>
              <w:rPr>
                <w:sz w:val="18"/>
                <w:szCs w:val="18"/>
              </w:rPr>
            </w:pPr>
            <w:r w:rsidRPr="008E57FF">
              <w:rPr>
                <w:sz w:val="18"/>
                <w:szCs w:val="18"/>
              </w:rPr>
              <w:t>Distribution</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Cardiovascular y1</w:t>
            </w:r>
          </w:p>
        </w:tc>
        <w:tc>
          <w:tcPr>
            <w:tcW w:w="1288" w:type="dxa"/>
          </w:tcPr>
          <w:p w:rsidR="00B97965" w:rsidRPr="008E57FF" w:rsidRDefault="00B97965" w:rsidP="00B97965">
            <w:pPr>
              <w:spacing w:line="240" w:lineRule="auto"/>
              <w:rPr>
                <w:sz w:val="18"/>
                <w:szCs w:val="18"/>
              </w:rPr>
            </w:pPr>
            <w:r>
              <w:rPr>
                <w:sz w:val="18"/>
                <w:szCs w:val="18"/>
              </w:rPr>
              <w:t>0.72</w:t>
            </w:r>
          </w:p>
        </w:tc>
        <w:tc>
          <w:tcPr>
            <w:tcW w:w="1288" w:type="dxa"/>
          </w:tcPr>
          <w:p w:rsidR="00B97965" w:rsidRPr="008E57FF" w:rsidRDefault="00B97965" w:rsidP="00B97965">
            <w:pPr>
              <w:spacing w:line="240" w:lineRule="auto"/>
              <w:rPr>
                <w:sz w:val="18"/>
                <w:szCs w:val="18"/>
              </w:rPr>
            </w:pPr>
            <w:r>
              <w:rPr>
                <w:sz w:val="18"/>
                <w:szCs w:val="18"/>
              </w:rPr>
              <w:t>0.072</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2799.28</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1088.61</w:t>
            </w:r>
          </w:p>
        </w:tc>
        <w:tc>
          <w:tcPr>
            <w:tcW w:w="1288" w:type="dxa"/>
          </w:tcPr>
          <w:p w:rsidR="00B97965" w:rsidRPr="008E57FF" w:rsidRDefault="00B97965" w:rsidP="00B97965">
            <w:pPr>
              <w:spacing w:line="240" w:lineRule="auto"/>
              <w:rPr>
                <w:sz w:val="18"/>
                <w:szCs w:val="18"/>
              </w:rPr>
            </w:pPr>
            <w:r>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Cardiovascular y&gt;1</w:t>
            </w:r>
          </w:p>
        </w:tc>
        <w:tc>
          <w:tcPr>
            <w:tcW w:w="1288" w:type="dxa"/>
          </w:tcPr>
          <w:p w:rsidR="00B97965" w:rsidRPr="008E57FF" w:rsidRDefault="00B97965" w:rsidP="00B97965">
            <w:pPr>
              <w:spacing w:line="240" w:lineRule="auto"/>
              <w:rPr>
                <w:sz w:val="18"/>
                <w:szCs w:val="18"/>
              </w:rPr>
            </w:pPr>
            <w:r>
              <w:rPr>
                <w:sz w:val="18"/>
                <w:szCs w:val="18"/>
              </w:rPr>
              <w:t>0.76</w:t>
            </w:r>
          </w:p>
        </w:tc>
        <w:tc>
          <w:tcPr>
            <w:tcW w:w="1288" w:type="dxa"/>
          </w:tcPr>
          <w:p w:rsidR="00B97965" w:rsidRPr="008E57FF" w:rsidRDefault="00B97965" w:rsidP="00B97965">
            <w:pPr>
              <w:spacing w:line="240" w:lineRule="auto"/>
              <w:rPr>
                <w:sz w:val="18"/>
                <w:szCs w:val="18"/>
              </w:rPr>
            </w:pPr>
            <w:r>
              <w:rPr>
                <w:sz w:val="18"/>
                <w:szCs w:val="18"/>
              </w:rPr>
              <w:t>0.076</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1299.13</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194.12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Renal y1</w:t>
            </w:r>
          </w:p>
        </w:tc>
        <w:tc>
          <w:tcPr>
            <w:tcW w:w="1288" w:type="dxa"/>
          </w:tcPr>
          <w:p w:rsidR="00B97965" w:rsidRPr="008E57FF" w:rsidRDefault="00B97965" w:rsidP="00B97965">
            <w:pPr>
              <w:spacing w:line="240" w:lineRule="auto"/>
              <w:rPr>
                <w:sz w:val="18"/>
                <w:szCs w:val="18"/>
              </w:rPr>
            </w:pPr>
            <w:r>
              <w:rPr>
                <w:sz w:val="18"/>
                <w:szCs w:val="18"/>
              </w:rPr>
              <w:t>0.87</w:t>
            </w:r>
          </w:p>
        </w:tc>
        <w:tc>
          <w:tcPr>
            <w:tcW w:w="1288" w:type="dxa"/>
          </w:tcPr>
          <w:p w:rsidR="00B97965" w:rsidRPr="008E57FF" w:rsidRDefault="00B97965" w:rsidP="00B97965">
            <w:pPr>
              <w:spacing w:line="240" w:lineRule="auto"/>
              <w:rPr>
                <w:sz w:val="18"/>
                <w:szCs w:val="18"/>
              </w:rPr>
            </w:pPr>
            <w:r>
              <w:rPr>
                <w:sz w:val="18"/>
                <w:szCs w:val="18"/>
              </w:rPr>
              <w:t>0.087</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3299.33</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1625.04</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Renal y&gt;1</w:t>
            </w:r>
          </w:p>
        </w:tc>
        <w:tc>
          <w:tcPr>
            <w:tcW w:w="1288" w:type="dxa"/>
          </w:tcPr>
          <w:p w:rsidR="00B97965" w:rsidRPr="008E57FF" w:rsidRDefault="00B97965" w:rsidP="00B97965">
            <w:pPr>
              <w:spacing w:line="240" w:lineRule="auto"/>
              <w:rPr>
                <w:sz w:val="18"/>
                <w:szCs w:val="18"/>
              </w:rPr>
            </w:pPr>
            <w:r>
              <w:rPr>
                <w:sz w:val="18"/>
                <w:szCs w:val="18"/>
              </w:rPr>
              <w:t>0.87</w:t>
            </w:r>
          </w:p>
        </w:tc>
        <w:tc>
          <w:tcPr>
            <w:tcW w:w="1288" w:type="dxa"/>
          </w:tcPr>
          <w:p w:rsidR="00B97965" w:rsidRPr="008E57FF" w:rsidRDefault="00B97965" w:rsidP="00B97965">
            <w:pPr>
              <w:spacing w:line="240" w:lineRule="auto"/>
              <w:rPr>
                <w:sz w:val="18"/>
                <w:szCs w:val="18"/>
              </w:rPr>
            </w:pPr>
            <w:r>
              <w:rPr>
                <w:sz w:val="18"/>
                <w:szCs w:val="18"/>
              </w:rPr>
              <w:t>0.087</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3199.32</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1505.56</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Musculoskeletal y1</w:t>
            </w:r>
          </w:p>
        </w:tc>
        <w:tc>
          <w:tcPr>
            <w:tcW w:w="1288" w:type="dxa"/>
          </w:tcPr>
          <w:p w:rsidR="00B97965" w:rsidRPr="008E57FF" w:rsidRDefault="00B97965" w:rsidP="00B97965">
            <w:pPr>
              <w:spacing w:line="240" w:lineRule="auto"/>
              <w:rPr>
                <w:sz w:val="18"/>
                <w:szCs w:val="18"/>
              </w:rPr>
            </w:pPr>
            <w:r>
              <w:rPr>
                <w:sz w:val="18"/>
                <w:szCs w:val="18"/>
              </w:rPr>
              <w:t>0.67</w:t>
            </w:r>
          </w:p>
        </w:tc>
        <w:tc>
          <w:tcPr>
            <w:tcW w:w="1288" w:type="dxa"/>
          </w:tcPr>
          <w:p w:rsidR="00B97965" w:rsidRPr="008E57FF" w:rsidRDefault="00B97965" w:rsidP="00B97965">
            <w:pPr>
              <w:spacing w:line="240" w:lineRule="auto"/>
              <w:rPr>
                <w:sz w:val="18"/>
                <w:szCs w:val="18"/>
              </w:rPr>
            </w:pPr>
            <w:r>
              <w:rPr>
                <w:sz w:val="18"/>
                <w:szCs w:val="18"/>
              </w:rPr>
              <w:t>0.067</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3099.31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1392.44</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Musculoskeletal y&gt;1</w:t>
            </w:r>
          </w:p>
        </w:tc>
        <w:tc>
          <w:tcPr>
            <w:tcW w:w="1288" w:type="dxa"/>
          </w:tcPr>
          <w:p w:rsidR="00B97965" w:rsidRPr="008E57FF" w:rsidRDefault="00B97965" w:rsidP="00B97965">
            <w:pPr>
              <w:spacing w:line="240" w:lineRule="auto"/>
              <w:rPr>
                <w:sz w:val="18"/>
                <w:szCs w:val="18"/>
              </w:rPr>
            </w:pPr>
            <w:r>
              <w:rPr>
                <w:sz w:val="18"/>
                <w:szCs w:val="18"/>
              </w:rPr>
              <w:t>0.74</w:t>
            </w:r>
          </w:p>
        </w:tc>
        <w:tc>
          <w:tcPr>
            <w:tcW w:w="1288" w:type="dxa"/>
          </w:tcPr>
          <w:p w:rsidR="00B97965" w:rsidRPr="008E57FF" w:rsidRDefault="00B97965" w:rsidP="00B97965">
            <w:pPr>
              <w:spacing w:line="240" w:lineRule="auto"/>
              <w:rPr>
                <w:sz w:val="18"/>
                <w:szCs w:val="18"/>
              </w:rPr>
            </w:pPr>
            <w:r>
              <w:rPr>
                <w:sz w:val="18"/>
                <w:szCs w:val="18"/>
              </w:rPr>
              <w:t>0.074</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1399.14</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227.77</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Neuropsychiatric y1</w:t>
            </w:r>
          </w:p>
        </w:tc>
        <w:tc>
          <w:tcPr>
            <w:tcW w:w="1288" w:type="dxa"/>
          </w:tcPr>
          <w:p w:rsidR="00B97965" w:rsidRPr="008E57FF" w:rsidRDefault="00B97965" w:rsidP="00B97965">
            <w:pPr>
              <w:spacing w:line="240" w:lineRule="auto"/>
              <w:rPr>
                <w:sz w:val="18"/>
                <w:szCs w:val="18"/>
              </w:rPr>
            </w:pPr>
            <w:r>
              <w:rPr>
                <w:sz w:val="18"/>
                <w:szCs w:val="18"/>
              </w:rPr>
              <w:t>0.68</w:t>
            </w:r>
          </w:p>
        </w:tc>
        <w:tc>
          <w:tcPr>
            <w:tcW w:w="1288" w:type="dxa"/>
          </w:tcPr>
          <w:p w:rsidR="00B97965" w:rsidRPr="008E57FF" w:rsidRDefault="00B97965" w:rsidP="00B97965">
            <w:pPr>
              <w:spacing w:line="240" w:lineRule="auto"/>
              <w:rPr>
                <w:sz w:val="18"/>
                <w:szCs w:val="18"/>
              </w:rPr>
            </w:pPr>
            <w:r>
              <w:rPr>
                <w:sz w:val="18"/>
                <w:szCs w:val="18"/>
              </w:rPr>
              <w:t>0.068</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2099.21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558.02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Neuropsychiatric y&gt;1</w:t>
            </w:r>
          </w:p>
        </w:tc>
        <w:tc>
          <w:tcPr>
            <w:tcW w:w="1288" w:type="dxa"/>
          </w:tcPr>
          <w:p w:rsidR="00B97965" w:rsidRPr="008E57FF" w:rsidRDefault="00B97965" w:rsidP="00B97965">
            <w:pPr>
              <w:spacing w:line="240" w:lineRule="auto"/>
              <w:rPr>
                <w:sz w:val="18"/>
                <w:szCs w:val="18"/>
              </w:rPr>
            </w:pPr>
            <w:r>
              <w:rPr>
                <w:sz w:val="18"/>
                <w:szCs w:val="18"/>
              </w:rPr>
              <w:t>0.71</w:t>
            </w:r>
          </w:p>
        </w:tc>
        <w:tc>
          <w:tcPr>
            <w:tcW w:w="1288" w:type="dxa"/>
          </w:tcPr>
          <w:p w:rsidR="00B97965" w:rsidRPr="008E57FF" w:rsidRDefault="00B97965" w:rsidP="00B97965">
            <w:pPr>
              <w:spacing w:line="240" w:lineRule="auto"/>
              <w:rPr>
                <w:sz w:val="18"/>
                <w:szCs w:val="18"/>
              </w:rPr>
            </w:pPr>
            <w:r>
              <w:rPr>
                <w:sz w:val="18"/>
                <w:szCs w:val="18"/>
              </w:rPr>
              <w:t>0.071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299.03</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9.25</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Pulmonary y1</w:t>
            </w:r>
          </w:p>
        </w:tc>
        <w:tc>
          <w:tcPr>
            <w:tcW w:w="1288" w:type="dxa"/>
          </w:tcPr>
          <w:p w:rsidR="00B97965" w:rsidRPr="008E57FF" w:rsidRDefault="00B97965" w:rsidP="00B97965">
            <w:pPr>
              <w:spacing w:line="240" w:lineRule="auto"/>
              <w:rPr>
                <w:sz w:val="18"/>
                <w:szCs w:val="18"/>
              </w:rPr>
            </w:pPr>
            <w:r>
              <w:rPr>
                <w:sz w:val="18"/>
                <w:szCs w:val="18"/>
              </w:rPr>
              <w:t>0.69</w:t>
            </w:r>
          </w:p>
        </w:tc>
        <w:tc>
          <w:tcPr>
            <w:tcW w:w="1288" w:type="dxa"/>
          </w:tcPr>
          <w:p w:rsidR="00B97965" w:rsidRPr="008E57FF" w:rsidRDefault="00B97965" w:rsidP="00B97965">
            <w:pPr>
              <w:spacing w:line="240" w:lineRule="auto"/>
              <w:rPr>
                <w:sz w:val="18"/>
                <w:szCs w:val="18"/>
              </w:rPr>
            </w:pPr>
            <w:r>
              <w:rPr>
                <w:sz w:val="18"/>
                <w:szCs w:val="18"/>
              </w:rPr>
              <w:t>0.069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599.06</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38.24</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Pulmonary y&gt;1</w:t>
            </w:r>
          </w:p>
        </w:tc>
        <w:tc>
          <w:tcPr>
            <w:tcW w:w="1288" w:type="dxa"/>
          </w:tcPr>
          <w:p w:rsidR="00B97965" w:rsidRPr="008E57FF" w:rsidRDefault="00B97965" w:rsidP="00B97965">
            <w:pPr>
              <w:spacing w:line="240" w:lineRule="auto"/>
              <w:rPr>
                <w:sz w:val="18"/>
                <w:szCs w:val="18"/>
              </w:rPr>
            </w:pPr>
            <w:r>
              <w:rPr>
                <w:sz w:val="18"/>
                <w:szCs w:val="18"/>
              </w:rPr>
              <w:t>0.69</w:t>
            </w:r>
          </w:p>
        </w:tc>
        <w:tc>
          <w:tcPr>
            <w:tcW w:w="1288" w:type="dxa"/>
          </w:tcPr>
          <w:p w:rsidR="00B97965" w:rsidRPr="008E57FF" w:rsidRDefault="00B97965" w:rsidP="00B97965">
            <w:pPr>
              <w:spacing w:line="240" w:lineRule="auto"/>
              <w:rPr>
                <w:sz w:val="18"/>
                <w:szCs w:val="18"/>
              </w:rPr>
            </w:pPr>
            <w:r>
              <w:rPr>
                <w:sz w:val="18"/>
                <w:szCs w:val="18"/>
              </w:rPr>
              <w:t>0.069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899.09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88.92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Peripheral vascular y1</w:t>
            </w:r>
          </w:p>
        </w:tc>
        <w:tc>
          <w:tcPr>
            <w:tcW w:w="1288" w:type="dxa"/>
          </w:tcPr>
          <w:p w:rsidR="00B97965" w:rsidRPr="008E57FF" w:rsidRDefault="00B97965" w:rsidP="00B97965">
            <w:pPr>
              <w:spacing w:line="240" w:lineRule="auto"/>
              <w:rPr>
                <w:sz w:val="18"/>
                <w:szCs w:val="18"/>
                <w:lang w:val="es-ES_tradnl"/>
              </w:rPr>
            </w:pPr>
            <w:r>
              <w:rPr>
                <w:sz w:val="18"/>
                <w:szCs w:val="18"/>
                <w:lang w:val="es-ES_tradnl"/>
              </w:rPr>
              <w:t>0.86</w:t>
            </w:r>
          </w:p>
        </w:tc>
        <w:tc>
          <w:tcPr>
            <w:tcW w:w="1288" w:type="dxa"/>
          </w:tcPr>
          <w:p w:rsidR="00B97965" w:rsidRPr="008E57FF" w:rsidRDefault="00B97965" w:rsidP="00B97965">
            <w:pPr>
              <w:spacing w:line="240" w:lineRule="auto"/>
              <w:rPr>
                <w:sz w:val="18"/>
                <w:szCs w:val="18"/>
                <w:lang w:val="es-ES_tradnl"/>
              </w:rPr>
            </w:pPr>
            <w:r>
              <w:rPr>
                <w:sz w:val="18"/>
                <w:szCs w:val="18"/>
              </w:rPr>
              <w:t>0.0</w:t>
            </w:r>
            <w:r>
              <w:rPr>
                <w:sz w:val="18"/>
                <w:szCs w:val="18"/>
                <w:lang w:val="es-ES_tradnl"/>
              </w:rPr>
              <w:t>86</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799.08</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69.49</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Peripheral vascular y&gt;1</w:t>
            </w:r>
          </w:p>
        </w:tc>
        <w:tc>
          <w:tcPr>
            <w:tcW w:w="1288" w:type="dxa"/>
          </w:tcPr>
          <w:p w:rsidR="00B97965" w:rsidRPr="008E57FF" w:rsidRDefault="00B97965" w:rsidP="00B97965">
            <w:pPr>
              <w:spacing w:line="240" w:lineRule="auto"/>
              <w:rPr>
                <w:sz w:val="18"/>
                <w:szCs w:val="18"/>
                <w:lang w:val="es-ES_tradnl"/>
              </w:rPr>
            </w:pPr>
            <w:r>
              <w:rPr>
                <w:sz w:val="18"/>
                <w:szCs w:val="18"/>
                <w:lang w:val="es-ES_tradnl"/>
              </w:rPr>
              <w:t>0.92</w:t>
            </w:r>
          </w:p>
        </w:tc>
        <w:tc>
          <w:tcPr>
            <w:tcW w:w="1288" w:type="dxa"/>
          </w:tcPr>
          <w:p w:rsidR="00B97965" w:rsidRPr="008E57FF" w:rsidRDefault="00B97965" w:rsidP="00B97965">
            <w:pPr>
              <w:spacing w:line="240" w:lineRule="auto"/>
              <w:rPr>
                <w:sz w:val="18"/>
                <w:szCs w:val="18"/>
                <w:lang w:val="es-ES_tradnl"/>
              </w:rPr>
            </w:pPr>
            <w:r>
              <w:rPr>
                <w:sz w:val="18"/>
                <w:szCs w:val="18"/>
              </w:rPr>
              <w:t>0.0</w:t>
            </w:r>
            <w:r>
              <w:rPr>
                <w:sz w:val="18"/>
                <w:szCs w:val="18"/>
                <w:lang w:val="es-ES_tradnl"/>
              </w:rPr>
              <w:t>92</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2399.24</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757.65</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lang w:val="es-ES_tradnl"/>
              </w:rPr>
            </w:pPr>
            <w:r w:rsidRPr="008E57FF">
              <w:rPr>
                <w:sz w:val="18"/>
                <w:szCs w:val="18"/>
                <w:lang w:val="es-ES_tradnl"/>
              </w:rPr>
              <w:t>Gastrointestinal y1</w:t>
            </w:r>
          </w:p>
        </w:tc>
        <w:tc>
          <w:tcPr>
            <w:tcW w:w="1288" w:type="dxa"/>
          </w:tcPr>
          <w:p w:rsidR="00B97965" w:rsidRPr="008E57FF" w:rsidRDefault="00B97965" w:rsidP="00B97965">
            <w:pPr>
              <w:spacing w:line="240" w:lineRule="auto"/>
              <w:rPr>
                <w:sz w:val="18"/>
                <w:szCs w:val="18"/>
              </w:rPr>
            </w:pPr>
            <w:r>
              <w:rPr>
                <w:sz w:val="18"/>
                <w:szCs w:val="18"/>
              </w:rPr>
              <w:t>0.79</w:t>
            </w:r>
          </w:p>
        </w:tc>
        <w:tc>
          <w:tcPr>
            <w:tcW w:w="1288" w:type="dxa"/>
          </w:tcPr>
          <w:p w:rsidR="00B97965" w:rsidRPr="008E57FF" w:rsidRDefault="00B97965" w:rsidP="00B97965">
            <w:pPr>
              <w:spacing w:line="240" w:lineRule="auto"/>
              <w:rPr>
                <w:sz w:val="18"/>
                <w:szCs w:val="18"/>
              </w:rPr>
            </w:pPr>
            <w:r>
              <w:rPr>
                <w:sz w:val="18"/>
                <w:szCs w:val="18"/>
              </w:rPr>
              <w:t>0.079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1299.13</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194.12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lang w:val="es-ES_tradnl"/>
              </w:rPr>
              <w:t>Gastrointestinal</w:t>
            </w:r>
            <w:r>
              <w:rPr>
                <w:sz w:val="18"/>
                <w:szCs w:val="18"/>
                <w:lang w:val="es-ES_tradnl"/>
              </w:rPr>
              <w:t xml:space="preserve"> y&gt;1</w:t>
            </w:r>
          </w:p>
        </w:tc>
        <w:tc>
          <w:tcPr>
            <w:tcW w:w="1288" w:type="dxa"/>
          </w:tcPr>
          <w:p w:rsidR="00B97965" w:rsidRPr="008E57FF" w:rsidRDefault="00B97965" w:rsidP="00B97965">
            <w:pPr>
              <w:spacing w:line="240" w:lineRule="auto"/>
              <w:rPr>
                <w:sz w:val="18"/>
                <w:szCs w:val="18"/>
              </w:rPr>
            </w:pPr>
            <w:r>
              <w:rPr>
                <w:sz w:val="18"/>
                <w:szCs w:val="18"/>
              </w:rPr>
              <w:t>0.91</w:t>
            </w:r>
          </w:p>
        </w:tc>
        <w:tc>
          <w:tcPr>
            <w:tcW w:w="1288" w:type="dxa"/>
          </w:tcPr>
          <w:p w:rsidR="00B97965" w:rsidRPr="008E57FF" w:rsidRDefault="00B97965" w:rsidP="00B97965">
            <w:pPr>
              <w:spacing w:line="240" w:lineRule="auto"/>
              <w:rPr>
                <w:sz w:val="18"/>
                <w:szCs w:val="18"/>
              </w:rPr>
            </w:pPr>
            <w:r>
              <w:rPr>
                <w:sz w:val="18"/>
                <w:szCs w:val="18"/>
              </w:rPr>
              <w:t>0.091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2599.26</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913.25</w:t>
            </w:r>
          </w:p>
        </w:tc>
        <w:tc>
          <w:tcPr>
            <w:tcW w:w="1288" w:type="dxa"/>
          </w:tcPr>
          <w:p w:rsidR="00B97965" w:rsidRPr="006B21F1" w:rsidRDefault="00B97965" w:rsidP="00B97965">
            <w:pPr>
              <w:spacing w:line="240" w:lineRule="auto"/>
              <w:rPr>
                <w:sz w:val="18"/>
                <w:szCs w:val="18"/>
              </w:rPr>
            </w:pPr>
            <w:r>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Ocular y1</w:t>
            </w:r>
          </w:p>
        </w:tc>
        <w:tc>
          <w:tcPr>
            <w:tcW w:w="1288" w:type="dxa"/>
          </w:tcPr>
          <w:p w:rsidR="00B97965" w:rsidRPr="008E57FF" w:rsidRDefault="00B97965" w:rsidP="00B97965">
            <w:pPr>
              <w:spacing w:line="240" w:lineRule="auto"/>
              <w:rPr>
                <w:sz w:val="18"/>
                <w:szCs w:val="18"/>
              </w:rPr>
            </w:pPr>
            <w:r>
              <w:rPr>
                <w:sz w:val="18"/>
                <w:szCs w:val="18"/>
              </w:rPr>
              <w:t>0.97</w:t>
            </w:r>
          </w:p>
        </w:tc>
        <w:tc>
          <w:tcPr>
            <w:tcW w:w="1288" w:type="dxa"/>
          </w:tcPr>
          <w:p w:rsidR="00B97965" w:rsidRPr="008E57FF" w:rsidRDefault="00B97965" w:rsidP="00B97965">
            <w:pPr>
              <w:spacing w:line="240" w:lineRule="auto"/>
              <w:rPr>
                <w:sz w:val="18"/>
                <w:szCs w:val="18"/>
              </w:rPr>
            </w:pPr>
            <w:r>
              <w:rPr>
                <w:sz w:val="18"/>
                <w:szCs w:val="18"/>
              </w:rPr>
              <w:t>0.097</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2899.29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1184.22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sidRPr="008E57FF">
              <w:rPr>
                <w:sz w:val="18"/>
                <w:szCs w:val="18"/>
              </w:rPr>
              <w:t>Ocular y&gt;1</w:t>
            </w:r>
          </w:p>
        </w:tc>
        <w:tc>
          <w:tcPr>
            <w:tcW w:w="1288" w:type="dxa"/>
          </w:tcPr>
          <w:p w:rsidR="00B97965" w:rsidRPr="008E57FF" w:rsidRDefault="00B97965" w:rsidP="00B97965">
            <w:pPr>
              <w:spacing w:line="240" w:lineRule="auto"/>
              <w:rPr>
                <w:sz w:val="18"/>
                <w:szCs w:val="18"/>
              </w:rPr>
            </w:pPr>
            <w:r>
              <w:rPr>
                <w:sz w:val="18"/>
                <w:szCs w:val="18"/>
              </w:rPr>
              <w:t>0.99</w:t>
            </w:r>
          </w:p>
        </w:tc>
        <w:tc>
          <w:tcPr>
            <w:tcW w:w="1288" w:type="dxa"/>
          </w:tcPr>
          <w:p w:rsidR="00B97965" w:rsidRPr="008E57FF" w:rsidRDefault="00B97965" w:rsidP="00B97965">
            <w:pPr>
              <w:spacing w:line="240" w:lineRule="auto"/>
              <w:rPr>
                <w:sz w:val="18"/>
                <w:szCs w:val="18"/>
              </w:rPr>
            </w:pPr>
            <w:r>
              <w:rPr>
                <w:sz w:val="18"/>
                <w:szCs w:val="18"/>
              </w:rPr>
              <w:t>0.099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3099.31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1392.44</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Default="00B97965" w:rsidP="00B97965">
            <w:pPr>
              <w:spacing w:line="240" w:lineRule="auto"/>
              <w:rPr>
                <w:sz w:val="18"/>
                <w:szCs w:val="18"/>
              </w:rPr>
            </w:pPr>
            <w:r>
              <w:rPr>
                <w:sz w:val="18"/>
                <w:szCs w:val="18"/>
              </w:rPr>
              <w:t>Skin y1</w:t>
            </w:r>
          </w:p>
        </w:tc>
        <w:tc>
          <w:tcPr>
            <w:tcW w:w="1288" w:type="dxa"/>
          </w:tcPr>
          <w:p w:rsidR="00B97965" w:rsidRDefault="00B97965" w:rsidP="00B97965">
            <w:pPr>
              <w:spacing w:line="240" w:lineRule="auto"/>
              <w:rPr>
                <w:sz w:val="18"/>
                <w:szCs w:val="18"/>
              </w:rPr>
            </w:pPr>
            <w:r>
              <w:rPr>
                <w:sz w:val="18"/>
                <w:szCs w:val="18"/>
              </w:rPr>
              <w:t>0.94</w:t>
            </w:r>
          </w:p>
        </w:tc>
        <w:tc>
          <w:tcPr>
            <w:tcW w:w="1288" w:type="dxa"/>
          </w:tcPr>
          <w:p w:rsidR="00B97965" w:rsidRDefault="00B97965" w:rsidP="00B97965">
            <w:pPr>
              <w:spacing w:line="240" w:lineRule="auto"/>
              <w:rPr>
                <w:sz w:val="18"/>
                <w:szCs w:val="18"/>
              </w:rPr>
            </w:pPr>
            <w:r>
              <w:rPr>
                <w:sz w:val="18"/>
                <w:szCs w:val="18"/>
              </w:rPr>
              <w:t>0.094</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799.08</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69.49</w:t>
            </w:r>
          </w:p>
        </w:tc>
        <w:tc>
          <w:tcPr>
            <w:tcW w:w="1288" w:type="dxa"/>
          </w:tcPr>
          <w:p w:rsidR="00B97965" w:rsidRPr="006B21F1" w:rsidRDefault="00B97965" w:rsidP="00B97965">
            <w:pPr>
              <w:spacing w:line="240" w:lineRule="auto"/>
              <w:rPr>
                <w:sz w:val="18"/>
                <w:szCs w:val="18"/>
              </w:rPr>
            </w:pPr>
            <w:r>
              <w:rPr>
                <w:sz w:val="18"/>
                <w:szCs w:val="18"/>
              </w:rPr>
              <w:t>Beta</w:t>
            </w:r>
          </w:p>
        </w:tc>
      </w:tr>
      <w:tr w:rsidR="00B97965" w:rsidRPr="008E57FF" w:rsidTr="00B97965">
        <w:tc>
          <w:tcPr>
            <w:tcW w:w="2802" w:type="dxa"/>
          </w:tcPr>
          <w:p w:rsidR="00B97965" w:rsidRDefault="00B97965" w:rsidP="00B97965">
            <w:pPr>
              <w:spacing w:line="240" w:lineRule="auto"/>
              <w:rPr>
                <w:sz w:val="18"/>
                <w:szCs w:val="18"/>
              </w:rPr>
            </w:pPr>
            <w:r>
              <w:rPr>
                <w:sz w:val="18"/>
                <w:szCs w:val="18"/>
              </w:rPr>
              <w:t>Skin y&gt;1</w:t>
            </w:r>
          </w:p>
        </w:tc>
        <w:tc>
          <w:tcPr>
            <w:tcW w:w="1288" w:type="dxa"/>
          </w:tcPr>
          <w:p w:rsidR="00B97965" w:rsidRDefault="00B97965" w:rsidP="00B97965">
            <w:pPr>
              <w:spacing w:line="240" w:lineRule="auto"/>
              <w:rPr>
                <w:sz w:val="18"/>
                <w:szCs w:val="18"/>
              </w:rPr>
            </w:pPr>
            <w:r>
              <w:rPr>
                <w:sz w:val="18"/>
                <w:szCs w:val="18"/>
              </w:rPr>
              <w:t>0.94</w:t>
            </w:r>
          </w:p>
        </w:tc>
        <w:tc>
          <w:tcPr>
            <w:tcW w:w="1288" w:type="dxa"/>
          </w:tcPr>
          <w:p w:rsidR="00B97965" w:rsidRDefault="00B97965" w:rsidP="00B97965">
            <w:pPr>
              <w:spacing w:line="240" w:lineRule="auto"/>
              <w:rPr>
                <w:sz w:val="18"/>
                <w:szCs w:val="18"/>
              </w:rPr>
            </w:pPr>
            <w:r>
              <w:rPr>
                <w:sz w:val="18"/>
                <w:szCs w:val="18"/>
              </w:rPr>
              <w:t>0.094</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899.09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88.92</w:t>
            </w:r>
          </w:p>
        </w:tc>
        <w:tc>
          <w:tcPr>
            <w:tcW w:w="1288" w:type="dxa"/>
          </w:tcPr>
          <w:p w:rsidR="00B97965" w:rsidRPr="006B21F1" w:rsidRDefault="00B97965" w:rsidP="00B97965">
            <w:pPr>
              <w:spacing w:line="240" w:lineRule="auto"/>
              <w:rPr>
                <w:sz w:val="18"/>
                <w:szCs w:val="18"/>
              </w:rPr>
            </w:pPr>
            <w:r>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Diabetes</w:t>
            </w:r>
            <w:r w:rsidRPr="008E57FF">
              <w:rPr>
                <w:sz w:val="18"/>
                <w:szCs w:val="18"/>
              </w:rPr>
              <w:t xml:space="preserve"> y1</w:t>
            </w:r>
          </w:p>
        </w:tc>
        <w:tc>
          <w:tcPr>
            <w:tcW w:w="1288" w:type="dxa"/>
          </w:tcPr>
          <w:p w:rsidR="00B97965" w:rsidRPr="008E57FF" w:rsidRDefault="00B97965" w:rsidP="00B97965">
            <w:pPr>
              <w:spacing w:line="240" w:lineRule="auto"/>
              <w:rPr>
                <w:sz w:val="18"/>
                <w:szCs w:val="18"/>
              </w:rPr>
            </w:pPr>
            <w:r>
              <w:rPr>
                <w:sz w:val="18"/>
                <w:szCs w:val="18"/>
              </w:rPr>
              <w:t>0.92</w:t>
            </w:r>
          </w:p>
        </w:tc>
        <w:tc>
          <w:tcPr>
            <w:tcW w:w="1288" w:type="dxa"/>
          </w:tcPr>
          <w:p w:rsidR="00B97965" w:rsidRPr="008E57FF" w:rsidRDefault="00B97965" w:rsidP="00B97965">
            <w:pPr>
              <w:spacing w:line="240" w:lineRule="auto"/>
              <w:rPr>
                <w:sz w:val="18"/>
                <w:szCs w:val="18"/>
              </w:rPr>
            </w:pPr>
            <w:r>
              <w:rPr>
                <w:sz w:val="18"/>
                <w:szCs w:val="18"/>
              </w:rPr>
              <w:t>0.092</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9999.01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101.00</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Diabetes</w:t>
            </w:r>
            <w:r w:rsidRPr="008E57FF">
              <w:rPr>
                <w:sz w:val="18"/>
                <w:szCs w:val="18"/>
              </w:rPr>
              <w:t xml:space="preserve"> y&gt;1</w:t>
            </w:r>
          </w:p>
        </w:tc>
        <w:tc>
          <w:tcPr>
            <w:tcW w:w="1288" w:type="dxa"/>
          </w:tcPr>
          <w:p w:rsidR="00B97965" w:rsidRPr="008E57FF" w:rsidRDefault="00B97965" w:rsidP="00B97965">
            <w:pPr>
              <w:spacing w:line="240" w:lineRule="auto"/>
              <w:rPr>
                <w:sz w:val="18"/>
                <w:szCs w:val="18"/>
              </w:rPr>
            </w:pPr>
            <w:r>
              <w:rPr>
                <w:sz w:val="18"/>
                <w:szCs w:val="18"/>
              </w:rPr>
              <w:t>0.92</w:t>
            </w:r>
          </w:p>
        </w:tc>
        <w:tc>
          <w:tcPr>
            <w:tcW w:w="1288" w:type="dxa"/>
          </w:tcPr>
          <w:p w:rsidR="00B97965" w:rsidRPr="008E57FF" w:rsidRDefault="00B97965" w:rsidP="00B97965">
            <w:pPr>
              <w:spacing w:line="240" w:lineRule="auto"/>
              <w:rPr>
                <w:sz w:val="18"/>
                <w:szCs w:val="18"/>
              </w:rPr>
            </w:pPr>
            <w:r>
              <w:rPr>
                <w:sz w:val="18"/>
                <w:szCs w:val="18"/>
              </w:rPr>
              <w:t>0.092</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599.06</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38.24</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Pr="008E57FF" w:rsidRDefault="00B97965" w:rsidP="00B97965">
            <w:pPr>
              <w:spacing w:line="240" w:lineRule="auto"/>
              <w:rPr>
                <w:sz w:val="18"/>
                <w:szCs w:val="18"/>
              </w:rPr>
            </w:pPr>
            <w:r>
              <w:rPr>
                <w:sz w:val="18"/>
                <w:szCs w:val="18"/>
              </w:rPr>
              <w:t>Malignancy y1</w:t>
            </w:r>
          </w:p>
        </w:tc>
        <w:tc>
          <w:tcPr>
            <w:tcW w:w="1288" w:type="dxa"/>
          </w:tcPr>
          <w:p w:rsidR="00B97965" w:rsidRPr="008E57FF" w:rsidRDefault="00B97965" w:rsidP="00B97965">
            <w:pPr>
              <w:spacing w:line="240" w:lineRule="auto"/>
              <w:rPr>
                <w:sz w:val="18"/>
                <w:szCs w:val="18"/>
              </w:rPr>
            </w:pPr>
            <w:r>
              <w:rPr>
                <w:sz w:val="18"/>
                <w:szCs w:val="18"/>
              </w:rPr>
              <w:t>0.91</w:t>
            </w:r>
          </w:p>
        </w:tc>
        <w:tc>
          <w:tcPr>
            <w:tcW w:w="1288" w:type="dxa"/>
          </w:tcPr>
          <w:p w:rsidR="00B97965" w:rsidRPr="008E57FF" w:rsidRDefault="00B97965" w:rsidP="00B97965">
            <w:pPr>
              <w:spacing w:line="240" w:lineRule="auto"/>
              <w:rPr>
                <w:sz w:val="18"/>
                <w:szCs w:val="18"/>
              </w:rPr>
            </w:pPr>
            <w:r>
              <w:rPr>
                <w:sz w:val="18"/>
                <w:szCs w:val="18"/>
              </w:rPr>
              <w:t>0.091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899.09</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88.92</w:t>
            </w:r>
          </w:p>
        </w:tc>
        <w:tc>
          <w:tcPr>
            <w:tcW w:w="1288" w:type="dxa"/>
          </w:tcPr>
          <w:p w:rsidR="00B97965" w:rsidRDefault="00B97965" w:rsidP="00B97965">
            <w:pPr>
              <w:spacing w:line="240" w:lineRule="auto"/>
            </w:pPr>
            <w:r w:rsidRPr="006B21F1">
              <w:rPr>
                <w:sz w:val="18"/>
                <w:szCs w:val="18"/>
              </w:rPr>
              <w:t>Beta</w:t>
            </w:r>
          </w:p>
        </w:tc>
      </w:tr>
      <w:tr w:rsidR="00B97965" w:rsidRPr="008E57FF" w:rsidTr="00B97965">
        <w:tc>
          <w:tcPr>
            <w:tcW w:w="2802" w:type="dxa"/>
          </w:tcPr>
          <w:p w:rsidR="00B97965" w:rsidRDefault="00B97965" w:rsidP="00B97965">
            <w:pPr>
              <w:spacing w:line="240" w:lineRule="auto"/>
              <w:rPr>
                <w:sz w:val="18"/>
                <w:szCs w:val="18"/>
              </w:rPr>
            </w:pPr>
            <w:r>
              <w:rPr>
                <w:sz w:val="18"/>
                <w:szCs w:val="18"/>
              </w:rPr>
              <w:t>Malignancy y&gt;1</w:t>
            </w:r>
          </w:p>
        </w:tc>
        <w:tc>
          <w:tcPr>
            <w:tcW w:w="1288" w:type="dxa"/>
          </w:tcPr>
          <w:p w:rsidR="00B97965" w:rsidRDefault="00B97965" w:rsidP="00B97965">
            <w:pPr>
              <w:spacing w:line="240" w:lineRule="auto"/>
              <w:rPr>
                <w:sz w:val="18"/>
                <w:szCs w:val="18"/>
              </w:rPr>
            </w:pPr>
            <w:r>
              <w:rPr>
                <w:sz w:val="18"/>
                <w:szCs w:val="18"/>
              </w:rPr>
              <w:t>0.91</w:t>
            </w:r>
          </w:p>
        </w:tc>
        <w:tc>
          <w:tcPr>
            <w:tcW w:w="1288" w:type="dxa"/>
          </w:tcPr>
          <w:p w:rsidR="00B97965" w:rsidRDefault="00B97965" w:rsidP="00B97965">
            <w:pPr>
              <w:spacing w:line="240" w:lineRule="auto"/>
              <w:rPr>
                <w:sz w:val="18"/>
                <w:szCs w:val="18"/>
              </w:rPr>
            </w:pPr>
            <w:r>
              <w:rPr>
                <w:sz w:val="18"/>
                <w:szCs w:val="18"/>
              </w:rPr>
              <w:t>0.091</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799.08</w:t>
            </w:r>
          </w:p>
        </w:tc>
        <w:tc>
          <w:tcPr>
            <w:tcW w:w="1288" w:type="dxa"/>
            <w:vAlign w:val="bottom"/>
          </w:tcPr>
          <w:p w:rsidR="00B97965" w:rsidRPr="00255CC0" w:rsidRDefault="00B97965" w:rsidP="00B97965">
            <w:pPr>
              <w:spacing w:line="240" w:lineRule="auto"/>
              <w:jc w:val="right"/>
              <w:rPr>
                <w:rFonts w:cstheme="majorBidi"/>
                <w:color w:val="000000"/>
                <w:sz w:val="18"/>
                <w:szCs w:val="18"/>
              </w:rPr>
            </w:pPr>
            <w:r w:rsidRPr="00255CC0">
              <w:rPr>
                <w:rFonts w:cstheme="majorBidi"/>
                <w:color w:val="000000"/>
                <w:sz w:val="18"/>
                <w:szCs w:val="18"/>
              </w:rPr>
              <w:t>69.49</w:t>
            </w:r>
          </w:p>
        </w:tc>
        <w:tc>
          <w:tcPr>
            <w:tcW w:w="1288" w:type="dxa"/>
          </w:tcPr>
          <w:p w:rsidR="00B97965" w:rsidRPr="006B21F1" w:rsidRDefault="00B97965" w:rsidP="00B97965">
            <w:pPr>
              <w:spacing w:line="240" w:lineRule="auto"/>
              <w:rPr>
                <w:sz w:val="18"/>
                <w:szCs w:val="18"/>
              </w:rPr>
            </w:pPr>
            <w:r>
              <w:rPr>
                <w:sz w:val="18"/>
                <w:szCs w:val="18"/>
              </w:rPr>
              <w:t>Beta</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113</w:t>
        </w:r>
      </w:fldSimple>
      <w:r>
        <w:t>: Parameter distribution for Steroid dose model</w:t>
      </w:r>
    </w:p>
    <w:tbl>
      <w:tblPr>
        <w:tblStyle w:val="TableGrid"/>
        <w:tblW w:w="9180" w:type="dxa"/>
        <w:tblLook w:val="04A0"/>
      </w:tblPr>
      <w:tblGrid>
        <w:gridCol w:w="2802"/>
        <w:gridCol w:w="1594"/>
        <w:gridCol w:w="1595"/>
        <w:gridCol w:w="1488"/>
        <w:gridCol w:w="1701"/>
      </w:tblGrid>
      <w:tr w:rsidR="00B97965" w:rsidRPr="00964AF5" w:rsidTr="00B97965">
        <w:tc>
          <w:tcPr>
            <w:tcW w:w="2802" w:type="dxa"/>
          </w:tcPr>
          <w:p w:rsidR="00B97965" w:rsidRPr="00964AF5" w:rsidRDefault="00B97965" w:rsidP="00B97965">
            <w:pPr>
              <w:spacing w:line="240" w:lineRule="auto"/>
              <w:rPr>
                <w:sz w:val="18"/>
                <w:szCs w:val="18"/>
              </w:rPr>
            </w:pPr>
            <w:r w:rsidRPr="00964AF5">
              <w:rPr>
                <w:sz w:val="18"/>
                <w:szCs w:val="18"/>
              </w:rPr>
              <w:t>Parameter name</w:t>
            </w:r>
          </w:p>
        </w:tc>
        <w:tc>
          <w:tcPr>
            <w:tcW w:w="1594" w:type="dxa"/>
          </w:tcPr>
          <w:p w:rsidR="00B97965" w:rsidRPr="00964AF5" w:rsidRDefault="00B97965" w:rsidP="00B97965">
            <w:pPr>
              <w:spacing w:line="240" w:lineRule="auto"/>
              <w:rPr>
                <w:sz w:val="18"/>
                <w:szCs w:val="18"/>
              </w:rPr>
            </w:pPr>
            <w:r w:rsidRPr="00964AF5">
              <w:rPr>
                <w:sz w:val="18"/>
                <w:szCs w:val="18"/>
              </w:rPr>
              <w:t>Mean Estimate</w:t>
            </w:r>
          </w:p>
        </w:tc>
        <w:tc>
          <w:tcPr>
            <w:tcW w:w="3083" w:type="dxa"/>
            <w:gridSpan w:val="2"/>
          </w:tcPr>
          <w:p w:rsidR="00B97965" w:rsidRPr="00964AF5" w:rsidRDefault="00B97965" w:rsidP="00B97965">
            <w:pPr>
              <w:spacing w:line="240" w:lineRule="auto"/>
              <w:rPr>
                <w:sz w:val="18"/>
                <w:szCs w:val="18"/>
              </w:rPr>
            </w:pPr>
            <w:r w:rsidRPr="00964AF5">
              <w:rPr>
                <w:sz w:val="18"/>
                <w:szCs w:val="18"/>
              </w:rPr>
              <w:t>Covariance Matrix</w:t>
            </w:r>
          </w:p>
        </w:tc>
        <w:tc>
          <w:tcPr>
            <w:tcW w:w="1701" w:type="dxa"/>
          </w:tcPr>
          <w:p w:rsidR="00B97965" w:rsidRPr="00964AF5" w:rsidRDefault="00B97965" w:rsidP="00B97965">
            <w:pPr>
              <w:spacing w:line="240" w:lineRule="auto"/>
              <w:rPr>
                <w:sz w:val="18"/>
                <w:szCs w:val="18"/>
              </w:rPr>
            </w:pPr>
            <w:r w:rsidRPr="00964AF5">
              <w:rPr>
                <w:sz w:val="18"/>
                <w:szCs w:val="18"/>
              </w:rPr>
              <w:t>Distribution</w:t>
            </w:r>
          </w:p>
        </w:tc>
      </w:tr>
      <w:tr w:rsidR="00B97965" w:rsidRPr="00964AF5" w:rsidTr="00B97965">
        <w:tc>
          <w:tcPr>
            <w:tcW w:w="2802" w:type="dxa"/>
          </w:tcPr>
          <w:p w:rsidR="00B97965" w:rsidRPr="00964AF5" w:rsidRDefault="00B97965" w:rsidP="00B97965">
            <w:pPr>
              <w:spacing w:line="240" w:lineRule="auto"/>
              <w:rPr>
                <w:sz w:val="18"/>
                <w:szCs w:val="18"/>
              </w:rPr>
            </w:pPr>
            <w:r w:rsidRPr="00964AF5">
              <w:rPr>
                <w:sz w:val="18"/>
                <w:szCs w:val="18"/>
              </w:rPr>
              <w:t>SLEDAI coefficient</w:t>
            </w:r>
          </w:p>
        </w:tc>
        <w:tc>
          <w:tcPr>
            <w:tcW w:w="1594" w:type="dxa"/>
          </w:tcPr>
          <w:p w:rsidR="00B97965" w:rsidRPr="00964AF5" w:rsidRDefault="00B97965" w:rsidP="00B97965">
            <w:pPr>
              <w:spacing w:line="240" w:lineRule="auto"/>
              <w:rPr>
                <w:sz w:val="18"/>
                <w:szCs w:val="18"/>
              </w:rPr>
            </w:pPr>
            <w:r>
              <w:rPr>
                <w:sz w:val="18"/>
                <w:szCs w:val="18"/>
              </w:rPr>
              <w:t>0.777</w:t>
            </w:r>
          </w:p>
        </w:tc>
        <w:tc>
          <w:tcPr>
            <w:tcW w:w="1595" w:type="dxa"/>
          </w:tcPr>
          <w:p w:rsidR="00B97965" w:rsidRPr="00964AF5" w:rsidRDefault="00B97965" w:rsidP="00B97965">
            <w:pPr>
              <w:spacing w:line="240" w:lineRule="auto"/>
              <w:rPr>
                <w:sz w:val="18"/>
                <w:szCs w:val="18"/>
              </w:rPr>
            </w:pPr>
            <w:r>
              <w:rPr>
                <w:sz w:val="18"/>
                <w:szCs w:val="18"/>
              </w:rPr>
              <w:t>0.0030</w:t>
            </w:r>
          </w:p>
        </w:tc>
        <w:tc>
          <w:tcPr>
            <w:tcW w:w="1488" w:type="dxa"/>
          </w:tcPr>
          <w:p w:rsidR="00B97965" w:rsidRPr="00964AF5" w:rsidRDefault="00B97965" w:rsidP="00B97965">
            <w:pPr>
              <w:spacing w:line="240" w:lineRule="auto"/>
              <w:rPr>
                <w:sz w:val="18"/>
                <w:szCs w:val="18"/>
              </w:rPr>
            </w:pPr>
          </w:p>
        </w:tc>
        <w:tc>
          <w:tcPr>
            <w:tcW w:w="1701"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802" w:type="dxa"/>
          </w:tcPr>
          <w:p w:rsidR="00B97965" w:rsidRPr="00964AF5" w:rsidRDefault="00B97965" w:rsidP="00B97965">
            <w:pPr>
              <w:spacing w:line="240" w:lineRule="auto"/>
              <w:rPr>
                <w:sz w:val="18"/>
                <w:szCs w:val="18"/>
              </w:rPr>
            </w:pPr>
            <w:r>
              <w:rPr>
                <w:sz w:val="18"/>
                <w:szCs w:val="18"/>
              </w:rPr>
              <w:t>Intercept</w:t>
            </w:r>
          </w:p>
        </w:tc>
        <w:tc>
          <w:tcPr>
            <w:tcW w:w="1594" w:type="dxa"/>
          </w:tcPr>
          <w:p w:rsidR="00B97965" w:rsidRPr="00964AF5" w:rsidRDefault="00B97965" w:rsidP="00B97965">
            <w:pPr>
              <w:spacing w:line="240" w:lineRule="auto"/>
              <w:rPr>
                <w:sz w:val="18"/>
                <w:szCs w:val="18"/>
              </w:rPr>
            </w:pPr>
            <w:r>
              <w:rPr>
                <w:sz w:val="18"/>
                <w:szCs w:val="18"/>
              </w:rPr>
              <w:t>3.475</w:t>
            </w:r>
          </w:p>
        </w:tc>
        <w:tc>
          <w:tcPr>
            <w:tcW w:w="1595" w:type="dxa"/>
          </w:tcPr>
          <w:p w:rsidR="00B97965" w:rsidRPr="00964AF5" w:rsidRDefault="00B97965" w:rsidP="00B97965">
            <w:pPr>
              <w:spacing w:line="240" w:lineRule="auto"/>
              <w:rPr>
                <w:sz w:val="18"/>
                <w:szCs w:val="18"/>
              </w:rPr>
            </w:pPr>
            <w:r>
              <w:rPr>
                <w:sz w:val="18"/>
                <w:szCs w:val="18"/>
              </w:rPr>
              <w:t>-0.0058</w:t>
            </w:r>
          </w:p>
        </w:tc>
        <w:tc>
          <w:tcPr>
            <w:tcW w:w="1488" w:type="dxa"/>
          </w:tcPr>
          <w:p w:rsidR="00B97965" w:rsidRPr="00964AF5" w:rsidRDefault="00B97965" w:rsidP="00B97965">
            <w:pPr>
              <w:spacing w:line="240" w:lineRule="auto"/>
              <w:rPr>
                <w:sz w:val="18"/>
                <w:szCs w:val="18"/>
              </w:rPr>
            </w:pPr>
            <w:r>
              <w:rPr>
                <w:sz w:val="18"/>
                <w:szCs w:val="18"/>
              </w:rPr>
              <w:t>0.0318</w:t>
            </w:r>
          </w:p>
        </w:tc>
        <w:tc>
          <w:tcPr>
            <w:tcW w:w="1701" w:type="dxa"/>
          </w:tcPr>
          <w:p w:rsidR="00B97965" w:rsidRPr="00964AF5" w:rsidRDefault="00B97965" w:rsidP="00B97965">
            <w:pPr>
              <w:spacing w:line="240" w:lineRule="auto"/>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114</w:t>
        </w:r>
      </w:fldSimple>
      <w:r>
        <w:t>: Parameter distribution for Change in average SLEDAI regression</w:t>
      </w:r>
    </w:p>
    <w:tbl>
      <w:tblPr>
        <w:tblStyle w:val="TableGrid"/>
        <w:tblW w:w="8455" w:type="dxa"/>
        <w:tblLayout w:type="fixed"/>
        <w:tblCellMar>
          <w:left w:w="28" w:type="dxa"/>
          <w:right w:w="28" w:type="dxa"/>
        </w:tblCellMar>
        <w:tblLook w:val="04A0"/>
      </w:tblPr>
      <w:tblGrid>
        <w:gridCol w:w="2296"/>
        <w:gridCol w:w="709"/>
        <w:gridCol w:w="803"/>
        <w:gridCol w:w="756"/>
        <w:gridCol w:w="756"/>
        <w:gridCol w:w="756"/>
        <w:gridCol w:w="756"/>
        <w:gridCol w:w="1623"/>
      </w:tblGrid>
      <w:tr w:rsidR="00B97965" w:rsidRPr="00964AF5" w:rsidTr="00B97965">
        <w:tc>
          <w:tcPr>
            <w:tcW w:w="2296" w:type="dxa"/>
          </w:tcPr>
          <w:p w:rsidR="00B97965" w:rsidRPr="00964AF5" w:rsidRDefault="00B97965" w:rsidP="00B97965">
            <w:pPr>
              <w:spacing w:line="240" w:lineRule="auto"/>
              <w:rPr>
                <w:sz w:val="18"/>
                <w:szCs w:val="18"/>
              </w:rPr>
            </w:pPr>
            <w:r w:rsidRPr="00964AF5">
              <w:rPr>
                <w:sz w:val="18"/>
                <w:szCs w:val="18"/>
              </w:rPr>
              <w:t>Parameter name</w:t>
            </w:r>
          </w:p>
        </w:tc>
        <w:tc>
          <w:tcPr>
            <w:tcW w:w="709" w:type="dxa"/>
          </w:tcPr>
          <w:p w:rsidR="00B97965" w:rsidRPr="00964AF5" w:rsidRDefault="00B97965" w:rsidP="00B97965">
            <w:pPr>
              <w:spacing w:line="240" w:lineRule="auto"/>
              <w:rPr>
                <w:sz w:val="18"/>
                <w:szCs w:val="18"/>
              </w:rPr>
            </w:pPr>
            <w:r w:rsidRPr="00964AF5">
              <w:rPr>
                <w:sz w:val="18"/>
                <w:szCs w:val="18"/>
              </w:rPr>
              <w:t>Mean Estimate</w:t>
            </w:r>
          </w:p>
        </w:tc>
        <w:tc>
          <w:tcPr>
            <w:tcW w:w="3827" w:type="dxa"/>
            <w:gridSpan w:val="5"/>
          </w:tcPr>
          <w:p w:rsidR="00B97965" w:rsidRPr="00964AF5" w:rsidRDefault="00B97965" w:rsidP="00B97965">
            <w:pPr>
              <w:spacing w:line="240" w:lineRule="auto"/>
              <w:rPr>
                <w:sz w:val="18"/>
                <w:szCs w:val="18"/>
              </w:rPr>
            </w:pPr>
            <w:r w:rsidRPr="00964AF5">
              <w:rPr>
                <w:sz w:val="18"/>
                <w:szCs w:val="18"/>
              </w:rPr>
              <w:t>Covariance Matrix</w:t>
            </w:r>
          </w:p>
        </w:tc>
        <w:tc>
          <w:tcPr>
            <w:tcW w:w="1623" w:type="dxa"/>
          </w:tcPr>
          <w:p w:rsidR="00B97965" w:rsidRPr="00964AF5" w:rsidRDefault="00B97965" w:rsidP="00B97965">
            <w:pPr>
              <w:spacing w:line="240" w:lineRule="auto"/>
              <w:rPr>
                <w:sz w:val="18"/>
                <w:szCs w:val="18"/>
              </w:rPr>
            </w:pPr>
            <w:r w:rsidRPr="00964AF5">
              <w:rPr>
                <w:sz w:val="18"/>
                <w:szCs w:val="18"/>
              </w:rPr>
              <w:t>Distribution</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Lagged SLEDAI Score coefficient</w:t>
            </w:r>
          </w:p>
        </w:tc>
        <w:tc>
          <w:tcPr>
            <w:tcW w:w="709"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-0.3344</w:t>
            </w:r>
          </w:p>
        </w:tc>
        <w:tc>
          <w:tcPr>
            <w:tcW w:w="803"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0.0001</w:t>
            </w: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African American coefficient</w:t>
            </w:r>
          </w:p>
        </w:tc>
        <w:tc>
          <w:tcPr>
            <w:tcW w:w="709"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0.2691</w:t>
            </w:r>
          </w:p>
        </w:tc>
        <w:tc>
          <w:tcPr>
            <w:tcW w:w="803"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-0.0001</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0.0013</w:t>
            </w: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log-transformed age</w:t>
            </w:r>
          </w:p>
        </w:tc>
        <w:tc>
          <w:tcPr>
            <w:tcW w:w="709"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-0.2583</w:t>
            </w:r>
          </w:p>
        </w:tc>
        <w:tc>
          <w:tcPr>
            <w:tcW w:w="803"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0.0001</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-0.0001</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0.0036</w:t>
            </w: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Treatment coefficient</w:t>
            </w:r>
          </w:p>
        </w:tc>
        <w:tc>
          <w:tcPr>
            <w:tcW w:w="709"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-0.3737</w:t>
            </w:r>
          </w:p>
        </w:tc>
        <w:tc>
          <w:tcPr>
            <w:tcW w:w="803"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0.0000</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0.0000</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0.0000</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0.1845</w:t>
            </w:r>
          </w:p>
        </w:tc>
        <w:tc>
          <w:tcPr>
            <w:tcW w:w="756" w:type="dxa"/>
            <w:vAlign w:val="bottom"/>
          </w:tcPr>
          <w:p w:rsidR="00B97965" w:rsidRPr="00442F83"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Intercept</w:t>
            </w:r>
          </w:p>
        </w:tc>
        <w:tc>
          <w:tcPr>
            <w:tcW w:w="709"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3.0000</w:t>
            </w:r>
          </w:p>
        </w:tc>
        <w:tc>
          <w:tcPr>
            <w:tcW w:w="803"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-0.0007</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-0.0002</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-0.0139</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0.0000</w:t>
            </w:r>
          </w:p>
        </w:tc>
        <w:tc>
          <w:tcPr>
            <w:tcW w:w="756" w:type="dxa"/>
            <w:vAlign w:val="bottom"/>
          </w:tcPr>
          <w:p w:rsidR="00B97965" w:rsidRPr="00442F83" w:rsidRDefault="00B97965" w:rsidP="00B97965">
            <w:pPr>
              <w:spacing w:line="240" w:lineRule="auto"/>
              <w:jc w:val="center"/>
              <w:rPr>
                <w:rFonts w:cstheme="majorBidi"/>
                <w:color w:val="000000"/>
                <w:sz w:val="18"/>
                <w:szCs w:val="18"/>
              </w:rPr>
            </w:pPr>
            <w:r w:rsidRPr="00442F83">
              <w:rPr>
                <w:rFonts w:cstheme="majorBidi"/>
                <w:color w:val="000000"/>
                <w:sz w:val="18"/>
                <w:szCs w:val="18"/>
              </w:rPr>
              <w:t>0.0539</w:t>
            </w: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115</w:t>
        </w:r>
      </w:fldSimple>
      <w:r>
        <w:t>: Parameter distribution for Malignancy risk model</w:t>
      </w:r>
    </w:p>
    <w:tbl>
      <w:tblPr>
        <w:tblStyle w:val="TableGrid"/>
        <w:tblW w:w="8455" w:type="dxa"/>
        <w:tblLayout w:type="fixed"/>
        <w:tblCellMar>
          <w:left w:w="28" w:type="dxa"/>
          <w:right w:w="28" w:type="dxa"/>
        </w:tblCellMar>
        <w:tblLook w:val="04A0"/>
      </w:tblPr>
      <w:tblGrid>
        <w:gridCol w:w="2296"/>
        <w:gridCol w:w="709"/>
        <w:gridCol w:w="803"/>
        <w:gridCol w:w="756"/>
        <w:gridCol w:w="756"/>
        <w:gridCol w:w="756"/>
        <w:gridCol w:w="756"/>
        <w:gridCol w:w="1623"/>
      </w:tblGrid>
      <w:tr w:rsidR="00B97965" w:rsidRPr="00964AF5" w:rsidTr="00B97965">
        <w:tc>
          <w:tcPr>
            <w:tcW w:w="2296" w:type="dxa"/>
          </w:tcPr>
          <w:p w:rsidR="00B97965" w:rsidRPr="00964AF5" w:rsidRDefault="00B97965" w:rsidP="00B97965">
            <w:pPr>
              <w:spacing w:line="240" w:lineRule="auto"/>
              <w:rPr>
                <w:sz w:val="18"/>
                <w:szCs w:val="18"/>
              </w:rPr>
            </w:pPr>
            <w:r w:rsidRPr="00964AF5">
              <w:rPr>
                <w:sz w:val="18"/>
                <w:szCs w:val="18"/>
              </w:rPr>
              <w:t>Parameter name</w:t>
            </w:r>
          </w:p>
        </w:tc>
        <w:tc>
          <w:tcPr>
            <w:tcW w:w="709" w:type="dxa"/>
          </w:tcPr>
          <w:p w:rsidR="00B97965" w:rsidRPr="00964AF5" w:rsidRDefault="00B97965" w:rsidP="00B97965">
            <w:pPr>
              <w:spacing w:line="240" w:lineRule="auto"/>
              <w:rPr>
                <w:sz w:val="18"/>
                <w:szCs w:val="18"/>
              </w:rPr>
            </w:pPr>
            <w:r w:rsidRPr="00964AF5">
              <w:rPr>
                <w:sz w:val="18"/>
                <w:szCs w:val="18"/>
              </w:rPr>
              <w:t>Mean Estimate</w:t>
            </w:r>
          </w:p>
        </w:tc>
        <w:tc>
          <w:tcPr>
            <w:tcW w:w="3827" w:type="dxa"/>
            <w:gridSpan w:val="5"/>
          </w:tcPr>
          <w:p w:rsidR="00B97965" w:rsidRPr="00964AF5" w:rsidRDefault="00B97965" w:rsidP="00B97965">
            <w:pPr>
              <w:spacing w:line="240" w:lineRule="auto"/>
              <w:rPr>
                <w:sz w:val="18"/>
                <w:szCs w:val="18"/>
              </w:rPr>
            </w:pPr>
            <w:r w:rsidRPr="00964AF5">
              <w:rPr>
                <w:sz w:val="18"/>
                <w:szCs w:val="18"/>
              </w:rPr>
              <w:t>Covariance Matrix</w:t>
            </w:r>
          </w:p>
        </w:tc>
        <w:tc>
          <w:tcPr>
            <w:tcW w:w="1623" w:type="dxa"/>
          </w:tcPr>
          <w:p w:rsidR="00B97965" w:rsidRPr="00964AF5" w:rsidRDefault="00B97965" w:rsidP="00B97965">
            <w:pPr>
              <w:spacing w:line="240" w:lineRule="auto"/>
              <w:rPr>
                <w:sz w:val="18"/>
                <w:szCs w:val="18"/>
              </w:rPr>
            </w:pPr>
            <w:r w:rsidRPr="00964AF5">
              <w:rPr>
                <w:sz w:val="18"/>
                <w:szCs w:val="18"/>
              </w:rPr>
              <w:t>Distribution</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Age at diagnosis coefficient</w:t>
            </w:r>
          </w:p>
        </w:tc>
        <w:tc>
          <w:tcPr>
            <w:tcW w:w="709"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0.0256</w:t>
            </w:r>
          </w:p>
        </w:tc>
        <w:tc>
          <w:tcPr>
            <w:tcW w:w="803" w:type="dxa"/>
            <w:vAlign w:val="bottom"/>
          </w:tcPr>
          <w:p w:rsidR="00B97965" w:rsidRPr="002B223F" w:rsidRDefault="00B97965" w:rsidP="00B97965">
            <w:pPr>
              <w:spacing w:line="240" w:lineRule="auto"/>
              <w:jc w:val="center"/>
              <w:rPr>
                <w:rFonts w:cstheme="majorBidi"/>
                <w:color w:val="000000"/>
                <w:sz w:val="18"/>
                <w:szCs w:val="18"/>
              </w:rPr>
            </w:pPr>
            <w:r>
              <w:rPr>
                <w:rFonts w:cstheme="majorBidi"/>
                <w:color w:val="000000"/>
                <w:sz w:val="18"/>
                <w:szCs w:val="18"/>
              </w:rPr>
              <w:t>5.66e</w:t>
            </w:r>
            <w:r w:rsidRPr="002B223F">
              <w:rPr>
                <w:rFonts w:cstheme="majorBidi"/>
                <w:color w:val="000000"/>
                <w:sz w:val="18"/>
                <w:szCs w:val="18"/>
              </w:rPr>
              <w:t>-05</w:t>
            </w: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Cholesterol coefficient</w:t>
            </w:r>
          </w:p>
        </w:tc>
        <w:tc>
          <w:tcPr>
            <w:tcW w:w="709"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-0.0094</w:t>
            </w:r>
          </w:p>
        </w:tc>
        <w:tc>
          <w:tcPr>
            <w:tcW w:w="803" w:type="dxa"/>
            <w:vAlign w:val="bottom"/>
          </w:tcPr>
          <w:p w:rsidR="00B97965" w:rsidRPr="002B223F" w:rsidRDefault="00B97965" w:rsidP="00B97965">
            <w:pPr>
              <w:spacing w:line="240" w:lineRule="auto"/>
              <w:jc w:val="center"/>
              <w:rPr>
                <w:rFonts w:cstheme="majorBidi"/>
                <w:color w:val="000000"/>
                <w:sz w:val="18"/>
                <w:szCs w:val="18"/>
              </w:rPr>
            </w:pPr>
            <w:r>
              <w:rPr>
                <w:rFonts w:cstheme="majorBidi"/>
                <w:color w:val="000000"/>
                <w:sz w:val="18"/>
                <w:szCs w:val="18"/>
              </w:rPr>
              <w:t>-1.81e</w:t>
            </w:r>
            <w:r w:rsidRPr="002B223F">
              <w:rPr>
                <w:rFonts w:cstheme="majorBidi"/>
                <w:color w:val="000000"/>
                <w:sz w:val="18"/>
                <w:szCs w:val="18"/>
              </w:rPr>
              <w:t>-06</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Pr>
                <w:rFonts w:cstheme="majorBidi"/>
                <w:color w:val="000000"/>
                <w:sz w:val="18"/>
                <w:szCs w:val="18"/>
              </w:rPr>
              <w:t>5.94e</w:t>
            </w:r>
            <w:r w:rsidRPr="002B223F">
              <w:rPr>
                <w:rFonts w:cstheme="majorBidi"/>
                <w:color w:val="000000"/>
                <w:sz w:val="18"/>
                <w:szCs w:val="18"/>
              </w:rPr>
              <w:t>-06</w:t>
            </w: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Log transformed disease duration</w:t>
            </w:r>
          </w:p>
        </w:tc>
        <w:tc>
          <w:tcPr>
            <w:tcW w:w="709"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0.2991</w:t>
            </w:r>
          </w:p>
        </w:tc>
        <w:tc>
          <w:tcPr>
            <w:tcW w:w="803"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0.0004</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Pr>
                <w:rFonts w:cstheme="majorBidi"/>
                <w:color w:val="000000"/>
                <w:sz w:val="18"/>
                <w:szCs w:val="18"/>
              </w:rPr>
              <w:t>-1.13e</w:t>
            </w:r>
            <w:r w:rsidRPr="002B223F">
              <w:rPr>
                <w:rFonts w:cstheme="majorBidi"/>
                <w:color w:val="000000"/>
                <w:sz w:val="18"/>
                <w:szCs w:val="18"/>
              </w:rPr>
              <w:t>-05</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0.019</w:t>
            </w:r>
            <w:r>
              <w:rPr>
                <w:rFonts w:cstheme="majorBidi"/>
                <w:color w:val="000000"/>
                <w:sz w:val="18"/>
                <w:szCs w:val="18"/>
              </w:rPr>
              <w:t>2</w:t>
            </w: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SLICC/ACR DI coefficient</w:t>
            </w:r>
          </w:p>
        </w:tc>
        <w:tc>
          <w:tcPr>
            <w:tcW w:w="709"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0.1835</w:t>
            </w:r>
          </w:p>
        </w:tc>
        <w:tc>
          <w:tcPr>
            <w:tcW w:w="803"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-0.0001</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Pr>
                <w:rFonts w:cstheme="majorBidi"/>
                <w:color w:val="000000"/>
                <w:sz w:val="18"/>
                <w:szCs w:val="18"/>
              </w:rPr>
              <w:t>-3.29e</w:t>
            </w:r>
            <w:r w:rsidRPr="002B223F">
              <w:rPr>
                <w:rFonts w:cstheme="majorBidi"/>
                <w:color w:val="000000"/>
                <w:sz w:val="18"/>
                <w:szCs w:val="18"/>
              </w:rPr>
              <w:t>-06</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-0.002</w:t>
            </w:r>
            <w:r>
              <w:rPr>
                <w:rFonts w:cstheme="majorBidi"/>
                <w:color w:val="000000"/>
                <w:sz w:val="18"/>
                <w:szCs w:val="18"/>
              </w:rPr>
              <w:t>1</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0.0016</w:t>
            </w:r>
          </w:p>
        </w:tc>
        <w:tc>
          <w:tcPr>
            <w:tcW w:w="756" w:type="dxa"/>
            <w:vAlign w:val="bottom"/>
          </w:tcPr>
          <w:p w:rsidR="00B97965" w:rsidRPr="002B223F" w:rsidRDefault="00B97965" w:rsidP="00B97965">
            <w:pPr>
              <w:spacing w:line="240" w:lineRule="auto"/>
              <w:jc w:val="center"/>
              <w:rPr>
                <w:rFonts w:cstheme="majorBidi"/>
                <w:color w:val="000000"/>
                <w:sz w:val="18"/>
                <w:szCs w:val="18"/>
              </w:rPr>
            </w:pP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40" w:lineRule="auto"/>
              <w:rPr>
                <w:sz w:val="18"/>
                <w:szCs w:val="18"/>
              </w:rPr>
            </w:pPr>
            <w:r>
              <w:rPr>
                <w:sz w:val="18"/>
                <w:szCs w:val="18"/>
              </w:rPr>
              <w:t>Intercept</w:t>
            </w:r>
          </w:p>
        </w:tc>
        <w:tc>
          <w:tcPr>
            <w:tcW w:w="709"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-4.8090</w:t>
            </w:r>
          </w:p>
        </w:tc>
        <w:tc>
          <w:tcPr>
            <w:tcW w:w="803"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-0.002</w:t>
            </w:r>
            <w:r>
              <w:rPr>
                <w:rFonts w:cstheme="majorBidi"/>
                <w:color w:val="000000"/>
                <w:sz w:val="18"/>
                <w:szCs w:val="18"/>
              </w:rPr>
              <w:t>4</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-0.0009</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-0.0509</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0.004</w:t>
            </w:r>
            <w:r>
              <w:rPr>
                <w:rFonts w:cstheme="majorBidi"/>
                <w:color w:val="000000"/>
                <w:sz w:val="18"/>
                <w:szCs w:val="18"/>
              </w:rPr>
              <w:t>5</w:t>
            </w:r>
          </w:p>
        </w:tc>
        <w:tc>
          <w:tcPr>
            <w:tcW w:w="756" w:type="dxa"/>
            <w:vAlign w:val="bottom"/>
          </w:tcPr>
          <w:p w:rsidR="00B97965" w:rsidRPr="002B223F" w:rsidRDefault="00B97965" w:rsidP="00B97965">
            <w:pPr>
              <w:spacing w:line="240" w:lineRule="auto"/>
              <w:jc w:val="center"/>
              <w:rPr>
                <w:rFonts w:cstheme="majorBidi"/>
                <w:color w:val="000000"/>
                <w:sz w:val="18"/>
                <w:szCs w:val="18"/>
              </w:rPr>
            </w:pPr>
            <w:r w:rsidRPr="002B223F">
              <w:rPr>
                <w:rFonts w:cstheme="majorBidi"/>
                <w:color w:val="000000"/>
                <w:sz w:val="18"/>
                <w:szCs w:val="18"/>
              </w:rPr>
              <w:t>0.361</w:t>
            </w:r>
            <w:r>
              <w:rPr>
                <w:rFonts w:cstheme="majorBidi"/>
                <w:color w:val="000000"/>
                <w:sz w:val="18"/>
                <w:szCs w:val="18"/>
              </w:rPr>
              <w:t>9</w:t>
            </w:r>
          </w:p>
        </w:tc>
        <w:tc>
          <w:tcPr>
            <w:tcW w:w="1623"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116</w:t>
        </w:r>
      </w:fldSimple>
      <w:r>
        <w:t>: Parameter distribution for Gonadal Failure risk model</w:t>
      </w:r>
    </w:p>
    <w:tbl>
      <w:tblPr>
        <w:tblStyle w:val="TableGrid"/>
        <w:tblW w:w="8392" w:type="dxa"/>
        <w:tblLayout w:type="fixed"/>
        <w:tblCellMar>
          <w:left w:w="28" w:type="dxa"/>
          <w:right w:w="28" w:type="dxa"/>
        </w:tblCellMar>
        <w:tblLook w:val="04A0"/>
      </w:tblPr>
      <w:tblGrid>
        <w:gridCol w:w="2296"/>
        <w:gridCol w:w="851"/>
        <w:gridCol w:w="1228"/>
        <w:gridCol w:w="1228"/>
        <w:gridCol w:w="1229"/>
        <w:gridCol w:w="1560"/>
      </w:tblGrid>
      <w:tr w:rsidR="00B97965" w:rsidRPr="00964AF5" w:rsidTr="00B97965">
        <w:tc>
          <w:tcPr>
            <w:tcW w:w="2296" w:type="dxa"/>
          </w:tcPr>
          <w:p w:rsidR="00B97965" w:rsidRPr="00964AF5" w:rsidRDefault="00B97965" w:rsidP="00B97965">
            <w:pPr>
              <w:spacing w:line="276" w:lineRule="auto"/>
              <w:rPr>
                <w:sz w:val="18"/>
                <w:szCs w:val="18"/>
              </w:rPr>
            </w:pPr>
            <w:r w:rsidRPr="00964AF5">
              <w:rPr>
                <w:sz w:val="18"/>
                <w:szCs w:val="18"/>
              </w:rPr>
              <w:t>Parameter name</w:t>
            </w:r>
          </w:p>
        </w:tc>
        <w:tc>
          <w:tcPr>
            <w:tcW w:w="851" w:type="dxa"/>
          </w:tcPr>
          <w:p w:rsidR="00B97965" w:rsidRPr="00964AF5" w:rsidRDefault="00B97965" w:rsidP="00B97965">
            <w:pPr>
              <w:spacing w:line="276" w:lineRule="auto"/>
              <w:rPr>
                <w:sz w:val="18"/>
                <w:szCs w:val="18"/>
              </w:rPr>
            </w:pPr>
            <w:r w:rsidRPr="00964AF5">
              <w:rPr>
                <w:sz w:val="18"/>
                <w:szCs w:val="18"/>
              </w:rPr>
              <w:t>Mean Estimate</w:t>
            </w:r>
          </w:p>
        </w:tc>
        <w:tc>
          <w:tcPr>
            <w:tcW w:w="3685" w:type="dxa"/>
            <w:gridSpan w:val="3"/>
          </w:tcPr>
          <w:p w:rsidR="00B97965" w:rsidRPr="00964AF5" w:rsidRDefault="00B97965" w:rsidP="00B97965">
            <w:pPr>
              <w:spacing w:line="276" w:lineRule="auto"/>
              <w:rPr>
                <w:sz w:val="18"/>
                <w:szCs w:val="18"/>
              </w:rPr>
            </w:pPr>
            <w:r w:rsidRPr="00964AF5">
              <w:rPr>
                <w:sz w:val="18"/>
                <w:szCs w:val="18"/>
              </w:rPr>
              <w:t>Covariance Matrix</w:t>
            </w:r>
          </w:p>
        </w:tc>
        <w:tc>
          <w:tcPr>
            <w:tcW w:w="1560" w:type="dxa"/>
          </w:tcPr>
          <w:p w:rsidR="00B97965" w:rsidRPr="00964AF5" w:rsidRDefault="00B97965" w:rsidP="00B97965">
            <w:pPr>
              <w:spacing w:line="276" w:lineRule="auto"/>
              <w:rPr>
                <w:sz w:val="18"/>
                <w:szCs w:val="18"/>
              </w:rPr>
            </w:pPr>
            <w:r w:rsidRPr="00964AF5">
              <w:rPr>
                <w:sz w:val="18"/>
                <w:szCs w:val="18"/>
              </w:rPr>
              <w:t>Distribution</w:t>
            </w:r>
          </w:p>
        </w:tc>
      </w:tr>
      <w:tr w:rsidR="00B97965" w:rsidRPr="00964AF5" w:rsidTr="00B97965">
        <w:tc>
          <w:tcPr>
            <w:tcW w:w="2296" w:type="dxa"/>
          </w:tcPr>
          <w:p w:rsidR="00B97965" w:rsidRPr="00964AF5" w:rsidRDefault="00B97965" w:rsidP="00B97965">
            <w:pPr>
              <w:spacing w:line="276" w:lineRule="auto"/>
              <w:rPr>
                <w:sz w:val="18"/>
                <w:szCs w:val="18"/>
              </w:rPr>
            </w:pPr>
            <w:r>
              <w:rPr>
                <w:sz w:val="18"/>
                <w:szCs w:val="18"/>
              </w:rPr>
              <w:t>Cholesterol coefficient</w:t>
            </w:r>
          </w:p>
        </w:tc>
        <w:tc>
          <w:tcPr>
            <w:tcW w:w="851" w:type="dxa"/>
            <w:vAlign w:val="bottom"/>
          </w:tcPr>
          <w:p w:rsidR="00B97965" w:rsidRPr="002B223F" w:rsidRDefault="00B97965" w:rsidP="00B97965">
            <w:pPr>
              <w:spacing w:line="276" w:lineRule="auto"/>
              <w:jc w:val="center"/>
              <w:rPr>
                <w:rFonts w:cstheme="majorBidi"/>
                <w:color w:val="000000"/>
                <w:sz w:val="18"/>
                <w:szCs w:val="18"/>
              </w:rPr>
            </w:pPr>
            <w:r w:rsidRPr="002B223F">
              <w:rPr>
                <w:rFonts w:cstheme="majorBidi"/>
                <w:color w:val="000000"/>
                <w:sz w:val="18"/>
                <w:szCs w:val="18"/>
              </w:rPr>
              <w:t>0.0053</w:t>
            </w:r>
          </w:p>
        </w:tc>
        <w:tc>
          <w:tcPr>
            <w:tcW w:w="1228" w:type="dxa"/>
            <w:vAlign w:val="bottom"/>
          </w:tcPr>
          <w:p w:rsidR="00B97965" w:rsidRPr="002B223F" w:rsidRDefault="00B97965" w:rsidP="00B97965">
            <w:pPr>
              <w:spacing w:line="276" w:lineRule="auto"/>
              <w:jc w:val="center"/>
              <w:rPr>
                <w:rFonts w:cstheme="majorBidi"/>
                <w:color w:val="000000"/>
                <w:sz w:val="18"/>
                <w:szCs w:val="18"/>
              </w:rPr>
            </w:pPr>
            <w:r>
              <w:rPr>
                <w:rFonts w:cstheme="majorBidi"/>
                <w:color w:val="000000"/>
                <w:sz w:val="18"/>
                <w:szCs w:val="18"/>
              </w:rPr>
              <w:t>2.70e</w:t>
            </w:r>
            <w:r w:rsidRPr="002B223F">
              <w:rPr>
                <w:rFonts w:cstheme="majorBidi"/>
                <w:color w:val="000000"/>
                <w:sz w:val="18"/>
                <w:szCs w:val="18"/>
              </w:rPr>
              <w:t>-06</w:t>
            </w:r>
          </w:p>
        </w:tc>
        <w:tc>
          <w:tcPr>
            <w:tcW w:w="1228" w:type="dxa"/>
            <w:vAlign w:val="bottom"/>
          </w:tcPr>
          <w:p w:rsidR="00B97965" w:rsidRPr="002B223F" w:rsidRDefault="00B97965" w:rsidP="00B97965">
            <w:pPr>
              <w:spacing w:line="276" w:lineRule="auto"/>
              <w:jc w:val="center"/>
              <w:rPr>
                <w:rFonts w:cstheme="majorBidi"/>
                <w:color w:val="000000"/>
                <w:sz w:val="18"/>
                <w:szCs w:val="18"/>
              </w:rPr>
            </w:pPr>
          </w:p>
        </w:tc>
        <w:tc>
          <w:tcPr>
            <w:tcW w:w="1229" w:type="dxa"/>
            <w:vAlign w:val="bottom"/>
          </w:tcPr>
          <w:p w:rsidR="00B97965" w:rsidRPr="002B223F" w:rsidRDefault="00B97965" w:rsidP="00B97965">
            <w:pPr>
              <w:spacing w:line="276" w:lineRule="auto"/>
              <w:jc w:val="center"/>
              <w:rPr>
                <w:rFonts w:cstheme="majorBidi"/>
                <w:color w:val="000000"/>
                <w:sz w:val="18"/>
                <w:szCs w:val="18"/>
              </w:rPr>
            </w:pPr>
          </w:p>
        </w:tc>
        <w:tc>
          <w:tcPr>
            <w:tcW w:w="1560" w:type="dxa"/>
          </w:tcPr>
          <w:p w:rsidR="00B97965" w:rsidRPr="00964AF5" w:rsidRDefault="00B97965" w:rsidP="00B97965">
            <w:pPr>
              <w:spacing w:line="276"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Pr="00964AF5" w:rsidRDefault="00B97965" w:rsidP="00B97965">
            <w:pPr>
              <w:spacing w:line="276" w:lineRule="auto"/>
              <w:rPr>
                <w:sz w:val="18"/>
                <w:szCs w:val="18"/>
              </w:rPr>
            </w:pPr>
            <w:r>
              <w:rPr>
                <w:sz w:val="18"/>
                <w:szCs w:val="18"/>
              </w:rPr>
              <w:t>Prednisone coefficient</w:t>
            </w:r>
          </w:p>
        </w:tc>
        <w:tc>
          <w:tcPr>
            <w:tcW w:w="851" w:type="dxa"/>
            <w:vAlign w:val="bottom"/>
          </w:tcPr>
          <w:p w:rsidR="00B97965" w:rsidRPr="002B223F" w:rsidRDefault="00B97965" w:rsidP="00B97965">
            <w:pPr>
              <w:spacing w:line="276" w:lineRule="auto"/>
              <w:jc w:val="center"/>
              <w:rPr>
                <w:rFonts w:cstheme="majorBidi"/>
                <w:color w:val="000000"/>
                <w:sz w:val="18"/>
                <w:szCs w:val="18"/>
              </w:rPr>
            </w:pPr>
            <w:r w:rsidRPr="002B223F">
              <w:rPr>
                <w:rFonts w:cstheme="majorBidi"/>
                <w:color w:val="000000"/>
                <w:sz w:val="18"/>
                <w:szCs w:val="18"/>
              </w:rPr>
              <w:t>0.0020</w:t>
            </w:r>
          </w:p>
        </w:tc>
        <w:tc>
          <w:tcPr>
            <w:tcW w:w="1228" w:type="dxa"/>
            <w:vAlign w:val="bottom"/>
          </w:tcPr>
          <w:p w:rsidR="00B97965" w:rsidRPr="002B223F" w:rsidRDefault="00B97965" w:rsidP="00B97965">
            <w:pPr>
              <w:spacing w:line="276" w:lineRule="auto"/>
              <w:jc w:val="center"/>
              <w:rPr>
                <w:rFonts w:cstheme="majorBidi"/>
                <w:color w:val="000000"/>
                <w:sz w:val="18"/>
                <w:szCs w:val="18"/>
              </w:rPr>
            </w:pPr>
            <w:r>
              <w:rPr>
                <w:rFonts w:cstheme="majorBidi"/>
                <w:color w:val="000000"/>
                <w:sz w:val="18"/>
                <w:szCs w:val="18"/>
              </w:rPr>
              <w:t>-2.73e</w:t>
            </w:r>
            <w:r w:rsidRPr="002B223F">
              <w:rPr>
                <w:rFonts w:cstheme="majorBidi"/>
                <w:color w:val="000000"/>
                <w:sz w:val="18"/>
                <w:szCs w:val="18"/>
              </w:rPr>
              <w:t>-07</w:t>
            </w:r>
          </w:p>
        </w:tc>
        <w:tc>
          <w:tcPr>
            <w:tcW w:w="1228" w:type="dxa"/>
            <w:vAlign w:val="bottom"/>
          </w:tcPr>
          <w:p w:rsidR="00B97965" w:rsidRPr="002B223F" w:rsidRDefault="00B97965" w:rsidP="00B97965">
            <w:pPr>
              <w:spacing w:line="276" w:lineRule="auto"/>
              <w:jc w:val="center"/>
              <w:rPr>
                <w:rFonts w:cstheme="majorBidi"/>
                <w:color w:val="000000"/>
                <w:sz w:val="18"/>
                <w:szCs w:val="18"/>
              </w:rPr>
            </w:pPr>
            <w:r>
              <w:rPr>
                <w:rFonts w:cstheme="majorBidi"/>
                <w:color w:val="000000"/>
                <w:sz w:val="18"/>
                <w:szCs w:val="18"/>
              </w:rPr>
              <w:t>1.40e</w:t>
            </w:r>
            <w:r w:rsidRPr="002B223F">
              <w:rPr>
                <w:rFonts w:cstheme="majorBidi"/>
                <w:color w:val="000000"/>
                <w:sz w:val="18"/>
                <w:szCs w:val="18"/>
              </w:rPr>
              <w:t>-07</w:t>
            </w:r>
          </w:p>
        </w:tc>
        <w:tc>
          <w:tcPr>
            <w:tcW w:w="1229" w:type="dxa"/>
            <w:vAlign w:val="bottom"/>
          </w:tcPr>
          <w:p w:rsidR="00B97965" w:rsidRPr="002B223F" w:rsidRDefault="00B97965" w:rsidP="00B97965">
            <w:pPr>
              <w:spacing w:line="276" w:lineRule="auto"/>
              <w:jc w:val="center"/>
              <w:rPr>
                <w:rFonts w:cstheme="majorBidi"/>
                <w:color w:val="000000"/>
                <w:sz w:val="18"/>
                <w:szCs w:val="18"/>
              </w:rPr>
            </w:pPr>
          </w:p>
        </w:tc>
        <w:tc>
          <w:tcPr>
            <w:tcW w:w="1560" w:type="dxa"/>
          </w:tcPr>
          <w:p w:rsidR="00B97965" w:rsidRPr="00964AF5" w:rsidRDefault="00B97965" w:rsidP="00B97965">
            <w:pPr>
              <w:spacing w:line="276"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Default="00B97965" w:rsidP="00B97965">
            <w:pPr>
              <w:spacing w:line="276" w:lineRule="auto"/>
              <w:rPr>
                <w:sz w:val="18"/>
                <w:szCs w:val="18"/>
              </w:rPr>
            </w:pPr>
            <w:r>
              <w:rPr>
                <w:sz w:val="18"/>
                <w:szCs w:val="18"/>
              </w:rPr>
              <w:t>Intercept</w:t>
            </w:r>
          </w:p>
        </w:tc>
        <w:tc>
          <w:tcPr>
            <w:tcW w:w="851" w:type="dxa"/>
            <w:vAlign w:val="bottom"/>
          </w:tcPr>
          <w:p w:rsidR="00B97965" w:rsidRPr="002B223F" w:rsidRDefault="00B97965" w:rsidP="00B97965">
            <w:pPr>
              <w:spacing w:line="276" w:lineRule="auto"/>
              <w:jc w:val="center"/>
              <w:rPr>
                <w:rFonts w:cstheme="majorBidi"/>
                <w:color w:val="000000"/>
                <w:sz w:val="18"/>
                <w:szCs w:val="18"/>
              </w:rPr>
            </w:pPr>
            <w:r w:rsidRPr="002B223F">
              <w:rPr>
                <w:rFonts w:cstheme="majorBidi"/>
                <w:color w:val="000000"/>
                <w:sz w:val="18"/>
                <w:szCs w:val="18"/>
              </w:rPr>
              <w:t>-7.4845</w:t>
            </w:r>
          </w:p>
        </w:tc>
        <w:tc>
          <w:tcPr>
            <w:tcW w:w="1228" w:type="dxa"/>
            <w:vAlign w:val="bottom"/>
          </w:tcPr>
          <w:p w:rsidR="00B97965" w:rsidRPr="002B223F" w:rsidRDefault="00B97965" w:rsidP="00B97965">
            <w:pPr>
              <w:spacing w:line="276" w:lineRule="auto"/>
              <w:jc w:val="center"/>
              <w:rPr>
                <w:rFonts w:cstheme="majorBidi"/>
                <w:color w:val="000000"/>
                <w:sz w:val="18"/>
                <w:szCs w:val="18"/>
              </w:rPr>
            </w:pPr>
            <w:r w:rsidRPr="002B223F">
              <w:rPr>
                <w:rFonts w:cstheme="majorBidi"/>
                <w:color w:val="000000"/>
                <w:sz w:val="18"/>
                <w:szCs w:val="18"/>
              </w:rPr>
              <w:t>-0.000</w:t>
            </w:r>
            <w:r>
              <w:rPr>
                <w:rFonts w:cstheme="majorBidi"/>
                <w:color w:val="000000"/>
                <w:sz w:val="18"/>
                <w:szCs w:val="18"/>
              </w:rPr>
              <w:t>5</w:t>
            </w:r>
          </w:p>
        </w:tc>
        <w:tc>
          <w:tcPr>
            <w:tcW w:w="1228" w:type="dxa"/>
            <w:vAlign w:val="bottom"/>
          </w:tcPr>
          <w:p w:rsidR="00B97965" w:rsidRPr="002B223F" w:rsidRDefault="00B97965" w:rsidP="00B97965">
            <w:pPr>
              <w:spacing w:line="276" w:lineRule="auto"/>
              <w:jc w:val="center"/>
              <w:rPr>
                <w:rFonts w:cstheme="majorBidi"/>
                <w:color w:val="000000"/>
                <w:sz w:val="18"/>
                <w:szCs w:val="18"/>
              </w:rPr>
            </w:pPr>
            <w:r>
              <w:rPr>
                <w:rFonts w:cstheme="majorBidi"/>
                <w:color w:val="000000"/>
                <w:sz w:val="18"/>
                <w:szCs w:val="18"/>
              </w:rPr>
              <w:t>-8.85e</w:t>
            </w:r>
            <w:r w:rsidRPr="002B223F">
              <w:rPr>
                <w:rFonts w:cstheme="majorBidi"/>
                <w:color w:val="000000"/>
                <w:sz w:val="18"/>
                <w:szCs w:val="18"/>
              </w:rPr>
              <w:t>-06</w:t>
            </w:r>
          </w:p>
        </w:tc>
        <w:tc>
          <w:tcPr>
            <w:tcW w:w="1229" w:type="dxa"/>
            <w:vAlign w:val="bottom"/>
          </w:tcPr>
          <w:p w:rsidR="00B97965" w:rsidRPr="002B223F" w:rsidRDefault="00B97965" w:rsidP="00B97965">
            <w:pPr>
              <w:spacing w:line="276" w:lineRule="auto"/>
              <w:jc w:val="center"/>
              <w:rPr>
                <w:rFonts w:cstheme="majorBidi"/>
                <w:color w:val="000000"/>
                <w:sz w:val="18"/>
                <w:szCs w:val="18"/>
              </w:rPr>
            </w:pPr>
            <w:r w:rsidRPr="002B223F">
              <w:rPr>
                <w:rFonts w:cstheme="majorBidi"/>
                <w:color w:val="000000"/>
                <w:sz w:val="18"/>
                <w:szCs w:val="18"/>
              </w:rPr>
              <w:t>0.1503</w:t>
            </w:r>
          </w:p>
        </w:tc>
        <w:tc>
          <w:tcPr>
            <w:tcW w:w="1560" w:type="dxa"/>
          </w:tcPr>
          <w:p w:rsidR="00B97965" w:rsidRPr="00964AF5" w:rsidRDefault="00B97965" w:rsidP="00B97965">
            <w:pPr>
              <w:spacing w:line="276"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Pr>
        <w:spacing w:line="240" w:lineRule="auto"/>
        <w:rPr>
          <w:lang w:eastAsia="nl-NL"/>
        </w:rPr>
      </w:pPr>
    </w:p>
    <w:p w:rsidR="00B97965" w:rsidRDefault="00B97965" w:rsidP="00B97965">
      <w:pPr>
        <w:spacing w:line="240" w:lineRule="auto"/>
        <w:rPr>
          <w:lang w:eastAsia="nl-NL"/>
        </w:rPr>
        <w:sectPr w:rsidR="00B97965" w:rsidSect="00221DD6">
          <w:pgSz w:w="11906" w:h="16838"/>
          <w:pgMar w:top="1440" w:right="1440" w:bottom="1440" w:left="2268" w:header="709" w:footer="709" w:gutter="0"/>
          <w:cols w:space="708"/>
          <w:docGrid w:linePitch="360"/>
        </w:sectPr>
      </w:pPr>
    </w:p>
    <w:p w:rsidR="00B97965" w:rsidRDefault="00B97965" w:rsidP="00234693">
      <w:pPr>
        <w:pStyle w:val="Caption"/>
      </w:pPr>
      <w:r>
        <w:t xml:space="preserve">Table </w:t>
      </w:r>
      <w:fldSimple w:instr=" SEQ Table \* ARABIC ">
        <w:r w:rsidR="004911B7">
          <w:rPr>
            <w:noProof/>
          </w:rPr>
          <w:t>117</w:t>
        </w:r>
      </w:fldSimple>
      <w:r>
        <w:t>: Parameter distribution details for Mortality risk model</w:t>
      </w:r>
    </w:p>
    <w:tbl>
      <w:tblPr>
        <w:tblStyle w:val="TableGrid"/>
        <w:tblW w:w="14062" w:type="dxa"/>
        <w:tblLayout w:type="fixed"/>
        <w:tblCellMar>
          <w:left w:w="28" w:type="dxa"/>
          <w:right w:w="28" w:type="dxa"/>
        </w:tblCellMar>
        <w:tblLook w:val="04A0"/>
      </w:tblPr>
      <w:tblGrid>
        <w:gridCol w:w="1446"/>
        <w:gridCol w:w="709"/>
        <w:gridCol w:w="769"/>
        <w:gridCol w:w="770"/>
        <w:gridCol w:w="769"/>
        <w:gridCol w:w="770"/>
        <w:gridCol w:w="769"/>
        <w:gridCol w:w="770"/>
        <w:gridCol w:w="769"/>
        <w:gridCol w:w="770"/>
        <w:gridCol w:w="769"/>
        <w:gridCol w:w="770"/>
        <w:gridCol w:w="769"/>
        <w:gridCol w:w="770"/>
        <w:gridCol w:w="769"/>
        <w:gridCol w:w="770"/>
        <w:gridCol w:w="1134"/>
      </w:tblGrid>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Parameter name</w:t>
            </w:r>
          </w:p>
        </w:tc>
        <w:tc>
          <w:tcPr>
            <w:tcW w:w="709" w:type="dxa"/>
          </w:tcPr>
          <w:p w:rsidR="00B97965" w:rsidRPr="005B060C" w:rsidRDefault="00B97965" w:rsidP="00B97965">
            <w:pPr>
              <w:spacing w:line="276" w:lineRule="auto"/>
              <w:rPr>
                <w:rFonts w:cstheme="majorBidi"/>
                <w:sz w:val="18"/>
                <w:szCs w:val="18"/>
              </w:rPr>
            </w:pPr>
            <w:r w:rsidRPr="005B060C">
              <w:rPr>
                <w:rFonts w:cstheme="majorBidi"/>
                <w:sz w:val="18"/>
                <w:szCs w:val="18"/>
              </w:rPr>
              <w:t>Mean Estimate</w:t>
            </w:r>
          </w:p>
        </w:tc>
        <w:tc>
          <w:tcPr>
            <w:tcW w:w="10773" w:type="dxa"/>
            <w:gridSpan w:val="14"/>
          </w:tcPr>
          <w:p w:rsidR="00B97965" w:rsidRPr="005B060C" w:rsidRDefault="00B97965" w:rsidP="00B97965">
            <w:pPr>
              <w:spacing w:line="276" w:lineRule="auto"/>
              <w:rPr>
                <w:rFonts w:cstheme="majorBidi"/>
                <w:sz w:val="18"/>
                <w:szCs w:val="18"/>
              </w:rPr>
            </w:pPr>
            <w:r w:rsidRPr="005B060C">
              <w:rPr>
                <w:rFonts w:cstheme="majorBidi"/>
                <w:sz w:val="18"/>
                <w:szCs w:val="18"/>
              </w:rPr>
              <w:t>Covariance Matrix</w:t>
            </w: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Distribution</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African American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0.8281</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0.0633</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Age at diagnosis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0.0342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2.46e-04</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7.79e-05</w:t>
            </w: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Cholesterol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0.0047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-1.28e-05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-3.23e-07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2.09e-06</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AMS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0.2673</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1.16e-04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-1.5e-05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2.64e-03</w:t>
            </w: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Cardio. damage coefficient</w:t>
            </w:r>
          </w:p>
        </w:tc>
        <w:tc>
          <w:tcPr>
            <w:tcW w:w="709" w:type="dxa"/>
          </w:tcPr>
          <w:p w:rsidR="00B97965" w:rsidRPr="005B060C" w:rsidRDefault="00B97965" w:rsidP="00B97965">
            <w:pPr>
              <w:spacing w:line="276" w:lineRule="auto"/>
              <w:rPr>
                <w:rFonts w:cstheme="majorBidi"/>
                <w:color w:val="000000"/>
                <w:sz w:val="18"/>
                <w:szCs w:val="18"/>
                <w:lang w:val="it-IT"/>
              </w:rPr>
            </w:pPr>
            <w:r w:rsidRPr="005B060C">
              <w:rPr>
                <w:rFonts w:cstheme="majorBidi"/>
                <w:color w:val="000000"/>
                <w:sz w:val="18"/>
                <w:szCs w:val="18"/>
                <w:lang w:val="it-IT"/>
              </w:rPr>
              <w:t>0.4236</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-3.43e-04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-3.42e-06</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8.96e-06</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0.0247</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Renal damage coefficient</w:t>
            </w:r>
          </w:p>
        </w:tc>
        <w:tc>
          <w:tcPr>
            <w:tcW w:w="709" w:type="dxa"/>
          </w:tcPr>
          <w:p w:rsidR="00B97965" w:rsidRPr="005B060C" w:rsidRDefault="00B97965" w:rsidP="00B97965">
            <w:pPr>
              <w:spacing w:line="276" w:lineRule="auto"/>
              <w:rPr>
                <w:rFonts w:cstheme="majorBidi"/>
                <w:color w:val="000000"/>
                <w:sz w:val="18"/>
                <w:szCs w:val="18"/>
                <w:lang w:val="it-IT"/>
              </w:rPr>
            </w:pPr>
            <w:r w:rsidRPr="005B060C">
              <w:rPr>
                <w:rFonts w:cstheme="majorBidi"/>
                <w:color w:val="000000"/>
                <w:sz w:val="18"/>
                <w:szCs w:val="18"/>
                <w:lang w:val="it-IT"/>
              </w:rPr>
              <w:t>0.6951</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0.01003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8.06e-05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-1.9e-05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-0.00062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0.0544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MSK.damage coefficient</w:t>
            </w:r>
          </w:p>
        </w:tc>
        <w:tc>
          <w:tcPr>
            <w:tcW w:w="709" w:type="dxa"/>
          </w:tcPr>
          <w:p w:rsidR="00B97965" w:rsidRPr="005B060C" w:rsidRDefault="00B97965" w:rsidP="00B97965">
            <w:pPr>
              <w:spacing w:line="276" w:lineRule="auto"/>
              <w:rPr>
                <w:rFonts w:cstheme="majorBidi"/>
                <w:color w:val="000000"/>
                <w:sz w:val="18"/>
                <w:szCs w:val="18"/>
                <w:lang w:val="it-IT"/>
              </w:rPr>
            </w:pPr>
            <w:r w:rsidRPr="005B060C">
              <w:rPr>
                <w:rFonts w:cstheme="majorBidi"/>
                <w:color w:val="000000"/>
                <w:sz w:val="18"/>
                <w:szCs w:val="18"/>
                <w:lang w:val="it-IT"/>
              </w:rPr>
              <w:t>0.2515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-7e-05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-5.7e-05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4.01e-06</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-0.00102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-0.0041</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0.0173</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lang w:val="it-IT"/>
              </w:rPr>
              <w:t xml:space="preserve">Multivariate </w:t>
            </w:r>
            <w:r w:rsidRPr="005B060C">
              <w:rPr>
                <w:rFonts w:cstheme="majorBidi"/>
                <w:sz w:val="18"/>
                <w:szCs w:val="18"/>
              </w:rPr>
              <w:t>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Vascular damage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0.7877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0.00553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-2e-05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1.46e-05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-0.0013</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-0.0054</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0.0044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0.0522</w:t>
            </w: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Gastro. damage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0.6345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0.01253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-0.0001</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1.92e-05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-0.0010</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-0.0039</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-0.0052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0.0029</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0.0505</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Malignancy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1.0910</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0.01593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4.44e-06</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0.0008</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-0.0056</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0.0020</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0.0050</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0.0678</w:t>
            </w:r>
          </w:p>
        </w:tc>
        <w:tc>
          <w:tcPr>
            <w:tcW w:w="769" w:type="dxa"/>
          </w:tcPr>
          <w:p w:rsidR="00B97965" w:rsidRPr="005B060C" w:rsidRDefault="00B97965" w:rsidP="00B97965">
            <w:pPr>
              <w:spacing w:line="276" w:lineRule="auto"/>
              <w:rPr>
                <w:rFonts w:cstheme="majorBidi"/>
                <w:color w:val="000000"/>
                <w:sz w:val="18"/>
                <w:szCs w:val="18"/>
              </w:rPr>
            </w:pP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Infection</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0.9594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-0.00183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1.1e-05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-0.0003</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-0.0018</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0.0011</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-0.0010</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0.0004</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0.1255</w:t>
            </w:r>
          </w:p>
        </w:tc>
        <w:tc>
          <w:tcPr>
            <w:tcW w:w="770" w:type="dxa"/>
          </w:tcPr>
          <w:p w:rsidR="00B97965" w:rsidRPr="005B060C" w:rsidRDefault="00B97965" w:rsidP="00B97965">
            <w:pPr>
              <w:spacing w:line="276" w:lineRule="auto"/>
              <w:rPr>
                <w:rFonts w:cstheme="majorBidi"/>
                <w:color w:val="000000"/>
                <w:sz w:val="18"/>
                <w:szCs w:val="18"/>
              </w:rPr>
            </w:pP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Intercept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-10.6985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-0.03573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-0.0039</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-0.00042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-0.0167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0.0104</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-0.0096</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0.0062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-0.0026</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-0.0159</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-0.0156</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-0.0192</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0.5259</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 xml:space="preserve">            </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Log(Gamma)</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0.5600</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-0.0037</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0.0002</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1.4e-05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0.0017</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-0.0003</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-0.0015</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-0.0021</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0.0004</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-0.0019</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-9.8e-05</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-0.0450</w:t>
            </w:r>
          </w:p>
        </w:tc>
        <w:tc>
          <w:tcPr>
            <w:tcW w:w="76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0.0082</w:t>
            </w:r>
          </w:p>
        </w:tc>
        <w:tc>
          <w:tcPr>
            <w:tcW w:w="770" w:type="dxa"/>
          </w:tcPr>
          <w:p w:rsidR="00B97965" w:rsidRPr="005B060C" w:rsidRDefault="00B97965" w:rsidP="00B97965">
            <w:pPr>
              <w:spacing w:line="276" w:lineRule="auto"/>
              <w:rPr>
                <w:rFonts w:cstheme="majorBidi"/>
                <w:color w:val="000000"/>
                <w:sz w:val="18"/>
                <w:szCs w:val="18"/>
              </w:rPr>
            </w:pPr>
          </w:p>
        </w:tc>
        <w:tc>
          <w:tcPr>
            <w:tcW w:w="1134" w:type="dxa"/>
          </w:tcPr>
          <w:p w:rsidR="00B97965" w:rsidRPr="005B060C" w:rsidRDefault="00B97965" w:rsidP="00B97965">
            <w:pPr>
              <w:spacing w:line="276" w:lineRule="auto"/>
              <w:rPr>
                <w:sz w:val="18"/>
                <w:szCs w:val="18"/>
              </w:rPr>
            </w:pPr>
            <w:r w:rsidRPr="005B060C">
              <w:rPr>
                <w:rFonts w:cstheme="majorBidi"/>
                <w:sz w:val="18"/>
                <w:szCs w:val="18"/>
              </w:rPr>
              <w:t>Multivariate Normal</w:t>
            </w:r>
          </w:p>
        </w:tc>
      </w:tr>
      <w:tr w:rsidR="00B97965" w:rsidRPr="005B060C" w:rsidTr="00B97965">
        <w:tc>
          <w:tcPr>
            <w:tcW w:w="1446" w:type="dxa"/>
          </w:tcPr>
          <w:p w:rsidR="00B97965" w:rsidRPr="005B060C" w:rsidRDefault="00B97965" w:rsidP="00B97965">
            <w:pPr>
              <w:spacing w:line="276" w:lineRule="auto"/>
              <w:rPr>
                <w:rFonts w:cstheme="majorBidi"/>
                <w:sz w:val="18"/>
                <w:szCs w:val="18"/>
              </w:rPr>
            </w:pPr>
            <w:r w:rsidRPr="005B060C">
              <w:rPr>
                <w:rFonts w:cstheme="majorBidi"/>
                <w:sz w:val="18"/>
                <w:szCs w:val="18"/>
              </w:rPr>
              <w:t>Treatment coefficient</w:t>
            </w:r>
          </w:p>
        </w:tc>
        <w:tc>
          <w:tcPr>
            <w:tcW w:w="709"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-0.1935</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69" w:type="dxa"/>
          </w:tcPr>
          <w:p w:rsidR="00B97965" w:rsidRPr="005B060C" w:rsidRDefault="00B97965" w:rsidP="00B97965">
            <w:pPr>
              <w:spacing w:line="276" w:lineRule="auto"/>
              <w:rPr>
                <w:sz w:val="18"/>
                <w:szCs w:val="18"/>
              </w:rPr>
            </w:pPr>
            <w:r w:rsidRPr="005B060C">
              <w:rPr>
                <w:rFonts w:cstheme="majorBidi"/>
                <w:color w:val="000000"/>
                <w:sz w:val="18"/>
                <w:szCs w:val="18"/>
              </w:rPr>
              <w:t>0.0000</w:t>
            </w:r>
          </w:p>
        </w:tc>
        <w:tc>
          <w:tcPr>
            <w:tcW w:w="770" w:type="dxa"/>
          </w:tcPr>
          <w:p w:rsidR="00B97965" w:rsidRPr="005B060C" w:rsidRDefault="00B97965" w:rsidP="00B97965">
            <w:pPr>
              <w:spacing w:line="276" w:lineRule="auto"/>
              <w:rPr>
                <w:rFonts w:cstheme="majorBidi"/>
                <w:color w:val="000000"/>
                <w:sz w:val="18"/>
                <w:szCs w:val="18"/>
              </w:rPr>
            </w:pPr>
            <w:r w:rsidRPr="005B060C">
              <w:rPr>
                <w:rFonts w:cstheme="majorBidi"/>
                <w:color w:val="000000"/>
                <w:sz w:val="18"/>
                <w:szCs w:val="18"/>
              </w:rPr>
              <w:t>1.3055</w:t>
            </w:r>
          </w:p>
        </w:tc>
        <w:tc>
          <w:tcPr>
            <w:tcW w:w="1134" w:type="dxa"/>
          </w:tcPr>
          <w:p w:rsidR="00B97965" w:rsidRPr="005B060C" w:rsidRDefault="00B97965" w:rsidP="00B97965">
            <w:pPr>
              <w:spacing w:line="276" w:lineRule="auto"/>
              <w:rPr>
                <w:sz w:val="18"/>
                <w:szCs w:val="18"/>
              </w:rPr>
            </w:pPr>
            <w:r w:rsidRPr="005B060C">
              <w:rPr>
                <w:rFonts w:cstheme="majorBidi"/>
                <w:sz w:val="18"/>
                <w:szCs w:val="18"/>
              </w:rPr>
              <w:t>Multivariate Normal</w:t>
            </w:r>
          </w:p>
        </w:tc>
      </w:tr>
    </w:tbl>
    <w:p w:rsidR="00B97965" w:rsidRDefault="00B97965" w:rsidP="00234693">
      <w:pPr>
        <w:pStyle w:val="Caption"/>
      </w:pPr>
    </w:p>
    <w:p w:rsidR="00B97965" w:rsidRDefault="00B97965" w:rsidP="00B97965">
      <w:pPr>
        <w:spacing w:line="240" w:lineRule="auto"/>
        <w:rPr>
          <w:lang w:eastAsia="nl-NL"/>
        </w:rPr>
      </w:pPr>
    </w:p>
    <w:p w:rsidR="00B97965" w:rsidRDefault="00B97965" w:rsidP="00B97965">
      <w:pPr>
        <w:spacing w:line="240" w:lineRule="auto"/>
        <w:rPr>
          <w:lang w:eastAsia="nl-NL"/>
        </w:rPr>
      </w:pPr>
    </w:p>
    <w:p w:rsidR="00B97965" w:rsidRDefault="00B97965" w:rsidP="00234693">
      <w:pPr>
        <w:pStyle w:val="Caption"/>
      </w:pPr>
      <w:r>
        <w:t xml:space="preserve">Table </w:t>
      </w:r>
      <w:fldSimple w:instr=" SEQ Table \* ARABIC ">
        <w:r w:rsidR="004911B7">
          <w:rPr>
            <w:noProof/>
          </w:rPr>
          <w:t>118</w:t>
        </w:r>
      </w:fldSimple>
      <w:r>
        <w:t>: Parameter distribution details for Cardiovascular risk model</w:t>
      </w:r>
    </w:p>
    <w:tbl>
      <w:tblPr>
        <w:tblStyle w:val="TableGrid"/>
        <w:tblW w:w="13920" w:type="dxa"/>
        <w:tblLayout w:type="fixed"/>
        <w:tblCellMar>
          <w:left w:w="28" w:type="dxa"/>
          <w:right w:w="28" w:type="dxa"/>
        </w:tblCellMar>
        <w:tblLook w:val="04A0"/>
      </w:tblPr>
      <w:tblGrid>
        <w:gridCol w:w="2155"/>
        <w:gridCol w:w="850"/>
        <w:gridCol w:w="1008"/>
        <w:gridCol w:w="1008"/>
        <w:gridCol w:w="1008"/>
        <w:gridCol w:w="1008"/>
        <w:gridCol w:w="1008"/>
        <w:gridCol w:w="1008"/>
        <w:gridCol w:w="1008"/>
        <w:gridCol w:w="1008"/>
        <w:gridCol w:w="1008"/>
        <w:gridCol w:w="1843"/>
      </w:tblGrid>
      <w:tr w:rsidR="00B97965" w:rsidRPr="005B060C" w:rsidTr="00B97965">
        <w:tc>
          <w:tcPr>
            <w:tcW w:w="2155" w:type="dxa"/>
          </w:tcPr>
          <w:p w:rsidR="00B97965" w:rsidRPr="005B060C" w:rsidRDefault="00B97965" w:rsidP="00B97965">
            <w:pPr>
              <w:spacing w:line="276" w:lineRule="auto"/>
              <w:rPr>
                <w:rFonts w:cstheme="majorBidi"/>
                <w:sz w:val="18"/>
                <w:szCs w:val="18"/>
              </w:rPr>
            </w:pPr>
            <w:r w:rsidRPr="005B060C">
              <w:rPr>
                <w:rFonts w:cstheme="majorBidi"/>
                <w:sz w:val="18"/>
                <w:szCs w:val="18"/>
              </w:rPr>
              <w:t>Parameter name</w:t>
            </w:r>
          </w:p>
        </w:tc>
        <w:tc>
          <w:tcPr>
            <w:tcW w:w="850" w:type="dxa"/>
          </w:tcPr>
          <w:p w:rsidR="00B97965" w:rsidRPr="005B060C" w:rsidRDefault="00B97965" w:rsidP="00B97965">
            <w:pPr>
              <w:spacing w:line="276" w:lineRule="auto"/>
              <w:rPr>
                <w:rFonts w:cstheme="majorBidi"/>
                <w:sz w:val="18"/>
                <w:szCs w:val="18"/>
              </w:rPr>
            </w:pPr>
            <w:r w:rsidRPr="005B060C">
              <w:rPr>
                <w:rFonts w:cstheme="majorBidi"/>
                <w:sz w:val="18"/>
                <w:szCs w:val="18"/>
              </w:rPr>
              <w:t>Mean Estimate</w:t>
            </w:r>
          </w:p>
        </w:tc>
        <w:tc>
          <w:tcPr>
            <w:tcW w:w="9072" w:type="dxa"/>
            <w:gridSpan w:val="9"/>
          </w:tcPr>
          <w:p w:rsidR="00B97965" w:rsidRPr="005B060C" w:rsidRDefault="00B97965" w:rsidP="00B97965">
            <w:pPr>
              <w:spacing w:line="276" w:lineRule="auto"/>
              <w:rPr>
                <w:rFonts w:cstheme="majorBidi"/>
                <w:sz w:val="18"/>
                <w:szCs w:val="18"/>
              </w:rPr>
            </w:pPr>
            <w:r w:rsidRPr="005B060C">
              <w:rPr>
                <w:rFonts w:cstheme="majorBidi"/>
                <w:sz w:val="18"/>
                <w:szCs w:val="18"/>
              </w:rPr>
              <w:t>Covariance Matrix</w:t>
            </w: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Distribution</w:t>
            </w:r>
          </w:p>
        </w:tc>
      </w:tr>
      <w:tr w:rsidR="00B97965" w:rsidRPr="005B060C" w:rsidTr="00B97965">
        <w:tc>
          <w:tcPr>
            <w:tcW w:w="2155" w:type="dxa"/>
          </w:tcPr>
          <w:p w:rsidR="00B97965" w:rsidRPr="005B060C" w:rsidRDefault="00B97965" w:rsidP="00B97965">
            <w:pPr>
              <w:spacing w:line="276" w:lineRule="auto"/>
              <w:rPr>
                <w:rFonts w:cstheme="majorBidi"/>
                <w:sz w:val="18"/>
                <w:szCs w:val="18"/>
              </w:rPr>
            </w:pPr>
            <w:r>
              <w:rPr>
                <w:rFonts w:cstheme="majorBidi"/>
                <w:sz w:val="18"/>
                <w:szCs w:val="18"/>
              </w:rPr>
              <w:t>Age at diagnosis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0.0457</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5.87</w:t>
            </w:r>
            <w:r>
              <w:rPr>
                <w:rFonts w:cstheme="majorBidi"/>
                <w:color w:val="000000"/>
                <w:sz w:val="18"/>
                <w:szCs w:val="18"/>
              </w:rPr>
              <w:t>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rPr>
            </w:pPr>
            <w:r>
              <w:rPr>
                <w:rFonts w:cstheme="majorBidi"/>
                <w:sz w:val="18"/>
                <w:szCs w:val="18"/>
              </w:rPr>
              <w:t>Cholesterol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0.0026</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-9.45e</w:t>
            </w:r>
            <w:r w:rsidRPr="005B060C">
              <w:rPr>
                <w:rFonts w:cstheme="majorBidi"/>
                <w:color w:val="000000"/>
                <w:sz w:val="18"/>
                <w:szCs w:val="18"/>
              </w:rPr>
              <w:t>-07</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1.59</w:t>
            </w:r>
            <w:r>
              <w:rPr>
                <w:rFonts w:cstheme="majorBidi"/>
                <w:color w:val="000000"/>
                <w:sz w:val="18"/>
                <w:szCs w:val="18"/>
              </w:rPr>
              <w:t>e</w:t>
            </w:r>
            <w:r w:rsidRPr="005B060C">
              <w:rPr>
                <w:rFonts w:cstheme="majorBidi"/>
                <w:color w:val="000000"/>
                <w:sz w:val="18"/>
                <w:szCs w:val="18"/>
              </w:rPr>
              <w:t>-06</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rPr>
            </w:pPr>
            <w:r>
              <w:rPr>
                <w:rFonts w:cstheme="majorBidi"/>
                <w:sz w:val="18"/>
                <w:szCs w:val="18"/>
              </w:rPr>
              <w:t>Hypertension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0.8151</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-4.62e</w:t>
            </w:r>
            <w:r w:rsidRPr="005B060C">
              <w:rPr>
                <w:rFonts w:cstheme="majorBidi"/>
                <w:color w:val="000000"/>
                <w:sz w:val="18"/>
                <w:szCs w:val="18"/>
              </w:rPr>
              <w:t>-04</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-1.53</w:t>
            </w:r>
            <w:r>
              <w:rPr>
                <w:rFonts w:cstheme="majorBidi"/>
                <w:color w:val="000000"/>
                <w:sz w:val="18"/>
                <w:szCs w:val="18"/>
              </w:rPr>
              <w:t>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5.67</w:t>
            </w:r>
            <w:r>
              <w:rPr>
                <w:rFonts w:cstheme="majorBidi"/>
                <w:color w:val="000000"/>
                <w:sz w:val="18"/>
                <w:szCs w:val="18"/>
              </w:rPr>
              <w:t>e</w:t>
            </w:r>
            <w:r w:rsidRPr="005B060C">
              <w:rPr>
                <w:rFonts w:cstheme="majorBidi"/>
                <w:color w:val="000000"/>
                <w:sz w:val="18"/>
                <w:szCs w:val="18"/>
              </w:rPr>
              <w:t>-02</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lang w:val="fr-CA"/>
              </w:rPr>
            </w:pPr>
            <w:r w:rsidRPr="005B060C">
              <w:rPr>
                <w:rFonts w:cstheme="majorBidi"/>
                <w:sz w:val="18"/>
                <w:szCs w:val="18"/>
                <w:lang w:val="fr-CA"/>
              </w:rPr>
              <w:t>Log transformed disease duration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0.5965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0.0004</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-2.42</w:t>
            </w:r>
            <w:r>
              <w:rPr>
                <w:rFonts w:cstheme="majorBidi"/>
                <w:color w:val="000000"/>
                <w:sz w:val="18"/>
                <w:szCs w:val="18"/>
              </w:rPr>
              <w:t>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-0.0056</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2.03</w:t>
            </w:r>
            <w:r>
              <w:rPr>
                <w:rFonts w:cstheme="majorBidi"/>
                <w:color w:val="000000"/>
                <w:sz w:val="18"/>
                <w:szCs w:val="18"/>
              </w:rPr>
              <w:t>e</w:t>
            </w:r>
            <w:r w:rsidRPr="005B060C">
              <w:rPr>
                <w:rFonts w:cstheme="majorBidi"/>
                <w:color w:val="000000"/>
                <w:sz w:val="18"/>
                <w:szCs w:val="18"/>
              </w:rPr>
              <w:t>-02</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lang w:val="it-IT"/>
              </w:rPr>
            </w:pPr>
            <w:r>
              <w:rPr>
                <w:rFonts w:cstheme="majorBidi"/>
                <w:sz w:val="18"/>
                <w:szCs w:val="18"/>
                <w:lang w:val="it-IT"/>
              </w:rPr>
              <w:t>AMS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0.1560</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4.57e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-7.44</w:t>
            </w:r>
            <w:r>
              <w:rPr>
                <w:rFonts w:cstheme="majorBidi"/>
                <w:color w:val="000000"/>
                <w:sz w:val="18"/>
                <w:szCs w:val="18"/>
              </w:rPr>
              <w:t>e</w:t>
            </w:r>
            <w:r w:rsidRPr="005B060C">
              <w:rPr>
                <w:rFonts w:cstheme="majorBidi"/>
                <w:color w:val="000000"/>
                <w:sz w:val="18"/>
                <w:szCs w:val="18"/>
              </w:rPr>
              <w:t>-06</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-4.11e</w:t>
            </w:r>
            <w:r w:rsidRPr="005B060C">
              <w:rPr>
                <w:rFonts w:cstheme="majorBidi"/>
                <w:color w:val="000000"/>
                <w:sz w:val="18"/>
                <w:szCs w:val="18"/>
              </w:rPr>
              <w:t>-04</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-2.53</w:t>
            </w:r>
            <w:r>
              <w:rPr>
                <w:rFonts w:cstheme="majorBidi"/>
                <w:color w:val="000000"/>
                <w:sz w:val="18"/>
                <w:szCs w:val="18"/>
              </w:rPr>
              <w:t>e</w:t>
            </w:r>
            <w:r w:rsidRPr="005B060C">
              <w:rPr>
                <w:rFonts w:cstheme="majorBidi"/>
                <w:color w:val="000000"/>
                <w:sz w:val="18"/>
                <w:szCs w:val="18"/>
              </w:rPr>
              <w:t>-04</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0.0015</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lang w:val="it-IT"/>
              </w:rPr>
            </w:pPr>
            <w:r>
              <w:rPr>
                <w:rFonts w:cstheme="majorBidi"/>
                <w:sz w:val="18"/>
                <w:szCs w:val="18"/>
                <w:lang w:val="it-IT"/>
              </w:rPr>
              <w:t>Steroid exposure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0.0011</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8.35e</w:t>
            </w:r>
            <w:r w:rsidRPr="005B060C">
              <w:rPr>
                <w:rFonts w:cstheme="majorBidi"/>
                <w:color w:val="000000"/>
                <w:sz w:val="18"/>
                <w:szCs w:val="18"/>
              </w:rPr>
              <w:t>-07</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-1.02</w:t>
            </w:r>
            <w:r>
              <w:rPr>
                <w:rFonts w:cstheme="majorBidi"/>
                <w:color w:val="000000"/>
                <w:sz w:val="18"/>
                <w:szCs w:val="18"/>
              </w:rPr>
              <w:t>e</w:t>
            </w:r>
            <w:r w:rsidRPr="005B060C">
              <w:rPr>
                <w:rFonts w:cstheme="majorBidi"/>
                <w:color w:val="000000"/>
                <w:sz w:val="18"/>
                <w:szCs w:val="18"/>
              </w:rPr>
              <w:t>-07</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w:t>
            </w:r>
            <w:r>
              <w:rPr>
                <w:rFonts w:cstheme="majorBidi"/>
                <w:color w:val="000000"/>
                <w:sz w:val="18"/>
                <w:szCs w:val="18"/>
              </w:rPr>
              <w:t>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1.3</w:t>
            </w:r>
            <w:r>
              <w:rPr>
                <w:rFonts w:cstheme="majorBidi"/>
                <w:color w:val="000000"/>
                <w:sz w:val="18"/>
                <w:szCs w:val="18"/>
              </w:rPr>
              <w:t>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-5.47e</w:t>
            </w:r>
            <w:r w:rsidRPr="005B060C">
              <w:rPr>
                <w:rFonts w:cstheme="majorBidi"/>
                <w:color w:val="000000"/>
                <w:sz w:val="18"/>
                <w:szCs w:val="18"/>
              </w:rPr>
              <w:t>-06</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1.41</w:t>
            </w:r>
            <w:r>
              <w:rPr>
                <w:rFonts w:cstheme="majorBidi"/>
                <w:color w:val="000000"/>
                <w:sz w:val="18"/>
                <w:szCs w:val="18"/>
              </w:rPr>
              <w:t>e</w:t>
            </w:r>
            <w:r w:rsidRPr="005B060C">
              <w:rPr>
                <w:rFonts w:cstheme="majorBidi"/>
                <w:color w:val="000000"/>
                <w:sz w:val="18"/>
                <w:szCs w:val="18"/>
              </w:rPr>
              <w:t>-07</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lang w:val="it-IT"/>
              </w:rPr>
            </w:pPr>
            <w:r w:rsidRPr="005B060C">
              <w:rPr>
                <w:rFonts w:cstheme="majorBidi"/>
                <w:sz w:val="18"/>
                <w:szCs w:val="18"/>
                <w:lang w:val="it-IT"/>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lang w:val="it-IT"/>
              </w:rPr>
            </w:pPr>
            <w:r>
              <w:rPr>
                <w:rFonts w:cstheme="majorBidi"/>
                <w:sz w:val="18"/>
                <w:szCs w:val="18"/>
                <w:lang w:val="it-IT"/>
              </w:rPr>
              <w:t>Intercept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-8.7642</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-0.0030</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-0.000</w:t>
            </w:r>
            <w:r>
              <w:rPr>
                <w:rFonts w:cstheme="majorBidi"/>
                <w:color w:val="000000"/>
                <w:sz w:val="18"/>
                <w:szCs w:val="18"/>
              </w:rPr>
              <w:t>2</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-6.62e</w:t>
            </w:r>
            <w:r w:rsidRPr="005B060C">
              <w:rPr>
                <w:rFonts w:cstheme="majorBidi"/>
                <w:color w:val="000000"/>
                <w:sz w:val="18"/>
                <w:szCs w:val="18"/>
              </w:rPr>
              <w:t>-03</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-0.046</w:t>
            </w:r>
            <w:r>
              <w:rPr>
                <w:rFonts w:cstheme="majorBidi"/>
                <w:color w:val="000000"/>
                <w:sz w:val="18"/>
                <w:szCs w:val="18"/>
              </w:rPr>
              <w:t>1</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-0.0044</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-5.3e</w:t>
            </w:r>
            <w:r w:rsidRPr="005B060C">
              <w:rPr>
                <w:rFonts w:cstheme="majorBidi"/>
                <w:color w:val="000000"/>
                <w:sz w:val="18"/>
                <w:szCs w:val="18"/>
              </w:rPr>
              <w:t>-05</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0.307</w:t>
            </w:r>
            <w:r>
              <w:rPr>
                <w:rFonts w:cstheme="majorBidi"/>
                <w:color w:val="000000"/>
                <w:sz w:val="18"/>
                <w:szCs w:val="18"/>
              </w:rPr>
              <w:t>8</w:t>
            </w:r>
          </w:p>
        </w:tc>
        <w:tc>
          <w:tcPr>
            <w:tcW w:w="1008" w:type="dxa"/>
            <w:vAlign w:val="bottom"/>
          </w:tcPr>
          <w:p w:rsidR="00B97965" w:rsidRPr="005B060C" w:rsidRDefault="00B97965" w:rsidP="00B97965">
            <w:pPr>
              <w:jc w:val="center"/>
              <w:rPr>
                <w:rFonts w:cstheme="majorBidi"/>
                <w:color w:val="000000"/>
                <w:sz w:val="18"/>
                <w:szCs w:val="18"/>
              </w:rPr>
            </w:pP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lang w:val="it-IT"/>
              </w:rPr>
              <w:t xml:space="preserve">Multivariate </w:t>
            </w:r>
            <w:r w:rsidRPr="005B060C">
              <w:rPr>
                <w:rFonts w:cstheme="majorBidi"/>
                <w:sz w:val="18"/>
                <w:szCs w:val="18"/>
              </w:rPr>
              <w:t>Normal</w:t>
            </w:r>
          </w:p>
        </w:tc>
      </w:tr>
      <w:tr w:rsidR="00B97965" w:rsidRPr="005B060C" w:rsidTr="00B97965">
        <w:tc>
          <w:tcPr>
            <w:tcW w:w="2155" w:type="dxa"/>
          </w:tcPr>
          <w:p w:rsidR="00B97965" w:rsidRPr="005B060C" w:rsidRDefault="00B97965" w:rsidP="00B97965">
            <w:pPr>
              <w:spacing w:line="276" w:lineRule="auto"/>
              <w:rPr>
                <w:rFonts w:cstheme="majorBidi"/>
                <w:sz w:val="18"/>
                <w:szCs w:val="18"/>
              </w:rPr>
            </w:pPr>
            <w:r>
              <w:rPr>
                <w:rFonts w:cstheme="majorBidi"/>
                <w:sz w:val="18"/>
                <w:szCs w:val="18"/>
              </w:rPr>
              <w:t>Gamma</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-0.0448</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-4.96e</w:t>
            </w:r>
            <w:r w:rsidRPr="005B060C">
              <w:rPr>
                <w:rFonts w:cstheme="majorBidi"/>
                <w:color w:val="000000"/>
                <w:sz w:val="18"/>
                <w:szCs w:val="18"/>
              </w:rPr>
              <w:t>-06</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3.91</w:t>
            </w:r>
            <w:r>
              <w:rPr>
                <w:rFonts w:cstheme="majorBidi"/>
                <w:color w:val="000000"/>
                <w:sz w:val="18"/>
                <w:szCs w:val="18"/>
              </w:rPr>
              <w:t>e</w:t>
            </w:r>
            <w:r w:rsidRPr="005B060C">
              <w:rPr>
                <w:rFonts w:cstheme="majorBidi"/>
                <w:color w:val="000000"/>
                <w:sz w:val="18"/>
                <w:szCs w:val="18"/>
              </w:rPr>
              <w:t>-06</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-2.34e</w:t>
            </w:r>
            <w:r w:rsidRPr="005B060C">
              <w:rPr>
                <w:rFonts w:cstheme="majorBidi"/>
                <w:color w:val="000000"/>
                <w:sz w:val="18"/>
                <w:szCs w:val="18"/>
              </w:rPr>
              <w:t>-04</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-0.001</w:t>
            </w:r>
            <w:r>
              <w:rPr>
                <w:rFonts w:cstheme="majorBidi"/>
                <w:color w:val="000000"/>
                <w:sz w:val="18"/>
                <w:szCs w:val="18"/>
              </w:rPr>
              <w:t>6</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0.000</w:t>
            </w:r>
            <w:r>
              <w:rPr>
                <w:rFonts w:cstheme="majorBidi"/>
                <w:color w:val="000000"/>
                <w:sz w:val="18"/>
                <w:szCs w:val="18"/>
              </w:rPr>
              <w:t>2</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3.55e</w:t>
            </w:r>
            <w:r w:rsidRPr="005B060C">
              <w:rPr>
                <w:rFonts w:cstheme="majorBidi"/>
                <w:color w:val="000000"/>
                <w:sz w:val="18"/>
                <w:szCs w:val="18"/>
              </w:rPr>
              <w:t>-07</w:t>
            </w:r>
          </w:p>
        </w:tc>
        <w:tc>
          <w:tcPr>
            <w:tcW w:w="1008" w:type="dxa"/>
            <w:vAlign w:val="bottom"/>
          </w:tcPr>
          <w:p w:rsidR="00B97965" w:rsidRPr="005B060C" w:rsidRDefault="00B97965" w:rsidP="00B97965">
            <w:pPr>
              <w:jc w:val="center"/>
              <w:rPr>
                <w:rFonts w:cstheme="majorBidi"/>
                <w:color w:val="000000"/>
                <w:sz w:val="18"/>
                <w:szCs w:val="18"/>
              </w:rPr>
            </w:pPr>
            <w:r>
              <w:rPr>
                <w:rFonts w:cstheme="majorBidi"/>
                <w:color w:val="000000"/>
                <w:sz w:val="18"/>
                <w:szCs w:val="18"/>
              </w:rPr>
              <w:t>-0.0011</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0.0006</w:t>
            </w:r>
          </w:p>
        </w:tc>
        <w:tc>
          <w:tcPr>
            <w:tcW w:w="1008" w:type="dxa"/>
            <w:vAlign w:val="bottom"/>
          </w:tcPr>
          <w:p w:rsidR="00B97965" w:rsidRPr="005B060C" w:rsidRDefault="00B97965" w:rsidP="00B97965">
            <w:pPr>
              <w:jc w:val="center"/>
              <w:rPr>
                <w:rFonts w:cstheme="majorBidi"/>
                <w:color w:val="000000"/>
                <w:sz w:val="18"/>
                <w:szCs w:val="18"/>
              </w:rPr>
            </w:pP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r w:rsidR="00B97965" w:rsidRPr="005B060C" w:rsidTr="00B97965">
        <w:tc>
          <w:tcPr>
            <w:tcW w:w="2155" w:type="dxa"/>
          </w:tcPr>
          <w:p w:rsidR="00B97965" w:rsidRPr="005B060C" w:rsidRDefault="00B97965" w:rsidP="00B97965">
            <w:pPr>
              <w:spacing w:line="276" w:lineRule="auto"/>
              <w:rPr>
                <w:rFonts w:cstheme="majorBidi"/>
                <w:sz w:val="18"/>
                <w:szCs w:val="18"/>
              </w:rPr>
            </w:pPr>
            <w:r>
              <w:rPr>
                <w:rFonts w:cstheme="majorBidi"/>
                <w:sz w:val="18"/>
                <w:szCs w:val="18"/>
              </w:rPr>
              <w:t>Treatment coefficient</w:t>
            </w:r>
          </w:p>
        </w:tc>
        <w:tc>
          <w:tcPr>
            <w:tcW w:w="850"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-0.0483</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tcPr>
          <w:p w:rsidR="00B97965" w:rsidRPr="005B060C" w:rsidRDefault="00B97965" w:rsidP="00B97965">
            <w:pPr>
              <w:spacing w:line="276" w:lineRule="auto"/>
              <w:jc w:val="center"/>
              <w:rPr>
                <w:sz w:val="18"/>
                <w:szCs w:val="18"/>
              </w:rPr>
            </w:pPr>
            <w:r w:rsidRPr="005B060C">
              <w:rPr>
                <w:rFonts w:cstheme="majorBidi"/>
                <w:color w:val="000000"/>
                <w:sz w:val="18"/>
                <w:szCs w:val="18"/>
              </w:rPr>
              <w:t>0.0000</w:t>
            </w:r>
          </w:p>
        </w:tc>
        <w:tc>
          <w:tcPr>
            <w:tcW w:w="1008" w:type="dxa"/>
            <w:vAlign w:val="bottom"/>
          </w:tcPr>
          <w:p w:rsidR="00B97965" w:rsidRPr="005B060C" w:rsidRDefault="00B97965" w:rsidP="00B97965">
            <w:pPr>
              <w:jc w:val="center"/>
              <w:rPr>
                <w:rFonts w:cstheme="majorBidi"/>
                <w:color w:val="000000"/>
                <w:sz w:val="18"/>
                <w:szCs w:val="18"/>
              </w:rPr>
            </w:pPr>
            <w:r w:rsidRPr="005B060C">
              <w:rPr>
                <w:rFonts w:cstheme="majorBidi"/>
                <w:color w:val="000000"/>
                <w:sz w:val="18"/>
                <w:szCs w:val="18"/>
              </w:rPr>
              <w:t>0.021</w:t>
            </w:r>
            <w:r>
              <w:rPr>
                <w:rFonts w:cstheme="majorBidi"/>
                <w:color w:val="000000"/>
                <w:sz w:val="18"/>
                <w:szCs w:val="18"/>
              </w:rPr>
              <w:t>9</w:t>
            </w:r>
          </w:p>
        </w:tc>
        <w:tc>
          <w:tcPr>
            <w:tcW w:w="1843" w:type="dxa"/>
          </w:tcPr>
          <w:p w:rsidR="00B97965" w:rsidRPr="005B060C" w:rsidRDefault="00B97965" w:rsidP="00B97965">
            <w:pPr>
              <w:spacing w:line="276" w:lineRule="auto"/>
              <w:rPr>
                <w:rFonts w:cstheme="majorBidi"/>
                <w:sz w:val="18"/>
                <w:szCs w:val="18"/>
              </w:rPr>
            </w:pPr>
            <w:r w:rsidRPr="005B060C">
              <w:rPr>
                <w:rFonts w:cstheme="majorBidi"/>
                <w:sz w:val="18"/>
                <w:szCs w:val="18"/>
              </w:rPr>
              <w:t>Multivariate Normal</w:t>
            </w:r>
          </w:p>
        </w:tc>
      </w:tr>
    </w:tbl>
    <w:p w:rsidR="00B97965" w:rsidRDefault="00B97965" w:rsidP="00B97965">
      <w:pPr>
        <w:spacing w:line="240" w:lineRule="auto"/>
        <w:rPr>
          <w:lang w:eastAsia="nl-NL"/>
        </w:rPr>
        <w:sectPr w:rsidR="00B97965" w:rsidSect="00B97965">
          <w:pgSz w:w="16838" w:h="11906" w:orient="landscape"/>
          <w:pgMar w:top="1440" w:right="1440" w:bottom="1440" w:left="1440" w:header="708" w:footer="708" w:gutter="0"/>
          <w:cols w:space="708"/>
          <w:docGrid w:linePitch="360"/>
        </w:sectPr>
      </w:pPr>
    </w:p>
    <w:p w:rsidR="00B97965" w:rsidRDefault="00B97965" w:rsidP="00234693">
      <w:pPr>
        <w:pStyle w:val="Caption"/>
      </w:pPr>
      <w:r>
        <w:t xml:space="preserve">Table </w:t>
      </w:r>
      <w:fldSimple w:instr=" SEQ Table \* ARABIC ">
        <w:r w:rsidR="004911B7">
          <w:rPr>
            <w:noProof/>
          </w:rPr>
          <w:t>119</w:t>
        </w:r>
      </w:fldSimple>
      <w:r>
        <w:t>: Parameter distribution details for Renal risk model</w:t>
      </w:r>
    </w:p>
    <w:tbl>
      <w:tblPr>
        <w:tblStyle w:val="TableGrid"/>
        <w:tblW w:w="9100" w:type="dxa"/>
        <w:tblLayout w:type="fixed"/>
        <w:tblCellMar>
          <w:left w:w="28" w:type="dxa"/>
          <w:right w:w="28" w:type="dxa"/>
        </w:tblCellMar>
        <w:tblLook w:val="04A0"/>
      </w:tblPr>
      <w:tblGrid>
        <w:gridCol w:w="2296"/>
        <w:gridCol w:w="851"/>
        <w:gridCol w:w="850"/>
        <w:gridCol w:w="850"/>
        <w:gridCol w:w="851"/>
        <w:gridCol w:w="850"/>
        <w:gridCol w:w="851"/>
        <w:gridCol w:w="1701"/>
      </w:tblGrid>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851"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252" w:type="dxa"/>
            <w:gridSpan w:val="5"/>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Cholesterol coefficient</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-0.0160</w:t>
            </w:r>
          </w:p>
        </w:tc>
        <w:tc>
          <w:tcPr>
            <w:tcW w:w="850" w:type="dxa"/>
            <w:vAlign w:val="bottom"/>
          </w:tcPr>
          <w:p w:rsidR="00B97965" w:rsidRPr="00942477" w:rsidRDefault="00B97965" w:rsidP="00B97965">
            <w:pPr>
              <w:spacing w:line="276" w:lineRule="auto"/>
              <w:jc w:val="right"/>
              <w:rPr>
                <w:rFonts w:cstheme="majorBidi"/>
                <w:color w:val="000000"/>
                <w:sz w:val="18"/>
                <w:szCs w:val="18"/>
              </w:rPr>
            </w:pPr>
            <w:r>
              <w:rPr>
                <w:rFonts w:cstheme="majorBidi"/>
                <w:color w:val="000000"/>
                <w:sz w:val="18"/>
                <w:szCs w:val="18"/>
              </w:rPr>
              <w:t>3.98e</w:t>
            </w:r>
            <w:r w:rsidRPr="00942477">
              <w:rPr>
                <w:rFonts w:cstheme="majorBidi"/>
                <w:color w:val="000000"/>
                <w:sz w:val="18"/>
                <w:szCs w:val="18"/>
              </w:rPr>
              <w:t>-05</w:t>
            </w:r>
          </w:p>
        </w:tc>
        <w:tc>
          <w:tcPr>
            <w:tcW w:w="850" w:type="dxa"/>
            <w:vAlign w:val="bottom"/>
          </w:tcPr>
          <w:p w:rsidR="00B97965" w:rsidRPr="00942477" w:rsidRDefault="00B97965" w:rsidP="00B97965">
            <w:pPr>
              <w:spacing w:line="276" w:lineRule="auto"/>
              <w:rPr>
                <w:rFonts w:cstheme="majorBidi"/>
                <w:color w:val="000000"/>
                <w:sz w:val="18"/>
                <w:szCs w:val="18"/>
              </w:rPr>
            </w:pP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850" w:type="dxa"/>
            <w:vAlign w:val="bottom"/>
          </w:tcPr>
          <w:p w:rsidR="00B97965" w:rsidRPr="00942477" w:rsidRDefault="00B97965" w:rsidP="00B97965">
            <w:pPr>
              <w:spacing w:line="276" w:lineRule="auto"/>
              <w:rPr>
                <w:rFonts w:cstheme="majorBidi"/>
                <w:color w:val="000000"/>
                <w:sz w:val="18"/>
                <w:szCs w:val="18"/>
              </w:rPr>
            </w:pPr>
            <w:r w:rsidRPr="00942477">
              <w:rPr>
                <w:rFonts w:cstheme="majorBidi"/>
                <w:color w:val="000000"/>
                <w:sz w:val="18"/>
                <w:szCs w:val="18"/>
              </w:rPr>
              <w:t xml:space="preserve">            </w:t>
            </w: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AMS coefficient</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-0.4524</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0.000</w:t>
            </w:r>
            <w:r>
              <w:rPr>
                <w:rFonts w:cstheme="majorBidi"/>
                <w:color w:val="000000"/>
                <w:sz w:val="18"/>
                <w:szCs w:val="18"/>
              </w:rPr>
              <w:t>3</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0.0121</w:t>
            </w: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850" w:type="dxa"/>
            <w:vAlign w:val="bottom"/>
          </w:tcPr>
          <w:p w:rsidR="00B97965" w:rsidRPr="00942477" w:rsidRDefault="00B97965" w:rsidP="00B97965">
            <w:pPr>
              <w:spacing w:line="276" w:lineRule="auto"/>
              <w:rPr>
                <w:rFonts w:cstheme="majorBidi"/>
                <w:color w:val="000000"/>
                <w:sz w:val="18"/>
                <w:szCs w:val="18"/>
              </w:rPr>
            </w:pPr>
            <w:r w:rsidRPr="00942477">
              <w:rPr>
                <w:rFonts w:cstheme="majorBidi"/>
                <w:color w:val="000000"/>
                <w:sz w:val="18"/>
                <w:szCs w:val="18"/>
              </w:rPr>
              <w:t xml:space="preserve">            </w:t>
            </w: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Intercept</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12.2281</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-0.0145</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-0.2036</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6.610</w:t>
            </w:r>
            <w:r>
              <w:rPr>
                <w:rFonts w:cstheme="majorBidi"/>
                <w:color w:val="000000"/>
                <w:sz w:val="18"/>
                <w:szCs w:val="18"/>
              </w:rPr>
              <w:t>7</w:t>
            </w:r>
          </w:p>
        </w:tc>
        <w:tc>
          <w:tcPr>
            <w:tcW w:w="850" w:type="dxa"/>
            <w:vAlign w:val="bottom"/>
          </w:tcPr>
          <w:p w:rsidR="00B97965" w:rsidRPr="00942477" w:rsidRDefault="00B97965" w:rsidP="00B97965">
            <w:pPr>
              <w:spacing w:line="276" w:lineRule="auto"/>
              <w:rPr>
                <w:rFonts w:cstheme="majorBidi"/>
                <w:color w:val="000000"/>
                <w:sz w:val="18"/>
                <w:szCs w:val="18"/>
              </w:rPr>
            </w:pPr>
            <w:r w:rsidRPr="00942477">
              <w:rPr>
                <w:rFonts w:cstheme="majorBidi"/>
                <w:color w:val="000000"/>
                <w:sz w:val="18"/>
                <w:szCs w:val="18"/>
              </w:rPr>
              <w:t xml:space="preserve">            </w:t>
            </w: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Pr>
                <w:rFonts w:cstheme="majorBidi"/>
                <w:sz w:val="18"/>
                <w:szCs w:val="18"/>
              </w:rPr>
              <w:t>Log(</w:t>
            </w:r>
            <w:r w:rsidRPr="00942477">
              <w:rPr>
                <w:rFonts w:cstheme="majorBidi"/>
                <w:sz w:val="18"/>
                <w:szCs w:val="18"/>
              </w:rPr>
              <w:t>Gamma</w:t>
            </w:r>
            <w:r>
              <w:rPr>
                <w:rFonts w:cstheme="majorBidi"/>
                <w:sz w:val="18"/>
                <w:szCs w:val="18"/>
              </w:rPr>
              <w:t>)</w:t>
            </w:r>
            <w:r w:rsidRPr="00942477">
              <w:rPr>
                <w:rFonts w:cstheme="majorBidi"/>
                <w:sz w:val="18"/>
                <w:szCs w:val="18"/>
              </w:rPr>
              <w:t xml:space="preserve"> </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0.5477</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-0.001</w:t>
            </w:r>
            <w:r>
              <w:rPr>
                <w:rFonts w:cstheme="majorBidi"/>
                <w:color w:val="000000"/>
                <w:sz w:val="18"/>
                <w:szCs w:val="18"/>
              </w:rPr>
              <w:t>1</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-0.0189</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0.563</w:t>
            </w:r>
            <w:r>
              <w:rPr>
                <w:rFonts w:cstheme="majorBidi"/>
                <w:color w:val="000000"/>
                <w:sz w:val="18"/>
                <w:szCs w:val="18"/>
              </w:rPr>
              <w:t>1</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5.69</w:t>
            </w:r>
            <w:r>
              <w:rPr>
                <w:rFonts w:cstheme="majorBidi"/>
                <w:color w:val="000000"/>
                <w:sz w:val="18"/>
                <w:szCs w:val="18"/>
              </w:rPr>
              <w:t>e</w:t>
            </w:r>
            <w:r w:rsidRPr="00942477">
              <w:rPr>
                <w:rFonts w:cstheme="majorBidi"/>
                <w:color w:val="000000"/>
                <w:sz w:val="18"/>
                <w:szCs w:val="18"/>
              </w:rPr>
              <w:t>-02</w:t>
            </w:r>
          </w:p>
        </w:tc>
        <w:tc>
          <w:tcPr>
            <w:tcW w:w="851" w:type="dxa"/>
            <w:vAlign w:val="bottom"/>
          </w:tcPr>
          <w:p w:rsidR="00B97965" w:rsidRPr="00942477" w:rsidRDefault="00B97965" w:rsidP="00B97965">
            <w:pPr>
              <w:spacing w:line="276" w:lineRule="auto"/>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Treatment coefficient</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0.0093</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w:t>
            </w:r>
            <w:r>
              <w:rPr>
                <w:rFonts w:cstheme="majorBidi"/>
                <w:color w:val="000000"/>
                <w:sz w:val="18"/>
                <w:szCs w:val="18"/>
              </w:rPr>
              <w:t>.0000</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w:t>
            </w:r>
            <w:r>
              <w:rPr>
                <w:rFonts w:cstheme="majorBidi"/>
                <w:color w:val="000000"/>
                <w:sz w:val="18"/>
                <w:szCs w:val="18"/>
              </w:rPr>
              <w:t>.0000</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w:t>
            </w:r>
            <w:r>
              <w:rPr>
                <w:rFonts w:cstheme="majorBidi"/>
                <w:color w:val="000000"/>
                <w:sz w:val="18"/>
                <w:szCs w:val="18"/>
              </w:rPr>
              <w:t>.0000</w:t>
            </w:r>
          </w:p>
        </w:tc>
        <w:tc>
          <w:tcPr>
            <w:tcW w:w="850"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w:t>
            </w:r>
            <w:r>
              <w:rPr>
                <w:rFonts w:cstheme="majorBidi"/>
                <w:color w:val="000000"/>
                <w:sz w:val="18"/>
                <w:szCs w:val="18"/>
              </w:rPr>
              <w:t>.0000</w:t>
            </w:r>
          </w:p>
        </w:tc>
        <w:tc>
          <w:tcPr>
            <w:tcW w:w="851" w:type="dxa"/>
            <w:vAlign w:val="bottom"/>
          </w:tcPr>
          <w:p w:rsidR="00B97965" w:rsidRPr="00942477" w:rsidRDefault="00B97965" w:rsidP="00B97965">
            <w:pPr>
              <w:spacing w:line="276" w:lineRule="auto"/>
              <w:jc w:val="right"/>
              <w:rPr>
                <w:rFonts w:cstheme="majorBidi"/>
                <w:color w:val="000000"/>
                <w:sz w:val="18"/>
                <w:szCs w:val="18"/>
              </w:rPr>
            </w:pPr>
            <w:r w:rsidRPr="00942477">
              <w:rPr>
                <w:rFonts w:cstheme="majorBidi"/>
                <w:color w:val="000000"/>
                <w:sz w:val="18"/>
                <w:szCs w:val="18"/>
              </w:rPr>
              <w:t>0.001</w:t>
            </w:r>
            <w:r>
              <w:rPr>
                <w:rFonts w:cstheme="majorBidi"/>
                <w:color w:val="000000"/>
                <w:sz w:val="18"/>
                <w:szCs w:val="18"/>
              </w:rPr>
              <w:t>3</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120</w:t>
        </w:r>
      </w:fldSimple>
      <w:r>
        <w:t>: Parameter distribution details for Musculoskeletal risk model</w:t>
      </w:r>
    </w:p>
    <w:tbl>
      <w:tblPr>
        <w:tblStyle w:val="TableGrid"/>
        <w:tblW w:w="9100" w:type="dxa"/>
        <w:tblLayout w:type="fixed"/>
        <w:tblCellMar>
          <w:left w:w="28" w:type="dxa"/>
          <w:right w:w="28" w:type="dxa"/>
        </w:tblCellMar>
        <w:tblLook w:val="04A0"/>
      </w:tblPr>
      <w:tblGrid>
        <w:gridCol w:w="2155"/>
        <w:gridCol w:w="708"/>
        <w:gridCol w:w="756"/>
        <w:gridCol w:w="756"/>
        <w:gridCol w:w="756"/>
        <w:gridCol w:w="756"/>
        <w:gridCol w:w="756"/>
        <w:gridCol w:w="756"/>
        <w:gridCol w:w="1701"/>
      </w:tblGrid>
      <w:tr w:rsidR="00B97965" w:rsidRPr="00942477" w:rsidTr="00B97965">
        <w:tc>
          <w:tcPr>
            <w:tcW w:w="2155"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708"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536" w:type="dxa"/>
            <w:gridSpan w:val="6"/>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 transformed age coefficient</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0.9519</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0.0447</w:t>
            </w: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Steroid exposure coefficient</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0.0014</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Pr>
                <w:rFonts w:cstheme="majorBidi"/>
                <w:color w:val="000000"/>
                <w:sz w:val="18"/>
                <w:szCs w:val="18"/>
              </w:rPr>
              <w:t>9.83e</w:t>
            </w:r>
            <w:r w:rsidRPr="00823319">
              <w:rPr>
                <w:rFonts w:cstheme="majorBidi"/>
                <w:color w:val="000000"/>
                <w:sz w:val="18"/>
                <w:szCs w:val="18"/>
              </w:rPr>
              <w:t>-06</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3.28</w:t>
            </w:r>
            <w:r>
              <w:rPr>
                <w:rFonts w:cstheme="majorBidi"/>
                <w:color w:val="000000"/>
                <w:sz w:val="18"/>
                <w:szCs w:val="18"/>
              </w:rPr>
              <w:t>e</w:t>
            </w:r>
            <w:r w:rsidRPr="00823319">
              <w:rPr>
                <w:rFonts w:cstheme="majorBidi"/>
                <w:color w:val="000000"/>
                <w:sz w:val="18"/>
                <w:szCs w:val="18"/>
              </w:rPr>
              <w:t>-08</w:t>
            </w: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SLICC/ACR DI coefficient</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0.1095</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-0.0020</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-1.03</w:t>
            </w:r>
            <w:r>
              <w:rPr>
                <w:rFonts w:cstheme="majorBidi"/>
                <w:color w:val="000000"/>
                <w:sz w:val="18"/>
                <w:szCs w:val="18"/>
              </w:rPr>
              <w:t>e</w:t>
            </w:r>
            <w:r w:rsidRPr="00823319">
              <w:rPr>
                <w:rFonts w:cstheme="majorBidi"/>
                <w:color w:val="000000"/>
                <w:sz w:val="18"/>
                <w:szCs w:val="18"/>
              </w:rPr>
              <w:t>-06</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0.0008</w:t>
            </w: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Intercept</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-7.3412</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-0.1666</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-5.2</w:t>
            </w:r>
            <w:r>
              <w:rPr>
                <w:rFonts w:cstheme="majorBidi"/>
                <w:color w:val="000000"/>
                <w:sz w:val="18"/>
                <w:szCs w:val="18"/>
              </w:rPr>
              <w:t>e</w:t>
            </w:r>
            <w:r w:rsidRPr="00823319">
              <w:rPr>
                <w:rFonts w:cstheme="majorBidi"/>
                <w:color w:val="000000"/>
                <w:sz w:val="18"/>
                <w:szCs w:val="18"/>
              </w:rPr>
              <w:t>-05</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0.0067</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0.6420</w:t>
            </w: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Log(Gamma)</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-0.1326</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-0.0005</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3.73</w:t>
            </w:r>
            <w:r>
              <w:rPr>
                <w:rFonts w:cstheme="majorBidi"/>
                <w:color w:val="000000"/>
                <w:sz w:val="18"/>
                <w:szCs w:val="18"/>
              </w:rPr>
              <w:t>e</w:t>
            </w:r>
            <w:r w:rsidRPr="00823319">
              <w:rPr>
                <w:rFonts w:cstheme="majorBidi"/>
                <w:color w:val="000000"/>
                <w:sz w:val="18"/>
                <w:szCs w:val="18"/>
              </w:rPr>
              <w:t>-06</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-0.0004</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-0.0041</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0.0029</w:t>
            </w:r>
          </w:p>
        </w:tc>
        <w:tc>
          <w:tcPr>
            <w:tcW w:w="756" w:type="dxa"/>
            <w:vAlign w:val="bottom"/>
          </w:tcPr>
          <w:p w:rsidR="00B97965" w:rsidRPr="00823319"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Treatment coefficient</w:t>
            </w:r>
          </w:p>
        </w:tc>
        <w:tc>
          <w:tcPr>
            <w:tcW w:w="708"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-0.0532</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Default="00B97965" w:rsidP="00B97965">
            <w:pPr>
              <w:spacing w:line="276" w:lineRule="auto"/>
              <w:jc w:val="center"/>
            </w:pPr>
            <w:r w:rsidRPr="00ED5B43">
              <w:rPr>
                <w:rFonts w:cstheme="majorBidi"/>
                <w:color w:val="000000"/>
                <w:sz w:val="18"/>
                <w:szCs w:val="18"/>
              </w:rPr>
              <w:t>0.0000</w:t>
            </w:r>
          </w:p>
        </w:tc>
        <w:tc>
          <w:tcPr>
            <w:tcW w:w="756" w:type="dxa"/>
          </w:tcPr>
          <w:p w:rsidR="00B97965" w:rsidRDefault="00B97965" w:rsidP="00B97965">
            <w:pPr>
              <w:spacing w:line="276" w:lineRule="auto"/>
              <w:jc w:val="center"/>
            </w:pPr>
            <w:r w:rsidRPr="00ED5B43">
              <w:rPr>
                <w:rFonts w:cstheme="majorBidi"/>
                <w:color w:val="000000"/>
                <w:sz w:val="18"/>
                <w:szCs w:val="18"/>
              </w:rPr>
              <w:t>0.0000</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0.0263</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121</w:t>
        </w:r>
      </w:fldSimple>
      <w:r>
        <w:t>: Parameter distribution details for Neuropsychiatric risk model</w:t>
      </w:r>
    </w:p>
    <w:tbl>
      <w:tblPr>
        <w:tblStyle w:val="TableGrid"/>
        <w:tblW w:w="9006" w:type="dxa"/>
        <w:tblLayout w:type="fixed"/>
        <w:tblCellMar>
          <w:left w:w="28" w:type="dxa"/>
          <w:right w:w="28" w:type="dxa"/>
        </w:tblCellMar>
        <w:tblLook w:val="04A0"/>
      </w:tblPr>
      <w:tblGrid>
        <w:gridCol w:w="2155"/>
        <w:gridCol w:w="708"/>
        <w:gridCol w:w="648"/>
        <w:gridCol w:w="648"/>
        <w:gridCol w:w="648"/>
        <w:gridCol w:w="648"/>
        <w:gridCol w:w="648"/>
        <w:gridCol w:w="648"/>
        <w:gridCol w:w="648"/>
        <w:gridCol w:w="1607"/>
      </w:tblGrid>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Parameter name</w:t>
            </w:r>
          </w:p>
        </w:tc>
        <w:tc>
          <w:tcPr>
            <w:tcW w:w="708"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Mean Estimate</w:t>
            </w:r>
          </w:p>
        </w:tc>
        <w:tc>
          <w:tcPr>
            <w:tcW w:w="4536" w:type="dxa"/>
            <w:gridSpan w:val="7"/>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Covariance Matrix</w:t>
            </w:r>
          </w:p>
        </w:tc>
        <w:tc>
          <w:tcPr>
            <w:tcW w:w="1607"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Distribution</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Cholesterol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0.0034</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1.3e-06</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r w:rsidRPr="00872368">
              <w:rPr>
                <w:rFonts w:asciiTheme="majorBidi" w:hAnsiTheme="majorBidi" w:cstheme="majorBidi"/>
                <w:color w:val="000000"/>
                <w:sz w:val="16"/>
                <w:szCs w:val="16"/>
              </w:rPr>
              <w:t xml:space="preserve">            </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Hypertension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0.5784</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-1.6e-05</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0.0271</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r w:rsidRPr="00872368">
              <w:rPr>
                <w:rFonts w:asciiTheme="majorBidi" w:hAnsiTheme="majorBidi" w:cstheme="majorBidi"/>
                <w:color w:val="000000"/>
                <w:sz w:val="16"/>
                <w:szCs w:val="16"/>
              </w:rPr>
              <w:t xml:space="preserve">            </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Log transformed age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0.8984</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-2.4e-05</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-0.0118</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0.06748</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r w:rsidRPr="00872368">
              <w:rPr>
                <w:rFonts w:asciiTheme="majorBidi" w:hAnsiTheme="majorBidi" w:cstheme="majorBidi"/>
                <w:color w:val="000000"/>
                <w:sz w:val="16"/>
                <w:szCs w:val="16"/>
              </w:rPr>
              <w:t xml:space="preserve">            </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Steroid exposure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0.0006</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-7.27e-08</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-6.33e-06</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1.75e-05</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6.55e-08</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648" w:type="dxa"/>
            <w:vAlign w:val="bottom"/>
          </w:tcPr>
          <w:p w:rsidR="00B97965" w:rsidRPr="00872368" w:rsidRDefault="00B97965" w:rsidP="00B97965">
            <w:pPr>
              <w:rPr>
                <w:rFonts w:asciiTheme="majorBidi" w:hAnsiTheme="majorBidi" w:cstheme="majorBidi"/>
                <w:color w:val="000000"/>
                <w:sz w:val="16"/>
                <w:szCs w:val="16"/>
              </w:rPr>
            </w:pPr>
            <w:r w:rsidRPr="00872368">
              <w:rPr>
                <w:rFonts w:asciiTheme="majorBidi" w:hAnsiTheme="majorBidi" w:cstheme="majorBidi"/>
                <w:color w:val="000000"/>
                <w:sz w:val="16"/>
                <w:szCs w:val="16"/>
              </w:rPr>
              <w:t xml:space="preserve">            </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Intercept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-8.0130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-0.00015</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0.03253</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-0.2441</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-7e-05</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0.96226</w:t>
            </w:r>
          </w:p>
        </w:tc>
        <w:tc>
          <w:tcPr>
            <w:tcW w:w="648" w:type="dxa"/>
            <w:vAlign w:val="bottom"/>
          </w:tcPr>
          <w:p w:rsidR="00B97965" w:rsidRPr="00872368" w:rsidRDefault="00B97965" w:rsidP="00B97965">
            <w:pPr>
              <w:rPr>
                <w:rFonts w:asciiTheme="majorBidi" w:hAnsiTheme="majorBidi" w:cstheme="majorBidi"/>
                <w:color w:val="000000"/>
                <w:sz w:val="16"/>
                <w:szCs w:val="16"/>
              </w:rPr>
            </w:pPr>
            <w:r w:rsidRPr="00872368">
              <w:rPr>
                <w:rFonts w:asciiTheme="majorBidi" w:hAnsiTheme="majorBidi" w:cstheme="majorBidi"/>
                <w:color w:val="000000"/>
                <w:sz w:val="16"/>
                <w:szCs w:val="16"/>
              </w:rPr>
              <w:t xml:space="preserve">            </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Log(Gamma)</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-0.2064</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6.89e-06</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-0.00099</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-0.00188</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3e9e-06</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-0.0024</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0.00442</w:t>
            </w:r>
          </w:p>
        </w:tc>
        <w:tc>
          <w:tcPr>
            <w:tcW w:w="648" w:type="dxa"/>
            <w:vAlign w:val="bottom"/>
          </w:tcPr>
          <w:p w:rsidR="00B97965" w:rsidRPr="00872368" w:rsidRDefault="00B97965" w:rsidP="00B97965">
            <w:pPr>
              <w:rPr>
                <w:rFonts w:asciiTheme="majorBidi" w:hAnsiTheme="majorBidi" w:cstheme="majorBidi"/>
                <w:color w:val="000000"/>
                <w:sz w:val="16"/>
                <w:szCs w:val="16"/>
              </w:rPr>
            </w:pP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Treatment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-0.0488</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w:t>
            </w:r>
          </w:p>
        </w:tc>
        <w:tc>
          <w:tcPr>
            <w:tcW w:w="648" w:type="dxa"/>
            <w:vAlign w:val="bottom"/>
          </w:tcPr>
          <w:p w:rsidR="00B97965" w:rsidRPr="00872368" w:rsidRDefault="00B97965" w:rsidP="00B97965">
            <w:pPr>
              <w:jc w:val="right"/>
              <w:rPr>
                <w:rFonts w:asciiTheme="majorBidi" w:hAnsiTheme="majorBidi" w:cstheme="majorBidi"/>
                <w:color w:val="000000"/>
                <w:sz w:val="16"/>
                <w:szCs w:val="16"/>
              </w:rPr>
            </w:pPr>
            <w:r w:rsidRPr="00872368">
              <w:rPr>
                <w:rFonts w:asciiTheme="majorBidi" w:hAnsiTheme="majorBidi" w:cstheme="majorBidi"/>
                <w:color w:val="000000"/>
                <w:sz w:val="16"/>
                <w:szCs w:val="16"/>
              </w:rPr>
              <w:t>0.02203</w:t>
            </w:r>
          </w:p>
        </w:tc>
        <w:tc>
          <w:tcPr>
            <w:tcW w:w="1607"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122</w:t>
        </w:r>
      </w:fldSimple>
      <w:r>
        <w:t>: Parameter distribution details for Pulmonary risk model</w:t>
      </w:r>
    </w:p>
    <w:tbl>
      <w:tblPr>
        <w:tblStyle w:val="TableGrid"/>
        <w:tblW w:w="8959" w:type="dxa"/>
        <w:tblLayout w:type="fixed"/>
        <w:tblCellMar>
          <w:left w:w="28" w:type="dxa"/>
          <w:right w:w="28" w:type="dxa"/>
        </w:tblCellMar>
        <w:tblLook w:val="04A0"/>
      </w:tblPr>
      <w:tblGrid>
        <w:gridCol w:w="2155"/>
        <w:gridCol w:w="708"/>
        <w:gridCol w:w="648"/>
        <w:gridCol w:w="648"/>
        <w:gridCol w:w="648"/>
        <w:gridCol w:w="648"/>
        <w:gridCol w:w="648"/>
        <w:gridCol w:w="648"/>
        <w:gridCol w:w="648"/>
        <w:gridCol w:w="1560"/>
      </w:tblGrid>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Parameter name</w:t>
            </w:r>
          </w:p>
        </w:tc>
        <w:tc>
          <w:tcPr>
            <w:tcW w:w="708"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Mean Estimate</w:t>
            </w:r>
          </w:p>
        </w:tc>
        <w:tc>
          <w:tcPr>
            <w:tcW w:w="4536" w:type="dxa"/>
            <w:gridSpan w:val="7"/>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Covariance Matrix</w:t>
            </w:r>
          </w:p>
        </w:tc>
        <w:tc>
          <w:tcPr>
            <w:tcW w:w="1560"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Distribution</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Anticardiolipin antibodies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-1.3923</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0.2134</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Log transformed age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-1.4642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0.0214</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0.1841</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AMS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-0.115</w:t>
            </w:r>
            <w:r>
              <w:rPr>
                <w:rFonts w:asciiTheme="majorBidi" w:hAnsiTheme="majorBidi" w:cstheme="majorBidi"/>
                <w:color w:val="000000"/>
                <w:sz w:val="18"/>
                <w:szCs w:val="18"/>
              </w:rPr>
              <w:t>9</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0.0052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0.0021</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SLICC/ACR DI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-0.15</w:t>
            </w:r>
            <w:r>
              <w:rPr>
                <w:rFonts w:asciiTheme="majorBidi" w:hAnsiTheme="majorBidi" w:cstheme="majorBidi"/>
                <w:color w:val="000000"/>
                <w:sz w:val="18"/>
                <w:szCs w:val="18"/>
              </w:rPr>
              <w:t>50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0.0034</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-0.0024</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-0.0001</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0.0035</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Intercept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10.4723</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-0.1272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-0.7436</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-0.0266</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-0.0026</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3.0987</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Log(Gamma)</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0.1076</w:t>
            </w:r>
            <w:r>
              <w:rPr>
                <w:rFonts w:asciiTheme="majorBidi" w:hAnsiTheme="majorBidi" w:cstheme="majorBidi"/>
                <w:color w:val="000000"/>
                <w:sz w:val="18"/>
                <w:szCs w:val="18"/>
              </w:rPr>
              <w:t>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-0.0135</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-0.0172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-0.0003</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-0.0025</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0.0902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0.0096</w:t>
            </w:r>
          </w:p>
        </w:tc>
        <w:tc>
          <w:tcPr>
            <w:tcW w:w="648" w:type="dxa"/>
            <w:vAlign w:val="bottom"/>
          </w:tcPr>
          <w:p w:rsidR="00B97965" w:rsidRPr="00872368" w:rsidRDefault="00B97965" w:rsidP="00B97965">
            <w:pPr>
              <w:rPr>
                <w:rFonts w:asciiTheme="majorBidi" w:hAnsiTheme="majorBidi" w:cstheme="majorBidi"/>
                <w:color w:val="000000"/>
                <w:sz w:val="18"/>
                <w:szCs w:val="18"/>
              </w:rPr>
            </w:pP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r w:rsidR="00B97965" w:rsidRPr="00872368" w:rsidTr="00B97965">
        <w:tc>
          <w:tcPr>
            <w:tcW w:w="2155" w:type="dxa"/>
          </w:tcPr>
          <w:p w:rsidR="00B97965" w:rsidRPr="00872368" w:rsidRDefault="00B97965" w:rsidP="00B97965">
            <w:pPr>
              <w:spacing w:line="276" w:lineRule="auto"/>
              <w:rPr>
                <w:rFonts w:asciiTheme="majorBidi" w:hAnsiTheme="majorBidi" w:cstheme="majorBidi"/>
                <w:sz w:val="18"/>
                <w:szCs w:val="18"/>
              </w:rPr>
            </w:pPr>
            <w:r w:rsidRPr="00872368">
              <w:rPr>
                <w:rFonts w:asciiTheme="majorBidi" w:hAnsiTheme="majorBidi" w:cstheme="majorBidi"/>
                <w:sz w:val="18"/>
                <w:szCs w:val="18"/>
              </w:rPr>
              <w:t>Treatment coefficient</w:t>
            </w:r>
          </w:p>
        </w:tc>
        <w:tc>
          <w:tcPr>
            <w:tcW w:w="70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0.02162</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0.0000</w:t>
            </w:r>
          </w:p>
        </w:tc>
        <w:tc>
          <w:tcPr>
            <w:tcW w:w="648" w:type="dxa"/>
            <w:vAlign w:val="bottom"/>
          </w:tcPr>
          <w:p w:rsidR="00B97965" w:rsidRPr="00872368" w:rsidRDefault="00B97965" w:rsidP="00B97965">
            <w:pPr>
              <w:jc w:val="right"/>
              <w:rPr>
                <w:rFonts w:asciiTheme="majorBidi" w:hAnsiTheme="majorBidi" w:cstheme="majorBidi"/>
                <w:color w:val="000000"/>
                <w:sz w:val="18"/>
                <w:szCs w:val="18"/>
              </w:rPr>
            </w:pPr>
            <w:r w:rsidRPr="00872368">
              <w:rPr>
                <w:rFonts w:asciiTheme="majorBidi" w:hAnsiTheme="majorBidi" w:cstheme="majorBidi"/>
                <w:color w:val="000000"/>
                <w:sz w:val="18"/>
                <w:szCs w:val="18"/>
              </w:rPr>
              <w:t>0.0052</w:t>
            </w:r>
          </w:p>
        </w:tc>
        <w:tc>
          <w:tcPr>
            <w:tcW w:w="1560" w:type="dxa"/>
          </w:tcPr>
          <w:p w:rsidR="00B97965" w:rsidRPr="00872368" w:rsidRDefault="00B97965" w:rsidP="00B97965">
            <w:pPr>
              <w:spacing w:line="276" w:lineRule="auto"/>
              <w:jc w:val="center"/>
              <w:rPr>
                <w:rFonts w:asciiTheme="majorBidi" w:hAnsiTheme="majorBidi" w:cstheme="majorBidi"/>
                <w:sz w:val="18"/>
                <w:szCs w:val="18"/>
              </w:rPr>
            </w:pPr>
            <w:r w:rsidRPr="00872368">
              <w:rPr>
                <w:rFonts w:asciiTheme="majorBidi" w:hAnsiTheme="majorBidi"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123</w:t>
        </w:r>
      </w:fldSimple>
      <w:r>
        <w:t>: Parameter distribution details for Peripheral Vascular risk model</w:t>
      </w:r>
    </w:p>
    <w:tbl>
      <w:tblPr>
        <w:tblStyle w:val="TableGrid"/>
        <w:tblW w:w="9100" w:type="dxa"/>
        <w:tblLayout w:type="fixed"/>
        <w:tblCellMar>
          <w:left w:w="28" w:type="dxa"/>
          <w:right w:w="28" w:type="dxa"/>
        </w:tblCellMar>
        <w:tblLook w:val="04A0"/>
      </w:tblPr>
      <w:tblGrid>
        <w:gridCol w:w="2155"/>
        <w:gridCol w:w="708"/>
        <w:gridCol w:w="756"/>
        <w:gridCol w:w="756"/>
        <w:gridCol w:w="756"/>
        <w:gridCol w:w="756"/>
        <w:gridCol w:w="756"/>
        <w:gridCol w:w="756"/>
        <w:gridCol w:w="1701"/>
      </w:tblGrid>
      <w:tr w:rsidR="00B97965" w:rsidRPr="00942477" w:rsidTr="00B97965">
        <w:tc>
          <w:tcPr>
            <w:tcW w:w="2155"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708"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536" w:type="dxa"/>
            <w:gridSpan w:val="6"/>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Smoking coefficient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0.6838</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8.37</w:t>
            </w:r>
            <w:r>
              <w:rPr>
                <w:rFonts w:cstheme="majorBidi"/>
                <w:color w:val="000000"/>
                <w:sz w:val="18"/>
                <w:szCs w:val="18"/>
              </w:rPr>
              <w:t>e</w:t>
            </w:r>
            <w:r w:rsidRPr="00612F04">
              <w:rPr>
                <w:rFonts w:cstheme="majorBidi"/>
                <w:color w:val="000000"/>
                <w:sz w:val="18"/>
                <w:szCs w:val="18"/>
              </w:rPr>
              <w:t>-02</w:t>
            </w: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Cholesterol coefficient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0.0048</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-3.1</w:t>
            </w:r>
            <w:r>
              <w:rPr>
                <w:rFonts w:cstheme="majorBidi"/>
                <w:color w:val="000000"/>
                <w:sz w:val="18"/>
                <w:szCs w:val="18"/>
              </w:rPr>
              <w:t>e</w:t>
            </w:r>
            <w:r w:rsidRPr="00612F04">
              <w:rPr>
                <w:rFonts w:cstheme="majorBidi"/>
                <w:color w:val="000000"/>
                <w:sz w:val="18"/>
                <w:szCs w:val="18"/>
              </w:rPr>
              <w:t>-05</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2.02</w:t>
            </w:r>
            <w:r>
              <w:rPr>
                <w:rFonts w:cstheme="majorBidi"/>
                <w:color w:val="000000"/>
                <w:sz w:val="18"/>
                <w:szCs w:val="18"/>
              </w:rPr>
              <w:t>e</w:t>
            </w:r>
            <w:r w:rsidRPr="00612F04">
              <w:rPr>
                <w:rFonts w:cstheme="majorBidi"/>
                <w:color w:val="000000"/>
                <w:sz w:val="18"/>
                <w:szCs w:val="18"/>
              </w:rPr>
              <w:t>-06</w:t>
            </w: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Hypertension coefficient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0.7982</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-7.49</w:t>
            </w:r>
            <w:r>
              <w:rPr>
                <w:rFonts w:cstheme="majorBidi"/>
                <w:color w:val="000000"/>
                <w:sz w:val="18"/>
                <w:szCs w:val="18"/>
              </w:rPr>
              <w:t>e</w:t>
            </w:r>
            <w:r w:rsidRPr="00612F04">
              <w:rPr>
                <w:rFonts w:cstheme="majorBidi"/>
                <w:color w:val="000000"/>
                <w:sz w:val="18"/>
                <w:szCs w:val="18"/>
              </w:rPr>
              <w:t>-03</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-4.84</w:t>
            </w:r>
            <w:r>
              <w:rPr>
                <w:rFonts w:cstheme="majorBidi"/>
                <w:color w:val="000000"/>
                <w:sz w:val="18"/>
                <w:szCs w:val="18"/>
              </w:rPr>
              <w:t>e</w:t>
            </w:r>
            <w:r w:rsidRPr="00612F04">
              <w:rPr>
                <w:rFonts w:cstheme="majorBidi"/>
                <w:color w:val="000000"/>
                <w:sz w:val="18"/>
                <w:szCs w:val="18"/>
              </w:rPr>
              <w:t>-05</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0.105</w:t>
            </w:r>
            <w:r>
              <w:rPr>
                <w:rFonts w:cstheme="majorBidi"/>
                <w:color w:val="000000"/>
                <w:sz w:val="18"/>
                <w:szCs w:val="18"/>
              </w:rPr>
              <w:t>9</w:t>
            </w: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Lupus anticoagulant coefficient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0.8223</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7.11</w:t>
            </w:r>
            <w:r>
              <w:rPr>
                <w:rFonts w:cstheme="majorBidi"/>
                <w:color w:val="000000"/>
                <w:sz w:val="18"/>
                <w:szCs w:val="18"/>
              </w:rPr>
              <w:t>e</w:t>
            </w:r>
            <w:r w:rsidRPr="00612F04">
              <w:rPr>
                <w:rFonts w:cstheme="majorBidi"/>
                <w:color w:val="000000"/>
                <w:sz w:val="18"/>
                <w:szCs w:val="18"/>
              </w:rPr>
              <w:t>-03</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-2.45</w:t>
            </w:r>
            <w:r>
              <w:rPr>
                <w:rFonts w:cstheme="majorBidi"/>
                <w:color w:val="000000"/>
                <w:sz w:val="18"/>
                <w:szCs w:val="18"/>
              </w:rPr>
              <w:t>e</w:t>
            </w:r>
            <w:r w:rsidRPr="00612F04">
              <w:rPr>
                <w:rFonts w:cstheme="majorBidi"/>
                <w:color w:val="000000"/>
                <w:sz w:val="18"/>
                <w:szCs w:val="18"/>
              </w:rPr>
              <w:t>-05</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-0.008</w:t>
            </w:r>
            <w:r>
              <w:rPr>
                <w:rFonts w:cstheme="majorBidi"/>
                <w:color w:val="000000"/>
                <w:sz w:val="18"/>
                <w:szCs w:val="18"/>
              </w:rPr>
              <w:t>8</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1.17</w:t>
            </w:r>
            <w:r>
              <w:rPr>
                <w:rFonts w:cstheme="majorBidi"/>
                <w:color w:val="000000"/>
                <w:sz w:val="18"/>
                <w:szCs w:val="18"/>
              </w:rPr>
              <w:t>e</w:t>
            </w:r>
            <w:r w:rsidRPr="00612F04">
              <w:rPr>
                <w:rFonts w:cstheme="majorBidi"/>
                <w:color w:val="000000"/>
                <w:sz w:val="18"/>
                <w:szCs w:val="18"/>
              </w:rPr>
              <w:t>-01</w:t>
            </w: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Intercept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-7.3112</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-4.03</w:t>
            </w:r>
            <w:r>
              <w:rPr>
                <w:rFonts w:cstheme="majorBidi"/>
                <w:color w:val="000000"/>
                <w:sz w:val="18"/>
                <w:szCs w:val="18"/>
              </w:rPr>
              <w:t>e</w:t>
            </w:r>
            <w:r w:rsidRPr="00612F04">
              <w:rPr>
                <w:rFonts w:cstheme="majorBidi"/>
                <w:color w:val="000000"/>
                <w:sz w:val="18"/>
                <w:szCs w:val="18"/>
              </w:rPr>
              <w:t>-02</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-3.65</w:t>
            </w:r>
            <w:r>
              <w:rPr>
                <w:rFonts w:cstheme="majorBidi"/>
                <w:color w:val="000000"/>
                <w:sz w:val="18"/>
                <w:szCs w:val="18"/>
              </w:rPr>
              <w:t>e</w:t>
            </w:r>
            <w:r w:rsidRPr="00612F04">
              <w:rPr>
                <w:rFonts w:cstheme="majorBidi"/>
                <w:color w:val="000000"/>
                <w:sz w:val="18"/>
                <w:szCs w:val="18"/>
              </w:rPr>
              <w:t>-04</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-0.0622</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-1.79</w:t>
            </w:r>
            <w:r>
              <w:rPr>
                <w:rFonts w:cstheme="majorBidi"/>
                <w:color w:val="000000"/>
                <w:sz w:val="18"/>
                <w:szCs w:val="18"/>
              </w:rPr>
              <w:t>e</w:t>
            </w:r>
            <w:r w:rsidRPr="00612F04">
              <w:rPr>
                <w:rFonts w:cstheme="majorBidi"/>
                <w:color w:val="000000"/>
                <w:sz w:val="18"/>
                <w:szCs w:val="18"/>
              </w:rPr>
              <w:t>-02</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0.1714</w:t>
            </w:r>
          </w:p>
        </w:tc>
        <w:tc>
          <w:tcPr>
            <w:tcW w:w="756" w:type="dxa"/>
            <w:vAlign w:val="bottom"/>
          </w:tcPr>
          <w:p w:rsidR="00B97965" w:rsidRPr="00612F04"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Treatment coefficient</w:t>
            </w:r>
          </w:p>
        </w:tc>
        <w:tc>
          <w:tcPr>
            <w:tcW w:w="708"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-0.0724</w:t>
            </w:r>
          </w:p>
        </w:tc>
        <w:tc>
          <w:tcPr>
            <w:tcW w:w="756"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Default="00B97965" w:rsidP="00B97965">
            <w:pPr>
              <w:spacing w:line="276" w:lineRule="auto"/>
              <w:jc w:val="center"/>
            </w:pPr>
            <w:r w:rsidRPr="00ED5B43">
              <w:rPr>
                <w:rFonts w:cstheme="majorBidi"/>
                <w:color w:val="000000"/>
                <w:sz w:val="18"/>
                <w:szCs w:val="18"/>
              </w:rPr>
              <w:t>0.0000</w:t>
            </w:r>
          </w:p>
        </w:tc>
        <w:tc>
          <w:tcPr>
            <w:tcW w:w="756" w:type="dxa"/>
          </w:tcPr>
          <w:p w:rsidR="00B97965" w:rsidRDefault="00B97965" w:rsidP="00B97965">
            <w:pPr>
              <w:spacing w:line="276" w:lineRule="auto"/>
              <w:jc w:val="center"/>
            </w:pPr>
            <w:r w:rsidRPr="00ED5B43">
              <w:rPr>
                <w:rFonts w:cstheme="majorBidi"/>
                <w:color w:val="000000"/>
                <w:sz w:val="18"/>
                <w:szCs w:val="18"/>
              </w:rPr>
              <w:t>0.0000</w:t>
            </w:r>
          </w:p>
        </w:tc>
        <w:tc>
          <w:tcPr>
            <w:tcW w:w="756" w:type="dxa"/>
            <w:vAlign w:val="bottom"/>
          </w:tcPr>
          <w:p w:rsidR="00B97965" w:rsidRPr="00612F04" w:rsidRDefault="00B97965" w:rsidP="00B97965">
            <w:pPr>
              <w:spacing w:line="276" w:lineRule="auto"/>
              <w:jc w:val="center"/>
              <w:rPr>
                <w:rFonts w:cstheme="majorBidi"/>
                <w:color w:val="000000"/>
                <w:sz w:val="18"/>
                <w:szCs w:val="18"/>
              </w:rPr>
            </w:pPr>
            <w:r w:rsidRPr="00612F04">
              <w:rPr>
                <w:rFonts w:cstheme="majorBidi"/>
                <w:color w:val="000000"/>
                <w:sz w:val="18"/>
                <w:szCs w:val="18"/>
              </w:rPr>
              <w:t>0.1145</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124</w:t>
        </w:r>
      </w:fldSimple>
      <w:r>
        <w:t>: Parameter distribution details for Gastrointestinal risk model</w:t>
      </w:r>
    </w:p>
    <w:tbl>
      <w:tblPr>
        <w:tblStyle w:val="TableGrid"/>
        <w:tblW w:w="9100" w:type="dxa"/>
        <w:tblLayout w:type="fixed"/>
        <w:tblCellMar>
          <w:left w:w="28" w:type="dxa"/>
          <w:right w:w="28" w:type="dxa"/>
        </w:tblCellMar>
        <w:tblLook w:val="04A0"/>
      </w:tblPr>
      <w:tblGrid>
        <w:gridCol w:w="2155"/>
        <w:gridCol w:w="1134"/>
        <w:gridCol w:w="1370"/>
        <w:gridCol w:w="1370"/>
        <w:gridCol w:w="1370"/>
        <w:gridCol w:w="1701"/>
      </w:tblGrid>
      <w:tr w:rsidR="00B97965" w:rsidRPr="00942477" w:rsidTr="00B97965">
        <w:tc>
          <w:tcPr>
            <w:tcW w:w="2155"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1134"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110" w:type="dxa"/>
            <w:gridSpan w:val="3"/>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Steroid exposure coefficient</w:t>
            </w:r>
          </w:p>
        </w:tc>
        <w:tc>
          <w:tcPr>
            <w:tcW w:w="1134"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0.0008</w:t>
            </w:r>
          </w:p>
        </w:tc>
        <w:tc>
          <w:tcPr>
            <w:tcW w:w="1370" w:type="dxa"/>
            <w:vAlign w:val="bottom"/>
          </w:tcPr>
          <w:p w:rsidR="00B97965" w:rsidRPr="00DD4871" w:rsidRDefault="00B97965" w:rsidP="00B97965">
            <w:pPr>
              <w:spacing w:line="276" w:lineRule="auto"/>
              <w:jc w:val="center"/>
              <w:rPr>
                <w:rFonts w:cstheme="majorBidi"/>
                <w:color w:val="000000"/>
                <w:sz w:val="18"/>
                <w:szCs w:val="18"/>
              </w:rPr>
            </w:pPr>
            <w:r>
              <w:rPr>
                <w:rFonts w:cstheme="majorBidi"/>
                <w:color w:val="000000"/>
                <w:sz w:val="18"/>
                <w:szCs w:val="18"/>
              </w:rPr>
              <w:t>1.43e</w:t>
            </w:r>
            <w:r w:rsidRPr="00DD4871">
              <w:rPr>
                <w:rFonts w:cstheme="majorBidi"/>
                <w:color w:val="000000"/>
                <w:sz w:val="18"/>
                <w:szCs w:val="18"/>
              </w:rPr>
              <w:t>-07</w:t>
            </w:r>
          </w:p>
        </w:tc>
        <w:tc>
          <w:tcPr>
            <w:tcW w:w="1370" w:type="dxa"/>
            <w:vAlign w:val="bottom"/>
          </w:tcPr>
          <w:p w:rsidR="00B97965" w:rsidRPr="00DD4871" w:rsidRDefault="00B97965" w:rsidP="00B97965">
            <w:pPr>
              <w:spacing w:line="276" w:lineRule="auto"/>
              <w:jc w:val="center"/>
              <w:rPr>
                <w:rFonts w:cstheme="majorBidi"/>
                <w:color w:val="000000"/>
                <w:sz w:val="18"/>
                <w:szCs w:val="18"/>
              </w:rPr>
            </w:pPr>
          </w:p>
        </w:tc>
        <w:tc>
          <w:tcPr>
            <w:tcW w:w="1370"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Intercept</w:t>
            </w:r>
          </w:p>
        </w:tc>
        <w:tc>
          <w:tcPr>
            <w:tcW w:w="1134"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-5.0299</w:t>
            </w:r>
          </w:p>
        </w:tc>
        <w:tc>
          <w:tcPr>
            <w:tcW w:w="1370" w:type="dxa"/>
            <w:vAlign w:val="bottom"/>
          </w:tcPr>
          <w:p w:rsidR="00B97965" w:rsidRPr="00DD4871" w:rsidRDefault="00B97965" w:rsidP="00B97965">
            <w:pPr>
              <w:spacing w:line="276" w:lineRule="auto"/>
              <w:jc w:val="center"/>
              <w:rPr>
                <w:rFonts w:cstheme="majorBidi"/>
                <w:color w:val="000000"/>
                <w:sz w:val="18"/>
                <w:szCs w:val="18"/>
              </w:rPr>
            </w:pPr>
            <w:r>
              <w:rPr>
                <w:rFonts w:cstheme="majorBidi"/>
                <w:color w:val="000000"/>
                <w:sz w:val="18"/>
                <w:szCs w:val="18"/>
              </w:rPr>
              <w:t>-3.8e</w:t>
            </w:r>
            <w:r w:rsidRPr="00DD4871">
              <w:rPr>
                <w:rFonts w:cstheme="majorBidi"/>
                <w:color w:val="000000"/>
                <w:sz w:val="18"/>
                <w:szCs w:val="18"/>
              </w:rPr>
              <w:t>-05</w:t>
            </w:r>
          </w:p>
        </w:tc>
        <w:tc>
          <w:tcPr>
            <w:tcW w:w="137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0.022</w:t>
            </w:r>
            <w:r>
              <w:rPr>
                <w:rFonts w:cstheme="majorBidi"/>
                <w:color w:val="000000"/>
                <w:sz w:val="18"/>
                <w:szCs w:val="18"/>
              </w:rPr>
              <w:t>9</w:t>
            </w:r>
          </w:p>
        </w:tc>
        <w:tc>
          <w:tcPr>
            <w:tcW w:w="1370"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Treatment coefficient</w:t>
            </w:r>
          </w:p>
        </w:tc>
        <w:tc>
          <w:tcPr>
            <w:tcW w:w="1134"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-0.0480</w:t>
            </w:r>
          </w:p>
        </w:tc>
        <w:tc>
          <w:tcPr>
            <w:tcW w:w="1370" w:type="dxa"/>
            <w:vAlign w:val="bottom"/>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1370" w:type="dxa"/>
          </w:tcPr>
          <w:p w:rsidR="00B97965" w:rsidRDefault="00B97965" w:rsidP="00B97965">
            <w:pPr>
              <w:spacing w:line="276" w:lineRule="auto"/>
              <w:jc w:val="center"/>
            </w:pPr>
            <w:r w:rsidRPr="00053398">
              <w:rPr>
                <w:rFonts w:cstheme="majorBidi"/>
                <w:color w:val="000000"/>
                <w:sz w:val="18"/>
                <w:szCs w:val="18"/>
              </w:rPr>
              <w:t>0.0000</w:t>
            </w:r>
          </w:p>
        </w:tc>
        <w:tc>
          <w:tcPr>
            <w:tcW w:w="137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0.0217</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125</w:t>
        </w:r>
      </w:fldSimple>
      <w:r>
        <w:t>: Parameter distribution details for Ocular risk model</w:t>
      </w:r>
    </w:p>
    <w:tbl>
      <w:tblPr>
        <w:tblStyle w:val="TableGrid"/>
        <w:tblW w:w="9100" w:type="dxa"/>
        <w:tblLayout w:type="fixed"/>
        <w:tblCellMar>
          <w:left w:w="28" w:type="dxa"/>
          <w:right w:w="28" w:type="dxa"/>
        </w:tblCellMar>
        <w:tblLook w:val="04A0"/>
      </w:tblPr>
      <w:tblGrid>
        <w:gridCol w:w="2155"/>
        <w:gridCol w:w="708"/>
        <w:gridCol w:w="756"/>
        <w:gridCol w:w="756"/>
        <w:gridCol w:w="756"/>
        <w:gridCol w:w="756"/>
        <w:gridCol w:w="756"/>
        <w:gridCol w:w="756"/>
        <w:gridCol w:w="1701"/>
      </w:tblGrid>
      <w:tr w:rsidR="00B97965" w:rsidRPr="00942477" w:rsidTr="00B97965">
        <w:tc>
          <w:tcPr>
            <w:tcW w:w="2155"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708"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536" w:type="dxa"/>
            <w:gridSpan w:val="6"/>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Hypertension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0.3909</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0.0357</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Log-transformed age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2.2730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-0.01</w:t>
            </w:r>
            <w:r>
              <w:rPr>
                <w:rFonts w:cstheme="majorBidi"/>
                <w:color w:val="000000"/>
                <w:sz w:val="18"/>
                <w:szCs w:val="18"/>
              </w:rPr>
              <w:t>90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0.10</w:t>
            </w:r>
            <w:r>
              <w:rPr>
                <w:rFonts w:cstheme="majorBidi"/>
                <w:color w:val="000000"/>
                <w:sz w:val="18"/>
                <w:szCs w:val="18"/>
              </w:rPr>
              <w:t>50</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Steroid exposure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0.0013</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-6.06</w:t>
            </w:r>
            <w:r>
              <w:rPr>
                <w:rFonts w:cstheme="majorBidi"/>
                <w:color w:val="000000"/>
                <w:sz w:val="18"/>
                <w:szCs w:val="18"/>
              </w:rPr>
              <w:t>e</w:t>
            </w:r>
            <w:r w:rsidRPr="00DD4871">
              <w:rPr>
                <w:rFonts w:cstheme="majorBidi"/>
                <w:color w:val="000000"/>
                <w:sz w:val="18"/>
                <w:szCs w:val="18"/>
              </w:rPr>
              <w:t>-06</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2.11</w:t>
            </w:r>
            <w:r>
              <w:rPr>
                <w:rFonts w:cstheme="majorBidi"/>
                <w:color w:val="000000"/>
                <w:sz w:val="18"/>
                <w:szCs w:val="18"/>
              </w:rPr>
              <w:t>e</w:t>
            </w:r>
            <w:r w:rsidRPr="00DD4871">
              <w:rPr>
                <w:rFonts w:cstheme="majorBidi"/>
                <w:color w:val="000000"/>
                <w:sz w:val="18"/>
                <w:szCs w:val="18"/>
              </w:rPr>
              <w:t>-05</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9.78</w:t>
            </w:r>
            <w:r>
              <w:rPr>
                <w:rFonts w:cstheme="majorBidi"/>
                <w:color w:val="000000"/>
                <w:sz w:val="18"/>
                <w:szCs w:val="18"/>
              </w:rPr>
              <w:t>e</w:t>
            </w:r>
            <w:r w:rsidRPr="00DD4871">
              <w:rPr>
                <w:rFonts w:cstheme="majorBidi"/>
                <w:color w:val="000000"/>
                <w:sz w:val="18"/>
                <w:szCs w:val="18"/>
              </w:rPr>
              <w:t>-08</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Intercept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-12.7782</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-4.84</w:t>
            </w:r>
            <w:r>
              <w:rPr>
                <w:rFonts w:cstheme="majorBidi"/>
                <w:color w:val="000000"/>
                <w:sz w:val="18"/>
                <w:szCs w:val="18"/>
              </w:rPr>
              <w:t>e</w:t>
            </w:r>
            <w:r w:rsidRPr="00DD4871">
              <w:rPr>
                <w:rFonts w:cstheme="majorBidi"/>
                <w:color w:val="000000"/>
                <w:sz w:val="18"/>
                <w:szCs w:val="18"/>
              </w:rPr>
              <w:t>-04</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0.002</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-5.56</w:t>
            </w:r>
            <w:r>
              <w:rPr>
                <w:rFonts w:cstheme="majorBidi"/>
                <w:color w:val="000000"/>
                <w:sz w:val="18"/>
                <w:szCs w:val="18"/>
              </w:rPr>
              <w:t>e</w:t>
            </w:r>
            <w:r w:rsidRPr="00DD4871">
              <w:rPr>
                <w:rFonts w:cstheme="majorBidi"/>
                <w:color w:val="000000"/>
                <w:sz w:val="18"/>
                <w:szCs w:val="18"/>
              </w:rPr>
              <w:t>-06</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0.001</w:t>
            </w:r>
            <w:r>
              <w:rPr>
                <w:rFonts w:cstheme="majorBidi"/>
                <w:color w:val="000000"/>
                <w:sz w:val="18"/>
                <w:szCs w:val="18"/>
              </w:rPr>
              <w:t>7</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Log(Gamma)</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-0.2226</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0.0510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-0.406</w:t>
            </w:r>
            <w:r>
              <w:rPr>
                <w:rFonts w:cstheme="majorBidi"/>
                <w:color w:val="000000"/>
                <w:sz w:val="18"/>
                <w:szCs w:val="18"/>
              </w:rPr>
              <w:t>2</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-8.71</w:t>
            </w:r>
            <w:r>
              <w:rPr>
                <w:rFonts w:cstheme="majorBidi"/>
                <w:color w:val="000000"/>
                <w:sz w:val="18"/>
                <w:szCs w:val="18"/>
              </w:rPr>
              <w:t>e</w:t>
            </w:r>
            <w:r w:rsidRPr="00DD4871">
              <w:rPr>
                <w:rFonts w:cstheme="majorBidi"/>
                <w:color w:val="000000"/>
                <w:sz w:val="18"/>
                <w:szCs w:val="18"/>
              </w:rPr>
              <w:t>-05</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-0.011</w:t>
            </w:r>
            <w:r>
              <w:rPr>
                <w:rFonts w:cstheme="majorBidi"/>
                <w:color w:val="000000"/>
                <w:sz w:val="18"/>
                <w:szCs w:val="18"/>
              </w:rPr>
              <w:t>1</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1.606</w:t>
            </w:r>
            <w:r>
              <w:rPr>
                <w:rFonts w:cstheme="majorBidi"/>
                <w:color w:val="000000"/>
                <w:sz w:val="18"/>
                <w:szCs w:val="18"/>
              </w:rPr>
              <w:t>2</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Treatment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-0.0524</w:t>
            </w:r>
          </w:p>
        </w:tc>
        <w:tc>
          <w:tcPr>
            <w:tcW w:w="756" w:type="dxa"/>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756" w:type="dxa"/>
          </w:tcPr>
          <w:p w:rsidR="00B97965" w:rsidRDefault="00B97965" w:rsidP="00B97965">
            <w:pPr>
              <w:spacing w:line="276" w:lineRule="auto"/>
              <w:jc w:val="center"/>
            </w:pPr>
            <w:r w:rsidRPr="00053398">
              <w:rPr>
                <w:rFonts w:cstheme="majorBidi"/>
                <w:color w:val="000000"/>
                <w:sz w:val="18"/>
                <w:szCs w:val="18"/>
              </w:rPr>
              <w:t>0.0000</w:t>
            </w:r>
          </w:p>
        </w:tc>
        <w:tc>
          <w:tcPr>
            <w:tcW w:w="756" w:type="dxa"/>
          </w:tcPr>
          <w:p w:rsidR="00B97965" w:rsidRPr="00823319" w:rsidRDefault="00B97965" w:rsidP="00B97965">
            <w:pPr>
              <w:spacing w:line="276" w:lineRule="auto"/>
              <w:jc w:val="center"/>
              <w:rPr>
                <w:rFonts w:cstheme="majorBidi"/>
                <w:color w:val="000000"/>
                <w:sz w:val="18"/>
                <w:szCs w:val="18"/>
              </w:rPr>
            </w:pPr>
            <w:r w:rsidRPr="00823319">
              <w:rPr>
                <w:rFonts w:cstheme="majorBidi"/>
                <w:color w:val="000000"/>
                <w:sz w:val="18"/>
                <w:szCs w:val="18"/>
              </w:rPr>
              <w:t>0</w:t>
            </w:r>
            <w:r>
              <w:rPr>
                <w:rFonts w:cstheme="majorBidi"/>
                <w:color w:val="000000"/>
                <w:sz w:val="18"/>
                <w:szCs w:val="18"/>
              </w:rPr>
              <w:t>.0000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0.0260</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126</w:t>
        </w:r>
      </w:fldSimple>
      <w:r>
        <w:t>: Parameter distribution details for Skin risk model</w:t>
      </w:r>
    </w:p>
    <w:tbl>
      <w:tblPr>
        <w:tblStyle w:val="TableGrid"/>
        <w:tblW w:w="9100" w:type="dxa"/>
        <w:tblLayout w:type="fixed"/>
        <w:tblCellMar>
          <w:left w:w="28" w:type="dxa"/>
          <w:right w:w="28" w:type="dxa"/>
        </w:tblCellMar>
        <w:tblLook w:val="04A0"/>
      </w:tblPr>
      <w:tblGrid>
        <w:gridCol w:w="2155"/>
        <w:gridCol w:w="708"/>
        <w:gridCol w:w="756"/>
        <w:gridCol w:w="756"/>
        <w:gridCol w:w="756"/>
        <w:gridCol w:w="756"/>
        <w:gridCol w:w="756"/>
        <w:gridCol w:w="756"/>
        <w:gridCol w:w="1701"/>
      </w:tblGrid>
      <w:tr w:rsidR="00B97965" w:rsidRPr="00942477" w:rsidTr="00B97965">
        <w:tc>
          <w:tcPr>
            <w:tcW w:w="2155"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708"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536" w:type="dxa"/>
            <w:gridSpan w:val="6"/>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Hypertension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-1.5034</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0.575</w:t>
            </w:r>
            <w:r>
              <w:rPr>
                <w:rFonts w:cstheme="majorBidi"/>
                <w:color w:val="000000"/>
                <w:sz w:val="18"/>
                <w:szCs w:val="18"/>
              </w:rPr>
              <w:t>3</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Log-transformed age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-1.6300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0.1624</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0.565</w:t>
            </w:r>
            <w:r>
              <w:rPr>
                <w:rFonts w:cstheme="majorBidi"/>
                <w:color w:val="000000"/>
                <w:sz w:val="18"/>
                <w:szCs w:val="18"/>
              </w:rPr>
              <w:t>6</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Steroid exposure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-0.2088</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0.0007</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0.006</w:t>
            </w:r>
            <w:r>
              <w:rPr>
                <w:rFonts w:cstheme="majorBidi"/>
                <w:color w:val="000000"/>
                <w:sz w:val="18"/>
                <w:szCs w:val="18"/>
              </w:rPr>
              <w:t>2</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0.009</w:t>
            </w:r>
            <w:r>
              <w:rPr>
                <w:rFonts w:cstheme="majorBidi"/>
                <w:color w:val="000000"/>
                <w:sz w:val="18"/>
                <w:szCs w:val="18"/>
              </w:rPr>
              <w:t>9</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Intercept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9.7465</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-0.98</w:t>
            </w:r>
            <w:r>
              <w:rPr>
                <w:rFonts w:cstheme="majorBidi"/>
                <w:color w:val="000000"/>
                <w:sz w:val="18"/>
                <w:szCs w:val="18"/>
              </w:rPr>
              <w:t>70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-0.997</w:t>
            </w:r>
            <w:r>
              <w:rPr>
                <w:rFonts w:cstheme="majorBidi"/>
                <w:color w:val="000000"/>
                <w:sz w:val="18"/>
                <w:szCs w:val="18"/>
              </w:rPr>
              <w:t>3</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-0.0654</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3.6148</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Log(Gamma)</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0.3656</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Pr>
                <w:rFonts w:cstheme="majorBidi"/>
                <w:color w:val="000000"/>
                <w:sz w:val="18"/>
                <w:szCs w:val="18"/>
              </w:rPr>
              <w:t>-1.07e</w:t>
            </w:r>
            <w:r w:rsidRPr="00DD4871">
              <w:rPr>
                <w:rFonts w:cstheme="majorBidi"/>
                <w:color w:val="000000"/>
                <w:sz w:val="18"/>
                <w:szCs w:val="18"/>
              </w:rPr>
              <w:t>-01</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-0.1057</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-0.004</w:t>
            </w:r>
            <w:r>
              <w:rPr>
                <w:rFonts w:cstheme="majorBidi"/>
                <w:color w:val="000000"/>
                <w:sz w:val="18"/>
                <w:szCs w:val="18"/>
              </w:rPr>
              <w:t>7</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0.4303</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0.060</w:t>
            </w:r>
            <w:r>
              <w:rPr>
                <w:rFonts w:cstheme="majorBidi"/>
                <w:color w:val="000000"/>
                <w:sz w:val="18"/>
                <w:szCs w:val="18"/>
              </w:rPr>
              <w:t>1</w:t>
            </w:r>
          </w:p>
        </w:tc>
        <w:tc>
          <w:tcPr>
            <w:tcW w:w="756"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155" w:type="dxa"/>
          </w:tcPr>
          <w:p w:rsidR="00B97965" w:rsidRPr="00942477" w:rsidRDefault="00B97965" w:rsidP="00B97965">
            <w:pPr>
              <w:spacing w:line="276" w:lineRule="auto"/>
              <w:rPr>
                <w:rFonts w:cstheme="majorBidi"/>
                <w:sz w:val="18"/>
                <w:szCs w:val="18"/>
              </w:rPr>
            </w:pPr>
            <w:r>
              <w:rPr>
                <w:rFonts w:cstheme="majorBidi"/>
                <w:sz w:val="18"/>
                <w:szCs w:val="18"/>
              </w:rPr>
              <w:t>Treatment coefficient</w:t>
            </w:r>
          </w:p>
        </w:tc>
        <w:tc>
          <w:tcPr>
            <w:tcW w:w="708"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0.0105</w:t>
            </w:r>
          </w:p>
        </w:tc>
        <w:tc>
          <w:tcPr>
            <w:tcW w:w="756" w:type="dxa"/>
          </w:tcPr>
          <w:p w:rsidR="00B97965" w:rsidRDefault="00B97965" w:rsidP="00B97965">
            <w:pPr>
              <w:spacing w:line="276" w:lineRule="auto"/>
              <w:jc w:val="center"/>
            </w:pPr>
            <w:r w:rsidRPr="00365607">
              <w:rPr>
                <w:rFonts w:cstheme="majorBidi"/>
                <w:color w:val="000000"/>
                <w:sz w:val="18"/>
                <w:szCs w:val="18"/>
              </w:rPr>
              <w:t>0.0000</w:t>
            </w:r>
          </w:p>
        </w:tc>
        <w:tc>
          <w:tcPr>
            <w:tcW w:w="756" w:type="dxa"/>
          </w:tcPr>
          <w:p w:rsidR="00B97965" w:rsidRDefault="00B97965" w:rsidP="00B97965">
            <w:pPr>
              <w:spacing w:line="276" w:lineRule="auto"/>
              <w:jc w:val="center"/>
            </w:pPr>
            <w:r w:rsidRPr="00365607">
              <w:rPr>
                <w:rFonts w:cstheme="majorBidi"/>
                <w:color w:val="000000"/>
                <w:sz w:val="18"/>
                <w:szCs w:val="18"/>
              </w:rPr>
              <w:t>0.0000</w:t>
            </w:r>
          </w:p>
        </w:tc>
        <w:tc>
          <w:tcPr>
            <w:tcW w:w="756" w:type="dxa"/>
          </w:tcPr>
          <w:p w:rsidR="00B97965" w:rsidRDefault="00B97965" w:rsidP="00B97965">
            <w:pPr>
              <w:spacing w:line="276" w:lineRule="auto"/>
              <w:jc w:val="center"/>
            </w:pPr>
            <w:r w:rsidRPr="00365607">
              <w:rPr>
                <w:rFonts w:cstheme="majorBidi"/>
                <w:color w:val="000000"/>
                <w:sz w:val="18"/>
                <w:szCs w:val="18"/>
              </w:rPr>
              <w:t>0.0000</w:t>
            </w:r>
          </w:p>
        </w:tc>
        <w:tc>
          <w:tcPr>
            <w:tcW w:w="756" w:type="dxa"/>
          </w:tcPr>
          <w:p w:rsidR="00B97965" w:rsidRDefault="00B97965" w:rsidP="00B97965">
            <w:pPr>
              <w:spacing w:line="276" w:lineRule="auto"/>
              <w:jc w:val="center"/>
            </w:pPr>
            <w:r w:rsidRPr="00365607">
              <w:rPr>
                <w:rFonts w:cstheme="majorBidi"/>
                <w:color w:val="000000"/>
                <w:sz w:val="18"/>
                <w:szCs w:val="18"/>
              </w:rPr>
              <w:t>0.0000</w:t>
            </w:r>
          </w:p>
        </w:tc>
        <w:tc>
          <w:tcPr>
            <w:tcW w:w="756" w:type="dxa"/>
          </w:tcPr>
          <w:p w:rsidR="00B97965" w:rsidRDefault="00B97965" w:rsidP="00B97965">
            <w:pPr>
              <w:spacing w:line="276" w:lineRule="auto"/>
              <w:jc w:val="center"/>
            </w:pPr>
            <w:r w:rsidRPr="00365607">
              <w:rPr>
                <w:rFonts w:cstheme="majorBidi"/>
                <w:color w:val="000000"/>
                <w:sz w:val="18"/>
                <w:szCs w:val="18"/>
              </w:rPr>
              <w:t>0.0000</w:t>
            </w:r>
          </w:p>
        </w:tc>
        <w:tc>
          <w:tcPr>
            <w:tcW w:w="756"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0.0023</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127</w:t>
        </w:r>
      </w:fldSimple>
      <w:r>
        <w:t>: Parameter distribution details for Diabetes risk model</w:t>
      </w:r>
    </w:p>
    <w:tbl>
      <w:tblPr>
        <w:tblStyle w:val="TableGrid"/>
        <w:tblW w:w="9100" w:type="dxa"/>
        <w:tblLayout w:type="fixed"/>
        <w:tblCellMar>
          <w:left w:w="28" w:type="dxa"/>
          <w:right w:w="28" w:type="dxa"/>
        </w:tblCellMar>
        <w:tblLook w:val="04A0"/>
      </w:tblPr>
      <w:tblGrid>
        <w:gridCol w:w="2296"/>
        <w:gridCol w:w="851"/>
        <w:gridCol w:w="850"/>
        <w:gridCol w:w="850"/>
        <w:gridCol w:w="851"/>
        <w:gridCol w:w="850"/>
        <w:gridCol w:w="851"/>
        <w:gridCol w:w="1701"/>
      </w:tblGrid>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Parameter name</w:t>
            </w:r>
          </w:p>
        </w:tc>
        <w:tc>
          <w:tcPr>
            <w:tcW w:w="851" w:type="dxa"/>
          </w:tcPr>
          <w:p w:rsidR="00B97965" w:rsidRPr="00942477" w:rsidRDefault="00B97965" w:rsidP="00B97965">
            <w:pPr>
              <w:spacing w:line="276" w:lineRule="auto"/>
              <w:rPr>
                <w:rFonts w:cstheme="majorBidi"/>
                <w:sz w:val="18"/>
                <w:szCs w:val="18"/>
              </w:rPr>
            </w:pPr>
            <w:r w:rsidRPr="00942477">
              <w:rPr>
                <w:rFonts w:cstheme="majorBidi"/>
                <w:sz w:val="18"/>
                <w:szCs w:val="18"/>
              </w:rPr>
              <w:t>Mean Estimate</w:t>
            </w:r>
          </w:p>
        </w:tc>
        <w:tc>
          <w:tcPr>
            <w:tcW w:w="4252" w:type="dxa"/>
            <w:gridSpan w:val="5"/>
          </w:tcPr>
          <w:p w:rsidR="00B97965" w:rsidRPr="00942477" w:rsidRDefault="00B97965" w:rsidP="00B97965">
            <w:pPr>
              <w:spacing w:line="276" w:lineRule="auto"/>
              <w:rPr>
                <w:rFonts w:cstheme="majorBidi"/>
                <w:sz w:val="18"/>
                <w:szCs w:val="18"/>
              </w:rPr>
            </w:pPr>
            <w:r w:rsidRPr="00942477">
              <w:rPr>
                <w:rFonts w:cstheme="majorBidi"/>
                <w:sz w:val="18"/>
                <w:szCs w:val="18"/>
              </w:rPr>
              <w:t>Covariance Matrix</w:t>
            </w:r>
          </w:p>
        </w:tc>
        <w:tc>
          <w:tcPr>
            <w:tcW w:w="1701" w:type="dxa"/>
          </w:tcPr>
          <w:p w:rsidR="00B97965" w:rsidRPr="00942477" w:rsidRDefault="00B97965" w:rsidP="00B97965">
            <w:pPr>
              <w:spacing w:line="276" w:lineRule="auto"/>
              <w:rPr>
                <w:rFonts w:cstheme="majorBidi"/>
                <w:sz w:val="18"/>
                <w:szCs w:val="18"/>
              </w:rPr>
            </w:pPr>
            <w:r w:rsidRPr="00942477">
              <w:rPr>
                <w:rFonts w:cstheme="majorBidi"/>
                <w:sz w:val="18"/>
                <w:szCs w:val="18"/>
              </w:rPr>
              <w:t>Distribution</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Pr>
                <w:rFonts w:cstheme="majorBidi"/>
                <w:sz w:val="18"/>
                <w:szCs w:val="18"/>
              </w:rPr>
              <w:t>African American</w:t>
            </w:r>
            <w:r w:rsidRPr="00942477">
              <w:rPr>
                <w:rFonts w:cstheme="majorBidi"/>
                <w:sz w:val="18"/>
                <w:szCs w:val="18"/>
              </w:rPr>
              <w:t xml:space="preserve"> coefficient</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0.7810</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0.0799</w:t>
            </w:r>
          </w:p>
        </w:tc>
        <w:tc>
          <w:tcPr>
            <w:tcW w:w="850" w:type="dxa"/>
            <w:vAlign w:val="bottom"/>
          </w:tcPr>
          <w:p w:rsidR="00B97965" w:rsidRPr="00DD4871" w:rsidRDefault="00B97965" w:rsidP="00B97965">
            <w:pPr>
              <w:spacing w:line="276" w:lineRule="auto"/>
              <w:jc w:val="center"/>
              <w:rPr>
                <w:rFonts w:cstheme="majorBidi"/>
                <w:color w:val="000000"/>
                <w:sz w:val="18"/>
                <w:szCs w:val="18"/>
              </w:rPr>
            </w:pP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850" w:type="dxa"/>
            <w:vAlign w:val="bottom"/>
          </w:tcPr>
          <w:p w:rsidR="00B97965" w:rsidRPr="00DD4871" w:rsidRDefault="00B97965" w:rsidP="00B97965">
            <w:pPr>
              <w:spacing w:line="276" w:lineRule="auto"/>
              <w:jc w:val="center"/>
              <w:rPr>
                <w:rFonts w:cstheme="majorBidi"/>
                <w:color w:val="000000"/>
                <w:sz w:val="18"/>
                <w:szCs w:val="18"/>
              </w:rPr>
            </w:pP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Pr>
                <w:rFonts w:cstheme="majorBidi"/>
                <w:sz w:val="18"/>
                <w:szCs w:val="18"/>
              </w:rPr>
              <w:t>Steroid exposure</w:t>
            </w:r>
            <w:r w:rsidRPr="00942477">
              <w:rPr>
                <w:rFonts w:cstheme="majorBidi"/>
                <w:sz w:val="18"/>
                <w:szCs w:val="18"/>
              </w:rPr>
              <w:t xml:space="preserve"> coefficient</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0.0015</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-1.4</w:t>
            </w:r>
            <w:r>
              <w:rPr>
                <w:rFonts w:cstheme="majorBidi"/>
                <w:color w:val="000000"/>
                <w:sz w:val="18"/>
                <w:szCs w:val="18"/>
              </w:rPr>
              <w:t>e</w:t>
            </w:r>
            <w:r w:rsidRPr="00DD4871">
              <w:rPr>
                <w:rFonts w:cstheme="majorBidi"/>
                <w:color w:val="000000"/>
                <w:sz w:val="18"/>
                <w:szCs w:val="18"/>
              </w:rPr>
              <w:t>-05</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1.84</w:t>
            </w:r>
            <w:r>
              <w:rPr>
                <w:rFonts w:cstheme="majorBidi"/>
                <w:color w:val="000000"/>
                <w:sz w:val="18"/>
                <w:szCs w:val="18"/>
              </w:rPr>
              <w:t>e</w:t>
            </w:r>
            <w:r w:rsidRPr="00DD4871">
              <w:rPr>
                <w:rFonts w:cstheme="majorBidi"/>
                <w:color w:val="000000"/>
                <w:sz w:val="18"/>
                <w:szCs w:val="18"/>
              </w:rPr>
              <w:t>-07</w:t>
            </w: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850" w:type="dxa"/>
            <w:vAlign w:val="bottom"/>
          </w:tcPr>
          <w:p w:rsidR="00B97965" w:rsidRPr="00DD4871" w:rsidRDefault="00B97965" w:rsidP="00B97965">
            <w:pPr>
              <w:spacing w:line="276" w:lineRule="auto"/>
              <w:jc w:val="center"/>
              <w:rPr>
                <w:rFonts w:cstheme="majorBidi"/>
                <w:color w:val="000000"/>
                <w:sz w:val="18"/>
                <w:szCs w:val="18"/>
              </w:rPr>
            </w:pP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Pr>
                <w:rFonts w:cstheme="majorBidi"/>
                <w:sz w:val="18"/>
                <w:szCs w:val="18"/>
              </w:rPr>
              <w:t>Log transformed age coefficient</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2.2003</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0.004</w:t>
            </w:r>
            <w:r>
              <w:rPr>
                <w:rFonts w:cstheme="majorBidi"/>
                <w:color w:val="000000"/>
                <w:sz w:val="18"/>
                <w:szCs w:val="18"/>
              </w:rPr>
              <w:t>7</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5.83</w:t>
            </w:r>
            <w:r>
              <w:rPr>
                <w:rFonts w:cstheme="majorBidi"/>
                <w:color w:val="000000"/>
                <w:sz w:val="18"/>
                <w:szCs w:val="18"/>
              </w:rPr>
              <w:t>e</w:t>
            </w:r>
            <w:r w:rsidRPr="00DD4871">
              <w:rPr>
                <w:rFonts w:cstheme="majorBidi"/>
                <w:color w:val="000000"/>
                <w:sz w:val="18"/>
                <w:szCs w:val="18"/>
              </w:rPr>
              <w:t>-05</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0.2595</w:t>
            </w:r>
          </w:p>
        </w:tc>
        <w:tc>
          <w:tcPr>
            <w:tcW w:w="850" w:type="dxa"/>
            <w:vAlign w:val="bottom"/>
          </w:tcPr>
          <w:p w:rsidR="00B97965" w:rsidRPr="00DD4871" w:rsidRDefault="00B97965" w:rsidP="00B97965">
            <w:pPr>
              <w:spacing w:line="276" w:lineRule="auto"/>
              <w:jc w:val="center"/>
              <w:rPr>
                <w:rFonts w:cstheme="majorBidi"/>
                <w:color w:val="000000"/>
                <w:sz w:val="18"/>
                <w:szCs w:val="18"/>
              </w:rPr>
            </w:pP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Pr>
                <w:rFonts w:cstheme="majorBidi"/>
                <w:sz w:val="18"/>
                <w:szCs w:val="18"/>
              </w:rPr>
              <w:t>Intercept</w:t>
            </w:r>
            <w:r w:rsidRPr="00942477">
              <w:rPr>
                <w:rFonts w:cstheme="majorBidi"/>
                <w:sz w:val="18"/>
                <w:szCs w:val="18"/>
              </w:rPr>
              <w:t xml:space="preserve"> </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-14.2964</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-0.06</w:t>
            </w:r>
            <w:r>
              <w:rPr>
                <w:rFonts w:cstheme="majorBidi"/>
                <w:color w:val="000000"/>
                <w:sz w:val="18"/>
                <w:szCs w:val="18"/>
              </w:rPr>
              <w:t>50</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-0.000</w:t>
            </w:r>
            <w:r>
              <w:rPr>
                <w:rFonts w:cstheme="majorBidi"/>
                <w:color w:val="000000"/>
                <w:sz w:val="18"/>
                <w:szCs w:val="18"/>
              </w:rPr>
              <w:t>3</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-1.0224</w:t>
            </w:r>
          </w:p>
        </w:tc>
        <w:tc>
          <w:tcPr>
            <w:tcW w:w="850" w:type="dxa"/>
            <w:vAlign w:val="bottom"/>
          </w:tcPr>
          <w:p w:rsidR="00B97965" w:rsidRPr="00DD4871" w:rsidRDefault="00B97965" w:rsidP="00B97965">
            <w:pPr>
              <w:spacing w:line="276" w:lineRule="auto"/>
              <w:jc w:val="center"/>
              <w:rPr>
                <w:rFonts w:cstheme="majorBidi"/>
                <w:color w:val="000000"/>
                <w:sz w:val="18"/>
                <w:szCs w:val="18"/>
              </w:rPr>
            </w:pPr>
            <w:r>
              <w:rPr>
                <w:rFonts w:cstheme="majorBidi"/>
                <w:color w:val="000000"/>
                <w:sz w:val="18"/>
                <w:szCs w:val="18"/>
              </w:rPr>
              <w:t>4.0876</w:t>
            </w:r>
          </w:p>
        </w:tc>
        <w:tc>
          <w:tcPr>
            <w:tcW w:w="851" w:type="dxa"/>
            <w:vAlign w:val="bottom"/>
          </w:tcPr>
          <w:p w:rsidR="00B97965" w:rsidRPr="00DD4871" w:rsidRDefault="00B97965" w:rsidP="00B97965">
            <w:pPr>
              <w:spacing w:line="276" w:lineRule="auto"/>
              <w:jc w:val="center"/>
              <w:rPr>
                <w:rFonts w:cstheme="majorBidi"/>
                <w:color w:val="000000"/>
                <w:sz w:val="18"/>
                <w:szCs w:val="18"/>
              </w:rPr>
            </w:pP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r w:rsidR="00B97965" w:rsidRPr="00942477" w:rsidTr="00B97965">
        <w:tc>
          <w:tcPr>
            <w:tcW w:w="2296" w:type="dxa"/>
          </w:tcPr>
          <w:p w:rsidR="00B97965" w:rsidRPr="00942477" w:rsidRDefault="00B97965" w:rsidP="00B97965">
            <w:pPr>
              <w:spacing w:line="276" w:lineRule="auto"/>
              <w:rPr>
                <w:rFonts w:cstheme="majorBidi"/>
                <w:sz w:val="18"/>
                <w:szCs w:val="18"/>
              </w:rPr>
            </w:pPr>
            <w:r w:rsidRPr="00942477">
              <w:rPr>
                <w:rFonts w:cstheme="majorBidi"/>
                <w:sz w:val="18"/>
                <w:szCs w:val="18"/>
              </w:rPr>
              <w:t>Treatment coefficient</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-0.0518</w:t>
            </w:r>
          </w:p>
        </w:tc>
        <w:tc>
          <w:tcPr>
            <w:tcW w:w="850" w:type="dxa"/>
          </w:tcPr>
          <w:p w:rsidR="00B97965" w:rsidRDefault="00B97965" w:rsidP="00B97965">
            <w:pPr>
              <w:spacing w:line="276" w:lineRule="auto"/>
              <w:jc w:val="center"/>
            </w:pPr>
            <w:r w:rsidRPr="00E74288">
              <w:rPr>
                <w:rFonts w:cstheme="majorBidi"/>
                <w:color w:val="000000"/>
                <w:sz w:val="18"/>
                <w:szCs w:val="18"/>
              </w:rPr>
              <w:t>0.0000</w:t>
            </w:r>
          </w:p>
        </w:tc>
        <w:tc>
          <w:tcPr>
            <w:tcW w:w="850" w:type="dxa"/>
          </w:tcPr>
          <w:p w:rsidR="00B97965" w:rsidRDefault="00B97965" w:rsidP="00B97965">
            <w:pPr>
              <w:spacing w:line="276" w:lineRule="auto"/>
              <w:jc w:val="center"/>
            </w:pPr>
            <w:r w:rsidRPr="00E74288">
              <w:rPr>
                <w:rFonts w:cstheme="majorBidi"/>
                <w:color w:val="000000"/>
                <w:sz w:val="18"/>
                <w:szCs w:val="18"/>
              </w:rPr>
              <w:t>0.0000</w:t>
            </w:r>
          </w:p>
        </w:tc>
        <w:tc>
          <w:tcPr>
            <w:tcW w:w="851" w:type="dxa"/>
          </w:tcPr>
          <w:p w:rsidR="00B97965" w:rsidRDefault="00B97965" w:rsidP="00B97965">
            <w:pPr>
              <w:spacing w:line="276" w:lineRule="auto"/>
              <w:jc w:val="center"/>
            </w:pPr>
            <w:r w:rsidRPr="00E74288">
              <w:rPr>
                <w:rFonts w:cstheme="majorBidi"/>
                <w:color w:val="000000"/>
                <w:sz w:val="18"/>
                <w:szCs w:val="18"/>
              </w:rPr>
              <w:t>0.0000</w:t>
            </w:r>
          </w:p>
        </w:tc>
        <w:tc>
          <w:tcPr>
            <w:tcW w:w="850" w:type="dxa"/>
          </w:tcPr>
          <w:p w:rsidR="00B97965" w:rsidRDefault="00B97965" w:rsidP="00B97965">
            <w:pPr>
              <w:spacing w:line="276" w:lineRule="auto"/>
              <w:jc w:val="center"/>
            </w:pPr>
            <w:r w:rsidRPr="00E74288">
              <w:rPr>
                <w:rFonts w:cstheme="majorBidi"/>
                <w:color w:val="000000"/>
                <w:sz w:val="18"/>
                <w:szCs w:val="18"/>
              </w:rPr>
              <w:t>0.0000</w:t>
            </w:r>
          </w:p>
        </w:tc>
        <w:tc>
          <w:tcPr>
            <w:tcW w:w="851" w:type="dxa"/>
            <w:vAlign w:val="bottom"/>
          </w:tcPr>
          <w:p w:rsidR="00B97965" w:rsidRPr="00DD4871" w:rsidRDefault="00B97965" w:rsidP="00B97965">
            <w:pPr>
              <w:spacing w:line="276" w:lineRule="auto"/>
              <w:jc w:val="center"/>
              <w:rPr>
                <w:rFonts w:cstheme="majorBidi"/>
                <w:color w:val="000000"/>
                <w:sz w:val="18"/>
                <w:szCs w:val="18"/>
              </w:rPr>
            </w:pPr>
            <w:r w:rsidRPr="00DD4871">
              <w:rPr>
                <w:rFonts w:cstheme="majorBidi"/>
                <w:color w:val="000000"/>
                <w:sz w:val="18"/>
                <w:szCs w:val="18"/>
              </w:rPr>
              <w:t>0.0257</w:t>
            </w:r>
          </w:p>
        </w:tc>
        <w:tc>
          <w:tcPr>
            <w:tcW w:w="1701" w:type="dxa"/>
          </w:tcPr>
          <w:p w:rsidR="00B97965" w:rsidRPr="00942477" w:rsidRDefault="00B97965" w:rsidP="00B97965">
            <w:pPr>
              <w:spacing w:line="276" w:lineRule="auto"/>
              <w:jc w:val="center"/>
              <w:rPr>
                <w:rFonts w:cstheme="majorBidi"/>
                <w:sz w:val="18"/>
                <w:szCs w:val="18"/>
              </w:rPr>
            </w:pPr>
            <w:r w:rsidRPr="00942477">
              <w:rPr>
                <w:rFonts w:cstheme="majorBidi"/>
                <w:sz w:val="18"/>
                <w:szCs w:val="18"/>
              </w:rPr>
              <w:t>Multivariate Normal</w:t>
            </w:r>
          </w:p>
        </w:tc>
      </w:tr>
    </w:tbl>
    <w:p w:rsidR="00B97965" w:rsidRDefault="00B97965" w:rsidP="00B97965"/>
    <w:p w:rsidR="00B97965" w:rsidRDefault="00B97965" w:rsidP="00234693">
      <w:pPr>
        <w:pStyle w:val="Caption"/>
      </w:pPr>
      <w:r>
        <w:t xml:space="preserve">Table </w:t>
      </w:r>
      <w:fldSimple w:instr=" SEQ Table \* ARABIC ">
        <w:r w:rsidR="004911B7">
          <w:rPr>
            <w:noProof/>
          </w:rPr>
          <w:t>128</w:t>
        </w:r>
      </w:fldSimple>
      <w:r>
        <w:t>:</w:t>
      </w:r>
      <w:r w:rsidRPr="00952EED">
        <w:t xml:space="preserve"> </w:t>
      </w:r>
      <w:r>
        <w:t>Parameter distribution details for Withdrawal risk model</w:t>
      </w:r>
    </w:p>
    <w:tbl>
      <w:tblPr>
        <w:tblStyle w:val="TableGrid"/>
        <w:tblW w:w="8675" w:type="dxa"/>
        <w:tblLayout w:type="fixed"/>
        <w:tblCellMar>
          <w:left w:w="28" w:type="dxa"/>
          <w:right w:w="28" w:type="dxa"/>
        </w:tblCellMar>
        <w:tblLook w:val="04A0"/>
      </w:tblPr>
      <w:tblGrid>
        <w:gridCol w:w="2296"/>
        <w:gridCol w:w="1134"/>
        <w:gridCol w:w="1488"/>
        <w:gridCol w:w="1489"/>
        <w:gridCol w:w="2268"/>
      </w:tblGrid>
      <w:tr w:rsidR="00B97965" w:rsidRPr="00964AF5" w:rsidTr="00B97965">
        <w:tc>
          <w:tcPr>
            <w:tcW w:w="2296" w:type="dxa"/>
          </w:tcPr>
          <w:p w:rsidR="00B97965" w:rsidRPr="00964AF5" w:rsidRDefault="00B97965" w:rsidP="00B97965">
            <w:pPr>
              <w:spacing w:line="240" w:lineRule="auto"/>
              <w:rPr>
                <w:sz w:val="18"/>
                <w:szCs w:val="18"/>
              </w:rPr>
            </w:pPr>
            <w:r w:rsidRPr="00964AF5">
              <w:rPr>
                <w:sz w:val="18"/>
                <w:szCs w:val="18"/>
              </w:rPr>
              <w:t>Parameter name</w:t>
            </w:r>
          </w:p>
        </w:tc>
        <w:tc>
          <w:tcPr>
            <w:tcW w:w="1134" w:type="dxa"/>
          </w:tcPr>
          <w:p w:rsidR="00B97965" w:rsidRPr="00964AF5" w:rsidRDefault="00B97965" w:rsidP="00B97965">
            <w:pPr>
              <w:spacing w:line="240" w:lineRule="auto"/>
              <w:rPr>
                <w:sz w:val="18"/>
                <w:szCs w:val="18"/>
              </w:rPr>
            </w:pPr>
            <w:r w:rsidRPr="00964AF5">
              <w:rPr>
                <w:sz w:val="18"/>
                <w:szCs w:val="18"/>
              </w:rPr>
              <w:t>Mean Estimate</w:t>
            </w:r>
          </w:p>
        </w:tc>
        <w:tc>
          <w:tcPr>
            <w:tcW w:w="2977" w:type="dxa"/>
            <w:gridSpan w:val="2"/>
          </w:tcPr>
          <w:p w:rsidR="00B97965" w:rsidRPr="00964AF5" w:rsidRDefault="00B97965" w:rsidP="00B97965">
            <w:pPr>
              <w:spacing w:line="240" w:lineRule="auto"/>
              <w:rPr>
                <w:sz w:val="18"/>
                <w:szCs w:val="18"/>
              </w:rPr>
            </w:pPr>
            <w:r w:rsidRPr="00964AF5">
              <w:rPr>
                <w:sz w:val="18"/>
                <w:szCs w:val="18"/>
              </w:rPr>
              <w:t>Covariance Matrix</w:t>
            </w:r>
          </w:p>
        </w:tc>
        <w:tc>
          <w:tcPr>
            <w:tcW w:w="2268" w:type="dxa"/>
          </w:tcPr>
          <w:p w:rsidR="00B97965" w:rsidRPr="00964AF5" w:rsidRDefault="00B97965" w:rsidP="00B97965">
            <w:pPr>
              <w:spacing w:line="240" w:lineRule="auto"/>
              <w:rPr>
                <w:sz w:val="18"/>
                <w:szCs w:val="18"/>
              </w:rPr>
            </w:pPr>
            <w:r w:rsidRPr="00964AF5">
              <w:rPr>
                <w:sz w:val="18"/>
                <w:szCs w:val="18"/>
              </w:rPr>
              <w:t>Distribution</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Intercept</w:t>
            </w:r>
          </w:p>
        </w:tc>
        <w:tc>
          <w:tcPr>
            <w:tcW w:w="1134" w:type="dxa"/>
            <w:vAlign w:val="bottom"/>
          </w:tcPr>
          <w:p w:rsidR="00B97965" w:rsidRPr="00C85439" w:rsidRDefault="00B97965" w:rsidP="00B97965">
            <w:pPr>
              <w:jc w:val="right"/>
              <w:rPr>
                <w:rFonts w:cstheme="majorBidi"/>
                <w:color w:val="000000"/>
                <w:sz w:val="18"/>
                <w:szCs w:val="18"/>
              </w:rPr>
            </w:pPr>
            <w:r w:rsidRPr="00C85439">
              <w:rPr>
                <w:rFonts w:cstheme="majorBidi"/>
                <w:color w:val="000000"/>
                <w:sz w:val="18"/>
                <w:szCs w:val="18"/>
              </w:rPr>
              <w:t>-1.4061</w:t>
            </w:r>
          </w:p>
        </w:tc>
        <w:tc>
          <w:tcPr>
            <w:tcW w:w="1488" w:type="dxa"/>
            <w:vAlign w:val="bottom"/>
          </w:tcPr>
          <w:p w:rsidR="00B97965" w:rsidRPr="00C85439" w:rsidRDefault="00B97965" w:rsidP="00B97965">
            <w:pPr>
              <w:jc w:val="right"/>
              <w:rPr>
                <w:rFonts w:cstheme="majorBidi"/>
                <w:color w:val="000000"/>
                <w:sz w:val="18"/>
                <w:szCs w:val="18"/>
              </w:rPr>
            </w:pPr>
            <w:r w:rsidRPr="00C85439">
              <w:rPr>
                <w:rFonts w:cstheme="majorBidi"/>
                <w:color w:val="000000"/>
                <w:sz w:val="18"/>
                <w:szCs w:val="18"/>
              </w:rPr>
              <w:t>0.0505</w:t>
            </w:r>
          </w:p>
        </w:tc>
        <w:tc>
          <w:tcPr>
            <w:tcW w:w="1489" w:type="dxa"/>
            <w:vAlign w:val="bottom"/>
          </w:tcPr>
          <w:p w:rsidR="00B97965" w:rsidRPr="00C85439" w:rsidRDefault="00B97965" w:rsidP="00B97965">
            <w:pPr>
              <w:rPr>
                <w:rFonts w:cstheme="majorBidi"/>
                <w:color w:val="000000"/>
                <w:sz w:val="18"/>
                <w:szCs w:val="18"/>
              </w:rPr>
            </w:pPr>
          </w:p>
        </w:tc>
        <w:tc>
          <w:tcPr>
            <w:tcW w:w="2268"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r w:rsidR="00B97965" w:rsidRPr="00964AF5" w:rsidTr="00B97965">
        <w:tc>
          <w:tcPr>
            <w:tcW w:w="2296" w:type="dxa"/>
          </w:tcPr>
          <w:p w:rsidR="00B97965" w:rsidRPr="00964AF5" w:rsidRDefault="00B97965" w:rsidP="00B97965">
            <w:pPr>
              <w:spacing w:line="240" w:lineRule="auto"/>
              <w:rPr>
                <w:sz w:val="18"/>
                <w:szCs w:val="18"/>
              </w:rPr>
            </w:pPr>
            <w:r>
              <w:rPr>
                <w:sz w:val="18"/>
                <w:szCs w:val="18"/>
              </w:rPr>
              <w:t>Treatment coefficient</w:t>
            </w:r>
          </w:p>
        </w:tc>
        <w:tc>
          <w:tcPr>
            <w:tcW w:w="1134" w:type="dxa"/>
            <w:vAlign w:val="bottom"/>
          </w:tcPr>
          <w:p w:rsidR="00B97965" w:rsidRPr="00C85439" w:rsidRDefault="00B97965" w:rsidP="00B97965">
            <w:pPr>
              <w:jc w:val="right"/>
              <w:rPr>
                <w:rFonts w:cstheme="majorBidi"/>
                <w:color w:val="000000"/>
                <w:sz w:val="18"/>
                <w:szCs w:val="18"/>
              </w:rPr>
            </w:pPr>
            <w:r w:rsidRPr="00C85439">
              <w:rPr>
                <w:rFonts w:cstheme="majorBidi"/>
                <w:color w:val="000000"/>
                <w:sz w:val="18"/>
                <w:szCs w:val="18"/>
              </w:rPr>
              <w:t>-0.0798</w:t>
            </w:r>
          </w:p>
        </w:tc>
        <w:tc>
          <w:tcPr>
            <w:tcW w:w="1488" w:type="dxa"/>
            <w:vAlign w:val="bottom"/>
          </w:tcPr>
          <w:p w:rsidR="00B97965" w:rsidRPr="00C85439" w:rsidRDefault="00B97965" w:rsidP="00B97965">
            <w:pPr>
              <w:jc w:val="right"/>
              <w:rPr>
                <w:rFonts w:cstheme="majorBidi"/>
                <w:color w:val="000000"/>
                <w:sz w:val="18"/>
                <w:szCs w:val="18"/>
              </w:rPr>
            </w:pPr>
            <w:r w:rsidRPr="00E74288">
              <w:rPr>
                <w:rFonts w:cstheme="majorBidi"/>
                <w:color w:val="000000"/>
                <w:sz w:val="18"/>
                <w:szCs w:val="18"/>
              </w:rPr>
              <w:t>0.0000</w:t>
            </w:r>
          </w:p>
        </w:tc>
        <w:tc>
          <w:tcPr>
            <w:tcW w:w="1489" w:type="dxa"/>
            <w:vAlign w:val="bottom"/>
          </w:tcPr>
          <w:p w:rsidR="00B97965" w:rsidRPr="00C85439" w:rsidRDefault="00B97965" w:rsidP="00B97965">
            <w:pPr>
              <w:jc w:val="right"/>
              <w:rPr>
                <w:rFonts w:cstheme="majorBidi"/>
                <w:color w:val="000000"/>
                <w:sz w:val="18"/>
                <w:szCs w:val="18"/>
              </w:rPr>
            </w:pPr>
            <w:r w:rsidRPr="00C85439">
              <w:rPr>
                <w:rFonts w:cstheme="majorBidi"/>
                <w:color w:val="000000"/>
                <w:sz w:val="18"/>
                <w:szCs w:val="18"/>
              </w:rPr>
              <w:t>0.0260</w:t>
            </w:r>
          </w:p>
        </w:tc>
        <w:tc>
          <w:tcPr>
            <w:tcW w:w="2268" w:type="dxa"/>
          </w:tcPr>
          <w:p w:rsidR="00B97965" w:rsidRPr="00964AF5" w:rsidRDefault="00B97965" w:rsidP="00B97965">
            <w:pPr>
              <w:spacing w:line="240" w:lineRule="auto"/>
              <w:jc w:val="center"/>
              <w:rPr>
                <w:sz w:val="18"/>
                <w:szCs w:val="18"/>
              </w:rPr>
            </w:pPr>
            <w:r w:rsidRPr="00964AF5">
              <w:rPr>
                <w:sz w:val="18"/>
                <w:szCs w:val="18"/>
              </w:rPr>
              <w:t>Multivariate</w:t>
            </w:r>
            <w:r>
              <w:rPr>
                <w:sz w:val="18"/>
                <w:szCs w:val="18"/>
              </w:rPr>
              <w:t xml:space="preserve"> N</w:t>
            </w:r>
            <w:r w:rsidRPr="00964AF5">
              <w:rPr>
                <w:sz w:val="18"/>
                <w:szCs w:val="18"/>
              </w:rPr>
              <w:t>ormal</w:t>
            </w:r>
          </w:p>
        </w:tc>
      </w:tr>
    </w:tbl>
    <w:p w:rsidR="00B97965" w:rsidRDefault="00B97965" w:rsidP="00B97965"/>
    <w:p w:rsidR="00B97965" w:rsidRDefault="00B97965" w:rsidP="00B97965">
      <w:pPr>
        <w:spacing w:after="0" w:afterAutospacing="0" w:line="240" w:lineRule="auto"/>
        <w:rPr>
          <w:caps/>
          <w:spacing w:val="15"/>
          <w:szCs w:val="22"/>
        </w:rPr>
      </w:pPr>
      <w:r>
        <w:br w:type="page"/>
      </w:r>
    </w:p>
    <w:p w:rsidR="00B97965" w:rsidRPr="00BE457B" w:rsidRDefault="00B97965" w:rsidP="00BE457B">
      <w:pPr>
        <w:pStyle w:val="Heading1"/>
        <w:keepNext/>
        <w:numPr>
          <w:ilvl w:val="0"/>
          <w:numId w:val="0"/>
        </w:numPr>
        <w:bidi/>
        <w:spacing w:after="240" w:line="260" w:lineRule="atLeast"/>
        <w:ind w:left="576" w:hanging="576"/>
        <w:jc w:val="right"/>
        <w:rPr>
          <w:rStyle w:val="Emphasis"/>
          <w:spacing w:val="15"/>
        </w:rPr>
      </w:pPr>
      <w:bookmarkStart w:id="723" w:name="_Toc379467721"/>
      <w:r>
        <w:t>Appendix</w:t>
      </w:r>
      <w:r w:rsidR="00396982">
        <w:t xml:space="preserve"> 1</w:t>
      </w:r>
      <w:r w:rsidR="00BE457B">
        <w:t xml:space="preserve">7: </w:t>
      </w:r>
      <w:r w:rsidR="00234693" w:rsidRPr="00234693">
        <w:rPr>
          <w:rStyle w:val="Emphasis"/>
        </w:rPr>
        <w:t>HEALTH STATE UTILITY SEARCH</w:t>
      </w:r>
      <w:bookmarkEnd w:id="723"/>
    </w:p>
    <w:p w:rsidR="00B97965" w:rsidRPr="002A301C" w:rsidRDefault="00B97965" w:rsidP="00396982">
      <w:pPr>
        <w:spacing w:after="0" w:afterAutospacing="0"/>
      </w:pPr>
      <w:r>
        <w:t>A</w:t>
      </w:r>
      <w:r w:rsidRPr="0064227C">
        <w:t xml:space="preserve"> systematic literature search was</w:t>
      </w:r>
      <w:r>
        <w:t xml:space="preserve"> </w:t>
      </w:r>
      <w:r w:rsidRPr="0064227C">
        <w:t>performed</w:t>
      </w:r>
      <w:r w:rsidRPr="00A07A23">
        <w:t xml:space="preserve"> </w:t>
      </w:r>
      <w:r w:rsidRPr="0064227C">
        <w:t xml:space="preserve">to identify </w:t>
      </w:r>
      <w:r>
        <w:t>studies of utility</w:t>
      </w:r>
      <w:r w:rsidRPr="0064227C">
        <w:t xml:space="preserve"> </w:t>
      </w:r>
      <w:r>
        <w:t>in SLE</w:t>
      </w:r>
      <w:r w:rsidRPr="0064227C">
        <w:t xml:space="preserve">. </w:t>
      </w:r>
      <w:r>
        <w:t>The online database PubMed (Medline) was searched</w:t>
      </w:r>
      <w:r w:rsidRPr="0064227C">
        <w:t>.</w:t>
      </w:r>
      <w:r>
        <w:t xml:space="preserve"> </w:t>
      </w:r>
      <w:r w:rsidRPr="0064227C">
        <w:t xml:space="preserve">Search terms included a combination of free-text and </w:t>
      </w:r>
      <w:r>
        <w:t>MeSH</w:t>
      </w:r>
      <w:r w:rsidRPr="0064227C">
        <w:t xml:space="preserve"> terms.</w:t>
      </w:r>
      <w:r>
        <w:t xml:space="preserve"> Only s</w:t>
      </w:r>
      <w:r w:rsidRPr="0064227C">
        <w:t>tudies that were published</w:t>
      </w:r>
      <w:r>
        <w:t xml:space="preserve"> from 1995</w:t>
      </w:r>
      <w:r w:rsidRPr="0064227C">
        <w:t xml:space="preserve"> </w:t>
      </w:r>
      <w:r>
        <w:t>to</w:t>
      </w:r>
      <w:r w:rsidRPr="0064227C">
        <w:t xml:space="preserve"> </w:t>
      </w:r>
      <w:r>
        <w:t>26</w:t>
      </w:r>
      <w:r w:rsidRPr="00F60B06">
        <w:rPr>
          <w:vertAlign w:val="superscript"/>
        </w:rPr>
        <w:t>th</w:t>
      </w:r>
      <w:r>
        <w:t xml:space="preserve"> March 2010</w:t>
      </w:r>
      <w:r w:rsidRPr="0064227C">
        <w:t xml:space="preserve"> were considered. </w:t>
      </w:r>
      <w:r>
        <w:t xml:space="preserve">All references were exported to Reference Manager 11.0 for application of the inclusion/exclusion criteria. </w:t>
      </w:r>
      <w:r w:rsidRPr="0064227C">
        <w:t xml:space="preserve">The </w:t>
      </w:r>
      <w:r>
        <w:t>selection of</w:t>
      </w:r>
      <w:r w:rsidRPr="0064227C">
        <w:t xml:space="preserve"> citation</w:t>
      </w:r>
      <w:r>
        <w:t>s</w:t>
      </w:r>
      <w:r w:rsidRPr="0064227C">
        <w:t xml:space="preserve"> from the databases was based on title and abstract</w:t>
      </w:r>
      <w:r>
        <w:t xml:space="preserve"> review </w:t>
      </w:r>
      <w:r w:rsidRPr="0064227C">
        <w:t>according to the pre defined sel</w:t>
      </w:r>
      <w:r>
        <w:t>ection criteria</w:t>
      </w:r>
      <w:r w:rsidRPr="0064227C">
        <w:t xml:space="preserve">. The final </w:t>
      </w:r>
      <w:r>
        <w:t>inclusion criteria for the studies were as follows</w:t>
      </w:r>
      <w:r w:rsidRPr="0064227C">
        <w:t>.</w:t>
      </w:r>
    </w:p>
    <w:p w:rsidR="00B97965" w:rsidRDefault="00B97965" w:rsidP="00B97965">
      <w:pPr>
        <w:pStyle w:val="ListParagraph1"/>
        <w:numPr>
          <w:ilvl w:val="0"/>
          <w:numId w:val="36"/>
        </w:numPr>
        <w:spacing w:line="276" w:lineRule="auto"/>
        <w:rPr>
          <w:sz w:val="20"/>
        </w:rPr>
      </w:pPr>
      <w:r w:rsidRPr="00A07A23">
        <w:rPr>
          <w:b/>
          <w:bCs/>
          <w:sz w:val="20"/>
        </w:rPr>
        <w:t xml:space="preserve">Patients. </w:t>
      </w:r>
      <w:r w:rsidRPr="00A07A23">
        <w:rPr>
          <w:sz w:val="20"/>
        </w:rPr>
        <w:t>An A</w:t>
      </w:r>
      <w:r>
        <w:rPr>
          <w:sz w:val="20"/>
        </w:rPr>
        <w:t xml:space="preserve">merican </w:t>
      </w:r>
      <w:r w:rsidRPr="00A07A23">
        <w:rPr>
          <w:sz w:val="20"/>
        </w:rPr>
        <w:t>C</w:t>
      </w:r>
      <w:r>
        <w:rPr>
          <w:sz w:val="20"/>
        </w:rPr>
        <w:t xml:space="preserve">ollege of </w:t>
      </w:r>
      <w:r w:rsidRPr="00A07A23">
        <w:rPr>
          <w:sz w:val="20"/>
        </w:rPr>
        <w:t>R</w:t>
      </w:r>
      <w:r>
        <w:rPr>
          <w:sz w:val="20"/>
        </w:rPr>
        <w:t>heumatology</w:t>
      </w:r>
      <w:r w:rsidRPr="00A07A23">
        <w:rPr>
          <w:sz w:val="20"/>
        </w:rPr>
        <w:t xml:space="preserve"> diagnosis systemic lupus erythematosus</w:t>
      </w:r>
      <w:r>
        <w:rPr>
          <w:sz w:val="20"/>
        </w:rPr>
        <w:t xml:space="preserve">, </w:t>
      </w:r>
      <w:r w:rsidRPr="00A07A23">
        <w:rPr>
          <w:sz w:val="20"/>
        </w:rPr>
        <w:t>adult</w:t>
      </w:r>
      <w:r>
        <w:rPr>
          <w:sz w:val="20"/>
        </w:rPr>
        <w:t>s</w:t>
      </w:r>
      <w:r w:rsidRPr="00A07A23">
        <w:rPr>
          <w:sz w:val="20"/>
        </w:rPr>
        <w:t>.</w:t>
      </w:r>
    </w:p>
    <w:p w:rsidR="00B97965" w:rsidRPr="002A301C" w:rsidRDefault="00B97965" w:rsidP="00B97965">
      <w:pPr>
        <w:pStyle w:val="ListParagraph1"/>
        <w:numPr>
          <w:ilvl w:val="0"/>
          <w:numId w:val="36"/>
        </w:numPr>
        <w:spacing w:line="276" w:lineRule="auto"/>
        <w:rPr>
          <w:sz w:val="20"/>
        </w:rPr>
      </w:pPr>
      <w:r w:rsidRPr="002A301C">
        <w:rPr>
          <w:b/>
          <w:bCs/>
          <w:sz w:val="20"/>
        </w:rPr>
        <w:t xml:space="preserve">Outcome measures. </w:t>
      </w:r>
      <w:r w:rsidRPr="002A301C">
        <w:rPr>
          <w:sz w:val="20"/>
        </w:rPr>
        <w:t xml:space="preserve">Outcomes of interest were </w:t>
      </w:r>
      <w:r>
        <w:rPr>
          <w:sz w:val="20"/>
        </w:rPr>
        <w:t>utility</w:t>
      </w:r>
      <w:r w:rsidRPr="002A301C">
        <w:rPr>
          <w:sz w:val="20"/>
        </w:rPr>
        <w:t xml:space="preserve"> measures (</w:t>
      </w:r>
      <w:r>
        <w:rPr>
          <w:sz w:val="20"/>
        </w:rPr>
        <w:t>EQ-5D, SF-6D, HUI-2, HUI-3, Time-trade Off, standard gamble</w:t>
      </w:r>
      <w:r w:rsidRPr="002A301C">
        <w:rPr>
          <w:sz w:val="20"/>
        </w:rPr>
        <w:t xml:space="preserve">), </w:t>
      </w:r>
    </w:p>
    <w:p w:rsidR="00B97965" w:rsidRPr="002A301C" w:rsidRDefault="00B97965" w:rsidP="00396982">
      <w:pPr>
        <w:pStyle w:val="ListParagraph1"/>
        <w:numPr>
          <w:ilvl w:val="0"/>
          <w:numId w:val="36"/>
        </w:numPr>
        <w:spacing w:after="240" w:line="276" w:lineRule="auto"/>
        <w:rPr>
          <w:sz w:val="20"/>
        </w:rPr>
      </w:pPr>
      <w:r w:rsidRPr="002A301C">
        <w:rPr>
          <w:b/>
          <w:bCs/>
          <w:sz w:val="20"/>
        </w:rPr>
        <w:t xml:space="preserve">Language. </w:t>
      </w:r>
      <w:r w:rsidRPr="002A301C">
        <w:rPr>
          <w:sz w:val="20"/>
        </w:rPr>
        <w:t>Full-published reports in English were considered.</w:t>
      </w:r>
    </w:p>
    <w:p w:rsidR="00B97965" w:rsidRDefault="00B97965" w:rsidP="00396982">
      <w:pPr>
        <w:spacing w:after="0" w:afterAutospacing="0"/>
      </w:pPr>
      <w:r w:rsidRPr="0064227C">
        <w:t>Only full-pub</w:t>
      </w:r>
      <w:r>
        <w:t>lished reports were considered in the initial search</w:t>
      </w:r>
      <w:r w:rsidRPr="0064227C">
        <w:t>.</w:t>
      </w:r>
      <w:r>
        <w:t xml:space="preserve"> F</w:t>
      </w:r>
      <w:r w:rsidRPr="0064227C">
        <w:t>ull text reports were obtained</w:t>
      </w:r>
      <w:r>
        <w:t xml:space="preserve"> for the abstracts that met the inclusion criteria</w:t>
      </w:r>
      <w:r w:rsidRPr="0064227C">
        <w:t>.</w:t>
      </w:r>
      <w:r w:rsidRPr="004B3EA8">
        <w:t xml:space="preserve"> </w:t>
      </w:r>
    </w:p>
    <w:p w:rsidR="00B97965" w:rsidRPr="00D840F7" w:rsidRDefault="00BE457B" w:rsidP="00BE457B">
      <w:bookmarkStart w:id="724" w:name="_Toc261513124"/>
      <w:r w:rsidRPr="00D840F7">
        <w:t>DATA EXTRACTION</w:t>
      </w:r>
      <w:bookmarkEnd w:id="724"/>
    </w:p>
    <w:p w:rsidR="00B97965" w:rsidRPr="0051329F" w:rsidRDefault="00B97965" w:rsidP="00396982">
      <w:pPr>
        <w:spacing w:after="0" w:afterAutospacing="0"/>
      </w:pPr>
      <w:r w:rsidRPr="0007517D">
        <w:t xml:space="preserve">For each included study, </w:t>
      </w:r>
      <w:r>
        <w:t xml:space="preserve">summary statistics relating health utility to disease status were extracted. A descriptive summary of the results is presented. </w:t>
      </w:r>
    </w:p>
    <w:p w:rsidR="00B97965" w:rsidRDefault="00BE457B" w:rsidP="00BE457B">
      <w:bookmarkStart w:id="725" w:name="_Toc261513125"/>
      <w:r>
        <w:t>RESULTS</w:t>
      </w:r>
      <w:bookmarkEnd w:id="725"/>
    </w:p>
    <w:p w:rsidR="00B97965" w:rsidRDefault="00B97965" w:rsidP="00396982">
      <w:pPr>
        <w:spacing w:after="120" w:afterAutospacing="0"/>
      </w:pPr>
      <w:r>
        <w:t xml:space="preserve">The results of the search strategy are reported in </w:t>
      </w:r>
      <w:r w:rsidR="00E729BA">
        <w:fldChar w:fldCharType="begin"/>
      </w:r>
      <w:r>
        <w:instrText xml:space="preserve"> REF _Ref344711120 \h </w:instrText>
      </w:r>
      <w:r w:rsidR="00E729BA">
        <w:fldChar w:fldCharType="separate"/>
      </w:r>
      <w:r w:rsidR="004911B7">
        <w:t xml:space="preserve">Table </w:t>
      </w:r>
      <w:r w:rsidR="004911B7">
        <w:rPr>
          <w:noProof/>
        </w:rPr>
        <w:t>129</w:t>
      </w:r>
      <w:r w:rsidR="00E729BA">
        <w:fldChar w:fldCharType="end"/>
      </w:r>
      <w:r>
        <w:t>.</w:t>
      </w:r>
    </w:p>
    <w:p w:rsidR="00B97965" w:rsidRDefault="00B97965" w:rsidP="00234693">
      <w:pPr>
        <w:pStyle w:val="Caption"/>
      </w:pPr>
      <w:bookmarkStart w:id="726" w:name="_Ref344711120"/>
      <w:r>
        <w:t xml:space="preserve">Table </w:t>
      </w:r>
      <w:fldSimple w:instr=" SEQ Table \* ARABIC ">
        <w:r w:rsidR="004911B7">
          <w:rPr>
            <w:noProof/>
          </w:rPr>
          <w:t>129</w:t>
        </w:r>
      </w:fldSimple>
      <w:bookmarkEnd w:id="726"/>
      <w:r>
        <w:t>: Search strategy and results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675"/>
        <w:gridCol w:w="4678"/>
        <w:gridCol w:w="1276"/>
      </w:tblGrid>
      <w:tr w:rsidR="00B97965" w:rsidTr="00B97965">
        <w:tc>
          <w:tcPr>
            <w:tcW w:w="675" w:type="dxa"/>
          </w:tcPr>
          <w:p w:rsidR="00B97965" w:rsidRDefault="00B97965" w:rsidP="00B97965">
            <w:pPr>
              <w:spacing w:line="240" w:lineRule="auto"/>
            </w:pPr>
            <w:r>
              <w:t>#1</w:t>
            </w:r>
          </w:p>
        </w:tc>
        <w:tc>
          <w:tcPr>
            <w:tcW w:w="4678" w:type="dxa"/>
          </w:tcPr>
          <w:p w:rsidR="00B97965" w:rsidRDefault="00B97965" w:rsidP="00B97965">
            <w:pPr>
              <w:spacing w:line="240" w:lineRule="auto"/>
            </w:pPr>
            <w:r>
              <w:t>Systemic Lupus Erythematosus [MeSH]</w:t>
            </w:r>
          </w:p>
        </w:tc>
        <w:tc>
          <w:tcPr>
            <w:tcW w:w="1276" w:type="dxa"/>
          </w:tcPr>
          <w:p w:rsidR="00B97965" w:rsidRDefault="00B97965" w:rsidP="00B97965">
            <w:pPr>
              <w:spacing w:line="240" w:lineRule="auto"/>
            </w:pPr>
            <w:r>
              <w:t>40072</w:t>
            </w:r>
          </w:p>
        </w:tc>
      </w:tr>
      <w:tr w:rsidR="00B97965" w:rsidTr="00B97965">
        <w:tc>
          <w:tcPr>
            <w:tcW w:w="675" w:type="dxa"/>
          </w:tcPr>
          <w:p w:rsidR="00B97965" w:rsidRDefault="00B97965" w:rsidP="00B97965">
            <w:pPr>
              <w:spacing w:line="240" w:lineRule="auto"/>
            </w:pPr>
            <w:r>
              <w:t>#2</w:t>
            </w:r>
          </w:p>
        </w:tc>
        <w:tc>
          <w:tcPr>
            <w:tcW w:w="4678" w:type="dxa"/>
          </w:tcPr>
          <w:p w:rsidR="00B97965" w:rsidRDefault="00B97965" w:rsidP="00B97965">
            <w:pPr>
              <w:spacing w:line="240" w:lineRule="auto"/>
            </w:pPr>
            <w:r>
              <w:t>Utility</w:t>
            </w:r>
          </w:p>
        </w:tc>
        <w:tc>
          <w:tcPr>
            <w:tcW w:w="1276" w:type="dxa"/>
          </w:tcPr>
          <w:p w:rsidR="00B97965" w:rsidRDefault="00B97965" w:rsidP="00B97965">
            <w:pPr>
              <w:spacing w:line="240" w:lineRule="auto"/>
            </w:pPr>
            <w:r>
              <w:t>78211</w:t>
            </w:r>
          </w:p>
        </w:tc>
      </w:tr>
      <w:tr w:rsidR="00B97965" w:rsidTr="00B97965">
        <w:tc>
          <w:tcPr>
            <w:tcW w:w="675" w:type="dxa"/>
          </w:tcPr>
          <w:p w:rsidR="00B97965" w:rsidRDefault="00B97965" w:rsidP="00B97965">
            <w:pPr>
              <w:spacing w:line="240" w:lineRule="auto"/>
            </w:pPr>
            <w:r>
              <w:t>#3</w:t>
            </w:r>
          </w:p>
        </w:tc>
        <w:tc>
          <w:tcPr>
            <w:tcW w:w="4678" w:type="dxa"/>
          </w:tcPr>
          <w:p w:rsidR="00B97965" w:rsidRDefault="00B97965" w:rsidP="00B97965">
            <w:pPr>
              <w:spacing w:line="240" w:lineRule="auto"/>
            </w:pPr>
            <w:r>
              <w:t>Utilities</w:t>
            </w:r>
          </w:p>
        </w:tc>
        <w:tc>
          <w:tcPr>
            <w:tcW w:w="1276" w:type="dxa"/>
          </w:tcPr>
          <w:p w:rsidR="00B97965" w:rsidRDefault="00B97965" w:rsidP="00B97965">
            <w:pPr>
              <w:spacing w:line="240" w:lineRule="auto"/>
            </w:pPr>
            <w:r>
              <w:t>2688</w:t>
            </w:r>
          </w:p>
        </w:tc>
      </w:tr>
      <w:tr w:rsidR="00B97965" w:rsidTr="00B97965">
        <w:tc>
          <w:tcPr>
            <w:tcW w:w="675" w:type="dxa"/>
          </w:tcPr>
          <w:p w:rsidR="00B97965" w:rsidRDefault="00B97965" w:rsidP="00B97965">
            <w:pPr>
              <w:spacing w:line="240" w:lineRule="auto"/>
            </w:pPr>
            <w:r>
              <w:t>#4</w:t>
            </w:r>
          </w:p>
        </w:tc>
        <w:tc>
          <w:tcPr>
            <w:tcW w:w="4678" w:type="dxa"/>
          </w:tcPr>
          <w:p w:rsidR="00B97965" w:rsidRDefault="00B97965" w:rsidP="00B97965">
            <w:pPr>
              <w:spacing w:line="240" w:lineRule="auto"/>
            </w:pPr>
            <w:r>
              <w:t>QALY</w:t>
            </w:r>
          </w:p>
        </w:tc>
        <w:tc>
          <w:tcPr>
            <w:tcW w:w="1276" w:type="dxa"/>
          </w:tcPr>
          <w:p w:rsidR="00B97965" w:rsidRDefault="00B97965" w:rsidP="00B97965">
            <w:pPr>
              <w:spacing w:line="240" w:lineRule="auto"/>
            </w:pPr>
            <w:r>
              <w:t>5958</w:t>
            </w:r>
          </w:p>
        </w:tc>
      </w:tr>
      <w:tr w:rsidR="00B97965" w:rsidTr="00B97965">
        <w:tc>
          <w:tcPr>
            <w:tcW w:w="675" w:type="dxa"/>
          </w:tcPr>
          <w:p w:rsidR="00B97965" w:rsidRDefault="00B97965" w:rsidP="00B97965">
            <w:pPr>
              <w:spacing w:line="240" w:lineRule="auto"/>
            </w:pPr>
            <w:r>
              <w:t>#5</w:t>
            </w:r>
          </w:p>
        </w:tc>
        <w:tc>
          <w:tcPr>
            <w:tcW w:w="4678" w:type="dxa"/>
          </w:tcPr>
          <w:p w:rsidR="00B97965" w:rsidRDefault="00B97965" w:rsidP="00B97965">
            <w:pPr>
              <w:spacing w:line="240" w:lineRule="auto"/>
            </w:pPr>
            <w:r>
              <w:t>Quality Adjusted Life Years</w:t>
            </w:r>
          </w:p>
        </w:tc>
        <w:tc>
          <w:tcPr>
            <w:tcW w:w="1276" w:type="dxa"/>
          </w:tcPr>
          <w:p w:rsidR="00B97965" w:rsidRDefault="00B97965" w:rsidP="00B97965">
            <w:pPr>
              <w:spacing w:line="240" w:lineRule="auto"/>
            </w:pPr>
            <w:r>
              <w:t>6466</w:t>
            </w:r>
          </w:p>
        </w:tc>
      </w:tr>
      <w:tr w:rsidR="00B97965" w:rsidTr="00B97965">
        <w:tc>
          <w:tcPr>
            <w:tcW w:w="675" w:type="dxa"/>
          </w:tcPr>
          <w:p w:rsidR="00B97965" w:rsidRDefault="00B97965" w:rsidP="00B97965">
            <w:pPr>
              <w:spacing w:line="240" w:lineRule="auto"/>
            </w:pPr>
            <w:r>
              <w:t>#6</w:t>
            </w:r>
          </w:p>
        </w:tc>
        <w:tc>
          <w:tcPr>
            <w:tcW w:w="4678" w:type="dxa"/>
          </w:tcPr>
          <w:p w:rsidR="00B97965" w:rsidRDefault="00B97965" w:rsidP="00B97965">
            <w:pPr>
              <w:spacing w:line="240" w:lineRule="auto"/>
            </w:pPr>
            <w:r>
              <w:t>EQ-5D</w:t>
            </w:r>
          </w:p>
        </w:tc>
        <w:tc>
          <w:tcPr>
            <w:tcW w:w="1276" w:type="dxa"/>
          </w:tcPr>
          <w:p w:rsidR="00B97965" w:rsidRDefault="00B97965" w:rsidP="00B97965">
            <w:pPr>
              <w:spacing w:line="240" w:lineRule="auto"/>
            </w:pPr>
            <w:r>
              <w:t>1269</w:t>
            </w:r>
          </w:p>
        </w:tc>
      </w:tr>
      <w:tr w:rsidR="00B97965" w:rsidTr="00B97965">
        <w:tc>
          <w:tcPr>
            <w:tcW w:w="675" w:type="dxa"/>
          </w:tcPr>
          <w:p w:rsidR="00B97965" w:rsidRDefault="00B97965" w:rsidP="00B97965">
            <w:pPr>
              <w:spacing w:line="240" w:lineRule="auto"/>
            </w:pPr>
            <w:r>
              <w:t>#7</w:t>
            </w:r>
          </w:p>
        </w:tc>
        <w:tc>
          <w:tcPr>
            <w:tcW w:w="4678" w:type="dxa"/>
          </w:tcPr>
          <w:p w:rsidR="00B97965" w:rsidRDefault="00B97965" w:rsidP="00B97965">
            <w:pPr>
              <w:spacing w:line="240" w:lineRule="auto"/>
            </w:pPr>
            <w:r>
              <w:t>Euroqol</w:t>
            </w:r>
          </w:p>
        </w:tc>
        <w:tc>
          <w:tcPr>
            <w:tcW w:w="1276" w:type="dxa"/>
          </w:tcPr>
          <w:p w:rsidR="00B97965" w:rsidRDefault="00B97965" w:rsidP="00B97965">
            <w:pPr>
              <w:spacing w:line="240" w:lineRule="auto"/>
            </w:pPr>
            <w:r>
              <w:t>1162</w:t>
            </w:r>
          </w:p>
        </w:tc>
      </w:tr>
      <w:tr w:rsidR="00B97965" w:rsidTr="00B97965">
        <w:tc>
          <w:tcPr>
            <w:tcW w:w="675" w:type="dxa"/>
          </w:tcPr>
          <w:p w:rsidR="00B97965" w:rsidRDefault="00B97965" w:rsidP="00B97965">
            <w:pPr>
              <w:spacing w:line="240" w:lineRule="auto"/>
            </w:pPr>
            <w:r>
              <w:t>#8</w:t>
            </w:r>
          </w:p>
        </w:tc>
        <w:tc>
          <w:tcPr>
            <w:tcW w:w="4678" w:type="dxa"/>
          </w:tcPr>
          <w:p w:rsidR="00B97965" w:rsidRDefault="00B97965" w:rsidP="00B97965">
            <w:pPr>
              <w:spacing w:line="240" w:lineRule="auto"/>
            </w:pPr>
            <w:r>
              <w:t>SF-6D</w:t>
            </w:r>
          </w:p>
        </w:tc>
        <w:tc>
          <w:tcPr>
            <w:tcW w:w="1276" w:type="dxa"/>
          </w:tcPr>
          <w:p w:rsidR="00B97965" w:rsidRDefault="00B97965" w:rsidP="00B97965">
            <w:pPr>
              <w:spacing w:line="240" w:lineRule="auto"/>
            </w:pPr>
            <w:r>
              <w:t>171</w:t>
            </w:r>
          </w:p>
        </w:tc>
      </w:tr>
      <w:tr w:rsidR="00B97965" w:rsidTr="00B97965">
        <w:tc>
          <w:tcPr>
            <w:tcW w:w="675" w:type="dxa"/>
          </w:tcPr>
          <w:p w:rsidR="00B97965" w:rsidRDefault="00B97965" w:rsidP="00B97965">
            <w:pPr>
              <w:spacing w:line="240" w:lineRule="auto"/>
            </w:pPr>
            <w:r>
              <w:t>#9</w:t>
            </w:r>
          </w:p>
        </w:tc>
        <w:tc>
          <w:tcPr>
            <w:tcW w:w="4678" w:type="dxa"/>
          </w:tcPr>
          <w:p w:rsidR="00B97965" w:rsidRDefault="00B97965" w:rsidP="00B97965">
            <w:pPr>
              <w:spacing w:line="240" w:lineRule="auto"/>
            </w:pPr>
            <w:r>
              <w:t>Short form</w:t>
            </w:r>
          </w:p>
        </w:tc>
        <w:tc>
          <w:tcPr>
            <w:tcW w:w="1276" w:type="dxa"/>
          </w:tcPr>
          <w:p w:rsidR="00B97965" w:rsidRDefault="00B97965" w:rsidP="00B97965">
            <w:pPr>
              <w:spacing w:line="240" w:lineRule="auto"/>
            </w:pPr>
            <w:r>
              <w:t>30477</w:t>
            </w:r>
          </w:p>
        </w:tc>
      </w:tr>
      <w:tr w:rsidR="00B97965" w:rsidTr="00B97965">
        <w:tc>
          <w:tcPr>
            <w:tcW w:w="675" w:type="dxa"/>
          </w:tcPr>
          <w:p w:rsidR="00B97965" w:rsidRDefault="00B97965" w:rsidP="00B97965">
            <w:pPr>
              <w:spacing w:line="240" w:lineRule="auto"/>
            </w:pPr>
            <w:r>
              <w:t>#10</w:t>
            </w:r>
          </w:p>
        </w:tc>
        <w:tc>
          <w:tcPr>
            <w:tcW w:w="4678" w:type="dxa"/>
          </w:tcPr>
          <w:p w:rsidR="00B97965" w:rsidRDefault="00B97965" w:rsidP="00B97965">
            <w:pPr>
              <w:spacing w:line="240" w:lineRule="auto"/>
            </w:pPr>
            <w:r>
              <w:t>HUI-3</w:t>
            </w:r>
          </w:p>
        </w:tc>
        <w:tc>
          <w:tcPr>
            <w:tcW w:w="1276" w:type="dxa"/>
          </w:tcPr>
          <w:p w:rsidR="00B97965" w:rsidRDefault="00B97965" w:rsidP="00B97965">
            <w:pPr>
              <w:spacing w:line="240" w:lineRule="auto"/>
            </w:pPr>
            <w:r>
              <w:t>33</w:t>
            </w:r>
          </w:p>
        </w:tc>
      </w:tr>
      <w:tr w:rsidR="00B97965" w:rsidTr="00B97965">
        <w:tc>
          <w:tcPr>
            <w:tcW w:w="675" w:type="dxa"/>
          </w:tcPr>
          <w:p w:rsidR="00B97965" w:rsidRDefault="00B97965" w:rsidP="00B97965">
            <w:pPr>
              <w:spacing w:line="240" w:lineRule="auto"/>
            </w:pPr>
            <w:r>
              <w:t>#11</w:t>
            </w:r>
          </w:p>
        </w:tc>
        <w:tc>
          <w:tcPr>
            <w:tcW w:w="4678" w:type="dxa"/>
          </w:tcPr>
          <w:p w:rsidR="00B97965" w:rsidRDefault="00B97965" w:rsidP="00B97965">
            <w:pPr>
              <w:spacing w:line="240" w:lineRule="auto"/>
            </w:pPr>
            <w:r>
              <w:t>HUI-III</w:t>
            </w:r>
          </w:p>
        </w:tc>
        <w:tc>
          <w:tcPr>
            <w:tcW w:w="1276" w:type="dxa"/>
          </w:tcPr>
          <w:p w:rsidR="00B97965" w:rsidRDefault="00B97965" w:rsidP="00B97965">
            <w:pPr>
              <w:spacing w:line="240" w:lineRule="auto"/>
            </w:pPr>
            <w:r>
              <w:t>7</w:t>
            </w:r>
          </w:p>
        </w:tc>
      </w:tr>
      <w:tr w:rsidR="00B97965" w:rsidTr="00B97965">
        <w:tc>
          <w:tcPr>
            <w:tcW w:w="675" w:type="dxa"/>
          </w:tcPr>
          <w:p w:rsidR="00B97965" w:rsidRDefault="00B97965" w:rsidP="00B97965">
            <w:pPr>
              <w:spacing w:line="240" w:lineRule="auto"/>
            </w:pPr>
            <w:r>
              <w:t>#12</w:t>
            </w:r>
          </w:p>
        </w:tc>
        <w:tc>
          <w:tcPr>
            <w:tcW w:w="4678" w:type="dxa"/>
          </w:tcPr>
          <w:p w:rsidR="00B97965" w:rsidRDefault="00B97965" w:rsidP="00B97965">
            <w:pPr>
              <w:spacing w:line="240" w:lineRule="auto"/>
            </w:pPr>
            <w:r>
              <w:t>TTO</w:t>
            </w:r>
          </w:p>
        </w:tc>
        <w:tc>
          <w:tcPr>
            <w:tcW w:w="1276" w:type="dxa"/>
          </w:tcPr>
          <w:p w:rsidR="00B97965" w:rsidRDefault="00B97965" w:rsidP="00B97965">
            <w:pPr>
              <w:spacing w:line="240" w:lineRule="auto"/>
            </w:pPr>
            <w:r>
              <w:t>400</w:t>
            </w:r>
          </w:p>
        </w:tc>
      </w:tr>
      <w:tr w:rsidR="00B97965" w:rsidTr="00B97965">
        <w:tc>
          <w:tcPr>
            <w:tcW w:w="675" w:type="dxa"/>
          </w:tcPr>
          <w:p w:rsidR="00B97965" w:rsidRDefault="00B97965" w:rsidP="00B97965">
            <w:pPr>
              <w:spacing w:line="240" w:lineRule="auto"/>
            </w:pPr>
            <w:r>
              <w:t>#13</w:t>
            </w:r>
          </w:p>
        </w:tc>
        <w:tc>
          <w:tcPr>
            <w:tcW w:w="4678" w:type="dxa"/>
          </w:tcPr>
          <w:p w:rsidR="00B97965" w:rsidRDefault="00B97965" w:rsidP="00B97965">
            <w:pPr>
              <w:spacing w:line="240" w:lineRule="auto"/>
            </w:pPr>
            <w:r>
              <w:t>Time Trade Off</w:t>
            </w:r>
          </w:p>
        </w:tc>
        <w:tc>
          <w:tcPr>
            <w:tcW w:w="1276" w:type="dxa"/>
          </w:tcPr>
          <w:p w:rsidR="00B97965" w:rsidRDefault="00B97965" w:rsidP="00B97965">
            <w:pPr>
              <w:spacing w:line="240" w:lineRule="auto"/>
            </w:pPr>
            <w:r>
              <w:t>1729</w:t>
            </w:r>
          </w:p>
        </w:tc>
      </w:tr>
      <w:tr w:rsidR="00B97965" w:rsidTr="00B97965">
        <w:tc>
          <w:tcPr>
            <w:tcW w:w="675" w:type="dxa"/>
          </w:tcPr>
          <w:p w:rsidR="00B97965" w:rsidRDefault="00B97965" w:rsidP="00B97965">
            <w:pPr>
              <w:spacing w:line="240" w:lineRule="auto"/>
            </w:pPr>
            <w:r>
              <w:t>#14</w:t>
            </w:r>
          </w:p>
        </w:tc>
        <w:tc>
          <w:tcPr>
            <w:tcW w:w="4678" w:type="dxa"/>
          </w:tcPr>
          <w:p w:rsidR="00B97965" w:rsidRDefault="00B97965" w:rsidP="00B97965">
            <w:pPr>
              <w:spacing w:line="240" w:lineRule="auto"/>
            </w:pPr>
            <w:r>
              <w:t>Standard Gamble</w:t>
            </w:r>
          </w:p>
        </w:tc>
        <w:tc>
          <w:tcPr>
            <w:tcW w:w="1276" w:type="dxa"/>
          </w:tcPr>
          <w:p w:rsidR="00B97965" w:rsidRDefault="00B97965" w:rsidP="00B97965">
            <w:pPr>
              <w:spacing w:line="240" w:lineRule="auto"/>
            </w:pPr>
            <w:r>
              <w:t>776</w:t>
            </w:r>
          </w:p>
        </w:tc>
      </w:tr>
      <w:tr w:rsidR="00B97965" w:rsidTr="00B97965">
        <w:tc>
          <w:tcPr>
            <w:tcW w:w="675" w:type="dxa"/>
          </w:tcPr>
          <w:p w:rsidR="00B97965" w:rsidRDefault="00B97965" w:rsidP="00B97965">
            <w:pPr>
              <w:spacing w:line="240" w:lineRule="auto"/>
            </w:pPr>
            <w:r>
              <w:t>#15</w:t>
            </w:r>
          </w:p>
        </w:tc>
        <w:tc>
          <w:tcPr>
            <w:tcW w:w="4678" w:type="dxa"/>
          </w:tcPr>
          <w:p w:rsidR="00B97965" w:rsidRDefault="00B97965" w:rsidP="00B97965">
            <w:pPr>
              <w:spacing w:line="240" w:lineRule="auto"/>
            </w:pPr>
            <w:r>
              <w:t>#2 OR …#14</w:t>
            </w:r>
          </w:p>
        </w:tc>
        <w:tc>
          <w:tcPr>
            <w:tcW w:w="1276" w:type="dxa"/>
          </w:tcPr>
          <w:p w:rsidR="00B97965" w:rsidRDefault="00B97965" w:rsidP="00B97965">
            <w:pPr>
              <w:spacing w:line="240" w:lineRule="auto"/>
            </w:pPr>
            <w:r>
              <w:t>117353</w:t>
            </w:r>
          </w:p>
        </w:tc>
      </w:tr>
      <w:tr w:rsidR="00B97965" w:rsidTr="00B97965">
        <w:tc>
          <w:tcPr>
            <w:tcW w:w="675" w:type="dxa"/>
          </w:tcPr>
          <w:p w:rsidR="00B97965" w:rsidRDefault="00B97965" w:rsidP="00B97965">
            <w:pPr>
              <w:spacing w:line="240" w:lineRule="auto"/>
            </w:pPr>
            <w:r>
              <w:t>#16</w:t>
            </w:r>
          </w:p>
        </w:tc>
        <w:tc>
          <w:tcPr>
            <w:tcW w:w="4678" w:type="dxa"/>
          </w:tcPr>
          <w:p w:rsidR="00B97965" w:rsidRDefault="00B97965" w:rsidP="00B97965">
            <w:pPr>
              <w:spacing w:line="240" w:lineRule="auto"/>
            </w:pPr>
            <w:r>
              <w:t>#1 AND #15</w:t>
            </w:r>
          </w:p>
        </w:tc>
        <w:tc>
          <w:tcPr>
            <w:tcW w:w="1276" w:type="dxa"/>
          </w:tcPr>
          <w:p w:rsidR="00B97965" w:rsidRDefault="00B97965" w:rsidP="00B97965">
            <w:pPr>
              <w:spacing w:line="240" w:lineRule="auto"/>
            </w:pPr>
            <w:r>
              <w:t>271</w:t>
            </w:r>
          </w:p>
        </w:tc>
      </w:tr>
      <w:tr w:rsidR="00B97965" w:rsidTr="00B97965">
        <w:tc>
          <w:tcPr>
            <w:tcW w:w="675" w:type="dxa"/>
          </w:tcPr>
          <w:p w:rsidR="00B97965" w:rsidRDefault="00B97965" w:rsidP="00B97965">
            <w:pPr>
              <w:spacing w:line="240" w:lineRule="auto"/>
            </w:pPr>
            <w:r>
              <w:t>#17</w:t>
            </w:r>
          </w:p>
        </w:tc>
        <w:tc>
          <w:tcPr>
            <w:tcW w:w="4678" w:type="dxa"/>
          </w:tcPr>
          <w:p w:rsidR="00B97965" w:rsidRDefault="00B97965" w:rsidP="00B97965">
            <w:pPr>
              <w:spacing w:line="240" w:lineRule="auto"/>
            </w:pPr>
            <w:r>
              <w:t>Limits: Humans and English</w:t>
            </w:r>
          </w:p>
        </w:tc>
        <w:tc>
          <w:tcPr>
            <w:tcW w:w="1276" w:type="dxa"/>
          </w:tcPr>
          <w:p w:rsidR="00B97965" w:rsidRDefault="00B97965" w:rsidP="00B97965">
            <w:pPr>
              <w:spacing w:line="240" w:lineRule="auto"/>
            </w:pPr>
            <w:r>
              <w:t>249</w:t>
            </w:r>
          </w:p>
        </w:tc>
      </w:tr>
    </w:tbl>
    <w:p w:rsidR="00B97965" w:rsidRDefault="00B97965" w:rsidP="00B97965">
      <w:r>
        <w:t xml:space="preserve">The search identified 249 articles. Process of exclusion is illustrated in </w:t>
      </w:r>
      <w:r w:rsidR="00E729BA">
        <w:fldChar w:fldCharType="begin"/>
      </w:r>
      <w:r>
        <w:instrText xml:space="preserve"> REF _Ref344709880 \h </w:instrText>
      </w:r>
      <w:r w:rsidR="00E729BA">
        <w:fldChar w:fldCharType="separate"/>
      </w:r>
      <w:r w:rsidR="004911B7">
        <w:t xml:space="preserve">Figure </w:t>
      </w:r>
      <w:r w:rsidR="004911B7">
        <w:rPr>
          <w:noProof/>
        </w:rPr>
        <w:t>42</w:t>
      </w:r>
      <w:r w:rsidR="00E729BA">
        <w:fldChar w:fldCharType="end"/>
      </w:r>
      <w:r>
        <w:t>.</w:t>
      </w:r>
    </w:p>
    <w:p w:rsidR="00B97965" w:rsidRDefault="00B97965" w:rsidP="00234693">
      <w:pPr>
        <w:pStyle w:val="Caption"/>
      </w:pPr>
      <w:bookmarkStart w:id="727" w:name="_Ref344709880"/>
      <w:r>
        <w:t xml:space="preserve">Figure </w:t>
      </w:r>
      <w:r w:rsidR="00E729BA">
        <w:fldChar w:fldCharType="begin"/>
      </w:r>
      <w:r w:rsidR="000B0EDB">
        <w:instrText xml:space="preserve"> SEQ Figure \* ARABIC </w:instrText>
      </w:r>
      <w:r w:rsidR="00E729BA">
        <w:fldChar w:fldCharType="separate"/>
      </w:r>
      <w:r w:rsidR="004911B7">
        <w:rPr>
          <w:noProof/>
        </w:rPr>
        <w:t>42</w:t>
      </w:r>
      <w:r w:rsidR="00E729BA">
        <w:fldChar w:fldCharType="end"/>
      </w:r>
      <w:bookmarkEnd w:id="727"/>
      <w:r>
        <w:t>:</w:t>
      </w:r>
      <w:r w:rsidRPr="00400FD9">
        <w:t xml:space="preserve"> </w:t>
      </w:r>
      <w:r>
        <w:t>Article identification</w:t>
      </w:r>
    </w:p>
    <w:p w:rsidR="00B97965" w:rsidRDefault="00B97965" w:rsidP="00B97965">
      <w:pPr>
        <w:keepNext/>
      </w:pPr>
      <w:r w:rsidRPr="00F60B06">
        <w:rPr>
          <w:noProof/>
          <w:lang w:eastAsia="zh-CN" w:bidi="ar-SA"/>
        </w:rPr>
        <w:drawing>
          <wp:inline distT="0" distB="0" distL="0" distR="0">
            <wp:extent cx="3121660" cy="2037080"/>
            <wp:effectExtent l="19050" t="0" r="2540" b="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srcRect/>
                    <a:stretch>
                      <a:fillRect/>
                    </a:stretch>
                  </pic:blipFill>
                  <pic:spPr bwMode="auto">
                    <a:xfrm>
                      <a:off x="0" y="0"/>
                      <a:ext cx="3121660" cy="2037080"/>
                    </a:xfrm>
                    <a:prstGeom prst="rect">
                      <a:avLst/>
                    </a:prstGeom>
                    <a:noFill/>
                    <a:ln w="9525">
                      <a:noFill/>
                      <a:miter lim="800000"/>
                      <a:headEnd/>
                      <a:tailEnd/>
                    </a:ln>
                  </pic:spPr>
                </pic:pic>
              </a:graphicData>
            </a:graphic>
          </wp:inline>
        </w:drawing>
      </w:r>
    </w:p>
    <w:p w:rsidR="00B97965" w:rsidRDefault="00B97965" w:rsidP="00B97965">
      <w:r>
        <w:t xml:space="preserve">An initial review using the exclusion criteria found only seven articles that were related to health utilities. Of the excluded articles 30 were related to health related quality of life but did not use validated utility instruments. </w:t>
      </w:r>
    </w:p>
    <w:p w:rsidR="00B97965" w:rsidRDefault="00B97965" w:rsidP="00396982">
      <w:r>
        <w:t xml:space="preserve">Summary data on each study can be found in </w:t>
      </w:r>
      <w:r w:rsidR="00E729BA">
        <w:fldChar w:fldCharType="begin"/>
      </w:r>
      <w:r>
        <w:instrText xml:space="preserve"> REF _Ref261524442 \h </w:instrText>
      </w:r>
      <w:r w:rsidR="00E729BA">
        <w:fldChar w:fldCharType="separate"/>
      </w:r>
      <w:r w:rsidR="004911B7">
        <w:t xml:space="preserve">Table </w:t>
      </w:r>
      <w:r w:rsidR="004911B7">
        <w:rPr>
          <w:noProof/>
        </w:rPr>
        <w:t>130</w:t>
      </w:r>
      <w:r w:rsidR="00E729BA">
        <w:fldChar w:fldCharType="end"/>
      </w:r>
      <w:r>
        <w:t xml:space="preserve">. The studies have used a number of different measurement instruments for utility. </w:t>
      </w:r>
    </w:p>
    <w:p w:rsidR="00B97965" w:rsidRDefault="00B97965" w:rsidP="00234693">
      <w:pPr>
        <w:pStyle w:val="Caption"/>
      </w:pPr>
      <w:bookmarkStart w:id="728" w:name="_Ref261524442"/>
      <w:r>
        <w:t xml:space="preserve">Table </w:t>
      </w:r>
      <w:fldSimple w:instr=" SEQ Table \* ARABIC ">
        <w:r w:rsidR="004911B7">
          <w:rPr>
            <w:noProof/>
          </w:rPr>
          <w:t>130</w:t>
        </w:r>
      </w:fldSimple>
      <w:bookmarkEnd w:id="728"/>
      <w:r>
        <w:t>: Summary of selected articles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tblPr>
      <w:tblGrid>
        <w:gridCol w:w="1310"/>
        <w:gridCol w:w="3490"/>
        <w:gridCol w:w="816"/>
        <w:gridCol w:w="1369"/>
        <w:gridCol w:w="1429"/>
      </w:tblGrid>
      <w:tr w:rsidR="00B97965" w:rsidRPr="00462288" w:rsidTr="00B97965">
        <w:tc>
          <w:tcPr>
            <w:tcW w:w="1384" w:type="dxa"/>
            <w:tcBorders>
              <w:top w:val="single" w:sz="12" w:space="0" w:color="auto"/>
              <w:bottom w:val="single" w:sz="4" w:space="0" w:color="auto"/>
            </w:tcBorders>
          </w:tcPr>
          <w:p w:rsidR="00B97965" w:rsidRPr="00462288" w:rsidRDefault="00B97965" w:rsidP="00B97965">
            <w:pPr>
              <w:spacing w:line="240" w:lineRule="auto"/>
              <w:rPr>
                <w:sz w:val="20"/>
              </w:rPr>
            </w:pPr>
            <w:r w:rsidRPr="00462288">
              <w:rPr>
                <w:sz w:val="20"/>
              </w:rPr>
              <w:t>Author</w:t>
            </w:r>
          </w:p>
        </w:tc>
        <w:tc>
          <w:tcPr>
            <w:tcW w:w="4110" w:type="dxa"/>
            <w:tcBorders>
              <w:top w:val="single" w:sz="12" w:space="0" w:color="auto"/>
              <w:bottom w:val="single" w:sz="4" w:space="0" w:color="auto"/>
            </w:tcBorders>
          </w:tcPr>
          <w:p w:rsidR="00B97965" w:rsidRPr="00462288" w:rsidRDefault="00B97965" w:rsidP="00B97965">
            <w:pPr>
              <w:spacing w:line="240" w:lineRule="auto"/>
              <w:rPr>
                <w:sz w:val="20"/>
              </w:rPr>
            </w:pPr>
            <w:r w:rsidRPr="00462288">
              <w:rPr>
                <w:sz w:val="20"/>
              </w:rPr>
              <w:t>Objective</w:t>
            </w:r>
          </w:p>
        </w:tc>
        <w:tc>
          <w:tcPr>
            <w:tcW w:w="816" w:type="dxa"/>
            <w:tcBorders>
              <w:top w:val="single" w:sz="12" w:space="0" w:color="auto"/>
              <w:bottom w:val="single" w:sz="4" w:space="0" w:color="auto"/>
            </w:tcBorders>
          </w:tcPr>
          <w:p w:rsidR="00B97965" w:rsidRPr="00462288" w:rsidRDefault="00B97965" w:rsidP="00B97965">
            <w:pPr>
              <w:spacing w:line="240" w:lineRule="auto"/>
              <w:rPr>
                <w:sz w:val="20"/>
              </w:rPr>
            </w:pPr>
            <w:r w:rsidRPr="00462288">
              <w:rPr>
                <w:sz w:val="20"/>
              </w:rPr>
              <w:t>Sample size</w:t>
            </w:r>
          </w:p>
        </w:tc>
        <w:tc>
          <w:tcPr>
            <w:tcW w:w="1453" w:type="dxa"/>
            <w:tcBorders>
              <w:top w:val="single" w:sz="12" w:space="0" w:color="auto"/>
              <w:bottom w:val="single" w:sz="4" w:space="0" w:color="auto"/>
            </w:tcBorders>
          </w:tcPr>
          <w:p w:rsidR="00B97965" w:rsidRPr="00462288" w:rsidRDefault="00B97965" w:rsidP="00B97965">
            <w:pPr>
              <w:spacing w:line="240" w:lineRule="auto"/>
              <w:rPr>
                <w:sz w:val="20"/>
              </w:rPr>
            </w:pPr>
            <w:r w:rsidRPr="00462288">
              <w:rPr>
                <w:sz w:val="20"/>
              </w:rPr>
              <w:t>Utility instrument</w:t>
            </w:r>
          </w:p>
        </w:tc>
        <w:tc>
          <w:tcPr>
            <w:tcW w:w="1479" w:type="dxa"/>
            <w:tcBorders>
              <w:top w:val="single" w:sz="12" w:space="0" w:color="auto"/>
              <w:bottom w:val="single" w:sz="4" w:space="0" w:color="auto"/>
            </w:tcBorders>
          </w:tcPr>
          <w:p w:rsidR="00B97965" w:rsidRPr="00462288" w:rsidRDefault="00B97965" w:rsidP="00B97965">
            <w:pPr>
              <w:spacing w:line="240" w:lineRule="auto"/>
              <w:rPr>
                <w:sz w:val="20"/>
              </w:rPr>
            </w:pPr>
            <w:r w:rsidRPr="00462288">
              <w:rPr>
                <w:sz w:val="20"/>
              </w:rPr>
              <w:t>Study design</w:t>
            </w:r>
          </w:p>
        </w:tc>
      </w:tr>
      <w:tr w:rsidR="00B97965" w:rsidRPr="00462288" w:rsidTr="00B97965">
        <w:tc>
          <w:tcPr>
            <w:tcW w:w="1384" w:type="dxa"/>
            <w:tcBorders>
              <w:top w:val="single" w:sz="4" w:space="0" w:color="auto"/>
            </w:tcBorders>
          </w:tcPr>
          <w:p w:rsidR="00B97965" w:rsidRPr="00462288" w:rsidRDefault="00B97965" w:rsidP="00B97965">
            <w:pPr>
              <w:spacing w:line="240" w:lineRule="auto"/>
              <w:rPr>
                <w:sz w:val="20"/>
                <w:lang w:val="de-DE"/>
              </w:rPr>
            </w:pPr>
            <w:r w:rsidRPr="00462288">
              <w:rPr>
                <w:sz w:val="20"/>
                <w:lang w:val="de-DE"/>
              </w:rPr>
              <w:t>Wang (2001)</w:t>
            </w:r>
            <w:r>
              <w:rPr>
                <w:sz w:val="20"/>
                <w:lang w:val="de-DE"/>
              </w:rPr>
              <w:t xml:space="preserve"> </w:t>
            </w:r>
            <w:r w:rsidR="00E729BA" w:rsidRPr="00462288">
              <w:rPr>
                <w:sz w:val="20"/>
                <w:lang w:val="de-DE"/>
              </w:rPr>
              <w:fldChar w:fldCharType="begin"/>
            </w:r>
            <w:r w:rsidR="00FC61FD">
              <w:rPr>
                <w:sz w:val="20"/>
                <w:lang w:val="de-DE"/>
              </w:rPr>
              <w:instrText xml:space="preserve"> ADDIN REFMGR.CITE &lt;Refman&gt;&lt;Cite&gt;&lt;Author&gt;Wang&lt;/Author&gt;&lt;Year&gt;2001&lt;/Year&gt;&lt;RecNum&gt;22&lt;/RecNum&gt;&lt;IDText&gt;The relationship between health related quality of life and disease activity and damage in systemic lupus erythematosus&lt;/IDText&gt;&lt;MDL Ref_Type="Journal"&gt;&lt;Ref_Type&gt;Journal&lt;/Ref_Type&gt;&lt;Ref_ID&gt;22&lt;/Ref_ID&gt;&lt;Title_Primary&gt;The relationship between health related quality of life and disease activity and damage in systemic lupus erythematosus&lt;/Title_Primary&gt;&lt;Authors_Primary&gt;Wang,C.&lt;/Authors_Primary&gt;&lt;Authors_Primary&gt;Mayo,N.E.&lt;/Authors_Primary&gt;&lt;Authors_Primary&gt;Fortin,P.R.&lt;/Authors_Primary&gt;&lt;Date_Primary&gt;2001/3&lt;/Date_Primary&gt;&lt;Keywords&gt;Adult&lt;/Keywords&gt;&lt;Keywords&gt;Aged&lt;/Keywords&gt;&lt;Keywords&gt;Aged,80 and over&lt;/Keywords&gt;&lt;Keywords&gt;Cross-Sectional Studies&lt;/Keywords&gt;&lt;Keywords&gt;Disability Evaluation&lt;/Keywords&gt;&lt;Keywords&gt;Female&lt;/Keywords&gt;&lt;Keywords&gt;Humans&lt;/Keywords&gt;&lt;Keywords&gt;Linear Models&lt;/Keywords&gt;&lt;Keywords&gt;Lupus Erythematosus,Systemic&lt;/Keywords&gt;&lt;Keywords&gt;Male&lt;/Keywords&gt;&lt;Keywords&gt;methods&lt;/Keywords&gt;&lt;Keywords&gt;Middle Aged&lt;/Keywords&gt;&lt;Keywords&gt;psychology&lt;/Keywords&gt;&lt;Keywords&gt;Quality of Life&lt;/Keywords&gt;&lt;Keywords&gt;rehabilitation&lt;/Keywords&gt;&lt;Keywords&gt;Rheumatology&lt;/Keywords&gt;&lt;Keywords&gt;Severity of Illness Index&lt;/Keywords&gt;&lt;Keywords&gt;World Health Organization&lt;/Keywords&gt;&lt;Reprint&gt;Not in File&lt;/Reprint&gt;&lt;Start_Page&gt;525&lt;/Start_Page&gt;&lt;End_Page&gt;532&lt;/End_Page&gt;&lt;Periodical&gt;J.Rheumatol.&lt;/Periodical&gt;&lt;Volume&gt;28&lt;/Volume&gt;&lt;Issue&gt;3&lt;/Issue&gt;&lt;ZZ_JournalStdAbbrev&gt;&lt;f name="System"&gt;J.Rheumatol.&lt;/f&gt;&lt;/ZZ_JournalStdAbbrev&gt;&lt;ZZ_WorkformID&gt;1&lt;/ZZ_WorkformID&gt;&lt;/MDL&gt;&lt;/Cite&gt;&lt;/Refman&gt;</w:instrText>
            </w:r>
            <w:r w:rsidR="00E729BA" w:rsidRPr="00462288">
              <w:rPr>
                <w:sz w:val="20"/>
                <w:lang w:val="de-DE"/>
              </w:rPr>
              <w:fldChar w:fldCharType="separate"/>
            </w:r>
            <w:r w:rsidR="0081424E">
              <w:rPr>
                <w:sz w:val="20"/>
                <w:lang w:val="de-DE"/>
              </w:rPr>
              <w:t>(231)</w:t>
            </w:r>
            <w:r w:rsidR="00E729BA" w:rsidRPr="00462288">
              <w:rPr>
                <w:sz w:val="20"/>
                <w:lang w:val="de-DE"/>
              </w:rPr>
              <w:fldChar w:fldCharType="end"/>
            </w:r>
          </w:p>
        </w:tc>
        <w:tc>
          <w:tcPr>
            <w:tcW w:w="4110" w:type="dxa"/>
            <w:tcBorders>
              <w:top w:val="single" w:sz="4" w:space="0" w:color="auto"/>
            </w:tcBorders>
          </w:tcPr>
          <w:p w:rsidR="00B97965" w:rsidRPr="00462288" w:rsidRDefault="00B97965" w:rsidP="00B97965">
            <w:pPr>
              <w:spacing w:line="240" w:lineRule="auto"/>
              <w:rPr>
                <w:sz w:val="20"/>
              </w:rPr>
            </w:pPr>
            <w:r w:rsidRPr="00462288">
              <w:rPr>
                <w:sz w:val="20"/>
              </w:rPr>
              <w:t>Evaluate relationship between QOL and disease activity, damage, impairment, disability and handicap.</w:t>
            </w:r>
          </w:p>
        </w:tc>
        <w:tc>
          <w:tcPr>
            <w:tcW w:w="816" w:type="dxa"/>
            <w:tcBorders>
              <w:top w:val="single" w:sz="4" w:space="0" w:color="auto"/>
            </w:tcBorders>
          </w:tcPr>
          <w:p w:rsidR="00B97965" w:rsidRPr="00462288" w:rsidRDefault="00B97965" w:rsidP="00B97965">
            <w:pPr>
              <w:spacing w:line="240" w:lineRule="auto"/>
              <w:rPr>
                <w:sz w:val="20"/>
              </w:rPr>
            </w:pPr>
            <w:r w:rsidRPr="00462288">
              <w:rPr>
                <w:sz w:val="20"/>
              </w:rPr>
              <w:t>54</w:t>
            </w:r>
          </w:p>
        </w:tc>
        <w:tc>
          <w:tcPr>
            <w:tcW w:w="1453" w:type="dxa"/>
            <w:tcBorders>
              <w:top w:val="single" w:sz="4" w:space="0" w:color="auto"/>
            </w:tcBorders>
          </w:tcPr>
          <w:p w:rsidR="00B97965" w:rsidRPr="00462288" w:rsidRDefault="00B97965" w:rsidP="00B97965">
            <w:pPr>
              <w:spacing w:line="240" w:lineRule="auto"/>
              <w:rPr>
                <w:sz w:val="20"/>
              </w:rPr>
            </w:pPr>
            <w:r w:rsidRPr="00462288">
              <w:rPr>
                <w:sz w:val="20"/>
              </w:rPr>
              <w:t>EQ-5D</w:t>
            </w:r>
          </w:p>
        </w:tc>
        <w:tc>
          <w:tcPr>
            <w:tcW w:w="1479" w:type="dxa"/>
            <w:tcBorders>
              <w:top w:val="single" w:sz="4" w:space="0" w:color="auto"/>
            </w:tcBorders>
          </w:tcPr>
          <w:p w:rsidR="00B97965" w:rsidRPr="00462288" w:rsidRDefault="00B97965" w:rsidP="00B97965">
            <w:pPr>
              <w:spacing w:line="240" w:lineRule="auto"/>
              <w:rPr>
                <w:sz w:val="20"/>
              </w:rPr>
            </w:pPr>
            <w:r w:rsidRPr="00462288">
              <w:rPr>
                <w:sz w:val="20"/>
              </w:rPr>
              <w:t>Cross sectional</w:t>
            </w:r>
          </w:p>
        </w:tc>
      </w:tr>
      <w:tr w:rsidR="00B97965" w:rsidRPr="00462288" w:rsidTr="00B97965">
        <w:tc>
          <w:tcPr>
            <w:tcW w:w="1384" w:type="dxa"/>
          </w:tcPr>
          <w:p w:rsidR="00B97965" w:rsidRPr="00462288" w:rsidRDefault="00B97965" w:rsidP="00B97965">
            <w:pPr>
              <w:spacing w:line="240" w:lineRule="auto"/>
              <w:rPr>
                <w:sz w:val="20"/>
              </w:rPr>
            </w:pPr>
            <w:r w:rsidRPr="00462288">
              <w:rPr>
                <w:sz w:val="20"/>
              </w:rPr>
              <w:t xml:space="preserve">Moore (1999) </w:t>
            </w:r>
            <w:r w:rsidR="00E729BA" w:rsidRPr="00462288">
              <w:rPr>
                <w:sz w:val="20"/>
                <w:lang w:val="fr-CA"/>
              </w:rPr>
              <w:fldChar w:fldCharType="begin"/>
            </w:r>
            <w:r w:rsidR="00FC61FD">
              <w:rPr>
                <w:sz w:val="20"/>
              </w:rPr>
              <w:instrText xml:space="preserve"> ADDIN REFMGR.CITE &lt;Refman&gt;&lt;Cite&gt;&lt;Author&gt;Moore&lt;/Author&gt;&lt;Year&gt;1999&lt;/Year&gt;&lt;RecNum&gt;1618&lt;/RecNum&gt;&lt;IDText&gt;Can health utility measures be used in lupus research? A comparative validation and reliability study of 4 utility indices&lt;/IDText&gt;&lt;MDL Ref_Type="Journal"&gt;&lt;Ref_Type&gt;Journal&lt;/Ref_Type&gt;&lt;Ref_ID&gt;1618&lt;/Ref_ID&gt;&lt;Title_Primary&gt;Can health utility measures be used in lupus research? A comparative validation and reliability study of 4 utility indices&lt;/Title_Primary&gt;&lt;Authors_Primary&gt;Moore,A.D.&lt;/Authors_Primary&gt;&lt;Authors_Primary&gt;Clarke,A.E.&lt;/Authors_Primary&gt;&lt;Authors_Primary&gt;Danoff,D.S.&lt;/Authors_Primary&gt;&lt;Authors_Primary&gt;Joseph,L.&lt;/Authors_Primary&gt;&lt;Authors_Primary&gt;Belisle,P.&lt;/Authors_Primary&gt;&lt;Authors_Primary&gt;Neville,C.&lt;/Authors_Primary&gt;&lt;Authors_Primary&gt;Fortin,P.R.&lt;/Authors_Primary&gt;&lt;Date_Primary&gt;1999/6&lt;/Date_Primary&gt;&lt;Keywords&gt;Adult&lt;/Keywords&gt;&lt;Keywords&gt;Aged&lt;/Keywords&gt;&lt;Keywords&gt;analysis&lt;/Keywords&gt;&lt;Keywords&gt;confidence interval&lt;/Keywords&gt;&lt;Keywords&gt;diagnosis&lt;/Keywords&gt;&lt;Keywords&gt;Disease&lt;/Keywords&gt;&lt;Keywords&gt;disease activity&lt;/Keywords&gt;&lt;Keywords&gt;disease activity index&lt;/Keywords&gt;&lt;Keywords&gt;erythematosus&lt;/Keywords&gt;&lt;Keywords&gt;Evaluation Studies as Topic&lt;/Keywords&gt;&lt;Keywords&gt;Female&lt;/Keywords&gt;&lt;Keywords&gt;general hospital&lt;/Keywords&gt;&lt;Keywords&gt;Health&lt;/Keywords&gt;&lt;Keywords&gt;Health Status&lt;/Keywords&gt;&lt;Keywords&gt;hospital&lt;/Keywords&gt;&lt;Keywords&gt;Humans&lt;/Keywords&gt;&lt;Keywords&gt;Life&lt;/Keywords&gt;&lt;Keywords&gt;lupus erythematosus&lt;/Keywords&gt;&lt;Keywords&gt;Lupus Erythematosus,Systemic&lt;/Keywords&gt;&lt;Keywords&gt;Male&lt;/Keywords&gt;&lt;Keywords&gt;Mental Health&lt;/Keywords&gt;&lt;Keywords&gt;methods&lt;/Keywords&gt;&lt;Keywords&gt;Middle Aged&lt;/Keywords&gt;&lt;Keywords&gt;Morbidity&lt;/Keywords&gt;&lt;Keywords&gt;Pain&lt;/Keywords&gt;&lt;Keywords&gt;Pain Measurement&lt;/Keywords&gt;&lt;Keywords&gt;patient&lt;/Keywords&gt;&lt;Keywords&gt;Patients&lt;/Keywords&gt;&lt;Keywords&gt;population&lt;/Keywords&gt;&lt;Keywords&gt;Predictive Value of Tests&lt;/Keywords&gt;&lt;Keywords&gt;Prognosis&lt;/Keywords&gt;&lt;Keywords&gt;Quality of Life&lt;/Keywords&gt;&lt;Keywords&gt;Quebec&lt;/Keywords&gt;&lt;Keywords&gt;Regression Analysis&lt;/Keywords&gt;&lt;Keywords&gt;Reproducibility of Results&lt;/Keywords&gt;&lt;Keywords&gt;Research&lt;/Keywords&gt;&lt;Keywords&gt;Rheumatology&lt;/Keywords&gt;&lt;Keywords&gt;Severity of Illness Index&lt;/Keywords&gt;&lt;Keywords&gt;Short Form 36&lt;/Keywords&gt;&lt;Keywords&gt;systemic lupus erythematosus&lt;/Keywords&gt;&lt;Keywords&gt;Time&lt;/Keywords&gt;&lt;Reprint&gt;Not in File&lt;/Reprint&gt;&lt;Start_Page&gt;1285&lt;/Start_Page&gt;&lt;End_Page&gt;1290&lt;/End_Page&gt;&lt;Periodical&gt;J.Rheumatol.&lt;/Periodical&gt;&lt;Volume&gt;26&lt;/Volume&gt;&lt;Issue&gt;6&lt;/Issue&gt;&lt;ZZ_JournalStdAbbrev&gt;&lt;f name="System"&gt;J.Rheumatol.&lt;/f&gt;&lt;/ZZ_JournalStdAbbrev&gt;&lt;ZZ_WorkformID&gt;1&lt;/ZZ_WorkformID&gt;&lt;/MDL&gt;&lt;/Cite&gt;&lt;/Refman&gt;</w:instrText>
            </w:r>
            <w:r w:rsidR="00E729BA" w:rsidRPr="00462288">
              <w:rPr>
                <w:sz w:val="20"/>
                <w:lang w:val="fr-CA"/>
              </w:rPr>
              <w:fldChar w:fldCharType="separate"/>
            </w:r>
            <w:r w:rsidR="0081424E">
              <w:rPr>
                <w:sz w:val="20"/>
              </w:rPr>
              <w:t>(232)</w:t>
            </w:r>
            <w:r w:rsidR="00E729BA" w:rsidRPr="00462288">
              <w:rPr>
                <w:sz w:val="20"/>
                <w:lang w:val="fr-CA"/>
              </w:rPr>
              <w:fldChar w:fldCharType="end"/>
            </w:r>
          </w:p>
        </w:tc>
        <w:tc>
          <w:tcPr>
            <w:tcW w:w="4110" w:type="dxa"/>
          </w:tcPr>
          <w:p w:rsidR="00B97965" w:rsidRPr="00462288" w:rsidRDefault="00B97965" w:rsidP="00B97965">
            <w:pPr>
              <w:spacing w:line="240" w:lineRule="auto"/>
              <w:rPr>
                <w:sz w:val="20"/>
              </w:rPr>
            </w:pPr>
            <w:r w:rsidRPr="00462288">
              <w:rPr>
                <w:sz w:val="20"/>
              </w:rPr>
              <w:t>To assess the validity and reliability of 4 utility indices</w:t>
            </w:r>
          </w:p>
        </w:tc>
        <w:tc>
          <w:tcPr>
            <w:tcW w:w="816" w:type="dxa"/>
          </w:tcPr>
          <w:p w:rsidR="00B97965" w:rsidRPr="00462288" w:rsidRDefault="00B97965" w:rsidP="00B97965">
            <w:pPr>
              <w:spacing w:line="240" w:lineRule="auto"/>
              <w:rPr>
                <w:sz w:val="20"/>
              </w:rPr>
            </w:pPr>
            <w:r w:rsidRPr="00462288">
              <w:rPr>
                <w:sz w:val="20"/>
              </w:rPr>
              <w:t>25</w:t>
            </w:r>
          </w:p>
        </w:tc>
        <w:tc>
          <w:tcPr>
            <w:tcW w:w="1453" w:type="dxa"/>
          </w:tcPr>
          <w:p w:rsidR="00B97965" w:rsidRPr="00462288" w:rsidRDefault="00B97965" w:rsidP="00B97965">
            <w:pPr>
              <w:spacing w:line="240" w:lineRule="auto"/>
              <w:rPr>
                <w:sz w:val="20"/>
              </w:rPr>
            </w:pPr>
            <w:r w:rsidRPr="00462288">
              <w:rPr>
                <w:sz w:val="20"/>
              </w:rPr>
              <w:t>VAS; Standard gamble, TTO, HUI-2</w:t>
            </w:r>
          </w:p>
        </w:tc>
        <w:tc>
          <w:tcPr>
            <w:tcW w:w="1479" w:type="dxa"/>
          </w:tcPr>
          <w:p w:rsidR="00B97965" w:rsidRPr="00462288" w:rsidRDefault="00B97965" w:rsidP="00B97965">
            <w:pPr>
              <w:spacing w:line="240" w:lineRule="auto"/>
              <w:rPr>
                <w:sz w:val="20"/>
              </w:rPr>
            </w:pPr>
            <w:r w:rsidRPr="00462288">
              <w:rPr>
                <w:sz w:val="20"/>
              </w:rPr>
              <w:t>Repeated interviews</w:t>
            </w:r>
          </w:p>
        </w:tc>
      </w:tr>
      <w:tr w:rsidR="00B97965" w:rsidRPr="00462288" w:rsidTr="00B97965">
        <w:tc>
          <w:tcPr>
            <w:tcW w:w="1384" w:type="dxa"/>
          </w:tcPr>
          <w:p w:rsidR="00B97965" w:rsidRPr="00462288" w:rsidRDefault="0094366B" w:rsidP="00B97965">
            <w:pPr>
              <w:spacing w:line="240" w:lineRule="auto"/>
              <w:rPr>
                <w:sz w:val="20"/>
                <w:lang w:val="es-ES_tradnl"/>
              </w:rPr>
            </w:pPr>
            <w:r w:rsidRPr="0094366B">
              <w:rPr>
                <w:sz w:val="20"/>
              </w:rPr>
              <w:t xml:space="preserve">Ariza-Ariza (2005) </w:t>
            </w:r>
            <w:r w:rsidR="00E729BA" w:rsidRPr="00462288">
              <w:rPr>
                <w:sz w:val="20"/>
                <w:lang w:val="pt-PT"/>
              </w:rPr>
              <w:fldChar w:fldCharType="begin"/>
            </w:r>
            <w:r w:rsidR="00FC61FD">
              <w:rPr>
                <w:sz w:val="20"/>
              </w:rPr>
              <w:instrText xml:space="preserve"> ADDIN REFMGR.CITE &lt;Refman&gt;&lt;Cite&gt;&lt;Author&gt;Ariza-Ariza&lt;/Author&gt;&lt;Year&gt;2005&lt;/Year&gt;&lt;RecNum&gt;23&lt;/RecNum&gt;&lt;IDText&gt;EuroQol is a useful instrument for assessing the health-related quality of life of the patients with systemic lupus erythematosus&lt;/IDText&gt;&lt;MDL Ref_Type="Journal"&gt;&lt;Ref_Type&gt;Journal&lt;/Ref_Type&gt;&lt;Ref_ID&gt;23&lt;/Ref_ID&gt;&lt;Title_Primary&gt;EuroQol is a useful instrument for assessing the health-related quality of life of the patients with systemic lupus erythematosus&lt;/Title_Primary&gt;&lt;Authors_Primary&gt;Ariza-Ariza,R.&lt;/Authors_Primary&gt;&lt;Authors_Primary&gt;Hernandez-Cruz,B.&lt;/Authors_Primary&gt;&lt;Authors_Primary&gt;Navarro-Sarabia,F.&lt;/Authors_Primary&gt;&lt;Date_Primary&gt;2005&lt;/Date_Primary&gt;&lt;Keywords&gt;Adult&lt;/Keywords&gt;&lt;Keywords&gt;Female&lt;/Keywords&gt;&lt;Keywords&gt;Health Status&lt;/Keywords&gt;&lt;Keywords&gt;Humans&lt;/Keywords&gt;&lt;Keywords&gt;Lupus Erythematosus,Systemic&lt;/Keywords&gt;&lt;Keywords&gt;Male&lt;/Keywords&gt;&lt;Keywords&gt;Middle Aged&lt;/Keywords&gt;&lt;Keywords&gt;physiopathology&lt;/Keywords&gt;&lt;Keywords&gt;psychology&lt;/Keywords&gt;&lt;Keywords&gt;Quality of Life&lt;/Keywords&gt;&lt;Keywords&gt;Questionnaires&lt;/Keywords&gt;&lt;Keywords&gt;Spain&lt;/Keywords&gt;&lt;Reprint&gt;Not in File&lt;/Reprint&gt;&lt;Start_Page&gt;334&lt;/Start_Page&gt;&lt;End_Page&gt;335&lt;/End_Page&gt;&lt;Periodical&gt;Lupus.&lt;/Periodical&gt;&lt;Volume&gt;14&lt;/Volume&gt;&lt;Issue&gt;4&lt;/Issue&gt;&lt;ZZ_JournalStdAbbrev&gt;&lt;f name="System"&gt;Lupus.&lt;/f&gt;&lt;/ZZ_JournalStdAbbrev&gt;&lt;ZZ_WorkformID&gt;1&lt;/ZZ_WorkformID&gt;&lt;/MDL&gt;&lt;/Cite&gt;&lt;/Refman&gt;</w:instrText>
            </w:r>
            <w:r w:rsidR="00E729BA" w:rsidRPr="00462288">
              <w:rPr>
                <w:sz w:val="20"/>
                <w:lang w:val="pt-PT"/>
              </w:rPr>
              <w:fldChar w:fldCharType="separate"/>
            </w:r>
            <w:r w:rsidR="0081424E">
              <w:rPr>
                <w:sz w:val="20"/>
                <w:lang w:val="es-ES_tradnl"/>
              </w:rPr>
              <w:t>(229)</w:t>
            </w:r>
            <w:r w:rsidR="00E729BA" w:rsidRPr="00462288">
              <w:rPr>
                <w:sz w:val="20"/>
                <w:lang w:val="pt-PT"/>
              </w:rPr>
              <w:fldChar w:fldCharType="end"/>
            </w:r>
          </w:p>
        </w:tc>
        <w:tc>
          <w:tcPr>
            <w:tcW w:w="4110" w:type="dxa"/>
          </w:tcPr>
          <w:p w:rsidR="00B97965" w:rsidRPr="00462288" w:rsidRDefault="00B97965" w:rsidP="00B97965">
            <w:pPr>
              <w:spacing w:line="240" w:lineRule="auto"/>
              <w:rPr>
                <w:sz w:val="20"/>
              </w:rPr>
            </w:pPr>
            <w:r w:rsidRPr="00462288">
              <w:rPr>
                <w:sz w:val="20"/>
              </w:rPr>
              <w:t>Test the EuroQol as an instrument for quality of life</w:t>
            </w:r>
          </w:p>
        </w:tc>
        <w:tc>
          <w:tcPr>
            <w:tcW w:w="816" w:type="dxa"/>
          </w:tcPr>
          <w:p w:rsidR="00B97965" w:rsidRPr="00462288" w:rsidRDefault="00B97965" w:rsidP="00B97965">
            <w:pPr>
              <w:spacing w:line="240" w:lineRule="auto"/>
              <w:rPr>
                <w:sz w:val="20"/>
              </w:rPr>
            </w:pPr>
            <w:r w:rsidRPr="00462288">
              <w:rPr>
                <w:sz w:val="20"/>
              </w:rPr>
              <w:t>35</w:t>
            </w:r>
          </w:p>
        </w:tc>
        <w:tc>
          <w:tcPr>
            <w:tcW w:w="1453" w:type="dxa"/>
          </w:tcPr>
          <w:p w:rsidR="00B97965" w:rsidRPr="00462288" w:rsidRDefault="00B97965" w:rsidP="00B97965">
            <w:pPr>
              <w:spacing w:line="240" w:lineRule="auto"/>
              <w:rPr>
                <w:sz w:val="20"/>
              </w:rPr>
            </w:pPr>
            <w:r w:rsidRPr="00462288">
              <w:rPr>
                <w:sz w:val="20"/>
              </w:rPr>
              <w:t>EQ-5D</w:t>
            </w:r>
          </w:p>
        </w:tc>
        <w:tc>
          <w:tcPr>
            <w:tcW w:w="1479" w:type="dxa"/>
          </w:tcPr>
          <w:p w:rsidR="00B97965" w:rsidRPr="00462288" w:rsidRDefault="00B97965" w:rsidP="00B97965">
            <w:pPr>
              <w:spacing w:line="240" w:lineRule="auto"/>
              <w:rPr>
                <w:sz w:val="20"/>
              </w:rPr>
            </w:pPr>
            <w:r w:rsidRPr="00462288">
              <w:rPr>
                <w:sz w:val="20"/>
              </w:rPr>
              <w:t>Cross sectional</w:t>
            </w:r>
          </w:p>
        </w:tc>
      </w:tr>
      <w:tr w:rsidR="00B97965" w:rsidRPr="00462288" w:rsidTr="00B97965">
        <w:tc>
          <w:tcPr>
            <w:tcW w:w="1384" w:type="dxa"/>
          </w:tcPr>
          <w:p w:rsidR="00B97965" w:rsidRPr="00462288" w:rsidRDefault="00B97965" w:rsidP="00B97965">
            <w:pPr>
              <w:spacing w:line="240" w:lineRule="auto"/>
              <w:rPr>
                <w:sz w:val="20"/>
                <w:lang w:val="pt-PT"/>
              </w:rPr>
            </w:pPr>
            <w:r w:rsidRPr="00462288">
              <w:rPr>
                <w:sz w:val="20"/>
                <w:lang w:val="pt-PT"/>
              </w:rPr>
              <w:t xml:space="preserve">Fernandez (2007) </w:t>
            </w:r>
            <w:r w:rsidR="00E729BA" w:rsidRPr="00462288">
              <w:rPr>
                <w:sz w:val="20"/>
                <w:lang w:val="pt-PT"/>
              </w:rPr>
              <w:fldChar w:fldCharType="begin"/>
            </w:r>
            <w:r w:rsidR="00FC61FD">
              <w:rPr>
                <w:sz w:val="20"/>
                <w:lang w:val="pt-PT"/>
              </w:rPr>
              <w:instrText xml:space="preserve"> ADDIN REFMGR.CITE &lt;Refman&gt;&lt;Cite&gt;&lt;Author&gt;Fernandez&lt;/Author&gt;&lt;Year&gt;2007&lt;/Year&gt;&lt;RecNum&gt;24&lt;/RecNum&gt;&lt;IDText&gt;Using the Short Form 6D, as an overall measure of health, to predict damage accrual and mortality in patients with systemic lupus erythematosus: XLVII, results from a multiethnic US cohort&lt;/IDText&gt;&lt;MDL Ref_Type="Journal"&gt;&lt;Ref_Type&gt;Journal&lt;/Ref_Type&gt;&lt;Ref_ID&gt;24&lt;/Ref_ID&gt;&lt;Title_Primary&gt;Using the Short Form 6D, as an overall measure of health, to predict damage accrual and mortality in patients with systemic lupus erythematosus: XLVII, results from a multiethnic US cohort&lt;/Title_Primary&gt;&lt;Authors_Primary&gt;Fernandez,M.&lt;/Authors_Primary&gt;&lt;Authors_Primary&gt;Alarcon,G.S.&lt;/Authors_Primary&gt;&lt;Authors_Primary&gt;McGwin,G.,Jr.&lt;/Authors_Primary&gt;&lt;Authors_Primary&gt;Sanchez,M.L.&lt;/Authors_Primary&gt;&lt;Authors_Primary&gt;Apte,M.&lt;/Authors_Primary&gt;&lt;Authors_Primary&gt;Vila,L.M.&lt;/Authors_Primary&gt;&lt;Authors_Primary&gt;Reveille,J.D.&lt;/Authors_Primary&gt;&lt;Date_Primary&gt;2007/8/15&lt;/Date_Primary&gt;&lt;Keywords&gt;Adult&lt;/Keywords&gt;&lt;Keywords&gt;African Americans&lt;/Keywords&gt;&lt;Keywords&gt;Cohort Studies&lt;/Keywords&gt;&lt;Keywords&gt;Disease Progression&lt;/Keywords&gt;&lt;Keywords&gt;epidemiology&lt;/Keywords&gt;&lt;Keywords&gt;ethnology&lt;/Keywords&gt;&lt;Keywords&gt;European Continental Ancestry Group&lt;/Keywords&gt;&lt;Keywords&gt;Female&lt;/Keywords&gt;&lt;Keywords&gt;Health Status&lt;/Keywords&gt;&lt;Keywords&gt;Health Status Indicators&lt;/Keywords&gt;&lt;Keywords&gt;Hispanic Americans&lt;/Keywords&gt;&lt;Keywords&gt;Humans&lt;/Keywords&gt;&lt;Keywords&gt;Longitudinal Studies&lt;/Keywords&gt;&lt;Keywords&gt;Lupus Erythematosus,Systemic&lt;/Keywords&gt;&lt;Keywords&gt;Male&lt;/Keywords&gt;&lt;Keywords&gt;methods&lt;/Keywords&gt;&lt;Keywords&gt;Middle Aged&lt;/Keywords&gt;&lt;Keywords&gt;mortality&lt;/Keywords&gt;&lt;Keywords&gt;Multivariate Analysis&lt;/Keywords&gt;&lt;Keywords&gt;physiopathology&lt;/Keywords&gt;&lt;Keywords&gt;Predictive Value of Tests&lt;/Keywords&gt;&lt;Keywords&gt;Quality of Life&lt;/Keywords&gt;&lt;Keywords&gt;Rheumatology&lt;/Keywords&gt;&lt;Keywords&gt;United States&lt;/Keywords&gt;&lt;Reprint&gt;Not in File&lt;/Reprint&gt;&lt;Start_Page&gt;986&lt;/Start_Page&gt;&lt;End_Page&gt;992&lt;/End_Page&gt;&lt;Periodical&gt;Arthritis Rheum.&lt;/Periodical&gt;&lt;Volume&gt;57&lt;/Volume&gt;&lt;Issue&gt;6&lt;/Issue&gt;&lt;ZZ_JournalStdAbbrev&gt;&lt;f name="System"&gt;Arthritis Rheum.&lt;/f&gt;&lt;/ZZ_JournalStdAbbrev&gt;&lt;ZZ_WorkformID&gt;1&lt;/ZZ_WorkformID&gt;&lt;/MDL&gt;&lt;/Cite&gt;&lt;/Refman&gt;</w:instrText>
            </w:r>
            <w:r w:rsidR="00E729BA" w:rsidRPr="00462288">
              <w:rPr>
                <w:sz w:val="20"/>
                <w:lang w:val="pt-PT"/>
              </w:rPr>
              <w:fldChar w:fldCharType="separate"/>
            </w:r>
            <w:r w:rsidR="0081424E">
              <w:rPr>
                <w:sz w:val="20"/>
                <w:lang w:val="pt-PT"/>
              </w:rPr>
              <w:t>(163)</w:t>
            </w:r>
            <w:r w:rsidR="00E729BA" w:rsidRPr="00462288">
              <w:rPr>
                <w:sz w:val="20"/>
                <w:lang w:val="pt-PT"/>
              </w:rPr>
              <w:fldChar w:fldCharType="end"/>
            </w:r>
          </w:p>
        </w:tc>
        <w:tc>
          <w:tcPr>
            <w:tcW w:w="4110" w:type="dxa"/>
          </w:tcPr>
          <w:p w:rsidR="00B97965" w:rsidRPr="00462288" w:rsidRDefault="00B97965" w:rsidP="00B97965">
            <w:pPr>
              <w:spacing w:line="240" w:lineRule="auto"/>
              <w:rPr>
                <w:sz w:val="20"/>
              </w:rPr>
            </w:pPr>
            <w:r w:rsidRPr="00462288">
              <w:rPr>
                <w:sz w:val="20"/>
              </w:rPr>
              <w:t>Assess whether SF-6D is associated with damage and mortality</w:t>
            </w:r>
          </w:p>
        </w:tc>
        <w:tc>
          <w:tcPr>
            <w:tcW w:w="816" w:type="dxa"/>
          </w:tcPr>
          <w:p w:rsidR="00B97965" w:rsidRPr="00462288" w:rsidRDefault="00B97965" w:rsidP="00B97965">
            <w:pPr>
              <w:spacing w:line="240" w:lineRule="auto"/>
              <w:rPr>
                <w:sz w:val="20"/>
              </w:rPr>
            </w:pPr>
            <w:r w:rsidRPr="00462288">
              <w:rPr>
                <w:sz w:val="20"/>
              </w:rPr>
              <w:t>552</w:t>
            </w:r>
          </w:p>
        </w:tc>
        <w:tc>
          <w:tcPr>
            <w:tcW w:w="1453" w:type="dxa"/>
          </w:tcPr>
          <w:p w:rsidR="00B97965" w:rsidRPr="00462288" w:rsidRDefault="00B97965" w:rsidP="00B97965">
            <w:pPr>
              <w:spacing w:line="240" w:lineRule="auto"/>
              <w:rPr>
                <w:sz w:val="20"/>
              </w:rPr>
            </w:pPr>
            <w:r w:rsidRPr="00462288">
              <w:rPr>
                <w:sz w:val="20"/>
              </w:rPr>
              <w:t>SF-6D</w:t>
            </w:r>
          </w:p>
        </w:tc>
        <w:tc>
          <w:tcPr>
            <w:tcW w:w="1479" w:type="dxa"/>
          </w:tcPr>
          <w:p w:rsidR="00B97965" w:rsidRPr="00462288" w:rsidRDefault="00B97965" w:rsidP="00B97965">
            <w:pPr>
              <w:spacing w:line="240" w:lineRule="auto"/>
              <w:rPr>
                <w:sz w:val="20"/>
              </w:rPr>
            </w:pPr>
            <w:r w:rsidRPr="00462288">
              <w:rPr>
                <w:sz w:val="20"/>
              </w:rPr>
              <w:t>Longitudinal</w:t>
            </w:r>
          </w:p>
        </w:tc>
      </w:tr>
      <w:tr w:rsidR="00B97965" w:rsidRPr="00462288" w:rsidTr="00B97965">
        <w:tc>
          <w:tcPr>
            <w:tcW w:w="1384" w:type="dxa"/>
          </w:tcPr>
          <w:p w:rsidR="00B97965" w:rsidRPr="005C768E" w:rsidRDefault="00B97965" w:rsidP="00B97965">
            <w:pPr>
              <w:spacing w:line="240" w:lineRule="auto"/>
              <w:rPr>
                <w:sz w:val="20"/>
              </w:rPr>
            </w:pPr>
            <w:r w:rsidRPr="00462288">
              <w:rPr>
                <w:sz w:val="20"/>
                <w:lang w:val="fr-CA"/>
              </w:rPr>
              <w:t xml:space="preserve">Sanchez (2009) </w:t>
            </w:r>
            <w:r w:rsidR="00E729BA" w:rsidRPr="00462288">
              <w:rPr>
                <w:sz w:val="20"/>
                <w:lang w:val="fr-CA"/>
              </w:rPr>
              <w:fldChar w:fldCharType="begin"/>
            </w:r>
            <w:r w:rsidR="00FC61FD">
              <w:rPr>
                <w:sz w:val="20"/>
                <w:lang w:val="fr-CA"/>
              </w:rPr>
              <w:instrText xml:space="preserve"> ADDIN REFMGR.CITE &lt;Refman&gt;&lt;Cite&gt;&lt;Author&gt;Sanchez&lt;/Author&gt;&lt;Year&gt;2009&lt;/Year&gt;&lt;RecNum&gt;25&lt;/RecNum&gt;&lt;IDText&gt;Factors predictive of overall health over the course of the disease in patients with systemic lupus erythematosus from the LUMINA cohort (LXII): use of the SF-6D&lt;/IDText&gt;&lt;MDL Ref_Type="Journal"&gt;&lt;Ref_Type&gt;Journal&lt;/Ref_Type&gt;&lt;Ref_ID&gt;25&lt;/Ref_ID&gt;&lt;Title_Primary&gt;Factors predictive of overall health over the course of the disease in patients with systemic lupus erythematosus from the LUMINA cohort (LXII): use of the SF-6D&lt;/Title_Primary&gt;&lt;Authors_Primary&gt;Sanchez,M.L.&lt;/Authors_Primary&gt;&lt;Authors_Primary&gt;McGwin,G.,Jr.&lt;/Authors_Primary&gt;&lt;Authors_Primary&gt;Duran,S.&lt;/Authors_Primary&gt;&lt;Authors_Primary&gt;Fernandez,M.&lt;/Authors_Primary&gt;&lt;Authors_Primary&gt;Reveille,J.D.&lt;/Authors_Primary&gt;&lt;Authors_Primary&gt;Vila,L.M.&lt;/Authors_Primary&gt;&lt;Authors_Primary&gt;Alarcon,G.S.&lt;/Authors_Primary&gt;&lt;Date_Primary&gt;2009/1&lt;/Date_Primary&gt;&lt;Keywords&gt;Adult&lt;/Keywords&gt;&lt;Keywords&gt;African Americans&lt;/Keywords&gt;&lt;Keywords&gt;Age Factors&lt;/Keywords&gt;&lt;Keywords&gt;Disease Progression&lt;/Keywords&gt;&lt;Keywords&gt;ethnology&lt;/Keywords&gt;&lt;Keywords&gt;European Continental Ancestry Group&lt;/Keywords&gt;&lt;Keywords&gt;Female&lt;/Keywords&gt;&lt;Keywords&gt;Humans&lt;/Keywords&gt;&lt;Keywords&gt;Illness Behavior&lt;/Keywords&gt;&lt;Keywords&gt;Lupus Erythematosus,Systemic&lt;/Keywords&gt;&lt;Keywords&gt;Male&lt;/Keywords&gt;&lt;Keywords&gt;methods&lt;/Keywords&gt;&lt;Keywords&gt;Mexican Americans&lt;/Keywords&gt;&lt;Keywords&gt;Middle Aged&lt;/Keywords&gt;&lt;Keywords&gt;Prospective Studies&lt;/Keywords&gt;&lt;Keywords&gt;psychology&lt;/Keywords&gt;&lt;Keywords&gt;Quality of Life&lt;/Keywords&gt;&lt;Keywords&gt;Severity of Illness Index&lt;/Keywords&gt;&lt;Keywords&gt;Socioeconomic Factors&lt;/Keywords&gt;&lt;Keywords&gt;Young Adult&lt;/Keywords&gt;&lt;Reprint&gt;Not in File&lt;/Reprint&gt;&lt;Start_Page&gt;67&lt;/Start_Page&gt;&lt;End_Page&gt;71&lt;/End_Page&gt;&lt;Periodical&gt;Clin.Exp.Rheumatol.&lt;/Periodical&gt;&lt;Volume&gt;27&lt;/Volume&gt;&lt;Issue&gt;1&lt;/Issue&gt;&lt;ZZ_JournalStdAbbrev&gt;&lt;f name="System"&gt;Clin.Exp.Rheumatol.&lt;/f&gt;&lt;/ZZ_JournalStdAbbrev&gt;&lt;ZZ_WorkformID&gt;1&lt;/ZZ_WorkformID&gt;&lt;/MDL&gt;&lt;/Cite&gt;&lt;/Refman&gt;</w:instrText>
            </w:r>
            <w:r w:rsidR="00E729BA" w:rsidRPr="00462288">
              <w:rPr>
                <w:sz w:val="20"/>
                <w:lang w:val="fr-CA"/>
              </w:rPr>
              <w:fldChar w:fldCharType="separate"/>
            </w:r>
            <w:r w:rsidR="0081424E">
              <w:rPr>
                <w:sz w:val="20"/>
              </w:rPr>
              <w:t>(230)</w:t>
            </w:r>
            <w:r w:rsidR="00E729BA" w:rsidRPr="00462288">
              <w:rPr>
                <w:sz w:val="20"/>
                <w:lang w:val="fr-CA"/>
              </w:rPr>
              <w:fldChar w:fldCharType="end"/>
            </w:r>
          </w:p>
        </w:tc>
        <w:tc>
          <w:tcPr>
            <w:tcW w:w="4110" w:type="dxa"/>
          </w:tcPr>
          <w:p w:rsidR="00B97965" w:rsidRPr="00462288" w:rsidRDefault="00B97965" w:rsidP="00B97965">
            <w:pPr>
              <w:spacing w:line="240" w:lineRule="auto"/>
              <w:rPr>
                <w:sz w:val="20"/>
              </w:rPr>
            </w:pPr>
            <w:r w:rsidRPr="00462288">
              <w:rPr>
                <w:sz w:val="20"/>
              </w:rPr>
              <w:t>Measure health related quality of life using the SF-6D</w:t>
            </w:r>
          </w:p>
        </w:tc>
        <w:tc>
          <w:tcPr>
            <w:tcW w:w="816" w:type="dxa"/>
          </w:tcPr>
          <w:p w:rsidR="00B97965" w:rsidRPr="00462288" w:rsidRDefault="00B97965" w:rsidP="00B97965">
            <w:pPr>
              <w:spacing w:line="240" w:lineRule="auto"/>
              <w:rPr>
                <w:sz w:val="20"/>
              </w:rPr>
            </w:pPr>
            <w:r w:rsidRPr="00462288">
              <w:rPr>
                <w:sz w:val="20"/>
              </w:rPr>
              <w:t>588</w:t>
            </w:r>
          </w:p>
        </w:tc>
        <w:tc>
          <w:tcPr>
            <w:tcW w:w="1453" w:type="dxa"/>
          </w:tcPr>
          <w:p w:rsidR="00B97965" w:rsidRPr="00462288" w:rsidRDefault="00B97965" w:rsidP="00B97965">
            <w:pPr>
              <w:spacing w:line="240" w:lineRule="auto"/>
              <w:rPr>
                <w:sz w:val="20"/>
              </w:rPr>
            </w:pPr>
            <w:r w:rsidRPr="00462288">
              <w:rPr>
                <w:sz w:val="20"/>
              </w:rPr>
              <w:t>SF-6D</w:t>
            </w:r>
          </w:p>
        </w:tc>
        <w:tc>
          <w:tcPr>
            <w:tcW w:w="1479" w:type="dxa"/>
          </w:tcPr>
          <w:p w:rsidR="00B97965" w:rsidRPr="00462288" w:rsidRDefault="00B97965" w:rsidP="00B97965">
            <w:pPr>
              <w:spacing w:line="240" w:lineRule="auto"/>
              <w:rPr>
                <w:sz w:val="20"/>
              </w:rPr>
            </w:pPr>
            <w:r w:rsidRPr="00462288">
              <w:rPr>
                <w:sz w:val="20"/>
              </w:rPr>
              <w:t>Longitudinal</w:t>
            </w:r>
          </w:p>
        </w:tc>
      </w:tr>
      <w:tr w:rsidR="00B97965" w:rsidRPr="00462288" w:rsidTr="00B97965">
        <w:tc>
          <w:tcPr>
            <w:tcW w:w="1384" w:type="dxa"/>
          </w:tcPr>
          <w:p w:rsidR="00B97965" w:rsidRPr="00462288" w:rsidRDefault="00B97965" w:rsidP="00B97965">
            <w:pPr>
              <w:spacing w:line="240" w:lineRule="auto"/>
              <w:rPr>
                <w:sz w:val="20"/>
              </w:rPr>
            </w:pPr>
            <w:r w:rsidRPr="00462288">
              <w:rPr>
                <w:sz w:val="20"/>
              </w:rPr>
              <w:t xml:space="preserve">Aggarwal (2009) </w:t>
            </w:r>
            <w:r w:rsidR="00E729BA" w:rsidRPr="00462288">
              <w:rPr>
                <w:sz w:val="20"/>
                <w:lang w:val="fr-CA"/>
              </w:rPr>
              <w:fldChar w:fldCharType="begin"/>
            </w:r>
            <w:r w:rsidR="00FC61FD">
              <w:rPr>
                <w:sz w:val="20"/>
              </w:rPr>
              <w:instrText xml:space="preserve"> ADDIN REFMGR.CITE &lt;Refman&gt;&lt;Cite&gt;&lt;Author&gt;Aggarwal&lt;/Author&gt;&lt;Year&gt;2009&lt;/Year&gt;&lt;RecNum&gt;26&lt;/RecNum&gt;&lt;IDText&gt;Psychometric properties of the EuroQol-5D and Short Form-6D in patients with systemic lupus erythematosus&lt;/IDText&gt;&lt;MDL Ref_Type="Journal"&gt;&lt;Ref_Type&gt;Journal&lt;/Ref_Type&gt;&lt;Ref_ID&gt;26&lt;/Ref_ID&gt;&lt;Title_Primary&gt;Psychometric properties of the EuroQol-5D and Short Form-6D in patients with systemic lupus erythematosus&lt;/Title_Primary&gt;&lt;Authors_Primary&gt;Aggarwal,R.&lt;/Authors_Primary&gt;&lt;Authors_Primary&gt;Wilke,C.T.&lt;/Authors_Primary&gt;&lt;Authors_Primary&gt;Pickard,A.S.&lt;/Authors_Primary&gt;&lt;Authors_Primary&gt;Vats,V.&lt;/Authors_Primary&gt;&lt;Authors_Primary&gt;Mikolaitis,R.&lt;/Authors_Primary&gt;&lt;Authors_Primary&gt;Fogg,L.&lt;/Authors_Primary&gt;&lt;Authors_Primary&gt;Block,J.A.&lt;/Authors_Primary&gt;&lt;Authors_Primary&gt;Jolly,M.&lt;/Authors_Primary&gt;&lt;Date_Primary&gt;2009/6&lt;/Date_Primary&gt;&lt;Keywords&gt;Adult&lt;/Keywords&gt;&lt;Keywords&gt;diagnosis&lt;/Keywords&gt;&lt;Keywords&gt;Female&lt;/Keywords&gt;&lt;Keywords&gt;Humans&lt;/Keywords&gt;&lt;Keywords&gt;Lupus Erythematosus,Systemic&lt;/Keywords&gt;&lt;Keywords&gt;Male&lt;/Keywords&gt;&lt;Keywords&gt;methods&lt;/Keywords&gt;&lt;Keywords&gt;physiopathology&lt;/Keywords&gt;&lt;Keywords&gt;psychology&lt;/Keywords&gt;&lt;Keywords&gt;Psychometrics&lt;/Keywords&gt;&lt;Keywords&gt;Quality of Life&lt;/Keywords&gt;&lt;Keywords&gt;Questionnaires&lt;/Keywords&gt;&lt;Keywords&gt;Reproducibility of Results&lt;/Keywords&gt;&lt;Keywords&gt;Rheumatology&lt;/Keywords&gt;&lt;Keywords&gt;Self-Examination&lt;/Keywords&gt;&lt;Keywords&gt;Severity of Illness Index&lt;/Keywords&gt;&lt;Keywords&gt;United States&lt;/Keywords&gt;&lt;Reprint&gt;Not in File&lt;/Reprint&gt;&lt;Start_Page&gt;1209&lt;/Start_Page&gt;&lt;End_Page&gt;1216&lt;/End_Page&gt;&lt;Periodical&gt;J.Rheumatol.&lt;/Periodical&gt;&lt;Volume&gt;36&lt;/Volume&gt;&lt;Issue&gt;6&lt;/Issue&gt;&lt;ZZ_JournalStdAbbrev&gt;&lt;f name="System"&gt;J.Rheumatol.&lt;/f&gt;&lt;/ZZ_JournalStdAbbrev&gt;&lt;ZZ_WorkformID&gt;1&lt;/ZZ_WorkformID&gt;&lt;/MDL&gt;&lt;/Cite&gt;&lt;/Refman&gt;</w:instrText>
            </w:r>
            <w:r w:rsidR="00E729BA" w:rsidRPr="00462288">
              <w:rPr>
                <w:sz w:val="20"/>
                <w:lang w:val="fr-CA"/>
              </w:rPr>
              <w:fldChar w:fldCharType="separate"/>
            </w:r>
            <w:r w:rsidR="0081424E">
              <w:rPr>
                <w:sz w:val="20"/>
              </w:rPr>
              <w:t>(228)</w:t>
            </w:r>
            <w:r w:rsidR="00E729BA" w:rsidRPr="00462288">
              <w:rPr>
                <w:sz w:val="20"/>
                <w:lang w:val="fr-CA"/>
              </w:rPr>
              <w:fldChar w:fldCharType="end"/>
            </w:r>
          </w:p>
        </w:tc>
        <w:tc>
          <w:tcPr>
            <w:tcW w:w="4110" w:type="dxa"/>
          </w:tcPr>
          <w:p w:rsidR="00B97965" w:rsidRPr="00462288" w:rsidRDefault="00B97965" w:rsidP="00B97965">
            <w:pPr>
              <w:spacing w:line="240" w:lineRule="auto"/>
              <w:rPr>
                <w:sz w:val="20"/>
              </w:rPr>
            </w:pPr>
            <w:r w:rsidRPr="00462288">
              <w:rPr>
                <w:sz w:val="20"/>
              </w:rPr>
              <w:t>Evaluate the psychometric properties of HRQOL measures</w:t>
            </w:r>
          </w:p>
        </w:tc>
        <w:tc>
          <w:tcPr>
            <w:tcW w:w="816" w:type="dxa"/>
          </w:tcPr>
          <w:p w:rsidR="00B97965" w:rsidRPr="00462288" w:rsidRDefault="00B97965" w:rsidP="00B97965">
            <w:pPr>
              <w:spacing w:line="240" w:lineRule="auto"/>
              <w:rPr>
                <w:sz w:val="20"/>
              </w:rPr>
            </w:pPr>
            <w:r w:rsidRPr="00462288">
              <w:rPr>
                <w:sz w:val="20"/>
              </w:rPr>
              <w:t>167</w:t>
            </w:r>
          </w:p>
        </w:tc>
        <w:tc>
          <w:tcPr>
            <w:tcW w:w="1453" w:type="dxa"/>
          </w:tcPr>
          <w:p w:rsidR="00B97965" w:rsidRPr="00462288" w:rsidRDefault="00B97965" w:rsidP="00B97965">
            <w:pPr>
              <w:spacing w:line="240" w:lineRule="auto"/>
              <w:rPr>
                <w:sz w:val="20"/>
              </w:rPr>
            </w:pPr>
            <w:r w:rsidRPr="00462288">
              <w:rPr>
                <w:sz w:val="20"/>
              </w:rPr>
              <w:t>EQ-5D; SF-6D</w:t>
            </w:r>
          </w:p>
        </w:tc>
        <w:tc>
          <w:tcPr>
            <w:tcW w:w="1479" w:type="dxa"/>
          </w:tcPr>
          <w:p w:rsidR="00B97965" w:rsidRPr="00462288" w:rsidRDefault="00B97965" w:rsidP="00B97965">
            <w:pPr>
              <w:spacing w:line="240" w:lineRule="auto"/>
              <w:rPr>
                <w:sz w:val="20"/>
              </w:rPr>
            </w:pPr>
            <w:r w:rsidRPr="00462288">
              <w:rPr>
                <w:sz w:val="20"/>
              </w:rPr>
              <w:t>Longitudinal</w:t>
            </w:r>
          </w:p>
        </w:tc>
      </w:tr>
      <w:tr w:rsidR="00B97965" w:rsidRPr="00462288" w:rsidTr="00B97965">
        <w:tc>
          <w:tcPr>
            <w:tcW w:w="9242" w:type="dxa"/>
            <w:gridSpan w:val="5"/>
          </w:tcPr>
          <w:p w:rsidR="00B97965" w:rsidRPr="00462288" w:rsidRDefault="00B97965" w:rsidP="00B97965">
            <w:pPr>
              <w:spacing w:line="240" w:lineRule="auto"/>
              <w:rPr>
                <w:sz w:val="20"/>
              </w:rPr>
            </w:pPr>
            <w:r w:rsidRPr="00462288">
              <w:rPr>
                <w:sz w:val="20"/>
              </w:rPr>
              <w:t>VAS-Visual Analogue Scale; SG-Standard Gamble; TTO-Time trade Off; HUI-Health Utilities Index</w:t>
            </w:r>
          </w:p>
        </w:tc>
      </w:tr>
    </w:tbl>
    <w:p w:rsidR="00B97965" w:rsidRDefault="00B97965" w:rsidP="00B97965"/>
    <w:p w:rsidR="00B97965" w:rsidRDefault="00B97965" w:rsidP="00B97965">
      <w:r>
        <w:t xml:space="preserve">Only a few studies have assessed and reported utility scores in a population of SLE patients. To date no new treatments for SLE have been granted a licence. Consequently, there has been very little interest in the measurement of utilities for SLE for market access applications. Most of the studies identified in this search have investigated the use of utility instruments to measure quality of life in SLE. The studies suggest that patients with SLE have low health related quality of life with a mean score of between 0.65-0.81. The large variation in reported outcomes is likely due to the different instruments used. </w:t>
      </w:r>
    </w:p>
    <w:p w:rsidR="00B97965" w:rsidRDefault="00B97965" w:rsidP="00B97965">
      <w:r>
        <w:t xml:space="preserve">The studies suggest that there is considerable variability in patient’s utility with SLE. Disease activity is consistently found to be a significant predictor of utility in cross-sectional studies. However, in longitudinal studies utility is insensitive to changes in disease activity scores. Whilst the studies have assessed the relationship between disease activity, damage and utility only one has reported the impact of disease severity on utility. In this study a significant difference in utility between disease activity states measured with both the SF-6D and EQ-5D was observed. A trend to significance in utility between organ damage states was found with the EQ-5D, and a statistically significant difference with the SF-6D. </w:t>
      </w:r>
    </w:p>
    <w:p w:rsidR="00B97965" w:rsidRPr="001B22FF" w:rsidRDefault="00B97965" w:rsidP="00B97965">
      <w:r>
        <w:t>Difficulties with usual activities, pain and anxiety/depression were the most commonly reported problems reported in the EQ-5D in SLE patients.</w:t>
      </w:r>
    </w:p>
    <w:p w:rsidR="00B97965" w:rsidRDefault="00B97965" w:rsidP="00B97965">
      <w:pPr>
        <w:spacing w:after="0" w:afterAutospacing="0" w:line="240" w:lineRule="auto"/>
      </w:pPr>
      <w:r>
        <w:br w:type="page"/>
      </w:r>
    </w:p>
    <w:p w:rsidR="00B97965" w:rsidRPr="00BE457B" w:rsidRDefault="00B97965" w:rsidP="00BE457B">
      <w:pPr>
        <w:pStyle w:val="Heading1"/>
        <w:numPr>
          <w:ilvl w:val="0"/>
          <w:numId w:val="0"/>
        </w:numPr>
        <w:bidi/>
        <w:ind w:left="576" w:hanging="576"/>
        <w:jc w:val="right"/>
        <w:rPr>
          <w:rStyle w:val="Emphasis"/>
          <w:spacing w:val="15"/>
        </w:rPr>
      </w:pPr>
      <w:bookmarkStart w:id="729" w:name="_Toc379467722"/>
      <w:r>
        <w:t>Appendix</w:t>
      </w:r>
      <w:r w:rsidR="00396982">
        <w:t xml:space="preserve"> 18</w:t>
      </w:r>
      <w:r w:rsidR="00BE457B">
        <w:t xml:space="preserve">: </w:t>
      </w:r>
      <w:r w:rsidR="00234693" w:rsidRPr="00234693">
        <w:rPr>
          <w:rStyle w:val="Emphasis"/>
        </w:rPr>
        <w:t>LOG-LIKELIHOOD FUNCTIONS FOR TRIAL DATA</w:t>
      </w:r>
      <w:bookmarkEnd w:id="729"/>
    </w:p>
    <w:p w:rsidR="00B97965" w:rsidRDefault="00B97965" w:rsidP="00234693">
      <w:pPr>
        <w:pStyle w:val="Caption"/>
      </w:pPr>
      <w:bookmarkStart w:id="730" w:name="_Ref342925896"/>
      <w:r>
        <w:t xml:space="preserve">Table </w:t>
      </w:r>
      <w:fldSimple w:instr=" SEQ Table \* ARABIC ">
        <w:r w:rsidR="004911B7">
          <w:rPr>
            <w:noProof/>
          </w:rPr>
          <w:t>131</w:t>
        </w:r>
      </w:fldSimple>
      <w:bookmarkEnd w:id="730"/>
      <w:r>
        <w:t>: The log-likelihood functions for the individual regression models</w:t>
      </w:r>
    </w:p>
    <w:tbl>
      <w:tblPr>
        <w:tblStyle w:val="TableGrid"/>
        <w:tblW w:w="8421"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left w:w="57" w:type="dxa"/>
          <w:right w:w="57" w:type="dxa"/>
        </w:tblCellMar>
        <w:tblLook w:val="04A0"/>
      </w:tblPr>
      <w:tblGrid>
        <w:gridCol w:w="1354"/>
        <w:gridCol w:w="1680"/>
        <w:gridCol w:w="5387"/>
      </w:tblGrid>
      <w:tr w:rsidR="00B97965" w:rsidRPr="00BE457B" w:rsidTr="00BE457B">
        <w:tc>
          <w:tcPr>
            <w:tcW w:w="1354" w:type="dxa"/>
            <w:tcBorders>
              <w:top w:val="single" w:sz="8" w:space="0" w:color="auto"/>
              <w:bottom w:val="single" w:sz="4" w:space="0" w:color="auto"/>
            </w:tcBorders>
          </w:tcPr>
          <w:p w:rsidR="00B97965" w:rsidRPr="00BE457B" w:rsidRDefault="00B97965" w:rsidP="00B97965">
            <w:pPr>
              <w:tabs>
                <w:tab w:val="left" w:pos="5222"/>
              </w:tabs>
              <w:spacing w:after="0" w:afterAutospacing="0" w:line="276" w:lineRule="auto"/>
              <w:rPr>
                <w:rFonts w:eastAsiaTheme="minorEastAsia"/>
                <w:sz w:val="16"/>
                <w:szCs w:val="16"/>
              </w:rPr>
            </w:pPr>
          </w:p>
        </w:tc>
        <w:tc>
          <w:tcPr>
            <w:tcW w:w="1680" w:type="dxa"/>
            <w:tcBorders>
              <w:top w:val="single" w:sz="8" w:space="0" w:color="auto"/>
              <w:bottom w:val="single" w:sz="4" w:space="0" w:color="auto"/>
            </w:tcBorders>
          </w:tcPr>
          <w:p w:rsidR="00B97965" w:rsidRPr="00BE457B" w:rsidRDefault="00B97965" w:rsidP="00B97965">
            <w:pPr>
              <w:tabs>
                <w:tab w:val="left" w:pos="5222"/>
              </w:tabs>
              <w:spacing w:after="0" w:afterAutospacing="0" w:line="276" w:lineRule="auto"/>
              <w:rPr>
                <w:rFonts w:eastAsiaTheme="minorEastAsia"/>
                <w:sz w:val="16"/>
                <w:szCs w:val="16"/>
              </w:rPr>
            </w:pPr>
            <w:r w:rsidRPr="00BE457B">
              <w:rPr>
                <w:rFonts w:eastAsiaTheme="minorEastAsia"/>
                <w:sz w:val="16"/>
                <w:szCs w:val="16"/>
              </w:rPr>
              <w:t>Parameters</w:t>
            </w:r>
          </w:p>
        </w:tc>
        <w:tc>
          <w:tcPr>
            <w:tcW w:w="5387" w:type="dxa"/>
            <w:tcBorders>
              <w:top w:val="single" w:sz="8" w:space="0" w:color="auto"/>
              <w:bottom w:val="single" w:sz="4" w:space="0" w:color="auto"/>
            </w:tcBorders>
          </w:tcPr>
          <w:p w:rsidR="00B97965" w:rsidRPr="00BE457B" w:rsidRDefault="00B97965" w:rsidP="00B97965">
            <w:pPr>
              <w:tabs>
                <w:tab w:val="left" w:pos="5222"/>
              </w:tabs>
              <w:spacing w:after="0" w:afterAutospacing="0" w:line="276" w:lineRule="auto"/>
              <w:rPr>
                <w:rFonts w:eastAsiaTheme="minorEastAsia"/>
                <w:sz w:val="16"/>
                <w:szCs w:val="16"/>
              </w:rPr>
            </w:pPr>
            <w:r w:rsidRPr="00BE457B">
              <w:rPr>
                <w:rFonts w:eastAsiaTheme="minorEastAsia"/>
                <w:sz w:val="16"/>
                <w:szCs w:val="16"/>
              </w:rPr>
              <w:t>Log-likelihood</w:t>
            </w:r>
          </w:p>
        </w:tc>
      </w:tr>
      <w:tr w:rsidR="00B97965" w:rsidRPr="00BE457B" w:rsidTr="00BE457B">
        <w:trPr>
          <w:trHeight w:val="510"/>
        </w:trPr>
        <w:tc>
          <w:tcPr>
            <w:tcW w:w="1354" w:type="dxa"/>
            <w:tcBorders>
              <w:top w:val="single" w:sz="4" w:space="0" w:color="auto"/>
            </w:tcBorders>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 xml:space="preserve">SLEDAI </w:t>
            </w:r>
          </w:p>
        </w:tc>
        <w:tc>
          <w:tcPr>
            <w:tcW w:w="1680" w:type="dxa"/>
            <w:tcBorders>
              <w:top w:val="single" w:sz="4" w:space="0" w:color="auto"/>
            </w:tcBorders>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=θ</m:t>
                  </m:r>
                </m:e>
                <m:sub>
                  <m:r>
                    <w:rPr>
                      <w:rFonts w:ascii="Cambria Math" w:eastAsiaTheme="minorEastAsia" w:hAnsi="Cambria Math"/>
                      <w:sz w:val="16"/>
                      <w:szCs w:val="16"/>
                    </w:rPr>
                    <m:t>1</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5</m:t>
                  </m:r>
                </m:sub>
              </m:sSub>
            </m:oMath>
            <w:r w:rsidR="00B97965" w:rsidRPr="00BE457B">
              <w:rPr>
                <w:rFonts w:eastAsiaTheme="minorEastAsia"/>
                <w:sz w:val="16"/>
                <w:szCs w:val="16"/>
              </w:rPr>
              <w:t xml:space="preserve"> </w:t>
            </w:r>
          </w:p>
          <w:p w:rsidR="00B97965" w:rsidRPr="00BE457B" w:rsidRDefault="00E729BA" w:rsidP="00B97965">
            <w:pPr>
              <w:tabs>
                <w:tab w:val="left" w:pos="5222"/>
              </w:tabs>
              <w:spacing w:line="276" w:lineRule="auto"/>
              <w:rPr>
                <w:rFonts w:eastAsiaTheme="minorEastAsia"/>
                <w:sz w:val="16"/>
                <w:szCs w:val="16"/>
              </w:rPr>
            </w:pPr>
            <m:oMath>
              <m:sSup>
                <m:sSupPr>
                  <m:ctrlPr>
                    <w:rPr>
                      <w:rFonts w:ascii="Cambria Math" w:eastAsiaTheme="minorEastAsia" w:hAnsi="Cambria Math"/>
                      <w:i/>
                      <w:sz w:val="16"/>
                      <w:szCs w:val="16"/>
                    </w:rPr>
                  </m:ctrlPr>
                </m:sSupPr>
                <m:e>
                  <m:r>
                    <w:rPr>
                      <w:rFonts w:ascii="Cambria Math" w:eastAsiaTheme="minorEastAsia" w:hAnsi="Cambria Math"/>
                      <w:sz w:val="16"/>
                      <w:szCs w:val="16"/>
                    </w:rPr>
                    <m:t>σ</m:t>
                  </m:r>
                </m:e>
                <m:sup>
                  <m:r>
                    <w:rPr>
                      <w:rFonts w:ascii="Cambria Math" w:eastAsiaTheme="minorEastAsia" w:hAnsi="Cambria Math"/>
                      <w:sz w:val="16"/>
                      <w:szCs w:val="16"/>
                    </w:rPr>
                    <m:t>2</m:t>
                  </m:r>
                </m:sup>
              </m:sSup>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m:t>
                  </m:r>
                </m:sub>
              </m:sSub>
            </m:oMath>
            <w:r w:rsidR="00B97965" w:rsidRPr="00BE457B">
              <w:rPr>
                <w:rFonts w:eastAsiaTheme="minorEastAsia"/>
                <w:sz w:val="16"/>
                <w:szCs w:val="16"/>
              </w:rPr>
              <w:t xml:space="preserve"> </w:t>
            </w:r>
          </w:p>
        </w:tc>
        <w:tc>
          <w:tcPr>
            <w:tcW w:w="5387" w:type="dxa"/>
            <w:tcBorders>
              <w:top w:val="single" w:sz="4" w:space="0" w:color="auto"/>
            </w:tcBorders>
          </w:tcPr>
          <w:p w:rsidR="00B97965" w:rsidRPr="00BE457B" w:rsidRDefault="00B97965" w:rsidP="00BE457B">
            <w:pPr>
              <w:tabs>
                <w:tab w:val="left" w:pos="5222"/>
              </w:tabs>
              <w:spacing w:after="0" w:afterAutospacing="0" w:line="240" w:lineRule="auto"/>
              <w:jc w:val="center"/>
              <w:rPr>
                <w:rFonts w:eastAsiaTheme="minorEastAsia"/>
                <w:sz w:val="16"/>
                <w:szCs w:val="16"/>
              </w:rPr>
            </w:pPr>
            <m:oMathPara>
              <m:oMath>
                <m:r>
                  <w:rPr>
                    <w:rFonts w:ascii="Cambria Math" w:eastAsiaTheme="minorEastAsia" w:hAnsi="Cambria Math"/>
                    <w:sz w:val="16"/>
                    <w:szCs w:val="16"/>
                  </w:rPr>
                  <m:t>-</m:t>
                </m:r>
                <m:f>
                  <m:fPr>
                    <m:ctrlPr>
                      <w:rPr>
                        <w:rFonts w:ascii="Cambria Math" w:eastAsiaTheme="minorEastAsia" w:hAnsi="Cambria Math"/>
                        <w:i/>
                        <w:sz w:val="16"/>
                        <w:szCs w:val="16"/>
                      </w:rPr>
                    </m:ctrlPr>
                  </m:fPr>
                  <m:num>
                    <m:r>
                      <w:rPr>
                        <w:rFonts w:ascii="Cambria Math" w:eastAsiaTheme="minorEastAsia" w:hAnsi="Cambria Math"/>
                        <w:sz w:val="16"/>
                        <w:szCs w:val="16"/>
                      </w:rPr>
                      <m:t>n</m:t>
                    </m:r>
                  </m:num>
                  <m:den>
                    <m:r>
                      <w:rPr>
                        <w:rFonts w:ascii="Cambria Math" w:eastAsiaTheme="minorEastAsia" w:hAnsi="Cambria Math"/>
                        <w:sz w:val="16"/>
                        <w:szCs w:val="16"/>
                      </w:rPr>
                      <m:t>2</m:t>
                    </m:r>
                  </m:den>
                </m:f>
                <m:func>
                  <m:funcPr>
                    <m:ctrlPr>
                      <w:rPr>
                        <w:rFonts w:ascii="Cambria Math" w:eastAsiaTheme="minorEastAsia" w:hAnsi="Cambria Math"/>
                        <w:sz w:val="16"/>
                        <w:szCs w:val="16"/>
                      </w:rPr>
                    </m:ctrlPr>
                  </m:funcPr>
                  <m:fName>
                    <m:r>
                      <m:rPr>
                        <m:sty m:val="p"/>
                      </m:rPr>
                      <w:rPr>
                        <w:rFonts w:ascii="Cambria Math" w:eastAsiaTheme="minorEastAsia" w:hAnsi="Cambria Math"/>
                        <w:sz w:val="16"/>
                        <w:szCs w:val="16"/>
                      </w:rPr>
                      <m:t>ln</m:t>
                    </m:r>
                  </m:fName>
                  <m:e>
                    <m:d>
                      <m:dPr>
                        <m:ctrlPr>
                          <w:rPr>
                            <w:rFonts w:ascii="Cambria Math" w:eastAsiaTheme="minorEastAsia" w:hAnsi="Cambria Math"/>
                            <w:i/>
                            <w:sz w:val="16"/>
                            <w:szCs w:val="16"/>
                          </w:rPr>
                        </m:ctrlPr>
                      </m:dPr>
                      <m:e>
                        <m:r>
                          <w:rPr>
                            <w:rFonts w:ascii="Cambria Math" w:eastAsiaTheme="minorEastAsia" w:hAnsi="Cambria Math"/>
                            <w:sz w:val="16"/>
                            <w:szCs w:val="16"/>
                          </w:rPr>
                          <m:t>2π</m:t>
                        </m:r>
                      </m:e>
                    </m:d>
                    <m:ctrlPr>
                      <w:rPr>
                        <w:rFonts w:ascii="Cambria Math" w:eastAsiaTheme="minorEastAsia" w:hAnsi="Cambria Math"/>
                        <w:i/>
                        <w:sz w:val="16"/>
                        <w:szCs w:val="16"/>
                      </w:rPr>
                    </m:ctrlPr>
                  </m:e>
                </m:func>
                <m:r>
                  <w:rPr>
                    <w:rFonts w:ascii="Cambria Math" w:eastAsiaTheme="minorEastAsia" w:hAnsi="Cambria Math"/>
                    <w:sz w:val="16"/>
                    <w:szCs w:val="16"/>
                  </w:rPr>
                  <m:t>-</m:t>
                </m:r>
                <m:f>
                  <m:fPr>
                    <m:ctrlPr>
                      <w:rPr>
                        <w:rFonts w:ascii="Cambria Math" w:eastAsiaTheme="minorEastAsia" w:hAnsi="Cambria Math"/>
                        <w:i/>
                        <w:sz w:val="16"/>
                        <w:szCs w:val="16"/>
                      </w:rPr>
                    </m:ctrlPr>
                  </m:fPr>
                  <m:num>
                    <m:r>
                      <w:rPr>
                        <w:rFonts w:ascii="Cambria Math" w:eastAsiaTheme="minorEastAsia" w:hAnsi="Cambria Math"/>
                        <w:sz w:val="16"/>
                        <w:szCs w:val="16"/>
                      </w:rPr>
                      <m:t>n</m:t>
                    </m:r>
                  </m:num>
                  <m:den>
                    <m:r>
                      <w:rPr>
                        <w:rFonts w:ascii="Cambria Math" w:eastAsiaTheme="minorEastAsia" w:hAnsi="Cambria Math"/>
                        <w:sz w:val="16"/>
                        <w:szCs w:val="16"/>
                      </w:rPr>
                      <m:t>2</m:t>
                    </m:r>
                  </m:den>
                </m:f>
                <m:func>
                  <m:funcPr>
                    <m:ctrlPr>
                      <w:rPr>
                        <w:rFonts w:ascii="Cambria Math" w:eastAsiaTheme="minorEastAsia" w:hAnsi="Cambria Math"/>
                        <w:sz w:val="16"/>
                        <w:szCs w:val="16"/>
                      </w:rPr>
                    </m:ctrlPr>
                  </m:funcPr>
                  <m:fName>
                    <m:r>
                      <m:rPr>
                        <m:sty m:val="p"/>
                      </m:rPr>
                      <w:rPr>
                        <w:rFonts w:ascii="Cambria Math" w:eastAsiaTheme="minorEastAsia" w:hAnsi="Cambria Math"/>
                        <w:sz w:val="16"/>
                        <w:szCs w:val="16"/>
                      </w:rPr>
                      <m:t>ln</m:t>
                    </m:r>
                  </m:fName>
                  <m:e>
                    <m:d>
                      <m:dPr>
                        <m:ctrlPr>
                          <w:rPr>
                            <w:rFonts w:ascii="Cambria Math" w:eastAsiaTheme="minorEastAsia" w:hAnsi="Cambria Math"/>
                            <w:i/>
                            <w:sz w:val="16"/>
                            <w:szCs w:val="16"/>
                          </w:rPr>
                        </m:ctrlPr>
                      </m:dPr>
                      <m:e>
                        <m:sSup>
                          <m:sSupPr>
                            <m:ctrlPr>
                              <w:rPr>
                                <w:rFonts w:ascii="Cambria Math" w:eastAsiaTheme="minorEastAsia" w:hAnsi="Cambria Math"/>
                                <w:i/>
                                <w:sz w:val="16"/>
                                <w:szCs w:val="16"/>
                              </w:rPr>
                            </m:ctrlPr>
                          </m:sSupPr>
                          <m:e>
                            <m:r>
                              <w:rPr>
                                <w:rFonts w:ascii="Cambria Math" w:eastAsiaTheme="minorEastAsia" w:hAnsi="Cambria Math"/>
                                <w:sz w:val="16"/>
                                <w:szCs w:val="16"/>
                              </w:rPr>
                              <m:t>σ</m:t>
                            </m:r>
                          </m:e>
                          <m:sup>
                            <m:r>
                              <w:rPr>
                                <w:rFonts w:ascii="Cambria Math" w:eastAsiaTheme="minorEastAsia" w:hAnsi="Cambria Math"/>
                                <w:sz w:val="16"/>
                                <w:szCs w:val="16"/>
                              </w:rPr>
                              <m:t>2</m:t>
                            </m:r>
                          </m:sup>
                        </m:sSup>
                      </m:e>
                    </m:d>
                    <m:ctrlPr>
                      <w:rPr>
                        <w:rFonts w:ascii="Cambria Math" w:eastAsiaTheme="minorEastAsia" w:hAnsi="Cambria Math"/>
                        <w:i/>
                        <w:sz w:val="16"/>
                        <w:szCs w:val="16"/>
                      </w:rPr>
                    </m:ctrlPr>
                  </m:e>
                </m:func>
                <m:r>
                  <w:rPr>
                    <w:rFonts w:ascii="Cambria Math" w:eastAsiaTheme="minorEastAsia" w:hAnsi="Cambria Math"/>
                    <w:sz w:val="16"/>
                    <w:szCs w:val="16"/>
                  </w:rPr>
                  <m:t>-</m:t>
                </m:r>
                <m:f>
                  <m:fPr>
                    <m:ctrlPr>
                      <w:rPr>
                        <w:rFonts w:ascii="Cambria Math" w:eastAsiaTheme="minorEastAsia" w:hAnsi="Cambria Math"/>
                        <w:i/>
                        <w:sz w:val="16"/>
                        <w:szCs w:val="16"/>
                      </w:rPr>
                    </m:ctrlPr>
                  </m:fPr>
                  <m:num>
                    <m:r>
                      <w:rPr>
                        <w:rFonts w:ascii="Cambria Math" w:eastAsiaTheme="minorEastAsia" w:hAnsi="Cambria Math"/>
                        <w:sz w:val="16"/>
                        <w:szCs w:val="16"/>
                      </w:rPr>
                      <m:t>1</m:t>
                    </m:r>
                  </m:num>
                  <m:den>
                    <m:r>
                      <w:rPr>
                        <w:rFonts w:ascii="Cambria Math" w:eastAsiaTheme="minorEastAsia" w:hAnsi="Cambria Math"/>
                        <w:sz w:val="16"/>
                        <w:szCs w:val="16"/>
                      </w:rPr>
                      <m:t>2</m:t>
                    </m:r>
                  </m:den>
                </m:f>
                <m:nary>
                  <m:naryPr>
                    <m:chr m:val="∑"/>
                    <m:limLoc m:val="undOvr"/>
                    <m:ctrlPr>
                      <w:rPr>
                        <w:rFonts w:ascii="Cambria Math" w:eastAsiaTheme="minorEastAsia" w:hAnsi="Cambria Math"/>
                        <w:i/>
                        <w:sz w:val="16"/>
                        <w:szCs w:val="16"/>
                      </w:rPr>
                    </m:ctrlPr>
                  </m:naryPr>
                  <m:sub/>
                  <m:sup>
                    <m:r>
                      <w:rPr>
                        <w:rFonts w:ascii="Cambria Math" w:eastAsiaTheme="minorEastAsia" w:hAnsi="Cambria Math"/>
                        <w:sz w:val="16"/>
                        <w:szCs w:val="16"/>
                      </w:rPr>
                      <m:t>n</m:t>
                    </m:r>
                  </m:sup>
                  <m:e>
                    <m:d>
                      <m:dPr>
                        <m:begChr m:val="["/>
                        <m:endChr m:val="]"/>
                        <m:ctrlPr>
                          <w:rPr>
                            <w:rFonts w:ascii="Cambria Math" w:eastAsiaTheme="minorEastAsia" w:hAnsi="Cambria Math"/>
                            <w:i/>
                            <w:sz w:val="16"/>
                            <w:szCs w:val="16"/>
                          </w:rPr>
                        </m:ctrlPr>
                      </m:dPr>
                      <m:e>
                        <m:f>
                          <m:fPr>
                            <m:ctrlPr>
                              <w:rPr>
                                <w:rFonts w:ascii="Cambria Math" w:eastAsiaTheme="minorEastAsia" w:hAnsi="Cambria Math"/>
                                <w:i/>
                                <w:sz w:val="16"/>
                                <w:szCs w:val="16"/>
                              </w:rPr>
                            </m:ctrlPr>
                          </m:fPr>
                          <m:num>
                            <m:sSup>
                              <m:sSupPr>
                                <m:ctrlPr>
                                  <w:rPr>
                                    <w:rFonts w:ascii="Cambria Math" w:eastAsiaTheme="minorEastAsia" w:hAnsi="Cambria Math"/>
                                    <w:i/>
                                    <w:sz w:val="16"/>
                                    <w:szCs w:val="16"/>
                                  </w:rPr>
                                </m:ctrlPr>
                              </m:sSupPr>
                              <m:e>
                                <m:d>
                                  <m:dPr>
                                    <m:ctrlPr>
                                      <w:rPr>
                                        <w:rFonts w:ascii="Cambria Math" w:eastAsiaTheme="minorEastAsia" w:hAnsi="Cambria Math"/>
                                        <w:i/>
                                        <w:sz w:val="16"/>
                                        <w:szCs w:val="16"/>
                                      </w:rPr>
                                    </m:ctrlPr>
                                  </m:dPr>
                                  <m:e>
                                    <m:sSub>
                                      <m:sSubPr>
                                        <m:ctrlPr>
                                          <w:rPr>
                                            <w:rFonts w:ascii="Cambria Math" w:eastAsiaTheme="minorEastAsia" w:hAnsi="Cambria Math"/>
                                            <w:i/>
                                            <w:sz w:val="16"/>
                                            <w:szCs w:val="16"/>
                                          </w:rPr>
                                        </m:ctrlPr>
                                      </m:sSubPr>
                                      <m:e>
                                        <m:r>
                                          <w:rPr>
                                            <w:rFonts w:ascii="Cambria Math" w:eastAsiaTheme="minorEastAsia" w:hAnsi="Cambria Math"/>
                                            <w:sz w:val="16"/>
                                            <w:szCs w:val="16"/>
                                          </w:rPr>
                                          <m:t>y</m:t>
                                        </m:r>
                                      </m:e>
                                      <m:sub>
                                        <m:r>
                                          <w:rPr>
                                            <w:rFonts w:ascii="Cambria Math" w:eastAsiaTheme="minorEastAsia" w:hAnsi="Cambria Math"/>
                                            <w:sz w:val="16"/>
                                            <w:szCs w:val="16"/>
                                          </w:rPr>
                                          <m:t>i</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x</m:t>
                                        </m:r>
                                      </m:e>
                                      <m:sub>
                                        <m:r>
                                          <w:rPr>
                                            <w:rFonts w:ascii="Cambria Math" w:eastAsiaTheme="minorEastAsia" w:hAnsi="Cambria Math"/>
                                            <w:sz w:val="16"/>
                                            <w:szCs w:val="16"/>
                                          </w:rPr>
                                          <m:t>i</m:t>
                                        </m:r>
                                      </m:sub>
                                    </m:sSub>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e>
                                </m:d>
                              </m:e>
                              <m:sup>
                                <m:r>
                                  <w:rPr>
                                    <w:rFonts w:ascii="Cambria Math" w:eastAsiaTheme="minorEastAsia" w:hAnsi="Cambria Math"/>
                                    <w:sz w:val="16"/>
                                    <w:szCs w:val="16"/>
                                  </w:rPr>
                                  <m:t>2</m:t>
                                </m:r>
                              </m:sup>
                            </m:sSup>
                          </m:num>
                          <m:den>
                            <m:sSup>
                              <m:sSupPr>
                                <m:ctrlPr>
                                  <w:rPr>
                                    <w:rFonts w:ascii="Cambria Math" w:eastAsiaTheme="minorEastAsia" w:hAnsi="Cambria Math"/>
                                    <w:i/>
                                    <w:sz w:val="16"/>
                                    <w:szCs w:val="16"/>
                                  </w:rPr>
                                </m:ctrlPr>
                              </m:sSupPr>
                              <m:e>
                                <m:r>
                                  <w:rPr>
                                    <w:rFonts w:ascii="Cambria Math" w:eastAsiaTheme="minorEastAsia" w:hAnsi="Cambria Math"/>
                                    <w:sz w:val="16"/>
                                    <w:szCs w:val="16"/>
                                  </w:rPr>
                                  <m:t>σ</m:t>
                                </m:r>
                              </m:e>
                              <m:sup>
                                <m:r>
                                  <w:rPr>
                                    <w:rFonts w:ascii="Cambria Math" w:eastAsiaTheme="minorEastAsia" w:hAnsi="Cambria Math"/>
                                    <w:sz w:val="16"/>
                                    <w:szCs w:val="16"/>
                                  </w:rPr>
                                  <m:t>2</m:t>
                                </m:r>
                              </m:sup>
                            </m:sSup>
                          </m:den>
                        </m:f>
                      </m:e>
                    </m:d>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Mortality</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18</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20</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19</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e>
                </m:nary>
                <m:d>
                  <m:dPr>
                    <m:begChr m:val="{"/>
                    <m:endChr m:val="}"/>
                    <m:ctrlPr>
                      <w:rPr>
                        <w:rFonts w:ascii="Cambria Math" w:hAnsi="Cambria Math"/>
                        <w:i/>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r>
                      <m:rPr>
                        <m:sty m:val="p"/>
                      </m:rPr>
                      <w:rPr>
                        <w:rFonts w:ascii="Cambria Math" w:hAnsi="Cambria Math"/>
                        <w:sz w:val="16"/>
                        <w:szCs w:val="16"/>
                      </w:rPr>
                      <m:t>ln⁡(γ)</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γ-1</m:t>
                    </m:r>
                  </m:e>
                </m:d>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unc>
                      <m:funcPr>
                        <m:ctrlPr>
                          <w:rPr>
                            <w:rFonts w:ascii="Cambria Math" w:hAnsi="Cambria Math"/>
                            <w:sz w:val="16"/>
                            <w:szCs w:val="16"/>
                          </w:rPr>
                        </m:ctrlPr>
                      </m:funcPr>
                      <m:fNa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m:rPr>
                            <m:sty m:val="p"/>
                          </m:rPr>
                          <w:rPr>
                            <w:rFonts w:ascii="Cambria Math" w:hAnsi="Cambria Math"/>
                            <w:sz w:val="16"/>
                            <w:szCs w:val="16"/>
                          </w:rPr>
                          <m:t>log</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ctrlPr>
                          <w:rPr>
                            <w:rFonts w:ascii="Cambria Math" w:hAnsi="Cambria Math"/>
                            <w:i/>
                            <w:sz w:val="16"/>
                            <w:szCs w:val="16"/>
                          </w:rPr>
                        </m:ctrlPr>
                      </m:e>
                    </m:func>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m:t>
                        </m:r>
                      </m:sub>
                      <m:sup>
                        <m:r>
                          <w:rPr>
                            <w:rFonts w:ascii="Cambria Math" w:hAnsi="Cambria Math"/>
                            <w:sz w:val="16"/>
                            <w:szCs w:val="16"/>
                          </w:rPr>
                          <m:t>γ</m:t>
                        </m:r>
                      </m:sup>
                    </m:sSubSup>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i-1</m:t>
                        </m:r>
                      </m:sub>
                      <m:sup>
                        <m:r>
                          <w:rPr>
                            <w:rFonts w:ascii="Cambria Math" w:hAnsi="Cambria Math"/>
                            <w:sz w:val="16"/>
                            <w:szCs w:val="16"/>
                          </w:rPr>
                          <m:t>γ</m:t>
                        </m:r>
                      </m:sup>
                    </m:sSubSup>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Cardiovascular</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21</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27</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29</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28</m:t>
                  </m:r>
                </m:sub>
              </m:sSub>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w:rPr>
                        <w:rFonts w:ascii="Cambria Math" w:hAnsi="Cambria Math"/>
                        <w:sz w:val="16"/>
                        <w:szCs w:val="16"/>
                      </w:rPr>
                      <m:t>log</m:t>
                    </m:r>
                    <m:d>
                      <m:dPr>
                        <m:begChr m:val="{"/>
                        <m:endChr m:val="}"/>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p>
                          <m:sSupPr>
                            <m:ctrlPr>
                              <w:rPr>
                                <w:rFonts w:ascii="Cambria Math" w:hAnsi="Cambria Math"/>
                                <w:i/>
                                <w:sz w:val="16"/>
                                <w:szCs w:val="16"/>
                              </w:rPr>
                            </m:ctrlPr>
                          </m:sSupPr>
                          <m:e>
                            <m:r>
                              <w:rPr>
                                <w:rFonts w:ascii="Cambria Math" w:hAnsi="Cambria Math"/>
                                <w:sz w:val="16"/>
                                <w:szCs w:val="16"/>
                              </w:rPr>
                              <m:t>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sup>
                        </m:sSup>
                      </m:e>
                    </m:d>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num>
                      <m:den>
                        <m:r>
                          <m:rPr>
                            <m:sty m:val="p"/>
                          </m:rPr>
                          <w:rPr>
                            <w:rFonts w:ascii="Cambria Math" w:hAnsi="Cambria Math"/>
                            <w:sz w:val="16"/>
                            <w:szCs w:val="16"/>
                          </w:rPr>
                          <m:t>γ</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sup>
                    </m:sSup>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num>
                      <m:den>
                        <m:r>
                          <w:rPr>
                            <w:rFonts w:ascii="Cambria Math" w:hAnsi="Cambria Math"/>
                            <w:sz w:val="16"/>
                            <w:szCs w:val="16"/>
                          </w:rPr>
                          <m:t>γ</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sup>
                    </m:sSup>
                    <m:r>
                      <w:rPr>
                        <w:rFonts w:ascii="Cambria Math" w:hAnsi="Cambria Math"/>
                        <w:sz w:val="16"/>
                        <w:szCs w:val="16"/>
                      </w:rPr>
                      <m:t>)</m:t>
                    </m:r>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Renal</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30</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32</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34</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33</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Brush Script MT"/>
                        <w:i/>
                        <w:sz w:val="16"/>
                        <w:szCs w:val="16"/>
                      </w:rPr>
                    </m:ctrlPr>
                  </m:naryPr>
                  <m:sub>
                    <m:r>
                      <w:rPr>
                        <w:rFonts w:ascii="Cambria Math" w:hAnsi="Cambria Math"/>
                        <w:sz w:val="16"/>
                        <w:szCs w:val="16"/>
                      </w:rPr>
                      <m:t>i</m:t>
                    </m:r>
                    <m:r>
                      <w:rPr>
                        <w:rFonts w:ascii="Cambria Math" w:hAnsi="Brush Script MT"/>
                        <w:sz w:val="16"/>
                        <w:szCs w:val="16"/>
                      </w:rPr>
                      <m:t>=1</m:t>
                    </m:r>
                  </m:sub>
                  <m:sup>
                    <m:r>
                      <w:rPr>
                        <w:rFonts w:ascii="Cambria Math" w:hAnsi="Cambria Math"/>
                        <w:sz w:val="16"/>
                        <w:szCs w:val="16"/>
                      </w:rPr>
                      <m:t>n</m:t>
                    </m:r>
                  </m:sup>
                  <m:e>
                    <m:sSub>
                      <m:sSubPr>
                        <m:ctrlPr>
                          <w:rPr>
                            <w:rFonts w:ascii="Cambria Math" w:hAnsi="Brush Script MT"/>
                            <w:i/>
                            <w:sz w:val="16"/>
                            <w:szCs w:val="16"/>
                          </w:rPr>
                        </m:ctrlPr>
                      </m:sSubPr>
                      <m:e>
                        <m:r>
                          <w:rPr>
                            <w:rFonts w:ascii="Cambria Math" w:hAnsi="Cambria Math"/>
                            <w:sz w:val="16"/>
                            <w:szCs w:val="16"/>
                          </w:rPr>
                          <m:t>δ</m:t>
                        </m:r>
                      </m:e>
                      <m:sub>
                        <m:r>
                          <w:rPr>
                            <w:rFonts w:ascii="Cambria Math" w:hAnsi="Cambria Math"/>
                            <w:sz w:val="16"/>
                            <w:szCs w:val="16"/>
                          </w:rPr>
                          <m:t>i</m:t>
                        </m:r>
                      </m:sub>
                    </m:sSub>
                    <m:r>
                      <w:rPr>
                        <w:rFonts w:ascii="Cambria Math" w:hAnsi="Brush Script MT"/>
                        <w:sz w:val="16"/>
                        <w:szCs w:val="16"/>
                      </w:rPr>
                      <m:t>log</m:t>
                    </m:r>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r>
                                      <w:rPr>
                                        <w:rFonts w:ascii="Cambria Math" w:hAnsi="Cambria Math"/>
                                        <w:sz w:val="16"/>
                                        <w:szCs w:val="16"/>
                                      </w:rPr>
                                      <m:t>-1</m:t>
                                    </m:r>
                                  </m:e>
                                </m:d>
                              </m:sup>
                            </m:sSup>
                          </m:num>
                          <m:den>
                            <m:r>
                              <w:rPr>
                                <w:rFonts w:ascii="Cambria Math" w:hAnsi="Cambria Math"/>
                                <w:sz w:val="16"/>
                                <w:szCs w:val="16"/>
                              </w:rPr>
                              <m:t>γ</m:t>
                            </m:r>
                            <m:d>
                              <m:dPr>
                                <m:begChr m:val="["/>
                                <m:endChr m:val="]"/>
                                <m:ctrlPr>
                                  <w:rPr>
                                    <w:rFonts w:ascii="Cambria Math" w:hAnsi="Cambria Math"/>
                                    <w:i/>
                                    <w:sz w:val="16"/>
                                    <w:szCs w:val="16"/>
                                  </w:rPr>
                                </m:ctrlPr>
                              </m:dPr>
                              <m:e>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e>
                            </m:d>
                          </m:den>
                        </m:f>
                      </m:e>
                    </m:d>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log</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den>
                            </m:f>
                          </m:e>
                        </m:d>
                      </m:e>
                    </m:nary>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lo</m:t>
                    </m:r>
                    <m:r>
                      <w:rPr>
                        <w:rFonts w:ascii="Cambria Math" w:hAnsi="Cambria Math"/>
                        <w:sz w:val="16"/>
                        <w:szCs w:val="16"/>
                      </w:rPr>
                      <m:t>g</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m:t>
                            </m:r>
                            <m:sSup>
                              <m:sSupPr>
                                <m:ctrlPr>
                                  <w:rPr>
                                    <w:rFonts w:ascii="Cambria Math" w:hAnsi="Cambria Math"/>
                                    <w:i/>
                                    <w:sz w:val="16"/>
                                    <w:szCs w:val="16"/>
                                  </w:rPr>
                                </m:ctrlPr>
                              </m:sSupPr>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den>
                        </m:f>
                      </m:e>
                    </m:d>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Musculoskeletal</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35</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38</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40</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39</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ParaPr>
                <m:jc m:val="left"/>
              </m:oMathParaPr>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e>
                </m:nary>
                <m:d>
                  <m:dPr>
                    <m:begChr m:val="{"/>
                    <m:endChr m:val="}"/>
                    <m:ctrlPr>
                      <w:rPr>
                        <w:rFonts w:ascii="Cambria Math" w:hAnsi="Cambria Math"/>
                        <w:i/>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r>
                      <m:rPr>
                        <m:sty m:val="p"/>
                      </m:rPr>
                      <w:rPr>
                        <w:rFonts w:ascii="Cambria Math" w:hAnsi="Cambria Math"/>
                        <w:sz w:val="16"/>
                        <w:szCs w:val="16"/>
                      </w:rPr>
                      <m:t>ln⁡(γ)</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γ-1</m:t>
                    </m:r>
                  </m:e>
                </m:d>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unc>
                      <m:funcPr>
                        <m:ctrlPr>
                          <w:rPr>
                            <w:rFonts w:ascii="Cambria Math" w:hAnsi="Cambria Math"/>
                            <w:sz w:val="16"/>
                            <w:szCs w:val="16"/>
                          </w:rPr>
                        </m:ctrlPr>
                      </m:funcPr>
                      <m:fNa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m:rPr>
                            <m:sty m:val="p"/>
                          </m:rPr>
                          <w:rPr>
                            <w:rFonts w:ascii="Cambria Math" w:hAnsi="Cambria Math"/>
                            <w:sz w:val="16"/>
                            <w:szCs w:val="16"/>
                          </w:rPr>
                          <m:t>log</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ctrlPr>
                          <w:rPr>
                            <w:rFonts w:ascii="Cambria Math" w:hAnsi="Cambria Math"/>
                            <w:i/>
                            <w:sz w:val="16"/>
                            <w:szCs w:val="16"/>
                          </w:rPr>
                        </m:ctrlPr>
                      </m:e>
                    </m:func>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m:t>
                        </m:r>
                      </m:sub>
                      <m:sup>
                        <m:r>
                          <w:rPr>
                            <w:rFonts w:ascii="Cambria Math" w:hAnsi="Cambria Math"/>
                            <w:sz w:val="16"/>
                            <w:szCs w:val="16"/>
                          </w:rPr>
                          <m:t>γ</m:t>
                        </m:r>
                      </m:sup>
                    </m:sSubSup>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i-1</m:t>
                        </m:r>
                      </m:sub>
                      <m:sup>
                        <m:r>
                          <w:rPr>
                            <w:rFonts w:ascii="Cambria Math" w:hAnsi="Cambria Math"/>
                            <w:sz w:val="16"/>
                            <w:szCs w:val="16"/>
                          </w:rPr>
                          <m:t>γ</m:t>
                        </m:r>
                      </m:sup>
                    </m:sSubSup>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Neuropsychiatric</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41</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45</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47</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46</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e>
                </m:nary>
                <m:d>
                  <m:dPr>
                    <m:begChr m:val="{"/>
                    <m:endChr m:val="}"/>
                    <m:ctrlPr>
                      <w:rPr>
                        <w:rFonts w:ascii="Cambria Math" w:hAnsi="Cambria Math"/>
                        <w:i/>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r>
                      <m:rPr>
                        <m:sty m:val="p"/>
                      </m:rPr>
                      <w:rPr>
                        <w:rFonts w:ascii="Cambria Math" w:hAnsi="Cambria Math"/>
                        <w:sz w:val="16"/>
                        <w:szCs w:val="16"/>
                      </w:rPr>
                      <m:t>ln⁡(γ)</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γ-1</m:t>
                    </m:r>
                  </m:e>
                </m:d>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unc>
                      <m:funcPr>
                        <m:ctrlPr>
                          <w:rPr>
                            <w:rFonts w:ascii="Cambria Math" w:hAnsi="Cambria Math"/>
                            <w:sz w:val="16"/>
                            <w:szCs w:val="16"/>
                          </w:rPr>
                        </m:ctrlPr>
                      </m:funcPr>
                      <m:fNa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m:rPr>
                            <m:sty m:val="p"/>
                          </m:rPr>
                          <w:rPr>
                            <w:rFonts w:ascii="Cambria Math" w:hAnsi="Cambria Math"/>
                            <w:sz w:val="16"/>
                            <w:szCs w:val="16"/>
                          </w:rPr>
                          <m:t>log</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ctrlPr>
                          <w:rPr>
                            <w:rFonts w:ascii="Cambria Math" w:hAnsi="Cambria Math"/>
                            <w:i/>
                            <w:sz w:val="16"/>
                            <w:szCs w:val="16"/>
                          </w:rPr>
                        </m:ctrlPr>
                      </m:e>
                    </m:func>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m:t>
                        </m:r>
                      </m:sub>
                      <m:sup>
                        <m:r>
                          <w:rPr>
                            <w:rFonts w:ascii="Cambria Math" w:hAnsi="Cambria Math"/>
                            <w:sz w:val="16"/>
                            <w:szCs w:val="16"/>
                          </w:rPr>
                          <m:t>γ</m:t>
                        </m:r>
                      </m:sup>
                    </m:sSubSup>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i-1</m:t>
                        </m:r>
                      </m:sub>
                      <m:sup>
                        <m:r>
                          <w:rPr>
                            <w:rFonts w:ascii="Cambria Math" w:hAnsi="Cambria Math"/>
                            <w:sz w:val="16"/>
                            <w:szCs w:val="16"/>
                          </w:rPr>
                          <m:t>γ</m:t>
                        </m:r>
                      </m:sup>
                    </m:sSubSup>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Pulmonary</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48</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52</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54</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53</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w:rPr>
                        <w:rFonts w:ascii="Cambria Math" w:hAnsi="Cambria Math"/>
                        <w:sz w:val="16"/>
                        <w:szCs w:val="16"/>
                      </w:rPr>
                      <m:t>log</m:t>
                    </m:r>
                    <m:d>
                      <m:dPr>
                        <m:begChr m:val="{"/>
                        <m:endChr m:val="}"/>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p>
                          <m:sSupPr>
                            <m:ctrlPr>
                              <w:rPr>
                                <w:rFonts w:ascii="Cambria Math" w:hAnsi="Cambria Math"/>
                                <w:i/>
                                <w:sz w:val="16"/>
                                <w:szCs w:val="16"/>
                              </w:rPr>
                            </m:ctrlPr>
                          </m:sSupPr>
                          <m:e>
                            <m:r>
                              <w:rPr>
                                <w:rFonts w:ascii="Cambria Math" w:hAnsi="Cambria Math"/>
                                <w:sz w:val="16"/>
                                <w:szCs w:val="16"/>
                              </w:rPr>
                              <m:t>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sup>
                        </m:sSup>
                      </m:e>
                    </m:d>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num>
                      <m:den>
                        <m:r>
                          <m:rPr>
                            <m:sty m:val="p"/>
                          </m:rPr>
                          <w:rPr>
                            <w:rFonts w:ascii="Cambria Math" w:hAnsi="Cambria Math"/>
                            <w:sz w:val="16"/>
                            <w:szCs w:val="16"/>
                          </w:rPr>
                          <m:t>γ</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sup>
                    </m:sSup>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
                      <m:fPr>
                        <m:ctrlPr>
                          <w:rPr>
                            <w:rFonts w:ascii="Cambria Math" w:hAnsi="Cambria Math"/>
                            <w:i/>
                            <w:sz w:val="16"/>
                            <w:szCs w:val="16"/>
                          </w:rPr>
                        </m:ctrlPr>
                      </m:fPr>
                      <m:num>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num>
                      <m:den>
                        <m:r>
                          <w:rPr>
                            <w:rFonts w:ascii="Cambria Math" w:hAnsi="Cambria Math"/>
                            <w:sz w:val="16"/>
                            <w:szCs w:val="16"/>
                          </w:rPr>
                          <m:t>γ</m:t>
                        </m:r>
                      </m:den>
                    </m:f>
                    <m:r>
                      <w:rPr>
                        <w:rFonts w:ascii="Cambria Math" w:hAnsi="Cambria Math"/>
                        <w:sz w:val="16"/>
                        <w:szCs w:val="16"/>
                      </w:rPr>
                      <m:t>(</m:t>
                    </m:r>
                    <m:sSup>
                      <m:sSupPr>
                        <m:ctrlPr>
                          <w:rPr>
                            <w:rFonts w:ascii="Cambria Math" w:hAnsi="Cambria Math"/>
                            <w:i/>
                            <w:sz w:val="16"/>
                            <w:szCs w:val="16"/>
                          </w:rPr>
                        </m:ctrlPr>
                      </m:sSupPr>
                      <m:e>
                        <m:r>
                          <w:rPr>
                            <w:rFonts w:ascii="Cambria Math" w:hAnsi="Cambria Math"/>
                            <w:sz w:val="16"/>
                            <w:szCs w:val="16"/>
                          </w:rPr>
                          <m:t>1-e</m:t>
                        </m:r>
                      </m:e>
                      <m:sup>
                        <m:r>
                          <m:rPr>
                            <m:sty m:val="p"/>
                          </m:rP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sup>
                    </m:sSup>
                    <m:r>
                      <w:rPr>
                        <w:rFonts w:ascii="Cambria Math" w:hAnsi="Cambria Math"/>
                        <w:sz w:val="16"/>
                        <w:szCs w:val="16"/>
                      </w:rPr>
                      <m:t>)</m:t>
                    </m:r>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P. Vascular</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55</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60</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Gastrointestinal</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61</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63</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Ocular</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64</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67</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69</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68</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e>
                </m:nary>
                <m:d>
                  <m:dPr>
                    <m:begChr m:val="{"/>
                    <m:endChr m:val="}"/>
                    <m:ctrlPr>
                      <w:rPr>
                        <w:rFonts w:ascii="Cambria Math" w:hAnsi="Cambria Math"/>
                        <w:i/>
                        <w:sz w:val="16"/>
                        <w:szCs w:val="16"/>
                      </w:rPr>
                    </m:ctrlPr>
                  </m:dPr>
                  <m:e>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r>
                      <m:rPr>
                        <m:sty m:val="p"/>
                      </m:rPr>
                      <w:rPr>
                        <w:rFonts w:ascii="Cambria Math" w:hAnsi="Cambria Math"/>
                        <w:sz w:val="16"/>
                        <w:szCs w:val="16"/>
                      </w:rPr>
                      <m:t>ln⁡(γ)</m:t>
                    </m:r>
                  </m:e>
                </m:d>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γ-1</m:t>
                    </m:r>
                  </m:e>
                </m:d>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func>
                      <m:funcPr>
                        <m:ctrlPr>
                          <w:rPr>
                            <w:rFonts w:ascii="Cambria Math" w:hAnsi="Cambria Math"/>
                            <w:sz w:val="16"/>
                            <w:szCs w:val="16"/>
                          </w:rPr>
                        </m:ctrlPr>
                      </m:funcPr>
                      <m:fNa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r>
                          <m:rPr>
                            <m:sty m:val="p"/>
                          </m:rPr>
                          <w:rPr>
                            <w:rFonts w:ascii="Cambria Math" w:hAnsi="Cambria Math"/>
                            <w:sz w:val="16"/>
                            <w:szCs w:val="16"/>
                          </w:rPr>
                          <m:t>log</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ctrlPr>
                          <w:rPr>
                            <w:rFonts w:ascii="Cambria Math" w:hAnsi="Cambria Math"/>
                            <w:i/>
                            <w:sz w:val="16"/>
                            <w:szCs w:val="16"/>
                          </w:rPr>
                        </m:ctrlPr>
                      </m:e>
                    </m:func>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m:t>
                        </m:r>
                      </m:sub>
                      <m:sup>
                        <m:r>
                          <w:rPr>
                            <w:rFonts w:ascii="Cambria Math" w:hAnsi="Cambria Math"/>
                            <w:sz w:val="16"/>
                            <w:szCs w:val="16"/>
                          </w:rPr>
                          <m:t>γ</m:t>
                        </m:r>
                      </m:sup>
                    </m:sSubSup>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Sup>
                      <m:sSubSupPr>
                        <m:ctrlPr>
                          <w:rPr>
                            <w:rFonts w:ascii="Cambria Math" w:hAnsi="Cambria Math"/>
                            <w:i/>
                            <w:sz w:val="16"/>
                            <w:szCs w:val="16"/>
                          </w:rPr>
                        </m:ctrlPr>
                      </m:sSubSupPr>
                      <m:e>
                        <m:r>
                          <w:rPr>
                            <w:rFonts w:ascii="Cambria Math" w:hAnsi="Cambria Math"/>
                            <w:sz w:val="16"/>
                            <w:szCs w:val="16"/>
                          </w:rPr>
                          <m:t>t</m:t>
                        </m:r>
                      </m:e>
                      <m:sub>
                        <m:r>
                          <w:rPr>
                            <w:rFonts w:ascii="Cambria Math" w:hAnsi="Cambria Math"/>
                            <w:sz w:val="16"/>
                            <w:szCs w:val="16"/>
                          </w:rPr>
                          <m:t>i-1</m:t>
                        </m:r>
                      </m:sub>
                      <m:sup>
                        <m:r>
                          <w:rPr>
                            <w:rFonts w:ascii="Cambria Math" w:hAnsi="Cambria Math"/>
                            <w:sz w:val="16"/>
                            <w:szCs w:val="16"/>
                          </w:rPr>
                          <m:t>γ</m:t>
                        </m:r>
                      </m:sup>
                    </m:sSubSup>
                  </m:e>
                </m:nary>
                <m:r>
                  <w:rPr>
                    <w:rFonts w:ascii="Cambria Math" w:hAnsi="Cambria Math"/>
                    <w:sz w:val="16"/>
                    <w:szCs w:val="16"/>
                  </w:rPr>
                  <m:t>v</m:t>
                </m:r>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Skin</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70</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73</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75</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m:oMath>
              <m:r>
                <w:rPr>
                  <w:rFonts w:ascii="Cambria Math" w:eastAsiaTheme="minorEastAsia" w:hAnsi="Cambria Math"/>
                  <w:sz w:val="16"/>
                  <w:szCs w:val="16"/>
                </w:rPr>
                <m:t>γ=</m:t>
              </m:r>
              <m:sSup>
                <m:sSupPr>
                  <m:ctrlPr>
                    <w:rPr>
                      <w:rFonts w:ascii="Cambria Math" w:eastAsiaTheme="minorEastAsia" w:hAnsi="Cambria Math"/>
                      <w:i/>
                      <w:sz w:val="16"/>
                      <w:szCs w:val="16"/>
                    </w:rPr>
                  </m:ctrlPr>
                </m:sSupPr>
                <m:e>
                  <m:r>
                    <w:rPr>
                      <w:rFonts w:ascii="Cambria Math" w:eastAsiaTheme="minorEastAsia" w:hAnsi="Cambria Math"/>
                      <w:sz w:val="16"/>
                      <w:szCs w:val="16"/>
                    </w:rPr>
                    <m:t>e</m:t>
                  </m:r>
                </m:e>
                <m:sup>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74</m:t>
                      </m:r>
                    </m:sub>
                  </m:sSub>
                </m:sup>
              </m:sSup>
            </m:oMath>
            <w:r w:rsidRPr="00BE457B">
              <w:rPr>
                <w:rFonts w:eastAsiaTheme="minorEastAsia"/>
                <w:sz w:val="16"/>
                <w:szCs w:val="16"/>
              </w:rPr>
              <w:t xml:space="preserve"> </w:t>
            </w: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Brush Script MT"/>
                        <w:i/>
                        <w:sz w:val="16"/>
                        <w:szCs w:val="16"/>
                      </w:rPr>
                    </m:ctrlPr>
                  </m:naryPr>
                  <m:sub>
                    <m:r>
                      <w:rPr>
                        <w:rFonts w:ascii="Cambria Math" w:hAnsi="Cambria Math"/>
                        <w:sz w:val="16"/>
                        <w:szCs w:val="16"/>
                      </w:rPr>
                      <m:t>i</m:t>
                    </m:r>
                    <m:r>
                      <w:rPr>
                        <w:rFonts w:ascii="Cambria Math" w:hAnsi="Brush Script MT"/>
                        <w:sz w:val="16"/>
                        <w:szCs w:val="16"/>
                      </w:rPr>
                      <m:t>=1</m:t>
                    </m:r>
                  </m:sub>
                  <m:sup>
                    <m:r>
                      <w:rPr>
                        <w:rFonts w:ascii="Cambria Math" w:hAnsi="Cambria Math"/>
                        <w:sz w:val="16"/>
                        <w:szCs w:val="16"/>
                      </w:rPr>
                      <m:t>n</m:t>
                    </m:r>
                  </m:sup>
                  <m:e>
                    <m:sSub>
                      <m:sSubPr>
                        <m:ctrlPr>
                          <w:rPr>
                            <w:rFonts w:ascii="Cambria Math" w:hAnsi="Brush Script MT"/>
                            <w:i/>
                            <w:sz w:val="16"/>
                            <w:szCs w:val="16"/>
                          </w:rPr>
                        </m:ctrlPr>
                      </m:sSubPr>
                      <m:e>
                        <m:r>
                          <w:rPr>
                            <w:rFonts w:ascii="Cambria Math" w:hAnsi="Cambria Math"/>
                            <w:sz w:val="16"/>
                            <w:szCs w:val="16"/>
                          </w:rPr>
                          <m:t>δ</m:t>
                        </m:r>
                      </m:e>
                      <m:sub>
                        <m:r>
                          <w:rPr>
                            <w:rFonts w:ascii="Cambria Math" w:hAnsi="Cambria Math"/>
                            <w:sz w:val="16"/>
                            <w:szCs w:val="16"/>
                          </w:rPr>
                          <m:t>i</m:t>
                        </m:r>
                      </m:sub>
                    </m:sSub>
                    <m:r>
                      <w:rPr>
                        <w:rFonts w:ascii="Cambria Math" w:hAnsi="Brush Script MT"/>
                        <w:sz w:val="16"/>
                        <w:szCs w:val="16"/>
                      </w:rPr>
                      <m:t>log</m:t>
                    </m:r>
                    <m:d>
                      <m:dPr>
                        <m:begChr m:val="{"/>
                        <m:endChr m:val="}"/>
                        <m:ctrlPr>
                          <w:rPr>
                            <w:rFonts w:ascii="Cambria Math" w:hAnsi="Cambria Math"/>
                            <w:i/>
                            <w:sz w:val="16"/>
                            <w:szCs w:val="16"/>
                          </w:rPr>
                        </m:ctrlPr>
                      </m:dPr>
                      <m:e>
                        <m:f>
                          <m:fPr>
                            <m:ctrlPr>
                              <w:rPr>
                                <w:rFonts w:ascii="Cambria Math" w:hAnsi="Cambria Math"/>
                                <w:i/>
                                <w:sz w:val="16"/>
                                <w:szCs w:val="16"/>
                              </w:rPr>
                            </m:ctrlPr>
                          </m:fPr>
                          <m:num>
                            <m:sSup>
                              <m:sSupPr>
                                <m:ctrlPr>
                                  <w:rPr>
                                    <w:rFonts w:ascii="Cambria Math" w:hAnsi="Cambria Math"/>
                                    <w:i/>
                                    <w:sz w:val="16"/>
                                    <w:szCs w:val="16"/>
                                  </w:rPr>
                                </m:ctrlPr>
                              </m:sSupPr>
                              <m:e>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r>
                                      <w:rPr>
                                        <w:rFonts w:ascii="Cambria Math" w:hAnsi="Cambria Math"/>
                                        <w:sz w:val="16"/>
                                        <w:szCs w:val="16"/>
                                      </w:rPr>
                                      <m:t>-1</m:t>
                                    </m:r>
                                  </m:e>
                                </m:d>
                              </m:sup>
                            </m:sSup>
                          </m:num>
                          <m:den>
                            <m:r>
                              <w:rPr>
                                <w:rFonts w:ascii="Cambria Math" w:hAnsi="Cambria Math"/>
                                <w:sz w:val="16"/>
                                <w:szCs w:val="16"/>
                              </w:rPr>
                              <m:t>γ</m:t>
                            </m:r>
                            <m:d>
                              <m:dPr>
                                <m:begChr m:val="["/>
                                <m:endChr m:val="]"/>
                                <m:ctrlPr>
                                  <w:rPr>
                                    <w:rFonts w:ascii="Cambria Math" w:hAnsi="Cambria Math"/>
                                    <w:i/>
                                    <w:sz w:val="16"/>
                                    <w:szCs w:val="16"/>
                                  </w:rPr>
                                </m:ctrlPr>
                              </m:dPr>
                              <m:e>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e>
                            </m:d>
                          </m:den>
                        </m:f>
                      </m:e>
                    </m:d>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log</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m:t>
                                </m:r>
                                <m:sSup>
                                  <m:sSupPr>
                                    <m:ctrlPr>
                                      <w:rPr>
                                        <w:rFonts w:ascii="Cambria Math" w:hAnsi="Cambria Math"/>
                                        <w:i/>
                                        <w:sz w:val="16"/>
                                        <w:szCs w:val="16"/>
                                      </w:rPr>
                                    </m:ctrlPr>
                                  </m:sSupPr>
                                  <m:e>
                                    <m:d>
                                      <m:dPr>
                                        <m:ctrlPr>
                                          <w:rPr>
                                            <w:rFonts w:ascii="Cambria Math" w:hAnsi="Cambria Math"/>
                                            <w:i/>
                                            <w:sz w:val="16"/>
                                            <w:szCs w:val="16"/>
                                          </w:rPr>
                                        </m:ctrlPr>
                                      </m:dPr>
                                      <m:e>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e>
                                    </m:d>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den>
                            </m:f>
                          </m:e>
                        </m:d>
                      </m:e>
                    </m:nary>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log</m:t>
                    </m:r>
                    <m:d>
                      <m:dPr>
                        <m:begChr m:val="{"/>
                        <m:endChr m:val="}"/>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1+</m:t>
                            </m:r>
                            <m:sSup>
                              <m:sSupPr>
                                <m:ctrlPr>
                                  <w:rPr>
                                    <w:rFonts w:ascii="Cambria Math" w:hAnsi="Cambria Math"/>
                                    <w:i/>
                                    <w:sz w:val="16"/>
                                    <w:szCs w:val="16"/>
                                  </w:rPr>
                                </m:ctrlPr>
                              </m:sSupPr>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r>
                                      <m:rPr>
                                        <m:sty m:val="p"/>
                                      </m:rPr>
                                      <w:rPr>
                                        <w:rFonts w:ascii="Cambria Math" w:hAnsi="Cambria Math"/>
                                        <w:sz w:val="16"/>
                                        <w:szCs w:val="16"/>
                                      </w:rPr>
                                      <m:t>-</m:t>
                                    </m:r>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sup>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γ</m:t>
                                        </m:r>
                                      </m:den>
                                    </m:f>
                                  </m:e>
                                </m:d>
                              </m:sup>
                            </m:sSup>
                          </m:den>
                        </m:f>
                      </m:e>
                    </m:d>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Diabetes</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76</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79</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nary>
              </m:oMath>
            </m:oMathPara>
          </w:p>
        </w:tc>
      </w:tr>
      <w:tr w:rsidR="00B97965" w:rsidRPr="00BE457B" w:rsidTr="00BE457B">
        <w:trPr>
          <w:trHeight w:val="510"/>
        </w:trPr>
        <w:tc>
          <w:tcPr>
            <w:tcW w:w="1354" w:type="dxa"/>
          </w:tcPr>
          <w:p w:rsidR="00B97965" w:rsidRPr="00BE457B" w:rsidRDefault="00B97965" w:rsidP="00B97965">
            <w:pPr>
              <w:tabs>
                <w:tab w:val="left" w:pos="5222"/>
              </w:tabs>
              <w:spacing w:line="276" w:lineRule="auto"/>
              <w:rPr>
                <w:rFonts w:eastAsiaTheme="minorEastAsia"/>
                <w:sz w:val="16"/>
                <w:szCs w:val="16"/>
              </w:rPr>
            </w:pPr>
            <w:r w:rsidRPr="00BE457B">
              <w:rPr>
                <w:rFonts w:eastAsiaTheme="minorEastAsia"/>
                <w:sz w:val="16"/>
                <w:szCs w:val="16"/>
              </w:rPr>
              <w:t>Withdrawal</w:t>
            </w:r>
          </w:p>
        </w:tc>
        <w:tc>
          <w:tcPr>
            <w:tcW w:w="1680" w:type="dxa"/>
          </w:tcPr>
          <w:p w:rsidR="00B97965" w:rsidRPr="00BE457B" w:rsidRDefault="00E729BA" w:rsidP="00B97965">
            <w:pPr>
              <w:tabs>
                <w:tab w:val="left" w:pos="5222"/>
              </w:tabs>
              <w:spacing w:line="276" w:lineRule="auto"/>
              <w:rPr>
                <w:rFonts w:eastAsiaTheme="minorEastAsia"/>
                <w:sz w:val="16"/>
                <w:szCs w:val="16"/>
              </w:rPr>
            </w:pPr>
            <m:oMath>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k</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81</m:t>
                  </m:r>
                </m:sub>
              </m:sSub>
              <m:r>
                <w:rPr>
                  <w:rFonts w:ascii="Cambria Math" w:eastAsiaTheme="minorEastAsia" w:hAnsi="Cambria Math"/>
                  <w:sz w:val="16"/>
                  <w:szCs w:val="16"/>
                </w:rPr>
                <m:t>,</m:t>
              </m:r>
              <m:sSub>
                <m:sSubPr>
                  <m:ctrlPr>
                    <w:rPr>
                      <w:rFonts w:ascii="Cambria Math" w:eastAsiaTheme="minorEastAsia" w:hAnsi="Cambria Math"/>
                      <w:i/>
                      <w:sz w:val="16"/>
                      <w:szCs w:val="16"/>
                    </w:rPr>
                  </m:ctrlPr>
                </m:sSubPr>
                <m:e>
                  <m:r>
                    <w:rPr>
                      <w:rFonts w:ascii="Cambria Math" w:eastAsiaTheme="minorEastAsia" w:hAnsi="Cambria Math"/>
                      <w:sz w:val="16"/>
                      <w:szCs w:val="16"/>
                    </w:rPr>
                    <m:t>θ</m:t>
                  </m:r>
                </m:e>
                <m:sub>
                  <m:r>
                    <w:rPr>
                      <w:rFonts w:ascii="Cambria Math" w:eastAsiaTheme="minorEastAsia" w:hAnsi="Cambria Math"/>
                      <w:sz w:val="16"/>
                      <w:szCs w:val="16"/>
                    </w:rPr>
                    <m:t>82</m:t>
                  </m:r>
                </m:sub>
              </m:sSub>
            </m:oMath>
            <w:r w:rsidR="00B97965" w:rsidRPr="00BE457B">
              <w:rPr>
                <w:rFonts w:eastAsiaTheme="minorEastAsia"/>
                <w:sz w:val="16"/>
                <w:szCs w:val="16"/>
              </w:rPr>
              <w:t xml:space="preserve"> </w:t>
            </w:r>
          </w:p>
          <w:p w:rsidR="00B97965" w:rsidRPr="00BE457B" w:rsidRDefault="00B97965" w:rsidP="00B97965">
            <w:pPr>
              <w:tabs>
                <w:tab w:val="left" w:pos="5222"/>
              </w:tabs>
              <w:spacing w:line="276" w:lineRule="auto"/>
              <w:rPr>
                <w:rFonts w:eastAsiaTheme="minorEastAsia"/>
                <w:sz w:val="16"/>
                <w:szCs w:val="16"/>
              </w:rPr>
            </w:pPr>
          </w:p>
        </w:tc>
        <w:tc>
          <w:tcPr>
            <w:tcW w:w="5387" w:type="dxa"/>
          </w:tcPr>
          <w:p w:rsidR="00B97965" w:rsidRPr="00BE457B" w:rsidRDefault="00E729BA" w:rsidP="00BE457B">
            <w:pPr>
              <w:tabs>
                <w:tab w:val="left" w:pos="5222"/>
              </w:tabs>
              <w:spacing w:after="0" w:afterAutospacing="0" w:line="240" w:lineRule="auto"/>
              <w:jc w:val="center"/>
              <w:rPr>
                <w:rFonts w:eastAsiaTheme="minorEastAsia"/>
                <w:sz w:val="16"/>
                <w:szCs w:val="16"/>
              </w:rPr>
            </w:pPr>
            <m:oMathPara>
              <m:oMath>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sSub>
                      <m:sSubPr>
                        <m:ctrlPr>
                          <w:rPr>
                            <w:rFonts w:ascii="Cambria Math" w:hAnsi="Cambria Math"/>
                            <w:i/>
                            <w:sz w:val="16"/>
                            <w:szCs w:val="16"/>
                          </w:rPr>
                        </m:ctrlPr>
                      </m:sSubPr>
                      <m:e>
                        <m:r>
                          <w:rPr>
                            <w:rFonts w:ascii="Cambria Math" w:hAnsi="Cambria Math"/>
                            <w:sz w:val="16"/>
                            <w:szCs w:val="16"/>
                          </w:rPr>
                          <m:t>δ</m:t>
                        </m:r>
                      </m:e>
                      <m:sub>
                        <m: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r>
                      <w:rPr>
                        <w:rFonts w:ascii="Cambria Math" w:hAnsi="Cambria Math"/>
                        <w:sz w:val="16"/>
                        <w:szCs w:val="16"/>
                      </w:rPr>
                      <m:t>-</m:t>
                    </m:r>
                  </m:e>
                </m:nary>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m:t>
                        </m:r>
                      </m:sub>
                    </m:sSub>
                    <m:r>
                      <w:rPr>
                        <w:rFonts w:ascii="Cambria Math" w:hAnsi="Cambria Math"/>
                        <w:sz w:val="16"/>
                        <w:szCs w:val="16"/>
                      </w:rPr>
                      <m:t>}</m:t>
                    </m:r>
                  </m:e>
                </m:nary>
                <m:r>
                  <w:rPr>
                    <w:rFonts w:ascii="Cambria Math" w:hAnsi="Cambria Math"/>
                    <w:sz w:val="16"/>
                    <w:szCs w:val="16"/>
                  </w:rPr>
                  <m:t>+</m:t>
                </m:r>
                <m:nary>
                  <m:naryPr>
                    <m:chr m:val="∑"/>
                    <m:limLoc m:val="undOvr"/>
                    <m:ctrlPr>
                      <w:rPr>
                        <w:rFonts w:ascii="Cambria Math" w:hAnsi="Cambria Math"/>
                        <w:i/>
                        <w:sz w:val="16"/>
                        <w:szCs w:val="16"/>
                      </w:rPr>
                    </m:ctrlPr>
                  </m:naryPr>
                  <m:sub>
                    <m:r>
                      <w:rPr>
                        <w:rFonts w:ascii="Cambria Math" w:hAnsi="Cambria Math"/>
                        <w:sz w:val="16"/>
                        <w:szCs w:val="16"/>
                      </w:rPr>
                      <m:t>i=1</m:t>
                    </m:r>
                  </m:sub>
                  <m:sup>
                    <m:r>
                      <w:rPr>
                        <w:rFonts w:ascii="Cambria Math" w:hAnsi="Cambria Math"/>
                        <w:sz w:val="16"/>
                        <w:szCs w:val="16"/>
                      </w:rPr>
                      <m:t>n</m:t>
                    </m:r>
                  </m:sup>
                  <m:e>
                    <m: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e</m:t>
                        </m:r>
                      </m:e>
                      <m:sup>
                        <m:sSub>
                          <m:sSubPr>
                            <m:ctrlPr>
                              <w:rPr>
                                <w:rFonts w:ascii="Cambria Math" w:hAnsi="Cambria Math"/>
                                <w:sz w:val="16"/>
                                <w:szCs w:val="16"/>
                              </w:rPr>
                            </m:ctrlPr>
                          </m:sSubPr>
                          <m:e>
                            <m:r>
                              <m:rPr>
                                <m:sty m:val="p"/>
                              </m:rPr>
                              <w:rPr>
                                <w:rFonts w:ascii="Cambria Math" w:hAnsi="Cambria Math"/>
                                <w:sz w:val="16"/>
                                <w:szCs w:val="16"/>
                              </w:rPr>
                              <m:t>x</m:t>
                            </m:r>
                          </m:e>
                          <m:sub>
                            <m:r>
                              <m:rPr>
                                <m:sty m:val="p"/>
                              </m:rPr>
                              <w:rPr>
                                <w:rFonts w:ascii="Cambria Math" w:hAnsi="Cambria Math"/>
                                <w:sz w:val="16"/>
                                <w:szCs w:val="16"/>
                              </w:rPr>
                              <m:t>i</m:t>
                            </m:r>
                          </m:sub>
                        </m:sSub>
                        <m:sSub>
                          <m:sSubPr>
                            <m:ctrlPr>
                              <w:rPr>
                                <w:rFonts w:ascii="Cambria Math" w:hAnsi="Cambria Math"/>
                                <w:sz w:val="16"/>
                                <w:szCs w:val="16"/>
                              </w:rPr>
                            </m:ctrlPr>
                          </m:sSubPr>
                          <m:e>
                            <m:r>
                              <m:rPr>
                                <m:sty m:val="p"/>
                              </m:rPr>
                              <w:rPr>
                                <w:rFonts w:ascii="Cambria Math" w:hAnsi="Cambria Math"/>
                                <w:sz w:val="16"/>
                                <w:szCs w:val="16"/>
                              </w:rPr>
                              <m:t>θ</m:t>
                            </m:r>
                          </m:e>
                          <m:sub>
                            <m:r>
                              <m:rPr>
                                <m:sty m:val="p"/>
                              </m:rPr>
                              <w:rPr>
                                <w:rFonts w:ascii="Cambria Math" w:hAnsi="Cambria Math"/>
                                <w:sz w:val="16"/>
                                <w:szCs w:val="16"/>
                              </w:rPr>
                              <m:t>k</m:t>
                            </m:r>
                          </m:sub>
                        </m:sSub>
                      </m:sup>
                    </m:sSup>
                    <m:r>
                      <m:rPr>
                        <m:sty m:val="p"/>
                      </m:rP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i-1</m:t>
                        </m:r>
                      </m:sub>
                    </m:sSub>
                    <m:r>
                      <w:rPr>
                        <w:rFonts w:ascii="Cambria Math" w:hAnsi="Cambria Math"/>
                        <w:sz w:val="16"/>
                        <w:szCs w:val="16"/>
                      </w:rPr>
                      <m:t>}</m:t>
                    </m:r>
                  </m:e>
                </m:nary>
              </m:oMath>
            </m:oMathPara>
          </w:p>
        </w:tc>
      </w:tr>
    </w:tbl>
    <w:p w:rsidR="00396982" w:rsidRDefault="00396982" w:rsidP="00396982">
      <w:pPr>
        <w:rPr>
          <w:color w:val="000000" w:themeColor="text1"/>
          <w:spacing w:val="15"/>
          <w:sz w:val="24"/>
          <w:szCs w:val="24"/>
          <w:lang w:bidi="ar-SA"/>
        </w:rPr>
      </w:pPr>
    </w:p>
    <w:p w:rsidR="00396982" w:rsidRDefault="00396982">
      <w:pPr>
        <w:spacing w:after="0" w:afterAutospacing="0" w:line="240" w:lineRule="auto"/>
        <w:rPr>
          <w:color w:val="000000" w:themeColor="text1"/>
          <w:spacing w:val="15"/>
          <w:sz w:val="24"/>
          <w:szCs w:val="24"/>
          <w:lang w:bidi="ar-SA"/>
        </w:rPr>
      </w:pPr>
      <w:r>
        <w:rPr>
          <w:color w:val="000000" w:themeColor="text1"/>
          <w:spacing w:val="15"/>
          <w:sz w:val="24"/>
          <w:szCs w:val="24"/>
          <w:lang w:bidi="ar-SA"/>
        </w:rPr>
        <w:br w:type="page"/>
      </w:r>
    </w:p>
    <w:p w:rsidR="00B97965" w:rsidRPr="00BE457B" w:rsidRDefault="00B97965" w:rsidP="00BE457B">
      <w:pPr>
        <w:pStyle w:val="Heading1"/>
        <w:numPr>
          <w:ilvl w:val="0"/>
          <w:numId w:val="0"/>
        </w:numPr>
        <w:bidi/>
        <w:ind w:left="576" w:hanging="576"/>
        <w:jc w:val="right"/>
        <w:rPr>
          <w:rStyle w:val="Emphasis"/>
          <w:spacing w:val="15"/>
          <w:lang w:bidi="ar-SA"/>
        </w:rPr>
      </w:pPr>
      <w:bookmarkStart w:id="731" w:name="_Toc379467723"/>
      <w:r>
        <w:rPr>
          <w:lang w:bidi="ar-SA"/>
        </w:rPr>
        <w:t>Appendix</w:t>
      </w:r>
      <w:r w:rsidR="00396982">
        <w:rPr>
          <w:lang w:bidi="ar-SA"/>
        </w:rPr>
        <w:t xml:space="preserve"> 19</w:t>
      </w:r>
      <w:r w:rsidR="00BE457B">
        <w:rPr>
          <w:lang w:bidi="ar-SA"/>
        </w:rPr>
        <w:t xml:space="preserve">: </w:t>
      </w:r>
      <w:r w:rsidR="00234693" w:rsidRPr="00234693">
        <w:rPr>
          <w:rStyle w:val="Emphasis"/>
        </w:rPr>
        <w:t>WINBUGS SPECIFICATIONS</w:t>
      </w:r>
      <w:bookmarkEnd w:id="731"/>
    </w:p>
    <w:p w:rsidR="00B97965" w:rsidRDefault="00B97965" w:rsidP="00B97965">
      <w:r>
        <w:t>The parametric survival models were programmed into WinBUGs using the ones trick to specify a sampling distribution not included in the WinBUGS list of standard distributions. The ones trick supposes that the data is a set of 1’s assumed to be result of Bernoulli trials with probabilities p[i]. Each p[i] is estimated to be proportional to the Likelihood L[i] via a scaling constant C. An example of the code used for the mortality model with the ones trick is reported below.</w:t>
      </w:r>
    </w:p>
    <w:p w:rsidR="00B97965" w:rsidRPr="0096068A"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sidRPr="0096068A">
        <w:rPr>
          <w:rFonts w:ascii="Arial" w:hAnsi="Arial"/>
          <w:sz w:val="18"/>
          <w:szCs w:val="18"/>
          <w:lang w:eastAsia="zh-CN" w:bidi="ar-SA"/>
        </w:rPr>
        <w:tab/>
      </w:r>
      <w:r w:rsidRPr="0096068A">
        <w:rPr>
          <w:rFonts w:ascii="Courier" w:hAnsi="Courier" w:cs="Courier"/>
          <w:sz w:val="18"/>
          <w:szCs w:val="18"/>
          <w:lang w:eastAsia="zh-CN" w:bidi="ar-SA"/>
        </w:rPr>
        <w:t>C &lt;- 10000</w:t>
      </w:r>
      <w:r>
        <w:rPr>
          <w:rFonts w:ascii="Courier" w:hAnsi="Courier" w:cs="Courier"/>
          <w:sz w:val="18"/>
          <w:szCs w:val="18"/>
          <w:lang w:eastAsia="zh-CN" w:bidi="ar-SA"/>
        </w:rPr>
        <w:t>000</w:t>
      </w:r>
      <w:r w:rsidRPr="0096068A">
        <w:rPr>
          <w:rFonts w:ascii="Arial" w:hAnsi="Arial"/>
          <w:color w:val="000000"/>
          <w:sz w:val="18"/>
          <w:szCs w:val="18"/>
          <w:lang w:eastAsia="zh-CN" w:bidi="ar-SA"/>
        </w:rPr>
        <w:tab/>
      </w:r>
      <w:r w:rsidRPr="0096068A">
        <w:rPr>
          <w:rFonts w:ascii="Arial" w:hAnsi="Arial"/>
          <w:color w:val="000000"/>
          <w:sz w:val="18"/>
          <w:szCs w:val="18"/>
          <w:lang w:eastAsia="zh-CN" w:bidi="ar-SA"/>
        </w:rPr>
        <w:tab/>
      </w:r>
      <w:r w:rsidRPr="0096068A">
        <w:rPr>
          <w:rFonts w:ascii="Arial" w:hAnsi="Arial"/>
          <w:color w:val="000000"/>
          <w:sz w:val="18"/>
          <w:szCs w:val="18"/>
          <w:lang w:eastAsia="zh-CN" w:bidi="ar-SA"/>
        </w:rPr>
        <w:tab/>
      </w:r>
      <w:r w:rsidRPr="0096068A">
        <w:rPr>
          <w:rFonts w:ascii="Arial" w:hAnsi="Arial"/>
          <w:color w:val="000000"/>
          <w:sz w:val="18"/>
          <w:szCs w:val="18"/>
          <w:lang w:eastAsia="zh-CN" w:bidi="ar-SA"/>
        </w:rPr>
        <w:tab/>
      </w:r>
      <w:r w:rsidRPr="0096068A">
        <w:rPr>
          <w:rFonts w:ascii="Arial" w:hAnsi="Arial"/>
          <w:color w:val="000000"/>
          <w:sz w:val="18"/>
          <w:szCs w:val="18"/>
          <w:lang w:eastAsia="zh-CN" w:bidi="ar-SA"/>
        </w:rPr>
        <w:tab/>
      </w:r>
      <w:r w:rsidRPr="0096068A">
        <w:rPr>
          <w:rFonts w:ascii="Arial" w:hAnsi="Arial"/>
          <w:color w:val="000000"/>
          <w:sz w:val="18"/>
          <w:szCs w:val="18"/>
          <w:lang w:eastAsia="zh-CN" w:bidi="ar-SA"/>
        </w:rPr>
        <w:tab/>
      </w:r>
    </w:p>
    <w:p w:rsidR="00B97965" w:rsidRPr="0096068A"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Pr>
          <w:rFonts w:ascii="Courier" w:hAnsi="Courier" w:cs="Courier"/>
          <w:sz w:val="18"/>
          <w:szCs w:val="18"/>
          <w:lang w:eastAsia="zh-CN" w:bidi="ar-SA"/>
        </w:rPr>
        <w:tab/>
      </w:r>
      <w:r w:rsidRPr="0096068A">
        <w:rPr>
          <w:rFonts w:ascii="Courier" w:hAnsi="Courier" w:cs="Courier"/>
          <w:sz w:val="18"/>
          <w:szCs w:val="18"/>
          <w:lang w:eastAsia="zh-CN" w:bidi="ar-SA"/>
        </w:rPr>
        <w:t>for (i in 1:N) {</w:t>
      </w:r>
    </w:p>
    <w:p w:rsidR="00B97965" w:rsidRPr="00462288"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sidRPr="0096068A">
        <w:rPr>
          <w:rFonts w:ascii="Arial" w:hAnsi="Arial"/>
          <w:sz w:val="18"/>
          <w:szCs w:val="18"/>
          <w:lang w:eastAsia="zh-CN" w:bidi="ar-SA"/>
        </w:rPr>
        <w:tab/>
      </w:r>
      <w:r>
        <w:rPr>
          <w:rFonts w:ascii="Courier" w:hAnsi="Courier" w:cs="Courier"/>
          <w:sz w:val="18"/>
          <w:szCs w:val="18"/>
          <w:lang w:eastAsia="zh-CN" w:bidi="ar-SA"/>
        </w:rPr>
        <w:tab/>
      </w:r>
      <w:r w:rsidRPr="00462288">
        <w:rPr>
          <w:rFonts w:ascii="Courier" w:hAnsi="Courier" w:cs="Courier"/>
          <w:sz w:val="18"/>
          <w:szCs w:val="18"/>
          <w:lang w:eastAsia="zh-CN" w:bidi="ar-SA"/>
        </w:rPr>
        <w:t>mones[i] &lt;- 1</w:t>
      </w:r>
    </w:p>
    <w:p w:rsidR="00B97965" w:rsidRPr="00BF1DEF"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sidRPr="00462288">
        <w:rPr>
          <w:rFonts w:ascii="Arial" w:hAnsi="Arial"/>
          <w:sz w:val="18"/>
          <w:szCs w:val="18"/>
          <w:lang w:eastAsia="zh-CN" w:bidi="ar-SA"/>
        </w:rPr>
        <w:tab/>
      </w:r>
      <w:r w:rsidRPr="00462288">
        <w:rPr>
          <w:rFonts w:ascii="Courier" w:hAnsi="Courier" w:cs="Courier"/>
          <w:sz w:val="18"/>
          <w:szCs w:val="18"/>
          <w:lang w:eastAsia="zh-CN" w:bidi="ar-SA"/>
        </w:rPr>
        <w:tab/>
      </w:r>
      <w:r w:rsidRPr="00BF1DEF">
        <w:rPr>
          <w:rFonts w:ascii="Courier" w:hAnsi="Courier" w:cs="Courier"/>
          <w:sz w:val="18"/>
          <w:szCs w:val="18"/>
          <w:lang w:eastAsia="zh-CN" w:bidi="ar-SA"/>
        </w:rPr>
        <w:t>mp[i] &lt;- mL[i] / C</w:t>
      </w:r>
    </w:p>
    <w:p w:rsidR="00B97965" w:rsidRPr="00BF1DEF"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sidRPr="00BF1DEF">
        <w:rPr>
          <w:rFonts w:ascii="Arial" w:hAnsi="Arial"/>
          <w:sz w:val="18"/>
          <w:szCs w:val="18"/>
          <w:lang w:eastAsia="zh-CN" w:bidi="ar-SA"/>
        </w:rPr>
        <w:tab/>
      </w:r>
      <w:r w:rsidRPr="00BF1DEF">
        <w:rPr>
          <w:rFonts w:ascii="Courier" w:hAnsi="Courier" w:cs="Courier"/>
          <w:sz w:val="18"/>
          <w:szCs w:val="18"/>
          <w:lang w:eastAsia="zh-CN" w:bidi="ar-SA"/>
        </w:rPr>
        <w:tab/>
        <w:t>mones[i] ~ dbern(mp[i])</w:t>
      </w:r>
    </w:p>
    <w:p w:rsidR="00B97965" w:rsidRPr="0096068A" w:rsidRDefault="00B97965" w:rsidP="00B97965">
      <w:pPr>
        <w:autoSpaceDE w:val="0"/>
        <w:autoSpaceDN w:val="0"/>
        <w:adjustRightInd w:val="0"/>
        <w:spacing w:after="0" w:afterAutospacing="0" w:line="240" w:lineRule="auto"/>
        <w:rPr>
          <w:rFonts w:ascii="Courier" w:hAnsi="Courier" w:cs="Courier"/>
          <w:sz w:val="18"/>
          <w:szCs w:val="18"/>
          <w:lang w:eastAsia="zh-CN" w:bidi="ar-SA"/>
        </w:rPr>
      </w:pPr>
      <w:r w:rsidRPr="00BF1DEF">
        <w:rPr>
          <w:rFonts w:ascii="Courier" w:hAnsi="Courier" w:cs="Courier"/>
          <w:sz w:val="18"/>
          <w:szCs w:val="18"/>
          <w:lang w:eastAsia="zh-CN" w:bidi="ar-SA"/>
        </w:rPr>
        <w:tab/>
      </w:r>
      <w:r w:rsidRPr="00BF1DEF">
        <w:rPr>
          <w:rFonts w:ascii="Courier" w:hAnsi="Courier" w:cs="Courier"/>
          <w:sz w:val="18"/>
          <w:szCs w:val="18"/>
          <w:lang w:eastAsia="zh-CN" w:bidi="ar-SA"/>
        </w:rPr>
        <w:tab/>
      </w:r>
      <w:r w:rsidRPr="0096068A">
        <w:rPr>
          <w:rFonts w:ascii="Courier" w:hAnsi="Courier" w:cs="Courier"/>
          <w:sz w:val="18"/>
          <w:szCs w:val="18"/>
          <w:lang w:eastAsia="zh-CN" w:bidi="ar-SA"/>
        </w:rPr>
        <w:t>}</w:t>
      </w:r>
    </w:p>
    <w:p w:rsidR="00B97965" w:rsidRDefault="00B97965" w:rsidP="00B97965"/>
    <w:p w:rsidR="00B97965" w:rsidRDefault="00BE457B" w:rsidP="00BE457B">
      <w:r>
        <w:t>THE DATA</w:t>
      </w:r>
    </w:p>
    <w:p w:rsidR="00B97965" w:rsidRPr="00932FA8" w:rsidRDefault="00B97965" w:rsidP="00B97965">
      <w:r>
        <w:t xml:space="preserve">The simulated data was input into WinBUGS as a matrix which contained each period of observation for the patients within the trial as a separate row of data. The matrix included patient characteristics that were used as covariate adjustments in the regression models as well as data indicating when an event occurred and the time of the event. </w:t>
      </w:r>
    </w:p>
    <w:p w:rsidR="00B97965" w:rsidRDefault="00BE457B" w:rsidP="00BE457B">
      <w:r>
        <w:t>INITIAL VALUES</w:t>
      </w:r>
    </w:p>
    <w:p w:rsidR="00B97965" w:rsidRPr="004A2025" w:rsidRDefault="00B97965" w:rsidP="00B97965">
      <w:r>
        <w:t xml:space="preserve">The mean estimates from the prior distributions were used for the initial values for the posterior parameters. To test burn in a second list of initial values were used in which all parameters were set to zero. </w:t>
      </w:r>
    </w:p>
    <w:p w:rsidR="00B97965" w:rsidRDefault="00BE457B" w:rsidP="00BE457B">
      <w:r>
        <w:t xml:space="preserve">BURN-IN </w:t>
      </w:r>
    </w:p>
    <w:p w:rsidR="00B97965" w:rsidRDefault="00B97965" w:rsidP="00B97965">
      <w:r>
        <w:t xml:space="preserve">The initial iterations of the MCMC were discarded in order that remaining samples are drawn from the posterior distribution. The size of burn in for the MCMC was evaluated using the Gelman-Rubin Statistic </w:t>
      </w:r>
      <w:r w:rsidR="00E729BA">
        <w:fldChar w:fldCharType="begin"/>
      </w:r>
      <w:r w:rsidR="00FC61FD">
        <w:instrText xml:space="preserve"> ADDIN REFMGR.CITE &lt;Refman&gt;&lt;Cite&gt;&lt;Author&gt;Spiegelhalter&lt;/Author&gt;&lt;Year&gt;2001&lt;/Year&gt;&lt;RecNum&gt;1616&lt;/RecNum&gt;&lt;IDText&gt;WInBUGS User Manual: Version1.4. Cambridge, UK: MRC Biostatistics Unit&lt;/IDText&gt;&lt;MDL Ref_Type="Computer Program"&gt;&lt;Ref_Type&gt;Computer Program&lt;/Ref_Type&gt;&lt;Ref_ID&gt;1616&lt;/Ref_ID&gt;&lt;Title_Primary&gt;WInBUGS User Manual: Version1.4. Cambridge, UK: MRC Biostatistics Unit&lt;/Title_Primary&gt;&lt;Authors_Primary&gt;Spiegelhalter,DJ&lt;/Authors_Primary&gt;&lt;Authors_Primary&gt;Thomas,A.&lt;/Authors_Primary&gt;&lt;Authors_Primary&gt;Best,N.&lt;/Authors_Primary&gt;&lt;Authors_Primary&gt;Lunn,D&lt;/Authors_Primary&gt;&lt;Date_Primary&gt;2001&lt;/Date_Primary&gt;&lt;Reprint&gt;In File&lt;/Reprint&gt;&lt;ZZ_WorkformID&gt;11&lt;/ZZ_WorkformID&gt;&lt;/MDL&gt;&lt;/Cite&gt;&lt;/Refman&gt;</w:instrText>
      </w:r>
      <w:r w:rsidR="00E729BA">
        <w:fldChar w:fldCharType="separate"/>
      </w:r>
      <w:r w:rsidR="004D7951">
        <w:t>(14)</w:t>
      </w:r>
      <w:r w:rsidR="00E729BA">
        <w:fldChar w:fldCharType="end"/>
      </w:r>
      <w:r>
        <w:t>. Winbugs automatically generates graphical representation of the statistic if multiple chains starting at over-dispersed initial values are specified. The MCMC process is said to be converged when the ratio of within- and between-chain variability, R, is stable at 1. The graph also illustrates the within and between chain variability, and these should be stable at the point of convergence.</w:t>
      </w:r>
    </w:p>
    <w:p w:rsidR="00B97965" w:rsidRDefault="00B97965" w:rsidP="00B97965">
      <w:r>
        <w:t>The two sets of initial values described above were used for this assessment. Using the model, simulated data, and initial values described above 30,000 iterations were conducted to evaluate convergence. Example graphics to represent convergence using two parameters from the analysis are reported below. The risk model analysis included a total of 77 parameters and it is not necessary to present them all here. The Baseline hazard and shape parameter of the mortality model are given below as illustrations. In both graphs the upper line in the graph represents the ratio R, and the lower lines depict the within and between variability.</w:t>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43</w:t>
      </w:r>
      <w:r w:rsidR="00E729BA">
        <w:fldChar w:fldCharType="end"/>
      </w:r>
      <w:r>
        <w:t>: The Gelman Rubin statistic of 30,000 burn-in for Mortality Baseline Hazard</w:t>
      </w:r>
    </w:p>
    <w:p w:rsidR="00B97965" w:rsidRDefault="00B97965" w:rsidP="00B97965">
      <w:r w:rsidRPr="002C47FA">
        <w:rPr>
          <w:noProof/>
          <w:lang w:eastAsia="zh-CN" w:bidi="ar-SA"/>
        </w:rPr>
        <w:drawing>
          <wp:inline distT="0" distB="0" distL="0" distR="0">
            <wp:extent cx="2522220" cy="1261110"/>
            <wp:effectExtent l="19050" t="0" r="0" b="0"/>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srcRect/>
                    <a:stretch>
                      <a:fillRect/>
                    </a:stretch>
                  </pic:blipFill>
                  <pic:spPr bwMode="auto">
                    <a:xfrm>
                      <a:off x="0" y="0"/>
                      <a:ext cx="2522220" cy="1261110"/>
                    </a:xfrm>
                    <a:prstGeom prst="rect">
                      <a:avLst/>
                    </a:prstGeom>
                    <a:noFill/>
                    <a:ln w="9525">
                      <a:noFill/>
                      <a:miter lim="800000"/>
                      <a:headEnd/>
                      <a:tailEnd/>
                    </a:ln>
                  </pic:spPr>
                </pic:pic>
              </a:graphicData>
            </a:graphic>
          </wp:inline>
        </w:drawing>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44</w:t>
      </w:r>
      <w:r w:rsidR="00E729BA">
        <w:fldChar w:fldCharType="end"/>
      </w:r>
      <w:r>
        <w:t xml:space="preserve">: The Gelman Rubin statistic of 30,000 burn-in for Mortality Shape parameter </w:t>
      </w:r>
    </w:p>
    <w:p w:rsidR="00B97965" w:rsidRDefault="00B97965" w:rsidP="00B97965">
      <w:r w:rsidRPr="002C47FA">
        <w:rPr>
          <w:noProof/>
          <w:lang w:eastAsia="zh-CN" w:bidi="ar-SA"/>
        </w:rPr>
        <w:drawing>
          <wp:inline distT="0" distB="0" distL="0" distR="0">
            <wp:extent cx="2522220" cy="1261110"/>
            <wp:effectExtent l="1905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2522220" cy="1261110"/>
                    </a:xfrm>
                    <a:prstGeom prst="rect">
                      <a:avLst/>
                    </a:prstGeom>
                    <a:noFill/>
                    <a:ln w="9525">
                      <a:noFill/>
                      <a:miter lim="800000"/>
                      <a:headEnd/>
                      <a:tailEnd/>
                    </a:ln>
                  </pic:spPr>
                </pic:pic>
              </a:graphicData>
            </a:graphic>
          </wp:inline>
        </w:drawing>
      </w:r>
    </w:p>
    <w:p w:rsidR="00B97965" w:rsidRPr="004A2025" w:rsidRDefault="00B97965" w:rsidP="00B97965">
      <w:r>
        <w:t>The graphs illustrate that the upper line is reasonably stable at 1 after 6,000 iterations and there is less instability in the lower lines of the graph. However, the lines continue to make small fluctuations beyond 6000 iterations. A similar pattern of convergence was observed for all of the risk models assessed. A burn-in of 15,000 iterations was used in the final analysis.</w:t>
      </w:r>
    </w:p>
    <w:p w:rsidR="00B97965" w:rsidRDefault="00BE457B" w:rsidP="00BE457B">
      <w:r>
        <w:t>EVALUATION OF AUTOCORRELATION</w:t>
      </w:r>
    </w:p>
    <w:p w:rsidR="00B97965" w:rsidRDefault="00B97965" w:rsidP="00234693">
      <w:r>
        <w:t xml:space="preserve">Using the prior point estimates for the initial values and 15,000 iterations for the burn-in it was possible to assess autocorrelation in the results. Autocorrelation was assessed by reviewing the graphical plots provided by WinBUGs. High autocorrelation was identified in many of the parameters indicated by the shallow decline in the bars of the plots. A graphical illustration of the mortality baseline hazard parameter and shape parameter are given below. The summary data for the mortality parameters are reported in </w:t>
      </w:r>
      <w:r w:rsidR="00E729BA">
        <w:fldChar w:fldCharType="begin"/>
      </w:r>
      <w:r>
        <w:instrText xml:space="preserve"> REF _Ref342831120 \h </w:instrText>
      </w:r>
      <w:r w:rsidR="00E729BA">
        <w:fldChar w:fldCharType="separate"/>
      </w:r>
      <w:r w:rsidR="004911B7">
        <w:t xml:space="preserve">Table </w:t>
      </w:r>
      <w:r w:rsidR="004911B7">
        <w:rPr>
          <w:noProof/>
        </w:rPr>
        <w:t>132</w:t>
      </w:r>
      <w:r w:rsidR="00E729BA">
        <w:fldChar w:fldCharType="end"/>
      </w:r>
      <w:r>
        <w:t>.</w:t>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45</w:t>
      </w:r>
      <w:r w:rsidR="00E729BA">
        <w:fldChar w:fldCharType="end"/>
      </w:r>
      <w:r>
        <w:t>:</w:t>
      </w:r>
      <w:r w:rsidRPr="00655AFB">
        <w:t xml:space="preserve"> </w:t>
      </w:r>
      <w:r>
        <w:t>The autocorrelation plot for Mortality Baseline hazard</w:t>
      </w:r>
    </w:p>
    <w:p w:rsidR="00B97965" w:rsidRDefault="00B97965" w:rsidP="00B97965">
      <w:r w:rsidRPr="00655AFB">
        <w:rPr>
          <w:noProof/>
          <w:lang w:eastAsia="zh-CN" w:bidi="ar-SA"/>
        </w:rPr>
        <w:drawing>
          <wp:inline distT="0" distB="0" distL="0" distR="0">
            <wp:extent cx="2522220" cy="1261110"/>
            <wp:effectExtent l="19050" t="0" r="0" b="0"/>
            <wp:docPr id="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2522220" cy="1261110"/>
                    </a:xfrm>
                    <a:prstGeom prst="rect">
                      <a:avLst/>
                    </a:prstGeom>
                    <a:noFill/>
                    <a:ln w="9525">
                      <a:noFill/>
                      <a:miter lim="800000"/>
                      <a:headEnd/>
                      <a:tailEnd/>
                    </a:ln>
                  </pic:spPr>
                </pic:pic>
              </a:graphicData>
            </a:graphic>
          </wp:inline>
        </w:drawing>
      </w:r>
    </w:p>
    <w:p w:rsidR="00B97965" w:rsidRDefault="00B97965" w:rsidP="00234693">
      <w:pPr>
        <w:pStyle w:val="Caption"/>
      </w:pPr>
      <w:r>
        <w:t xml:space="preserve">Figure </w:t>
      </w:r>
      <w:r w:rsidR="00E729BA">
        <w:fldChar w:fldCharType="begin"/>
      </w:r>
      <w:r w:rsidR="000B0EDB">
        <w:instrText xml:space="preserve"> SEQ Figure \* ARABIC </w:instrText>
      </w:r>
      <w:r w:rsidR="00E729BA">
        <w:fldChar w:fldCharType="separate"/>
      </w:r>
      <w:r w:rsidR="004911B7">
        <w:rPr>
          <w:noProof/>
        </w:rPr>
        <w:t>46</w:t>
      </w:r>
      <w:r w:rsidR="00E729BA">
        <w:fldChar w:fldCharType="end"/>
      </w:r>
      <w:r>
        <w:t>: The autocorrelation plot for Mortality Shape parameter</w:t>
      </w:r>
    </w:p>
    <w:p w:rsidR="00B97965" w:rsidRDefault="00B97965" w:rsidP="00B97965">
      <w:r>
        <w:object w:dxaOrig="3969" w:dyaOrig="1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8pt;height:99pt" o:ole="">
            <v:imagedata r:id="rId90" o:title=""/>
          </v:shape>
          <o:OLEObject Type="Embed" ProgID="Unknown" ShapeID="_x0000_i1034" DrawAspect="Content" ObjectID="_1453211565" r:id="rId91"/>
        </w:object>
      </w:r>
    </w:p>
    <w:p w:rsidR="00B97965" w:rsidRDefault="00B97965" w:rsidP="00234693">
      <w:pPr>
        <w:pStyle w:val="Caption"/>
      </w:pPr>
      <w:bookmarkStart w:id="732" w:name="_Ref342831120"/>
      <w:r>
        <w:t xml:space="preserve">Table </w:t>
      </w:r>
      <w:fldSimple w:instr=" SEQ Table \* ARABIC ">
        <w:r w:rsidR="004911B7">
          <w:rPr>
            <w:noProof/>
          </w:rPr>
          <w:t>132</w:t>
        </w:r>
      </w:fldSimple>
      <w:bookmarkEnd w:id="732"/>
      <w:r>
        <w:t>: Mortality model posterior density estimates without thinning</w:t>
      </w:r>
    </w:p>
    <w:tbl>
      <w:tblPr>
        <w:tblStyle w:val="TableGrid"/>
        <w:tblW w:w="92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668"/>
        <w:gridCol w:w="1015"/>
        <w:gridCol w:w="1016"/>
        <w:gridCol w:w="1016"/>
        <w:gridCol w:w="1016"/>
        <w:gridCol w:w="1016"/>
        <w:gridCol w:w="1016"/>
        <w:gridCol w:w="709"/>
        <w:gridCol w:w="770"/>
      </w:tblGrid>
      <w:tr w:rsidR="00B97965" w:rsidRPr="00392FB5" w:rsidTr="00B97965">
        <w:tc>
          <w:tcPr>
            <w:tcW w:w="1668"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Node</w:t>
            </w:r>
            <w:r w:rsidRPr="00703A9F">
              <w:rPr>
                <w:rFonts w:eastAsiaTheme="minorEastAsia" w:cstheme="majorBidi"/>
                <w:b/>
                <w:bCs/>
                <w:sz w:val="18"/>
                <w:szCs w:val="18"/>
              </w:rPr>
              <w:tab/>
            </w:r>
          </w:p>
        </w:tc>
        <w:tc>
          <w:tcPr>
            <w:tcW w:w="1015"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Mean</w:t>
            </w:r>
            <w:r w:rsidRPr="00703A9F">
              <w:rPr>
                <w:rFonts w:eastAsiaTheme="minorEastAsia" w:cstheme="majorBidi"/>
                <w:b/>
                <w:bCs/>
                <w:sz w:val="18"/>
                <w:szCs w:val="18"/>
              </w:rPr>
              <w:tab/>
              <w:t xml:space="preserve"> </w:t>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SD</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MC error</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2.5%</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Median</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97.5%</w:t>
            </w:r>
            <w:r w:rsidRPr="00703A9F">
              <w:rPr>
                <w:rFonts w:eastAsiaTheme="minorEastAsia" w:cstheme="majorBidi"/>
                <w:b/>
                <w:bCs/>
                <w:sz w:val="18"/>
                <w:szCs w:val="18"/>
              </w:rPr>
              <w:tab/>
            </w:r>
          </w:p>
        </w:tc>
        <w:tc>
          <w:tcPr>
            <w:tcW w:w="709"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Start</w:t>
            </w:r>
          </w:p>
        </w:tc>
        <w:tc>
          <w:tcPr>
            <w:tcW w:w="770"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Sample</w:t>
            </w:r>
          </w:p>
        </w:tc>
      </w:tr>
      <w:tr w:rsidR="00B97965" w:rsidRPr="00392FB5" w:rsidTr="00B97965">
        <w:tc>
          <w:tcPr>
            <w:tcW w:w="1668" w:type="dxa"/>
            <w:tcBorders>
              <w:top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 xml:space="preserve">African American </w:t>
            </w:r>
          </w:p>
        </w:tc>
        <w:tc>
          <w:tcPr>
            <w:tcW w:w="1015"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0.7928</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0.2429</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0.0105</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0.3186</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0.7859</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1.281</w:t>
            </w:r>
          </w:p>
        </w:tc>
        <w:tc>
          <w:tcPr>
            <w:tcW w:w="709"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Age at Diagnosis</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0.0302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0.0091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0.0007</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0.0124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0.0301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0.0469</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Cholesterol</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0.0042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0.0015</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0.0001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0.0014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0.0043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0.0071</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AMS</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0.2907</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0.0508</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0.0033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0.1939</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0.2913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0.3916</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Cardio damage</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0.471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0.1594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0.0051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0.1507</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0.475</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0.7802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Renal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0.6729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0.2291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0.0071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0.2194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cstheme="majorBidi"/>
                <w:sz w:val="18"/>
                <w:szCs w:val="18"/>
              </w:rPr>
              <w:t>0.6767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1.124</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MSK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0.245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0.1334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0.0043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-0.0143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0.2434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0.5117</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P. Vascular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0.7538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0.2343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0.0059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0.2921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0.7577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1.209</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GI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0.5796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0.2221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0.0064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0.1453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0.5819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1.014</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Malignancy</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1.077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0.259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0.0074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0.5592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1.589</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Infection</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0.8932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0.3485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0.0083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0.2213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0.8833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1.608</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Intercept</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-9.999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0.733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0.0652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-11.46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-10.06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-8.62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Gamma</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0.4493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0.0773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0.0056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0.2976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0.4514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0.5952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Treatment</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-0.9588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1.095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0.0308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-3.257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-0.8971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0.9143</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10000</w:t>
            </w:r>
          </w:p>
        </w:tc>
      </w:tr>
    </w:tbl>
    <w:p w:rsidR="00B97965" w:rsidRDefault="00B97965" w:rsidP="00B97965"/>
    <w:p w:rsidR="00B97965" w:rsidRDefault="00B97965" w:rsidP="00B97965">
      <w:r>
        <w:t>WinBUGs includes an option to thin the sample such that every k</w:t>
      </w:r>
      <w:r w:rsidRPr="00D223E0">
        <w:rPr>
          <w:vertAlign w:val="superscript"/>
        </w:rPr>
        <w:t>th</w:t>
      </w:r>
      <w:r>
        <w:t xml:space="preserve"> iteration will be stored in the sampled output. Thinning the data would not have removed autocorrelation from the analysis but should have reduced the risk that the sampled data are not representative of the posterior density. This is particularly important when only a small sample of parameter iterations will be implemented in the CE model. The sample of parameter estimates must be representative of the posterior distribution. The final analysis would have required a minimum of 3000 iterations from the posterior density to use in the PSA. Therefore, 3000 parameter iterations were generated and due to the high level of autocorrelation in some parameters, k was set to 100. The autocorrelation plots are reported in </w:t>
      </w:r>
      <w:r w:rsidR="00E729BA">
        <w:fldChar w:fldCharType="begin"/>
      </w:r>
      <w:r>
        <w:instrText xml:space="preserve"> REF _Ref335920725 \h </w:instrText>
      </w:r>
      <w:r w:rsidR="00E729BA">
        <w:fldChar w:fldCharType="separate"/>
      </w:r>
      <w:r w:rsidR="004911B7">
        <w:t xml:space="preserve">Figure </w:t>
      </w:r>
      <w:r w:rsidR="004911B7">
        <w:rPr>
          <w:noProof/>
        </w:rPr>
        <w:t>47</w:t>
      </w:r>
      <w:r w:rsidR="00E729BA">
        <w:fldChar w:fldCharType="end"/>
      </w:r>
      <w:r>
        <w:t xml:space="preserve"> and </w:t>
      </w:r>
      <w:r w:rsidR="00E729BA">
        <w:fldChar w:fldCharType="begin"/>
      </w:r>
      <w:r>
        <w:instrText xml:space="preserve"> REF _Ref335920728 \h </w:instrText>
      </w:r>
      <w:r w:rsidR="00E729BA">
        <w:fldChar w:fldCharType="separate"/>
      </w:r>
      <w:r w:rsidR="004911B7">
        <w:t xml:space="preserve">Figure </w:t>
      </w:r>
      <w:r w:rsidR="004911B7">
        <w:rPr>
          <w:noProof/>
        </w:rPr>
        <w:t>48</w:t>
      </w:r>
      <w:r w:rsidR="00E729BA">
        <w:fldChar w:fldCharType="end"/>
      </w:r>
      <w:r>
        <w:t>.</w:t>
      </w:r>
    </w:p>
    <w:p w:rsidR="00B97965" w:rsidRDefault="00B97965" w:rsidP="00234693">
      <w:pPr>
        <w:pStyle w:val="Caption"/>
      </w:pPr>
      <w:bookmarkStart w:id="733" w:name="_Ref335920725"/>
      <w:r>
        <w:t xml:space="preserve">Figure </w:t>
      </w:r>
      <w:r w:rsidR="00E729BA">
        <w:fldChar w:fldCharType="begin"/>
      </w:r>
      <w:r w:rsidR="000B0EDB">
        <w:instrText xml:space="preserve"> SEQ Figure \* ARABIC </w:instrText>
      </w:r>
      <w:r w:rsidR="00E729BA">
        <w:fldChar w:fldCharType="separate"/>
      </w:r>
      <w:r w:rsidR="004911B7">
        <w:rPr>
          <w:noProof/>
        </w:rPr>
        <w:t>47</w:t>
      </w:r>
      <w:r w:rsidR="00E729BA">
        <w:fldChar w:fldCharType="end"/>
      </w:r>
      <w:bookmarkEnd w:id="733"/>
      <w:r>
        <w:t>:</w:t>
      </w:r>
      <w:r w:rsidRPr="00FC4D33">
        <w:t xml:space="preserve"> </w:t>
      </w:r>
      <w:r>
        <w:t>Final autocorrelation plot for Mortality Baseline hazard</w:t>
      </w:r>
    </w:p>
    <w:p w:rsidR="00B97965" w:rsidRDefault="00B97965" w:rsidP="00B97965">
      <w:r w:rsidRPr="00FC4D33">
        <w:rPr>
          <w:noProof/>
          <w:lang w:eastAsia="zh-CN" w:bidi="ar-SA"/>
        </w:rPr>
        <w:drawing>
          <wp:inline distT="0" distB="0" distL="0" distR="0">
            <wp:extent cx="2522220" cy="1261110"/>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srcRect/>
                    <a:stretch>
                      <a:fillRect/>
                    </a:stretch>
                  </pic:blipFill>
                  <pic:spPr bwMode="auto">
                    <a:xfrm>
                      <a:off x="0" y="0"/>
                      <a:ext cx="2522220" cy="1261110"/>
                    </a:xfrm>
                    <a:prstGeom prst="rect">
                      <a:avLst/>
                    </a:prstGeom>
                    <a:noFill/>
                    <a:ln w="9525">
                      <a:noFill/>
                      <a:miter lim="800000"/>
                      <a:headEnd/>
                      <a:tailEnd/>
                    </a:ln>
                  </pic:spPr>
                </pic:pic>
              </a:graphicData>
            </a:graphic>
          </wp:inline>
        </w:drawing>
      </w:r>
    </w:p>
    <w:p w:rsidR="00B97965" w:rsidRDefault="00B97965" w:rsidP="00234693">
      <w:pPr>
        <w:pStyle w:val="Caption"/>
      </w:pPr>
      <w:bookmarkStart w:id="734" w:name="_Ref335920728"/>
      <w:r>
        <w:t xml:space="preserve">Figure </w:t>
      </w:r>
      <w:r w:rsidR="00E729BA">
        <w:fldChar w:fldCharType="begin"/>
      </w:r>
      <w:r w:rsidR="000B0EDB">
        <w:instrText xml:space="preserve"> SEQ Figure \* ARABIC </w:instrText>
      </w:r>
      <w:r w:rsidR="00E729BA">
        <w:fldChar w:fldCharType="separate"/>
      </w:r>
      <w:r w:rsidR="004911B7">
        <w:rPr>
          <w:noProof/>
        </w:rPr>
        <w:t>48</w:t>
      </w:r>
      <w:r w:rsidR="00E729BA">
        <w:fldChar w:fldCharType="end"/>
      </w:r>
      <w:bookmarkEnd w:id="734"/>
      <w:r>
        <w:t>:</w:t>
      </w:r>
      <w:r w:rsidRPr="00FC4D33">
        <w:t xml:space="preserve"> </w:t>
      </w:r>
      <w:r>
        <w:t>The autocorrelation plot for Mortality Shape parameter</w:t>
      </w:r>
    </w:p>
    <w:p w:rsidR="00B97965" w:rsidRDefault="00B97965" w:rsidP="00B97965">
      <w:r w:rsidRPr="00FC4D33">
        <w:rPr>
          <w:noProof/>
          <w:lang w:eastAsia="zh-CN" w:bidi="ar-SA"/>
        </w:rPr>
        <w:drawing>
          <wp:inline distT="0" distB="0" distL="0" distR="0">
            <wp:extent cx="2524125" cy="1257300"/>
            <wp:effectExtent l="19050" t="0" r="9525"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srcRect/>
                    <a:stretch>
                      <a:fillRect/>
                    </a:stretch>
                  </pic:blipFill>
                  <pic:spPr bwMode="auto">
                    <a:xfrm>
                      <a:off x="0" y="0"/>
                      <a:ext cx="2524125" cy="1257300"/>
                    </a:xfrm>
                    <a:prstGeom prst="rect">
                      <a:avLst/>
                    </a:prstGeom>
                    <a:noFill/>
                    <a:ln w="9525">
                      <a:noFill/>
                      <a:miter lim="800000"/>
                      <a:headEnd/>
                      <a:tailEnd/>
                    </a:ln>
                  </pic:spPr>
                </pic:pic>
              </a:graphicData>
            </a:graphic>
          </wp:inline>
        </w:drawing>
      </w:r>
    </w:p>
    <w:p w:rsidR="00B97965" w:rsidRDefault="00B97965" w:rsidP="00B97965">
      <w:r>
        <w:t xml:space="preserve">The thinning technique substantially reduced the problem of autocorrelation in the sampled values of the parameters. </w:t>
      </w:r>
    </w:p>
    <w:p w:rsidR="00B97965" w:rsidRDefault="00B97965" w:rsidP="00234693">
      <w:pPr>
        <w:pStyle w:val="Caption"/>
      </w:pPr>
      <w:r>
        <w:t xml:space="preserve">Table </w:t>
      </w:r>
      <w:fldSimple w:instr=" SEQ Table \* ARABIC ">
        <w:r w:rsidR="004911B7">
          <w:rPr>
            <w:noProof/>
          </w:rPr>
          <w:t>133</w:t>
        </w:r>
      </w:fldSimple>
      <w:r>
        <w:t>: Mortality model posterior density estimates with thinning</w:t>
      </w:r>
    </w:p>
    <w:tbl>
      <w:tblPr>
        <w:tblStyle w:val="TableGrid"/>
        <w:tblW w:w="9242"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CellMar>
          <w:left w:w="57" w:type="dxa"/>
          <w:right w:w="57" w:type="dxa"/>
        </w:tblCellMar>
        <w:tblLook w:val="04A0"/>
      </w:tblPr>
      <w:tblGrid>
        <w:gridCol w:w="1668"/>
        <w:gridCol w:w="1015"/>
        <w:gridCol w:w="1016"/>
        <w:gridCol w:w="1016"/>
        <w:gridCol w:w="1016"/>
        <w:gridCol w:w="1016"/>
        <w:gridCol w:w="1016"/>
        <w:gridCol w:w="709"/>
        <w:gridCol w:w="770"/>
      </w:tblGrid>
      <w:tr w:rsidR="00B97965" w:rsidRPr="00392FB5" w:rsidTr="00B97965">
        <w:tc>
          <w:tcPr>
            <w:tcW w:w="1668"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Node</w:t>
            </w:r>
            <w:r w:rsidRPr="00703A9F">
              <w:rPr>
                <w:rFonts w:eastAsiaTheme="minorEastAsia" w:cstheme="majorBidi"/>
                <w:b/>
                <w:bCs/>
                <w:sz w:val="18"/>
                <w:szCs w:val="18"/>
              </w:rPr>
              <w:tab/>
            </w:r>
          </w:p>
        </w:tc>
        <w:tc>
          <w:tcPr>
            <w:tcW w:w="1015"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Mean</w:t>
            </w:r>
            <w:r w:rsidRPr="00703A9F">
              <w:rPr>
                <w:rFonts w:eastAsiaTheme="minorEastAsia" w:cstheme="majorBidi"/>
                <w:b/>
                <w:bCs/>
                <w:sz w:val="18"/>
                <w:szCs w:val="18"/>
              </w:rPr>
              <w:tab/>
              <w:t xml:space="preserve"> </w:t>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SD</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MC error</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2.5%</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Median</w:t>
            </w:r>
            <w:r w:rsidRPr="00703A9F">
              <w:rPr>
                <w:rFonts w:eastAsiaTheme="minorEastAsia" w:cstheme="majorBidi"/>
                <w:b/>
                <w:bCs/>
                <w:sz w:val="18"/>
                <w:szCs w:val="18"/>
              </w:rPr>
              <w:tab/>
            </w:r>
          </w:p>
        </w:tc>
        <w:tc>
          <w:tcPr>
            <w:tcW w:w="1016"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97.5%</w:t>
            </w:r>
            <w:r w:rsidRPr="00703A9F">
              <w:rPr>
                <w:rFonts w:eastAsiaTheme="minorEastAsia" w:cstheme="majorBidi"/>
                <w:b/>
                <w:bCs/>
                <w:sz w:val="18"/>
                <w:szCs w:val="18"/>
              </w:rPr>
              <w:tab/>
            </w:r>
          </w:p>
        </w:tc>
        <w:tc>
          <w:tcPr>
            <w:tcW w:w="709"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Start</w:t>
            </w:r>
          </w:p>
        </w:tc>
        <w:tc>
          <w:tcPr>
            <w:tcW w:w="770" w:type="dxa"/>
            <w:tcBorders>
              <w:top w:val="single" w:sz="12" w:space="0" w:color="auto"/>
              <w:bottom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eastAsiaTheme="minorEastAsia" w:cstheme="majorBidi"/>
                <w:b/>
                <w:bCs/>
                <w:sz w:val="18"/>
                <w:szCs w:val="18"/>
              </w:rPr>
              <w:t>Sample</w:t>
            </w:r>
          </w:p>
        </w:tc>
      </w:tr>
      <w:tr w:rsidR="00B97965" w:rsidRPr="00392FB5" w:rsidTr="00B97965">
        <w:tc>
          <w:tcPr>
            <w:tcW w:w="1668" w:type="dxa"/>
            <w:tcBorders>
              <w:top w:val="single" w:sz="4" w:space="0" w:color="auto"/>
            </w:tcBorders>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 xml:space="preserve">African American </w:t>
            </w:r>
          </w:p>
        </w:tc>
        <w:tc>
          <w:tcPr>
            <w:tcW w:w="1015"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0.79</w:t>
            </w:r>
            <w:r>
              <w:rPr>
                <w:rFonts w:cstheme="majorBidi"/>
                <w:sz w:val="18"/>
                <w:szCs w:val="18"/>
              </w:rPr>
              <w:t>34</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0.2</w:t>
            </w:r>
            <w:r>
              <w:rPr>
                <w:rFonts w:cstheme="majorBidi"/>
                <w:sz w:val="18"/>
                <w:szCs w:val="18"/>
              </w:rPr>
              <w:t>539</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w:t>
            </w:r>
            <w:r>
              <w:rPr>
                <w:rFonts w:cstheme="majorBidi"/>
                <w:sz w:val="18"/>
                <w:szCs w:val="18"/>
              </w:rPr>
              <w:t>081</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Pr>
                <w:rFonts w:cstheme="majorBidi"/>
                <w:sz w:val="18"/>
                <w:szCs w:val="18"/>
              </w:rPr>
              <w:t>0.3063</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0.78</w:t>
            </w:r>
            <w:r>
              <w:rPr>
                <w:rFonts w:cstheme="majorBidi"/>
                <w:sz w:val="18"/>
                <w:szCs w:val="18"/>
              </w:rPr>
              <w:t>3</w:t>
            </w:r>
          </w:p>
        </w:tc>
        <w:tc>
          <w:tcPr>
            <w:tcW w:w="1016"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Pr>
                <w:rFonts w:cstheme="majorBidi"/>
                <w:sz w:val="18"/>
                <w:szCs w:val="18"/>
              </w:rPr>
              <w:t>1.304</w:t>
            </w:r>
          </w:p>
        </w:tc>
        <w:tc>
          <w:tcPr>
            <w:tcW w:w="709"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Borders>
              <w:top w:val="single" w:sz="4" w:space="0" w:color="auto"/>
            </w:tcBorders>
            <w:vAlign w:val="center"/>
          </w:tcPr>
          <w:p w:rsidR="00B97965" w:rsidRPr="00703A9F" w:rsidRDefault="00B97965" w:rsidP="00B97965">
            <w:pPr>
              <w:spacing w:line="240" w:lineRule="auto"/>
              <w:jc w:val="center"/>
              <w:rPr>
                <w:rFonts w:cstheme="majorBidi"/>
                <w:sz w:val="18"/>
                <w:szCs w:val="18"/>
              </w:rPr>
            </w:pPr>
            <w:r>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Age at Diagnosis</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0.03</w:t>
            </w:r>
            <w:r>
              <w:rPr>
                <w:rFonts w:cstheme="majorBidi"/>
                <w:sz w:val="18"/>
                <w:szCs w:val="18"/>
              </w:rPr>
              <w:t>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w:t>
            </w:r>
            <w:r>
              <w:rPr>
                <w:rFonts w:cstheme="majorBidi"/>
                <w:sz w:val="18"/>
                <w:szCs w:val="18"/>
              </w:rPr>
              <w:t>87</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0.000</w:t>
            </w:r>
            <w:r>
              <w:rPr>
                <w:rFonts w:cstheme="majorBidi"/>
                <w:sz w:val="18"/>
                <w:szCs w:val="18"/>
              </w:rPr>
              <w:t>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0.01</w:t>
            </w:r>
            <w:r>
              <w:rPr>
                <w:rFonts w:cstheme="majorBidi"/>
                <w:sz w:val="18"/>
                <w:szCs w:val="18"/>
              </w:rPr>
              <w:t>34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0.03</w:t>
            </w:r>
            <w:r>
              <w:rPr>
                <w:rFonts w:cstheme="majorBidi"/>
                <w:sz w:val="18"/>
                <w:szCs w:val="18"/>
              </w:rPr>
              <w:t>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0.04</w:t>
            </w:r>
            <w:r>
              <w:rPr>
                <w:rFonts w:cstheme="majorBidi"/>
                <w:sz w:val="18"/>
                <w:szCs w:val="18"/>
              </w:rPr>
              <w:t>87</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Cholesterol</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0.004</w:t>
            </w:r>
            <w:r>
              <w:rPr>
                <w:rFonts w:cstheme="majorBidi"/>
                <w:sz w:val="18"/>
                <w:szCs w:val="18"/>
              </w:rPr>
              <w:t>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0.001</w:t>
            </w:r>
            <w:r>
              <w:rPr>
                <w:rFonts w:cstheme="majorBidi"/>
                <w:sz w:val="18"/>
                <w:szCs w:val="18"/>
              </w:rPr>
              <w:t>5</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0.000</w:t>
            </w:r>
            <w:r>
              <w:rPr>
                <w:rFonts w:cstheme="majorBidi"/>
                <w:sz w:val="18"/>
                <w:szCs w:val="18"/>
              </w:rPr>
              <w:t>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0.0014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0.004</w:t>
            </w:r>
            <w:r>
              <w:rPr>
                <w:rFonts w:cstheme="majorBidi"/>
                <w:sz w:val="18"/>
                <w:szCs w:val="18"/>
              </w:rPr>
              <w:t>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0.007</w:t>
            </w:r>
            <w:r>
              <w:rPr>
                <w:rFonts w:cstheme="majorBidi"/>
                <w:sz w:val="18"/>
                <w:szCs w:val="18"/>
              </w:rPr>
              <w:t>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AMS</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w:t>
            </w:r>
            <w:r>
              <w:rPr>
                <w:rFonts w:cstheme="majorBidi"/>
                <w:sz w:val="18"/>
                <w:szCs w:val="18"/>
              </w:rPr>
              <w:t>302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w:t>
            </w:r>
            <w:r>
              <w:rPr>
                <w:rFonts w:cstheme="majorBidi"/>
                <w:sz w:val="18"/>
                <w:szCs w:val="18"/>
              </w:rPr>
              <w:t>487</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w:t>
            </w:r>
            <w:r>
              <w:rPr>
                <w:rFonts w:cstheme="majorBidi"/>
                <w:sz w:val="18"/>
                <w:szCs w:val="18"/>
              </w:rPr>
              <w:t>19</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w:t>
            </w:r>
            <w:r>
              <w:rPr>
                <w:rFonts w:cstheme="majorBidi"/>
                <w:sz w:val="18"/>
                <w:szCs w:val="18"/>
              </w:rPr>
              <w:t>2071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w:t>
            </w:r>
            <w:r>
              <w:rPr>
                <w:rFonts w:cstheme="majorBidi"/>
                <w:sz w:val="18"/>
                <w:szCs w:val="18"/>
              </w:rPr>
              <w:t>3045</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0.39</w:t>
            </w:r>
            <w:r>
              <w:rPr>
                <w:rFonts w:cstheme="majorBidi"/>
                <w:sz w:val="18"/>
                <w:szCs w:val="18"/>
              </w:rPr>
              <w:t>95</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cstheme="majorBidi"/>
                <w:sz w:val="18"/>
                <w:szCs w:val="18"/>
              </w:rPr>
            </w:pPr>
            <w:r w:rsidRPr="00703A9F">
              <w:rPr>
                <w:rFonts w:cstheme="majorBidi"/>
                <w:sz w:val="18"/>
                <w:szCs w:val="18"/>
              </w:rPr>
              <w:t>Cardio damage</w:t>
            </w:r>
          </w:p>
        </w:tc>
        <w:tc>
          <w:tcPr>
            <w:tcW w:w="1015"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0.47</w:t>
            </w:r>
            <w:r>
              <w:rPr>
                <w:rFonts w:cstheme="majorBidi"/>
                <w:sz w:val="18"/>
                <w:szCs w:val="18"/>
              </w:rPr>
              <w:t>03</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0.15</w:t>
            </w:r>
            <w:r>
              <w:rPr>
                <w:rFonts w:cstheme="majorBidi"/>
                <w:sz w:val="18"/>
                <w:szCs w:val="18"/>
              </w:rPr>
              <w:t>86</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0.0051</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0.1</w:t>
            </w:r>
            <w:r>
              <w:rPr>
                <w:rFonts w:cstheme="majorBidi"/>
                <w:sz w:val="18"/>
                <w:szCs w:val="18"/>
              </w:rPr>
              <w:t>472</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0.4</w:t>
            </w:r>
            <w:r>
              <w:rPr>
                <w:rFonts w:cstheme="majorBidi"/>
                <w:sz w:val="18"/>
                <w:szCs w:val="18"/>
              </w:rPr>
              <w:t>754</w:t>
            </w:r>
          </w:p>
        </w:tc>
        <w:tc>
          <w:tcPr>
            <w:tcW w:w="1016" w:type="dxa"/>
            <w:vAlign w:val="center"/>
          </w:tcPr>
          <w:p w:rsidR="00B97965" w:rsidRPr="00703A9F" w:rsidRDefault="00B97965" w:rsidP="00B97965">
            <w:pPr>
              <w:spacing w:line="240" w:lineRule="auto"/>
              <w:jc w:val="center"/>
              <w:rPr>
                <w:rFonts w:cstheme="majorBidi"/>
                <w:sz w:val="18"/>
                <w:szCs w:val="18"/>
              </w:rPr>
            </w:pPr>
            <w:r w:rsidRPr="00703A9F">
              <w:rPr>
                <w:rFonts w:cstheme="majorBidi"/>
                <w:sz w:val="18"/>
                <w:szCs w:val="18"/>
              </w:rPr>
              <w:t>0.7</w:t>
            </w:r>
            <w:r>
              <w:rPr>
                <w:rFonts w:cstheme="majorBidi"/>
                <w:sz w:val="18"/>
                <w:szCs w:val="18"/>
              </w:rPr>
              <w:t>738</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Renal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0.67</w:t>
            </w:r>
            <w:r>
              <w:rPr>
                <w:rFonts w:eastAsiaTheme="minorEastAsia" w:cstheme="majorBidi"/>
                <w:sz w:val="18"/>
                <w:szCs w:val="18"/>
              </w:rPr>
              <w:t>01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0.22</w:t>
            </w:r>
            <w:r>
              <w:rPr>
                <w:rFonts w:eastAsiaTheme="minorEastAsia" w:cstheme="majorBidi"/>
                <w:sz w:val="18"/>
                <w:szCs w:val="18"/>
              </w:rPr>
              <w:t>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Pr>
                <w:rFonts w:eastAsiaTheme="minorEastAsia" w:cstheme="majorBidi"/>
                <w:sz w:val="18"/>
                <w:szCs w:val="18"/>
              </w:rPr>
              <w:t>0.0051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w:t>
            </w:r>
            <w:r>
              <w:rPr>
                <w:rFonts w:eastAsiaTheme="minorEastAsia" w:cstheme="majorBidi"/>
                <w:sz w:val="18"/>
                <w:szCs w:val="18"/>
              </w:rPr>
              <w:t>227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cstheme="majorBidi"/>
                <w:sz w:val="18"/>
                <w:szCs w:val="18"/>
              </w:rPr>
              <w:t>0.67</w:t>
            </w:r>
            <w:r>
              <w:rPr>
                <w:rFonts w:cstheme="majorBidi"/>
                <w:sz w:val="18"/>
                <w:szCs w:val="18"/>
              </w:rPr>
              <w:t>93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1.12</w:t>
            </w:r>
            <w:r>
              <w:rPr>
                <w:rFonts w:eastAsiaTheme="minorEastAsia" w:cstheme="majorBidi"/>
                <w:sz w:val="18"/>
                <w:szCs w:val="18"/>
              </w:rPr>
              <w:t>3</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MSK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0.24</w:t>
            </w:r>
            <w:r>
              <w:rPr>
                <w:rFonts w:eastAsiaTheme="minorEastAsia" w:cstheme="majorBidi"/>
                <w:sz w:val="18"/>
                <w:szCs w:val="18"/>
              </w:rPr>
              <w:t>35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0.13</w:t>
            </w:r>
            <w:r>
              <w:rPr>
                <w:rFonts w:eastAsiaTheme="minorEastAsia" w:cstheme="majorBidi"/>
                <w:sz w:val="18"/>
                <w:szCs w:val="18"/>
              </w:rPr>
              <w:t>51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0.004</w:t>
            </w:r>
            <w:r>
              <w:rPr>
                <w:rFonts w:eastAsiaTheme="minorEastAsia" w:cstheme="majorBidi"/>
                <w:sz w:val="18"/>
                <w:szCs w:val="18"/>
              </w:rPr>
              <w:t>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w:t>
            </w:r>
            <w:r>
              <w:rPr>
                <w:rFonts w:eastAsiaTheme="minorEastAsia" w:cstheme="majorBidi"/>
                <w:sz w:val="18"/>
                <w:szCs w:val="18"/>
              </w:rPr>
              <w:t>273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0.24</w:t>
            </w:r>
            <w:r>
              <w:rPr>
                <w:rFonts w:eastAsiaTheme="minorEastAsia" w:cstheme="majorBidi"/>
                <w:sz w:val="18"/>
                <w:szCs w:val="18"/>
              </w:rPr>
              <w:t>07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0.51</w:t>
            </w:r>
            <w:r>
              <w:rPr>
                <w:rFonts w:eastAsiaTheme="minorEastAsia" w:cstheme="majorBidi"/>
                <w:sz w:val="18"/>
                <w:szCs w:val="18"/>
              </w:rPr>
              <w:t>4</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P. Vascular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0.7</w:t>
            </w:r>
            <w:r>
              <w:rPr>
                <w:rFonts w:eastAsiaTheme="minorEastAsia" w:cstheme="majorBidi"/>
                <w:sz w:val="18"/>
                <w:szCs w:val="18"/>
              </w:rPr>
              <w:t>337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0.234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w:t>
            </w:r>
            <w:r>
              <w:rPr>
                <w:rFonts w:eastAsiaTheme="minorEastAsia" w:cstheme="majorBidi"/>
                <w:sz w:val="18"/>
                <w:szCs w:val="18"/>
              </w:rPr>
              <w:t>73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w:t>
            </w:r>
            <w:r>
              <w:rPr>
                <w:rFonts w:eastAsiaTheme="minorEastAsia" w:cstheme="majorBidi"/>
                <w:sz w:val="18"/>
                <w:szCs w:val="18"/>
              </w:rPr>
              <w:t>711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0.7</w:t>
            </w:r>
            <w:r>
              <w:rPr>
                <w:rFonts w:eastAsiaTheme="minorEastAsia" w:cstheme="majorBidi"/>
                <w:sz w:val="18"/>
                <w:szCs w:val="18"/>
              </w:rPr>
              <w:t>402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w:t>
            </w:r>
            <w:r>
              <w:rPr>
                <w:rFonts w:eastAsiaTheme="minorEastAsia" w:cstheme="majorBidi"/>
                <w:sz w:val="18"/>
                <w:szCs w:val="18"/>
              </w:rPr>
              <w:t>193</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GI damage</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0.5</w:t>
            </w:r>
            <w:r>
              <w:rPr>
                <w:rFonts w:eastAsiaTheme="minorEastAsia" w:cstheme="majorBidi"/>
                <w:sz w:val="18"/>
                <w:szCs w:val="18"/>
              </w:rPr>
              <w:t>671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0.222</w:t>
            </w:r>
            <w:r>
              <w:rPr>
                <w:rFonts w:eastAsiaTheme="minorEastAsia" w:cstheme="majorBidi"/>
                <w:sz w:val="18"/>
                <w:szCs w:val="18"/>
              </w:rPr>
              <w:t>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w:t>
            </w:r>
            <w:r>
              <w:rPr>
                <w:rFonts w:eastAsiaTheme="minorEastAsia" w:cstheme="majorBidi"/>
                <w:sz w:val="18"/>
                <w:szCs w:val="18"/>
              </w:rPr>
              <w:t>73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0.1</w:t>
            </w:r>
            <w:r>
              <w:rPr>
                <w:rFonts w:eastAsiaTheme="minorEastAsia" w:cstheme="majorBidi"/>
                <w:sz w:val="18"/>
                <w:szCs w:val="18"/>
              </w:rPr>
              <w:t>856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Pr>
                <w:rFonts w:eastAsiaTheme="minorEastAsia" w:cstheme="majorBidi"/>
                <w:sz w:val="18"/>
                <w:szCs w:val="18"/>
              </w:rPr>
              <w:t>0.5714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w:t>
            </w:r>
            <w:r>
              <w:rPr>
                <w:rFonts w:eastAsiaTheme="minorEastAsia" w:cstheme="majorBidi"/>
                <w:sz w:val="18"/>
                <w:szCs w:val="18"/>
              </w:rPr>
              <w:t>004</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Malignancy</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1.077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2717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w:t>
            </w:r>
            <w:r>
              <w:rPr>
                <w:rFonts w:eastAsiaTheme="minorEastAsia" w:cstheme="majorBidi"/>
                <w:sz w:val="18"/>
                <w:szCs w:val="18"/>
              </w:rPr>
              <w:t>92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5212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1.08</w:t>
            </w:r>
            <w:r>
              <w:rPr>
                <w:rFonts w:eastAsiaTheme="minorEastAsia" w:cstheme="majorBidi"/>
                <w:sz w:val="18"/>
                <w:szCs w:val="18"/>
              </w:rPr>
              <w:t>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w:t>
            </w:r>
            <w:r>
              <w:rPr>
                <w:rFonts w:eastAsiaTheme="minorEastAsia" w:cstheme="majorBidi"/>
                <w:sz w:val="18"/>
                <w:szCs w:val="18"/>
              </w:rPr>
              <w:t>611</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Infection</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0.893</w:t>
            </w:r>
            <w:r>
              <w:rPr>
                <w:rFonts w:eastAsiaTheme="minorEastAsia" w:cstheme="majorBidi"/>
                <w:sz w:val="18"/>
                <w:szCs w:val="18"/>
              </w:rPr>
              <w:t>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0.3</w:t>
            </w:r>
            <w:r>
              <w:rPr>
                <w:rFonts w:eastAsiaTheme="minorEastAsia" w:cstheme="majorBidi"/>
                <w:sz w:val="18"/>
                <w:szCs w:val="18"/>
              </w:rPr>
              <w:t>557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w:t>
            </w:r>
            <w:r>
              <w:rPr>
                <w:rFonts w:eastAsiaTheme="minorEastAsia" w:cstheme="majorBidi"/>
                <w:sz w:val="18"/>
                <w:szCs w:val="18"/>
              </w:rPr>
              <w:t>94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1856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8908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w:t>
            </w:r>
            <w:r>
              <w:rPr>
                <w:rFonts w:eastAsiaTheme="minorEastAsia" w:cstheme="majorBidi"/>
                <w:sz w:val="18"/>
                <w:szCs w:val="18"/>
              </w:rPr>
              <w:t>586</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Intercept</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w:t>
            </w:r>
            <w:r>
              <w:rPr>
                <w:rFonts w:eastAsiaTheme="minorEastAsia" w:cstheme="majorBidi"/>
                <w:sz w:val="18"/>
                <w:szCs w:val="18"/>
              </w:rPr>
              <w:t>10.18</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6795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w:t>
            </w:r>
            <w:r>
              <w:rPr>
                <w:rFonts w:eastAsiaTheme="minorEastAsia" w:cstheme="majorBidi"/>
                <w:sz w:val="18"/>
                <w:szCs w:val="18"/>
              </w:rPr>
              <w:t>324</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-11.</w:t>
            </w:r>
            <w:r>
              <w:rPr>
                <w:rFonts w:eastAsiaTheme="minorEastAsia" w:cstheme="majorBidi"/>
                <w:sz w:val="18"/>
                <w:szCs w:val="18"/>
              </w:rPr>
              <w:t>52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w:t>
            </w:r>
            <w:r>
              <w:rPr>
                <w:rFonts w:eastAsiaTheme="minorEastAsia" w:cstheme="majorBidi"/>
                <w:sz w:val="18"/>
                <w:szCs w:val="18"/>
              </w:rPr>
              <w:t>2</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-8.</w:t>
            </w:r>
            <w:r>
              <w:rPr>
                <w:rFonts w:eastAsiaTheme="minorEastAsia" w:cstheme="majorBidi"/>
                <w:sz w:val="18"/>
                <w:szCs w:val="18"/>
              </w:rPr>
              <w:t>818</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Gamma</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0.4</w:t>
            </w:r>
            <w:r>
              <w:rPr>
                <w:rFonts w:eastAsiaTheme="minorEastAsia" w:cstheme="majorBidi"/>
                <w:sz w:val="18"/>
                <w:szCs w:val="18"/>
              </w:rPr>
              <w:t>643</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0.07</w:t>
            </w:r>
            <w:r>
              <w:rPr>
                <w:rFonts w:eastAsiaTheme="minorEastAsia" w:cstheme="majorBidi"/>
                <w:sz w:val="18"/>
                <w:szCs w:val="18"/>
              </w:rPr>
              <w:t>59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0.00</w:t>
            </w:r>
            <w:r>
              <w:rPr>
                <w:rFonts w:eastAsiaTheme="minorEastAsia" w:cstheme="majorBidi"/>
                <w:sz w:val="18"/>
                <w:szCs w:val="18"/>
              </w:rPr>
              <w:t>35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3107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0.4</w:t>
            </w:r>
            <w:r>
              <w:rPr>
                <w:rFonts w:eastAsiaTheme="minorEastAsia" w:cstheme="majorBidi"/>
                <w:sz w:val="18"/>
                <w:szCs w:val="18"/>
              </w:rPr>
              <w:t>645</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6182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r w:rsidR="00B97965" w:rsidRPr="00392FB5" w:rsidTr="00B97965">
        <w:tc>
          <w:tcPr>
            <w:tcW w:w="1668" w:type="dxa"/>
            <w:vAlign w:val="center"/>
          </w:tcPr>
          <w:p w:rsidR="00B97965" w:rsidRPr="00703A9F" w:rsidRDefault="00B97965" w:rsidP="00B97965">
            <w:pPr>
              <w:spacing w:line="240" w:lineRule="auto"/>
              <w:rPr>
                <w:rFonts w:eastAsiaTheme="minorEastAsia" w:cstheme="majorBidi"/>
                <w:sz w:val="18"/>
                <w:szCs w:val="18"/>
              </w:rPr>
            </w:pPr>
            <w:r w:rsidRPr="00703A9F">
              <w:rPr>
                <w:rFonts w:eastAsiaTheme="minorEastAsia" w:cstheme="majorBidi"/>
                <w:sz w:val="18"/>
                <w:szCs w:val="18"/>
              </w:rPr>
              <w:t>Treatment</w:t>
            </w:r>
          </w:p>
        </w:tc>
        <w:tc>
          <w:tcPr>
            <w:tcW w:w="1015"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w:t>
            </w:r>
            <w:r>
              <w:rPr>
                <w:rFonts w:eastAsiaTheme="minorEastAsia" w:cstheme="majorBidi"/>
                <w:sz w:val="18"/>
                <w:szCs w:val="18"/>
              </w:rPr>
              <w:t>9391</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1.0</w:t>
            </w:r>
            <w:r>
              <w:rPr>
                <w:rFonts w:eastAsiaTheme="minorEastAsia" w:cstheme="majorBidi"/>
                <w:sz w:val="18"/>
                <w:szCs w:val="18"/>
              </w:rPr>
              <w:t>49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0.0</w:t>
            </w:r>
            <w:r>
              <w:rPr>
                <w:rFonts w:eastAsiaTheme="minorEastAsia" w:cstheme="majorBidi"/>
                <w:sz w:val="18"/>
                <w:szCs w:val="18"/>
              </w:rPr>
              <w:t>297</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-3.</w:t>
            </w:r>
            <w:r>
              <w:rPr>
                <w:rFonts w:eastAsiaTheme="minorEastAsia" w:cstheme="majorBidi"/>
                <w:sz w:val="18"/>
                <w:szCs w:val="18"/>
              </w:rPr>
              <w:t>196</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-0.8</w:t>
            </w:r>
            <w:r>
              <w:rPr>
                <w:rFonts w:eastAsiaTheme="minorEastAsia" w:cstheme="majorBidi"/>
                <w:sz w:val="18"/>
                <w:szCs w:val="18"/>
              </w:rPr>
              <w:t>539</w:t>
            </w:r>
          </w:p>
        </w:tc>
        <w:tc>
          <w:tcPr>
            <w:tcW w:w="1016" w:type="dxa"/>
            <w:vAlign w:val="center"/>
          </w:tcPr>
          <w:p w:rsidR="00B97965" w:rsidRPr="00703A9F" w:rsidRDefault="00B97965" w:rsidP="00B97965">
            <w:pPr>
              <w:spacing w:line="240" w:lineRule="auto"/>
              <w:jc w:val="center"/>
              <w:rPr>
                <w:rFonts w:eastAsiaTheme="minorEastAsia" w:cstheme="majorBidi"/>
                <w:sz w:val="18"/>
                <w:szCs w:val="18"/>
              </w:rPr>
            </w:pPr>
            <w:r w:rsidRPr="00703A9F">
              <w:rPr>
                <w:rFonts w:eastAsiaTheme="minorEastAsia" w:cstheme="majorBidi"/>
                <w:sz w:val="18"/>
                <w:szCs w:val="18"/>
              </w:rPr>
              <w:t>0.9</w:t>
            </w:r>
            <w:r>
              <w:rPr>
                <w:rFonts w:eastAsiaTheme="minorEastAsia" w:cstheme="majorBidi"/>
                <w:sz w:val="18"/>
                <w:szCs w:val="18"/>
              </w:rPr>
              <w:t>02</w:t>
            </w:r>
          </w:p>
        </w:tc>
        <w:tc>
          <w:tcPr>
            <w:tcW w:w="709" w:type="dxa"/>
          </w:tcPr>
          <w:p w:rsidR="00B97965" w:rsidRPr="00703A9F" w:rsidRDefault="00B97965" w:rsidP="00B97965">
            <w:pPr>
              <w:spacing w:line="240" w:lineRule="auto"/>
              <w:jc w:val="center"/>
              <w:rPr>
                <w:rFonts w:cstheme="majorBidi"/>
                <w:sz w:val="18"/>
                <w:szCs w:val="18"/>
              </w:rPr>
            </w:pPr>
            <w:r w:rsidRPr="00703A9F">
              <w:rPr>
                <w:rFonts w:cstheme="majorBidi"/>
                <w:sz w:val="18"/>
                <w:szCs w:val="18"/>
              </w:rPr>
              <w:t>15001</w:t>
            </w:r>
          </w:p>
        </w:tc>
        <w:tc>
          <w:tcPr>
            <w:tcW w:w="770" w:type="dxa"/>
          </w:tcPr>
          <w:p w:rsidR="00B97965" w:rsidRDefault="00B97965" w:rsidP="00B97965">
            <w:pPr>
              <w:spacing w:line="240" w:lineRule="auto"/>
              <w:jc w:val="right"/>
            </w:pPr>
            <w:r w:rsidRPr="00CD29B3">
              <w:rPr>
                <w:rFonts w:cstheme="majorBidi"/>
                <w:sz w:val="18"/>
                <w:szCs w:val="18"/>
              </w:rPr>
              <w:t>3000</w:t>
            </w:r>
          </w:p>
        </w:tc>
      </w:tr>
    </w:tbl>
    <w:p w:rsidR="00B97965" w:rsidRPr="00A343CC" w:rsidRDefault="00B97965" w:rsidP="00B97965"/>
    <w:p w:rsidR="00B97965" w:rsidRDefault="00B97965" w:rsidP="00B97965">
      <w:pPr>
        <w:spacing w:after="0" w:afterAutospacing="0" w:line="240" w:lineRule="auto"/>
        <w:rPr>
          <w:caps/>
          <w:spacing w:val="15"/>
          <w:szCs w:val="22"/>
        </w:rPr>
      </w:pPr>
      <w:r>
        <w:br w:type="page"/>
      </w:r>
    </w:p>
    <w:p w:rsidR="00B97965" w:rsidRPr="00BE457B" w:rsidRDefault="00B97965" w:rsidP="00BE457B">
      <w:pPr>
        <w:pStyle w:val="Heading1"/>
        <w:numPr>
          <w:ilvl w:val="0"/>
          <w:numId w:val="0"/>
        </w:numPr>
        <w:bidi/>
        <w:ind w:left="576" w:hanging="576"/>
        <w:jc w:val="right"/>
        <w:rPr>
          <w:rStyle w:val="Emphasis"/>
          <w:spacing w:val="15"/>
        </w:rPr>
      </w:pPr>
      <w:bookmarkStart w:id="735" w:name="_Toc379467724"/>
      <w:r>
        <w:t>Appendix</w:t>
      </w:r>
      <w:r w:rsidR="00396982">
        <w:t xml:space="preserve"> 20</w:t>
      </w:r>
      <w:r w:rsidR="00BE457B">
        <w:t xml:space="preserve">: </w:t>
      </w:r>
      <w:r w:rsidR="00234693" w:rsidRPr="00234693">
        <w:rPr>
          <w:rStyle w:val="Emphasis"/>
        </w:rPr>
        <w:t>TESTING MAXIMUM LIKELIHOOD WITH INDEPENDENT REGRESSION MODELS</w:t>
      </w:r>
      <w:bookmarkEnd w:id="735"/>
    </w:p>
    <w:p w:rsidR="00B97965" w:rsidRPr="00234693" w:rsidRDefault="00B97965" w:rsidP="00B97965">
      <w:pPr>
        <w:rPr>
          <w:rFonts w:eastAsiaTheme="minorEastAsia"/>
          <w:u w:val="single"/>
        </w:rPr>
      </w:pPr>
      <w:r w:rsidRPr="00234693">
        <w:rPr>
          <w:rFonts w:eastAsiaTheme="minorEastAsia"/>
          <w:u w:val="single"/>
        </w:rPr>
        <w:t>The Problem with the full log-likelihood function</w:t>
      </w:r>
    </w:p>
    <w:p w:rsidR="00B97965" w:rsidRDefault="00B97965" w:rsidP="00B97965">
      <w:r>
        <w:rPr>
          <w:rFonts w:eastAsiaTheme="minorEastAsia"/>
        </w:rPr>
        <w:t xml:space="preserve">I observed that the full log-likelihood function was not deviating from the prior despite using a large number of iterations in the optim procedure and small gradient tolerance. </w:t>
      </w:r>
      <w:r w:rsidR="00E729BA">
        <w:rPr>
          <w:rFonts w:eastAsiaTheme="minorEastAsia"/>
        </w:rPr>
        <w:fldChar w:fldCharType="begin"/>
      </w:r>
      <w:r>
        <w:rPr>
          <w:rFonts w:eastAsiaTheme="minorEastAsia"/>
        </w:rPr>
        <w:instrText xml:space="preserve"> REF _Ref355108435 \h </w:instrText>
      </w:r>
      <w:r w:rsidR="00E729BA">
        <w:rPr>
          <w:rFonts w:eastAsiaTheme="minorEastAsia"/>
        </w:rPr>
      </w:r>
      <w:r w:rsidR="00E729BA">
        <w:rPr>
          <w:rFonts w:eastAsiaTheme="minorEastAsia"/>
        </w:rPr>
        <w:fldChar w:fldCharType="separate"/>
      </w:r>
      <w:r w:rsidR="004911B7">
        <w:t xml:space="preserve">Table </w:t>
      </w:r>
      <w:r w:rsidR="004911B7">
        <w:rPr>
          <w:noProof/>
        </w:rPr>
        <w:t>134</w:t>
      </w:r>
      <w:r w:rsidR="00E729BA">
        <w:rPr>
          <w:rFonts w:eastAsiaTheme="minorEastAsia"/>
        </w:rPr>
        <w:fldChar w:fldCharType="end"/>
      </w:r>
      <w:r>
        <w:rPr>
          <w:rFonts w:eastAsiaTheme="minorEastAsia"/>
        </w:rPr>
        <w:t xml:space="preserve"> </w:t>
      </w:r>
      <w:r>
        <w:t xml:space="preserve">reports the prior parameter means in the first column to indicate how the analysis updates the estimates from the starting values. The time it takes to compute the analysis, the number of iterations reported by the optim function, and the log-likelihood estimate are reported at the bottom of the table. </w:t>
      </w:r>
    </w:p>
    <w:p w:rsidR="00B97965" w:rsidRDefault="00B97965" w:rsidP="00B97965">
      <w:pPr>
        <w:rPr>
          <w:rFonts w:eastAsiaTheme="minorEastAsia"/>
        </w:rPr>
      </w:pPr>
      <w:r>
        <w:t xml:space="preserve">Column A reports the posterior mode for a combined log-posterior model with 6 of the models included in the log-likelihood function. The estimates are different from the starting values, the minimum estimate is 1535, and the estimate takes 159 minutes. </w:t>
      </w:r>
      <w:r>
        <w:rPr>
          <w:rFonts w:eastAsiaTheme="minorEastAsia"/>
        </w:rPr>
        <w:t xml:space="preserve">The maximum likelihood procedure is completely successfully and the estimates for thetahat are slightly different from the prior. Column A reports the correct posterior mode for the parameters included in the six regression models. </w:t>
      </w:r>
    </w:p>
    <w:p w:rsidR="00B97965" w:rsidRDefault="00B97965" w:rsidP="00B97965">
      <w:pPr>
        <w:rPr>
          <w:rFonts w:eastAsiaTheme="minorEastAsia"/>
        </w:rPr>
      </w:pPr>
      <w:r>
        <w:rPr>
          <w:rFonts w:eastAsiaTheme="minorEastAsia"/>
        </w:rPr>
        <w:t xml:space="preserve">Column B reports the maximum likelihood output is all eight models are included in the log-likelihood function. </w:t>
      </w:r>
      <w:r>
        <w:t xml:space="preserve">Column B reports the posterior mode for a combined log-posterior model with eight of the models included. The table illustrates several problems with the estimate. The posterior model estimates are very close to the starting values, this is reflected by the relative short processing time. The minimum log-likelihood estimate is large suggesting that the process has not identified the minimum value. Investigations were conducted to identify what caused the iterations to stop prematurely, but no errors could be identified. Changes to the tolerance of the optim function did not affect the outcome. </w:t>
      </w:r>
      <w:r>
        <w:rPr>
          <w:rFonts w:eastAsiaTheme="minorEastAsia"/>
        </w:rPr>
        <w:t xml:space="preserve">It was concluded that the log-likelihood function with eight regression models was too complex to be maximised using the optim procedure. </w:t>
      </w:r>
    </w:p>
    <w:p w:rsidR="00B97965" w:rsidRDefault="00B97965" w:rsidP="00B97965">
      <w:pPr>
        <w:rPr>
          <w:rFonts w:eastAsiaTheme="minorEastAsia"/>
        </w:rPr>
      </w:pPr>
      <w:r>
        <w:rPr>
          <w:rFonts w:eastAsiaTheme="minorEastAsia"/>
        </w:rPr>
        <w:t xml:space="preserve">Investigations into alternative methods of maximum likelihood would have been very time consuming. An alternative strategy to maximise the regression models independently was preferred because it is shown in column C that independent maximum likelihood does not change the estimate of thetahat and was found to be more efficient than a combined log-likelihood function. </w:t>
      </w:r>
      <w:r>
        <w:t>Column C reports the posterior model for the segmented maximum likelihood procedure. The estimates for the first seven models are very close to the estimates in Column A. The sum of the mimimum log likelihood for each individual estimate, is slightly higher than Column A due to the additional estimates for peripheral vascular, but indicates that the appropriate minimum log-posterior density has been identified.</w:t>
      </w:r>
    </w:p>
    <w:p w:rsidR="00B97965" w:rsidRDefault="00B97965" w:rsidP="00B97965">
      <w:pPr>
        <w:rPr>
          <w:rFonts w:eastAsiaTheme="minorEastAsia"/>
        </w:rPr>
      </w:pPr>
      <w:r>
        <w:rPr>
          <w:rFonts w:eastAsiaTheme="minorEastAsia"/>
        </w:rPr>
        <w:t>The independent maximisation method assumes that the second derivatives in the sparse area of the Hessian matrix are zero. This assumption was compared with the sparse area of the matrix when a small number of models were combined. It confirmed that the estimates in the sparse area of the matrix were mostly zero or very small values (&lt;0.0001). These were randomly allocated across the matrix, inconsistent between evaluations and as were likely to be due to calculation error.</w:t>
      </w:r>
    </w:p>
    <w:p w:rsidR="00B97965" w:rsidRDefault="00B97965" w:rsidP="00B97965">
      <w:pPr>
        <w:spacing w:after="0" w:afterAutospacing="0" w:line="240" w:lineRule="auto"/>
        <w:rPr>
          <w:b/>
          <w:bCs/>
          <w:sz w:val="18"/>
          <w:szCs w:val="16"/>
        </w:rPr>
      </w:pPr>
      <w:bookmarkStart w:id="736" w:name="_Ref331668116"/>
      <w:r>
        <w:br w:type="page"/>
      </w:r>
    </w:p>
    <w:p w:rsidR="00B97965" w:rsidRDefault="00B97965" w:rsidP="00234693">
      <w:pPr>
        <w:pStyle w:val="Caption"/>
      </w:pPr>
      <w:bookmarkStart w:id="737" w:name="_Ref355108435"/>
      <w:r>
        <w:t xml:space="preserve">Table </w:t>
      </w:r>
      <w:fldSimple w:instr=" SEQ Table \* ARABIC ">
        <w:r w:rsidR="004911B7">
          <w:rPr>
            <w:noProof/>
          </w:rPr>
          <w:t>134</w:t>
        </w:r>
      </w:fldSimple>
      <w:bookmarkEnd w:id="736"/>
      <w:bookmarkEnd w:id="737"/>
      <w:r>
        <w:t>: Example Maximum Likelihood estimates for combined log-posterior density and segmented log-posterior density</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329"/>
        <w:gridCol w:w="1621"/>
        <w:gridCol w:w="1362"/>
        <w:gridCol w:w="1363"/>
        <w:gridCol w:w="1376"/>
        <w:gridCol w:w="1363"/>
      </w:tblGrid>
      <w:tr w:rsidR="00B97965" w:rsidRPr="00E93D50" w:rsidTr="00B97965">
        <w:trPr>
          <w:trHeight w:val="20"/>
        </w:trPr>
        <w:tc>
          <w:tcPr>
            <w:tcW w:w="3085" w:type="dxa"/>
            <w:gridSpan w:val="2"/>
            <w:tcBorders>
              <w:top w:val="single" w:sz="8" w:space="0" w:color="auto"/>
              <w:bottom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p>
        </w:tc>
        <w:tc>
          <w:tcPr>
            <w:tcW w:w="1488"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Prior</w:t>
            </w:r>
          </w:p>
        </w:tc>
        <w:tc>
          <w:tcPr>
            <w:tcW w:w="1489"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A</w:t>
            </w:r>
          </w:p>
        </w:tc>
        <w:tc>
          <w:tcPr>
            <w:tcW w:w="1488"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B</w:t>
            </w:r>
          </w:p>
        </w:tc>
        <w:tc>
          <w:tcPr>
            <w:tcW w:w="1489"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C</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bidi/>
              <w:spacing w:line="240" w:lineRule="auto"/>
              <w:jc w:val="right"/>
              <w:rPr>
                <w:rFonts w:eastAsiaTheme="minorEastAsia" w:cstheme="majorBidi"/>
                <w:sz w:val="16"/>
                <w:szCs w:val="16"/>
              </w:rPr>
            </w:pPr>
            <w:r w:rsidRPr="00E93D50">
              <w:rPr>
                <w:rFonts w:eastAsiaTheme="minorEastAsia" w:cstheme="majorBidi"/>
                <w:sz w:val="16"/>
                <w:szCs w:val="16"/>
              </w:rPr>
              <w:t>SLEDAI</w:t>
            </w:r>
          </w:p>
        </w:tc>
        <w:tc>
          <w:tcPr>
            <w:tcW w:w="1755" w:type="dxa"/>
            <w:tcBorders>
              <w:top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Previous SLEDAI</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-0.3344</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-0.3404</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-0.3340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-0.3404</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Black</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0.2691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0.2763</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0.2690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0.2763</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Log of 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-0.2583</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-0.2700</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-0.2580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-0.2701</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-0.3737</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-0.5623</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-0.3740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-0.5623</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Treatment</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1.5348</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1.5846</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1.5300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1.5848</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Sigma</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1.6751</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7.5654</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1.6800</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7.5654</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bidi/>
              <w:spacing w:line="240" w:lineRule="auto"/>
              <w:jc w:val="right"/>
              <w:rPr>
                <w:rFonts w:eastAsiaTheme="minorEastAsia" w:cstheme="majorBidi"/>
                <w:sz w:val="16"/>
                <w:szCs w:val="16"/>
              </w:rPr>
            </w:pPr>
            <w:r w:rsidRPr="00E93D50">
              <w:rPr>
                <w:rFonts w:eastAsiaTheme="minorEastAsia" w:cstheme="majorBidi"/>
                <w:sz w:val="16"/>
                <w:szCs w:val="16"/>
              </w:rPr>
              <w:t>Mortality</w:t>
            </w:r>
          </w:p>
        </w:tc>
        <w:tc>
          <w:tcPr>
            <w:tcW w:w="1755" w:type="dxa"/>
            <w:tcBorders>
              <w:top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Black</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0.8281</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0.8280</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0.8280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0.8280</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Age at diagnosis</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0.0342</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0.0340</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0.0342</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0.0340</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Cholesterol</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0.0047</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0.0048</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0.2673</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0.2601</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0.2670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0.2601</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CVD damage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0.4236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0.4279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0.4240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0.4279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Renal damage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0.6951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0.6988</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0.6950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0.6989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MSK damage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0.2515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0.2530</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0.2520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0.2530</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P. Vasc damage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0.7877</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0.7906</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0.7880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0.7905</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GI damage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0.6345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0.6482</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0.6350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0.6482</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Malignancy</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1.0910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1.0895</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1.0900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1.0894</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Infection</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0.9594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0.9549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0.9590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0.9549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-10.6985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-10.8000</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-10.7000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-10.8000</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0.5600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0.5806</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0.5600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0.5806</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-0.3728</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-0.8130</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-0.3728</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-0.8130</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Cardiovascular</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Age at diagnosis</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0.0457</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0.0467</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0.0457</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0.0467</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Cholesterol</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0.0026</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Hypertension</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0.8151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0.8362</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0.8151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0.8362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Log of disease duration</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0.5965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0.6473</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0.5965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0.6473</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0.1560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0.1542</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0.1560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0.1542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Average prednisone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0.0012</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-8.7642</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-8.9519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-8.7642</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-8.9519</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-0.0448</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-0.0458</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-0.0448</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-0.0458</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-0.2882</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-0.6832</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-0.2882</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-0.6832</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Renal</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Cholesterol</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-0.0160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-0.0146</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-0.0160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-0.0146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-0.4524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-0.4113</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-0.4524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-0.4113</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12.2281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11.0039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12.2281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11.0036</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0.5477</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0.3889</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0.5477</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0.3888</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0.0060</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0.0060</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0.0060</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0.0060</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Musculoskeletal</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Log of age</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-1.1090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-1.0713</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-1.1090</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-1.1004</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Average prednisone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-0.0015</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-0.0015</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-0.0015</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SLICC/ACR DI</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-0.1677</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-0.1706</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-0.1677</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-0.1695</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8.2164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8.0828</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8.2164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8.1947</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0.0400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0.0371</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0.0400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0.0365</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-0.3705</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0.0049</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-0.3705</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0.0046</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Neuropsychiatric</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Cholesterol</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0.0034</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0.0031</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0.0034</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0.0031</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Hypertension</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0.5784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0.5689</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0.5784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0.5689</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Log of 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0.8984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0.9443</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0.8984</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0.9443</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Average prednisone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0.0006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0.0005</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0.0006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0.0005</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-8.0130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-8.0980</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-8.0130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-8.0980</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-0.2064</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-0.2076</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-0.2060</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-0.2076</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-0.3186</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-0.9658</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-0.3186</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-0.9658</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Pulmonary</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ACL</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-1.3923</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-1.3923</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-1.6978</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Log of Age</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-1.4642</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-1.4642</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-1.3290</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-0.1159</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-0.1159</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-0.1076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SLICC/ACR DI</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-0.1550</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-0.1550</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-0.1554</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10.4723</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10.4723</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9.9444</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0.1076</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0.1076</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0.1192</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0.0140</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0.0140</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0.0140</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P.Vascular</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Smoking</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0.9429</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-14.9657</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0.9686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Cholesterol</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0.0022</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-0.0446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0.0022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Hypertension</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1.0101</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1.0101</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1.0368</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Lupus anticoagulant</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1.2496</w:t>
            </w:r>
          </w:p>
        </w:tc>
        <w:tc>
          <w:tcPr>
            <w:tcW w:w="1489" w:type="dxa"/>
            <w:vAlign w:val="bottom"/>
          </w:tcPr>
          <w:p w:rsidR="00B97965" w:rsidRPr="00E93D50" w:rsidRDefault="00B97965" w:rsidP="00B97965">
            <w:pPr>
              <w:spacing w:line="240" w:lineRule="auto"/>
              <w:jc w:val="right"/>
              <w:rPr>
                <w:rFonts w:cstheme="majorBidi"/>
                <w:color w:val="000000"/>
                <w:sz w:val="16"/>
                <w:szCs w:val="16"/>
              </w:rPr>
            </w:pPr>
          </w:p>
        </w:tc>
        <w:tc>
          <w:tcPr>
            <w:tcW w:w="1488"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1.2496</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1.2081</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-7.6111</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-7.6579</w:t>
            </w:r>
          </w:p>
        </w:tc>
        <w:tc>
          <w:tcPr>
            <w:tcW w:w="1489" w:type="dxa"/>
            <w:tcBorders>
              <w:bottom w:val="nil"/>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-7.6420</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-0.0374</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p>
        </w:tc>
        <w:tc>
          <w:tcPr>
            <w:tcW w:w="1488"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-0.0842</w:t>
            </w:r>
          </w:p>
        </w:tc>
        <w:tc>
          <w:tcPr>
            <w:tcW w:w="1489" w:type="dxa"/>
            <w:tcBorders>
              <w:top w:val="nil"/>
              <w:bottom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-0.0373</w:t>
            </w:r>
          </w:p>
        </w:tc>
      </w:tr>
      <w:tr w:rsidR="00B97965" w:rsidRPr="00E93D50" w:rsidTr="00B97965">
        <w:trPr>
          <w:trHeight w:val="20"/>
        </w:trPr>
        <w:tc>
          <w:tcPr>
            <w:tcW w:w="3085" w:type="dxa"/>
            <w:gridSpan w:val="2"/>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Pr>
                <w:rFonts w:eastAsiaTheme="minorEastAsia" w:cstheme="majorBidi"/>
                <w:sz w:val="16"/>
                <w:szCs w:val="16"/>
              </w:rPr>
              <w:t>Log-likelihood minimum</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1535.76</w:t>
            </w:r>
          </w:p>
        </w:tc>
        <w:tc>
          <w:tcPr>
            <w:tcW w:w="1488"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16893.07</w:t>
            </w:r>
          </w:p>
        </w:tc>
        <w:tc>
          <w:tcPr>
            <w:tcW w:w="1489" w:type="dxa"/>
            <w:tcBorders>
              <w:top w:val="single" w:sz="4" w:space="0" w:color="auto"/>
            </w:tcBorders>
            <w:vAlign w:val="bottom"/>
          </w:tcPr>
          <w:p w:rsidR="00B97965" w:rsidRPr="00E93D50" w:rsidRDefault="00B97965" w:rsidP="00B97965">
            <w:pPr>
              <w:spacing w:line="240" w:lineRule="auto"/>
              <w:jc w:val="right"/>
              <w:rPr>
                <w:rFonts w:cstheme="majorBidi"/>
                <w:color w:val="000000"/>
                <w:sz w:val="16"/>
                <w:szCs w:val="16"/>
              </w:rPr>
            </w:pPr>
            <w:r w:rsidRPr="00E93D50">
              <w:rPr>
                <w:rFonts w:cstheme="majorBidi"/>
                <w:color w:val="000000"/>
                <w:sz w:val="16"/>
                <w:szCs w:val="16"/>
              </w:rPr>
              <w:t>1542.2</w:t>
            </w:r>
            <w:r>
              <w:rPr>
                <w:rFonts w:cstheme="majorBidi"/>
                <w:color w:val="000000"/>
                <w:sz w:val="16"/>
                <w:szCs w:val="16"/>
              </w:rPr>
              <w:t>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Pr>
                <w:rFonts w:eastAsiaTheme="minorEastAsia" w:cstheme="majorBidi"/>
                <w:sz w:val="16"/>
                <w:szCs w:val="16"/>
              </w:rPr>
              <w:t>Time in minutes</w:t>
            </w:r>
          </w:p>
        </w:tc>
        <w:tc>
          <w:tcPr>
            <w:tcW w:w="1488" w:type="dxa"/>
            <w:vAlign w:val="bottom"/>
          </w:tcPr>
          <w:p w:rsidR="00B97965" w:rsidRPr="00E93D50" w:rsidRDefault="00B97965" w:rsidP="00B97965">
            <w:pPr>
              <w:spacing w:line="240" w:lineRule="auto"/>
              <w:jc w:val="right"/>
              <w:rPr>
                <w:rFonts w:cstheme="majorBidi"/>
                <w:color w:val="000000"/>
                <w:sz w:val="16"/>
                <w:szCs w:val="16"/>
              </w:rPr>
            </w:pPr>
          </w:p>
        </w:tc>
        <w:tc>
          <w:tcPr>
            <w:tcW w:w="1489" w:type="dxa"/>
            <w:vAlign w:val="bottom"/>
          </w:tcPr>
          <w:p w:rsidR="00B97965" w:rsidRPr="00E93D50" w:rsidRDefault="00B97965" w:rsidP="00B97965">
            <w:pPr>
              <w:spacing w:line="240" w:lineRule="auto"/>
              <w:jc w:val="right"/>
              <w:rPr>
                <w:rFonts w:cstheme="majorBidi"/>
                <w:color w:val="000000"/>
                <w:sz w:val="16"/>
                <w:szCs w:val="16"/>
              </w:rPr>
            </w:pPr>
            <w:r>
              <w:rPr>
                <w:rFonts w:cstheme="majorBidi"/>
                <w:color w:val="000000"/>
                <w:sz w:val="16"/>
                <w:szCs w:val="16"/>
              </w:rPr>
              <w:t>159.17</w:t>
            </w:r>
          </w:p>
        </w:tc>
        <w:tc>
          <w:tcPr>
            <w:tcW w:w="1488" w:type="dxa"/>
            <w:vAlign w:val="bottom"/>
          </w:tcPr>
          <w:p w:rsidR="00B97965" w:rsidRPr="00E93D50" w:rsidRDefault="00B97965" w:rsidP="00B97965">
            <w:pPr>
              <w:spacing w:line="240" w:lineRule="auto"/>
              <w:jc w:val="right"/>
              <w:rPr>
                <w:rFonts w:cstheme="majorBidi"/>
                <w:color w:val="000000"/>
                <w:sz w:val="16"/>
                <w:szCs w:val="16"/>
              </w:rPr>
            </w:pPr>
            <w:r>
              <w:rPr>
                <w:rFonts w:cstheme="majorBidi"/>
                <w:color w:val="000000"/>
                <w:sz w:val="16"/>
                <w:szCs w:val="16"/>
              </w:rPr>
              <w:t>4.38</w:t>
            </w:r>
          </w:p>
        </w:tc>
        <w:tc>
          <w:tcPr>
            <w:tcW w:w="1489" w:type="dxa"/>
            <w:vAlign w:val="bottom"/>
          </w:tcPr>
          <w:p w:rsidR="00B97965" w:rsidRPr="00E93D50" w:rsidRDefault="00B97965" w:rsidP="00B97965">
            <w:pPr>
              <w:spacing w:line="240" w:lineRule="auto"/>
              <w:jc w:val="right"/>
              <w:rPr>
                <w:rFonts w:cstheme="majorBidi"/>
                <w:color w:val="000000"/>
                <w:sz w:val="16"/>
                <w:szCs w:val="16"/>
              </w:rPr>
            </w:pPr>
            <w:r>
              <w:rPr>
                <w:rFonts w:cstheme="majorBidi"/>
                <w:color w:val="000000"/>
                <w:sz w:val="16"/>
                <w:szCs w:val="16"/>
              </w:rPr>
              <w:t>0.91</w:t>
            </w:r>
          </w:p>
        </w:tc>
      </w:tr>
    </w:tbl>
    <w:p w:rsidR="00B97965" w:rsidRDefault="00B97965" w:rsidP="00B97965">
      <w:pPr>
        <w:rPr>
          <w:rFonts w:eastAsiaTheme="minorEastAsia"/>
        </w:rPr>
      </w:pPr>
    </w:p>
    <w:p w:rsidR="00B97965" w:rsidRDefault="00B97965" w:rsidP="00B97965">
      <w:pPr>
        <w:rPr>
          <w:rFonts w:eastAsiaTheme="minorEastAsia"/>
        </w:rPr>
      </w:pPr>
      <w:r>
        <w:rPr>
          <w:rFonts w:eastAsiaTheme="minorEastAsia"/>
        </w:rPr>
        <w:t xml:space="preserve">I also checked independent maximisation of the regression models would not affect the conditional maximisation of parameters. The investigations found that the maximum likelihood estimates would not be affected, and an example with three of the statistical models is illustrated in </w:t>
      </w:r>
      <w:r w:rsidR="00E729BA">
        <w:rPr>
          <w:rFonts w:eastAsiaTheme="minorEastAsia"/>
        </w:rPr>
        <w:fldChar w:fldCharType="begin"/>
      </w:r>
      <w:r>
        <w:rPr>
          <w:rFonts w:eastAsiaTheme="minorEastAsia"/>
        </w:rPr>
        <w:instrText xml:space="preserve"> REF _Ref331697041 \h </w:instrText>
      </w:r>
      <w:r w:rsidR="00E729BA">
        <w:rPr>
          <w:rFonts w:eastAsiaTheme="minorEastAsia"/>
        </w:rPr>
      </w:r>
      <w:r w:rsidR="00E729BA">
        <w:rPr>
          <w:rFonts w:eastAsiaTheme="minorEastAsia"/>
        </w:rPr>
        <w:fldChar w:fldCharType="separate"/>
      </w:r>
      <w:r w:rsidR="004911B7" w:rsidRPr="00234693">
        <w:t xml:space="preserve">Table </w:t>
      </w:r>
      <w:r w:rsidR="004911B7">
        <w:rPr>
          <w:noProof/>
        </w:rPr>
        <w:t>135</w:t>
      </w:r>
      <w:r w:rsidR="00E729BA">
        <w:rPr>
          <w:rFonts w:eastAsiaTheme="minorEastAsia"/>
        </w:rPr>
        <w:fldChar w:fldCharType="end"/>
      </w:r>
      <w:r>
        <w:rPr>
          <w:rFonts w:eastAsiaTheme="minorEastAsia"/>
        </w:rPr>
        <w:t xml:space="preserve">. </w:t>
      </w:r>
      <w:r w:rsidR="00E729BA">
        <w:rPr>
          <w:rFonts w:eastAsiaTheme="minorEastAsia"/>
        </w:rPr>
        <w:fldChar w:fldCharType="begin"/>
      </w:r>
      <w:r>
        <w:rPr>
          <w:rFonts w:eastAsiaTheme="minorEastAsia"/>
        </w:rPr>
        <w:instrText xml:space="preserve"> REF _Ref331697041 \h </w:instrText>
      </w:r>
      <w:r w:rsidR="00E729BA">
        <w:rPr>
          <w:rFonts w:eastAsiaTheme="minorEastAsia"/>
        </w:rPr>
      </w:r>
      <w:r w:rsidR="00E729BA">
        <w:rPr>
          <w:rFonts w:eastAsiaTheme="minorEastAsia"/>
        </w:rPr>
        <w:fldChar w:fldCharType="separate"/>
      </w:r>
      <w:r w:rsidR="004911B7" w:rsidRPr="00234693">
        <w:t xml:space="preserve">Table </w:t>
      </w:r>
      <w:r w:rsidR="004911B7">
        <w:rPr>
          <w:noProof/>
        </w:rPr>
        <w:t>135</w:t>
      </w:r>
      <w:r w:rsidR="00E729BA">
        <w:rPr>
          <w:rFonts w:eastAsiaTheme="minorEastAsia"/>
        </w:rPr>
        <w:fldChar w:fldCharType="end"/>
      </w:r>
      <w:r>
        <w:rPr>
          <w:rFonts w:eastAsiaTheme="minorEastAsia"/>
        </w:rPr>
        <w:t xml:space="preserve"> illustrates the conditional maximisation of a combined log-likelihood function in column A, holding the first 3 parameters constant. The conditional maximisation of independent regression models is reported in column B. The two columns report the same estimates. </w:t>
      </w:r>
    </w:p>
    <w:p w:rsidR="00B97965" w:rsidRPr="00234693" w:rsidRDefault="00B97965" w:rsidP="00234693">
      <w:pPr>
        <w:pStyle w:val="Caption"/>
      </w:pPr>
      <w:bookmarkStart w:id="738" w:name="_Ref331697041"/>
      <w:r w:rsidRPr="00234693">
        <w:t xml:space="preserve">Table </w:t>
      </w:r>
      <w:fldSimple w:instr=" SEQ Table \* ARABIC ">
        <w:r w:rsidR="004911B7">
          <w:rPr>
            <w:noProof/>
          </w:rPr>
          <w:t>135</w:t>
        </w:r>
      </w:fldSimple>
      <w:bookmarkEnd w:id="738"/>
      <w:r w:rsidRPr="00234693">
        <w:t xml:space="preserve">: Example conditional Maximum Likelihood estimates for combined log-posterior density and segmented log-posterior density </w:t>
      </w:r>
    </w:p>
    <w:tbl>
      <w:tblPr>
        <w:tblStyle w:val="TableGrid"/>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tblPr>
      <w:tblGrid>
        <w:gridCol w:w="1330"/>
        <w:gridCol w:w="1755"/>
        <w:gridCol w:w="1488"/>
        <w:gridCol w:w="1489"/>
        <w:gridCol w:w="1488"/>
      </w:tblGrid>
      <w:tr w:rsidR="00B97965" w:rsidRPr="00E93D50" w:rsidTr="00B97965">
        <w:trPr>
          <w:trHeight w:val="20"/>
        </w:trPr>
        <w:tc>
          <w:tcPr>
            <w:tcW w:w="3085" w:type="dxa"/>
            <w:gridSpan w:val="2"/>
            <w:tcBorders>
              <w:top w:val="single" w:sz="8" w:space="0" w:color="auto"/>
              <w:bottom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p>
        </w:tc>
        <w:tc>
          <w:tcPr>
            <w:tcW w:w="1488"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Pr>
                <w:rFonts w:eastAsiaTheme="minorEastAsia" w:cstheme="majorBidi"/>
                <w:sz w:val="16"/>
                <w:szCs w:val="16"/>
              </w:rPr>
              <w:t>Thetahat</w:t>
            </w:r>
          </w:p>
        </w:tc>
        <w:tc>
          <w:tcPr>
            <w:tcW w:w="1489"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A</w:t>
            </w:r>
          </w:p>
        </w:tc>
        <w:tc>
          <w:tcPr>
            <w:tcW w:w="1488" w:type="dxa"/>
            <w:tcBorders>
              <w:top w:val="single" w:sz="8" w:space="0" w:color="auto"/>
              <w:bottom w:val="single" w:sz="4" w:space="0" w:color="auto"/>
            </w:tcBorders>
          </w:tcPr>
          <w:p w:rsidR="00B97965" w:rsidRPr="00E93D50" w:rsidRDefault="00B97965" w:rsidP="00B97965">
            <w:pPr>
              <w:tabs>
                <w:tab w:val="left" w:pos="5222"/>
              </w:tabs>
              <w:spacing w:line="240" w:lineRule="auto"/>
              <w:jc w:val="center"/>
              <w:rPr>
                <w:rFonts w:eastAsiaTheme="minorEastAsia" w:cstheme="majorBidi"/>
                <w:sz w:val="16"/>
                <w:szCs w:val="16"/>
              </w:rPr>
            </w:pPr>
            <w:r w:rsidRPr="00E93D50">
              <w:rPr>
                <w:rFonts w:eastAsiaTheme="minorEastAsia" w:cstheme="majorBidi"/>
                <w:sz w:val="16"/>
                <w:szCs w:val="16"/>
              </w:rPr>
              <w:t>B</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bidi/>
              <w:spacing w:line="240" w:lineRule="auto"/>
              <w:jc w:val="right"/>
              <w:rPr>
                <w:rFonts w:eastAsiaTheme="minorEastAsia" w:cstheme="majorBidi"/>
                <w:sz w:val="16"/>
                <w:szCs w:val="16"/>
              </w:rPr>
            </w:pPr>
            <w:r w:rsidRPr="00E93D50">
              <w:rPr>
                <w:rFonts w:eastAsiaTheme="minorEastAsia" w:cstheme="majorBidi"/>
                <w:sz w:val="16"/>
                <w:szCs w:val="16"/>
              </w:rPr>
              <w:t>SLEDAI</w:t>
            </w:r>
          </w:p>
        </w:tc>
        <w:tc>
          <w:tcPr>
            <w:tcW w:w="1755" w:type="dxa"/>
            <w:tcBorders>
              <w:top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Previous SLEDAI</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-0.3408</w:t>
            </w:r>
          </w:p>
        </w:tc>
        <w:tc>
          <w:tcPr>
            <w:tcW w:w="1489" w:type="dxa"/>
            <w:tcBorders>
              <w:top w:val="single" w:sz="4" w:space="0" w:color="auto"/>
            </w:tcBorders>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-0.3408</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-0.3408</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Black</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0.2764</w:t>
            </w:r>
          </w:p>
        </w:tc>
        <w:tc>
          <w:tcPr>
            <w:tcW w:w="1489" w:type="dxa"/>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0.2764</w:t>
            </w:r>
          </w:p>
        </w:tc>
        <w:tc>
          <w:tcPr>
            <w:tcW w:w="1488" w:type="dxa"/>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0.2764</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Log of 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-0.2704</w:t>
            </w:r>
          </w:p>
        </w:tc>
        <w:tc>
          <w:tcPr>
            <w:tcW w:w="1489" w:type="dxa"/>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-0.3288</w:t>
            </w:r>
          </w:p>
        </w:tc>
        <w:tc>
          <w:tcPr>
            <w:tcW w:w="1488" w:type="dxa"/>
            <w:vAlign w:val="bottom"/>
          </w:tcPr>
          <w:p w:rsidR="00B97965" w:rsidRPr="00166B93" w:rsidRDefault="00B97965" w:rsidP="00B97965">
            <w:pPr>
              <w:spacing w:line="240" w:lineRule="auto"/>
              <w:jc w:val="right"/>
              <w:rPr>
                <w:rFonts w:cstheme="majorBidi"/>
                <w:b/>
                <w:bCs/>
                <w:color w:val="000000"/>
                <w:sz w:val="18"/>
                <w:szCs w:val="18"/>
              </w:rPr>
            </w:pPr>
            <w:r w:rsidRPr="00166B93">
              <w:rPr>
                <w:rFonts w:cstheme="majorBidi"/>
                <w:b/>
                <w:bCs/>
                <w:color w:val="000000"/>
                <w:sz w:val="18"/>
                <w:szCs w:val="18"/>
              </w:rPr>
              <w:t>-0.3288</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-0.5631</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-0.5702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-0.5702</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bidi/>
              <w:spacing w:line="240" w:lineRule="auto"/>
              <w:rPr>
                <w:rFonts w:eastAsiaTheme="minorEastAsia" w:cstheme="majorBidi"/>
                <w:sz w:val="16"/>
                <w:szCs w:val="16"/>
              </w:rPr>
            </w:pPr>
            <w:r>
              <w:rPr>
                <w:rFonts w:eastAsiaTheme="minorEastAsia" w:cstheme="majorBidi"/>
                <w:sz w:val="16"/>
                <w:szCs w:val="16"/>
              </w:rPr>
              <w:t>Treatment</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1.5896</w:t>
            </w:r>
          </w:p>
        </w:tc>
        <w:tc>
          <w:tcPr>
            <w:tcW w:w="1489"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1.8100</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1.8100</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Pr>
                <w:rFonts w:eastAsiaTheme="minorEastAsia" w:cstheme="majorBidi"/>
                <w:sz w:val="16"/>
                <w:szCs w:val="16"/>
              </w:rPr>
              <w:t>Sigma</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7.5645</w:t>
            </w:r>
          </w:p>
        </w:tc>
        <w:tc>
          <w:tcPr>
            <w:tcW w:w="1489"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7.5619</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7.5619</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bidi/>
              <w:spacing w:line="240" w:lineRule="auto"/>
              <w:jc w:val="right"/>
              <w:rPr>
                <w:rFonts w:eastAsiaTheme="minorEastAsia" w:cstheme="majorBidi"/>
                <w:sz w:val="16"/>
                <w:szCs w:val="16"/>
              </w:rPr>
            </w:pPr>
            <w:r w:rsidRPr="00E93D50">
              <w:rPr>
                <w:rFonts w:eastAsiaTheme="minorEastAsia" w:cstheme="majorBidi"/>
                <w:sz w:val="16"/>
                <w:szCs w:val="16"/>
              </w:rPr>
              <w:t>Mortality</w:t>
            </w:r>
          </w:p>
        </w:tc>
        <w:tc>
          <w:tcPr>
            <w:tcW w:w="1755" w:type="dxa"/>
            <w:tcBorders>
              <w:top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Black</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0.8281</w:t>
            </w:r>
          </w:p>
        </w:tc>
        <w:tc>
          <w:tcPr>
            <w:tcW w:w="1489"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Pr>
                <w:rFonts w:cstheme="majorBidi"/>
                <w:color w:val="000000"/>
                <w:sz w:val="18"/>
                <w:szCs w:val="18"/>
              </w:rPr>
              <w:t>0.8281</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0.8281</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Age at diagnosis</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0.0340</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0.0340</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0.0340</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Cholesterol</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0.0049</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0.0049</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0.0049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0.2603</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0.2603</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0.2603</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CVD damage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0.4275</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0.4275</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0.4275</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Renal damage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0.6989</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0.6989</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0.6989</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MSK damage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0.2525</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0.2525</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0.2525</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P. Vasc damage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0.7902</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0.7902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0.7902</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GI damage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0.6478</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0.6478</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0.6478</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Malignancy</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1.0905</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1.0905</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1.0905</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Infection</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0.9553</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0.9553</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0.9553</w:t>
            </w:r>
          </w:p>
        </w:tc>
      </w:tr>
      <w:tr w:rsidR="00B97965" w:rsidRPr="00E93D50" w:rsidTr="00B97965">
        <w:trPr>
          <w:trHeight w:val="20"/>
        </w:trPr>
        <w:tc>
          <w:tcPr>
            <w:tcW w:w="3085" w:type="dxa"/>
            <w:gridSpan w:val="2"/>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-10.7986</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-10.7986</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-10.7986</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0.5806</w:t>
            </w:r>
          </w:p>
        </w:tc>
        <w:tc>
          <w:tcPr>
            <w:tcW w:w="1489"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0.5806</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0.5806</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bidi/>
              <w:spacing w:line="240" w:lineRule="auto"/>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-0.8136</w:t>
            </w:r>
          </w:p>
        </w:tc>
        <w:tc>
          <w:tcPr>
            <w:tcW w:w="1489"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-0.8136</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-0.8136</w:t>
            </w:r>
          </w:p>
        </w:tc>
      </w:tr>
      <w:tr w:rsidR="00B97965" w:rsidRPr="00E93D50" w:rsidTr="00B97965">
        <w:trPr>
          <w:trHeight w:val="20"/>
        </w:trPr>
        <w:tc>
          <w:tcPr>
            <w:tcW w:w="1330" w:type="dxa"/>
            <w:tcBorders>
              <w:top w:val="single" w:sz="4" w:space="0" w:color="auto"/>
            </w:tcBorders>
          </w:tcPr>
          <w:p w:rsidR="00B97965" w:rsidRPr="00E93D50" w:rsidRDefault="00B97965" w:rsidP="00B97965">
            <w:pPr>
              <w:tabs>
                <w:tab w:val="left" w:pos="5222"/>
              </w:tabs>
              <w:spacing w:line="240" w:lineRule="auto"/>
              <w:rPr>
                <w:rFonts w:eastAsiaTheme="minorEastAsia" w:cstheme="majorBidi"/>
                <w:sz w:val="16"/>
                <w:szCs w:val="16"/>
              </w:rPr>
            </w:pPr>
            <w:r w:rsidRPr="00E93D50">
              <w:rPr>
                <w:rFonts w:eastAsiaTheme="minorEastAsia" w:cstheme="majorBidi"/>
                <w:sz w:val="16"/>
                <w:szCs w:val="16"/>
              </w:rPr>
              <w:t>Cardiovascular</w:t>
            </w:r>
          </w:p>
        </w:tc>
        <w:tc>
          <w:tcPr>
            <w:tcW w:w="1755" w:type="dxa"/>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Age at diagnosis</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0.0467</w:t>
            </w:r>
          </w:p>
        </w:tc>
        <w:tc>
          <w:tcPr>
            <w:tcW w:w="1489"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0.0467</w:t>
            </w: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0.0467</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Cholesterol</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0.0026</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0.0026</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0.0026</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Hypertension</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0.8362</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0.8362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0.8362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Log of disease duration</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0.6473</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0.6473</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0.6473</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AMS</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0.1542</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0.1542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0.1542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Average prednisone</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0.0012</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0.0012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0.0012</w:t>
            </w: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Constant</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-8.9519</w:t>
            </w:r>
          </w:p>
        </w:tc>
        <w:tc>
          <w:tcPr>
            <w:tcW w:w="1489"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-8.9519</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-8.9519</w:t>
            </w:r>
          </w:p>
        </w:tc>
      </w:tr>
      <w:tr w:rsidR="00B97965" w:rsidRPr="00E93D50" w:rsidTr="00B97965">
        <w:trPr>
          <w:trHeight w:val="20"/>
        </w:trPr>
        <w:tc>
          <w:tcPr>
            <w:tcW w:w="3085" w:type="dxa"/>
            <w:gridSpan w:val="2"/>
            <w:tcBorders>
              <w:bottom w:val="nil"/>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Gamma</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-0.0458</w:t>
            </w:r>
          </w:p>
        </w:tc>
        <w:tc>
          <w:tcPr>
            <w:tcW w:w="1489"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-0.0458</w:t>
            </w:r>
          </w:p>
        </w:tc>
        <w:tc>
          <w:tcPr>
            <w:tcW w:w="1488" w:type="dxa"/>
            <w:tcBorders>
              <w:bottom w:val="nil"/>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-0.0458</w:t>
            </w:r>
          </w:p>
        </w:tc>
      </w:tr>
      <w:tr w:rsidR="00B97965" w:rsidRPr="00E93D50" w:rsidTr="00B97965">
        <w:trPr>
          <w:trHeight w:val="20"/>
        </w:trPr>
        <w:tc>
          <w:tcPr>
            <w:tcW w:w="3085" w:type="dxa"/>
            <w:gridSpan w:val="2"/>
            <w:tcBorders>
              <w:top w:val="nil"/>
              <w:bottom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r w:rsidRPr="00E93D50">
              <w:rPr>
                <w:rFonts w:eastAsiaTheme="minorEastAsia" w:cstheme="majorBidi"/>
                <w:sz w:val="16"/>
                <w:szCs w:val="16"/>
              </w:rPr>
              <w:t>Treatment</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-0.6832</w:t>
            </w:r>
          </w:p>
        </w:tc>
        <w:tc>
          <w:tcPr>
            <w:tcW w:w="1489"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-0.6832</w:t>
            </w:r>
          </w:p>
        </w:tc>
        <w:tc>
          <w:tcPr>
            <w:tcW w:w="1488" w:type="dxa"/>
            <w:tcBorders>
              <w:top w:val="nil"/>
              <w:bottom w:val="single" w:sz="4" w:space="0" w:color="auto"/>
            </w:tcBorders>
            <w:vAlign w:val="bottom"/>
          </w:tcPr>
          <w:p w:rsidR="00B97965" w:rsidRPr="00166B93" w:rsidRDefault="00B97965" w:rsidP="00B97965">
            <w:pPr>
              <w:spacing w:line="240" w:lineRule="auto"/>
              <w:jc w:val="right"/>
              <w:rPr>
                <w:rFonts w:cstheme="majorBidi"/>
                <w:color w:val="000000"/>
                <w:sz w:val="18"/>
                <w:szCs w:val="18"/>
              </w:rPr>
            </w:pPr>
            <w:r w:rsidRPr="00166B93">
              <w:rPr>
                <w:rFonts w:cstheme="majorBidi"/>
                <w:color w:val="000000"/>
                <w:sz w:val="18"/>
                <w:szCs w:val="18"/>
              </w:rPr>
              <w:t>-0.6832</w:t>
            </w:r>
          </w:p>
        </w:tc>
      </w:tr>
      <w:tr w:rsidR="00B97965" w:rsidRPr="00E93D50" w:rsidTr="00B97965">
        <w:trPr>
          <w:trHeight w:val="20"/>
        </w:trPr>
        <w:tc>
          <w:tcPr>
            <w:tcW w:w="3085" w:type="dxa"/>
            <w:gridSpan w:val="2"/>
            <w:tcBorders>
              <w:top w:val="single" w:sz="4" w:space="0" w:color="auto"/>
            </w:tcBorders>
          </w:tcPr>
          <w:p w:rsidR="00B97965" w:rsidRPr="00E93D50" w:rsidRDefault="00B97965" w:rsidP="00B97965">
            <w:pPr>
              <w:tabs>
                <w:tab w:val="left" w:pos="5222"/>
              </w:tabs>
              <w:spacing w:line="240" w:lineRule="auto"/>
              <w:jc w:val="right"/>
              <w:rPr>
                <w:rFonts w:eastAsiaTheme="minorEastAsia" w:cstheme="majorBidi"/>
                <w:sz w:val="16"/>
                <w:szCs w:val="16"/>
              </w:rPr>
            </w:pP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p>
        </w:tc>
        <w:tc>
          <w:tcPr>
            <w:tcW w:w="1489"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p>
        </w:tc>
        <w:tc>
          <w:tcPr>
            <w:tcW w:w="1488" w:type="dxa"/>
            <w:tcBorders>
              <w:top w:val="single" w:sz="4" w:space="0" w:color="auto"/>
            </w:tcBorders>
            <w:vAlign w:val="bottom"/>
          </w:tcPr>
          <w:p w:rsidR="00B97965" w:rsidRPr="00166B93" w:rsidRDefault="00B97965" w:rsidP="00B97965">
            <w:pPr>
              <w:spacing w:line="240" w:lineRule="auto"/>
              <w:jc w:val="right"/>
              <w:rPr>
                <w:rFonts w:cstheme="majorBidi"/>
                <w:color w:val="000000"/>
                <w:sz w:val="18"/>
                <w:szCs w:val="18"/>
              </w:rPr>
            </w:pPr>
          </w:p>
        </w:tc>
      </w:tr>
      <w:tr w:rsidR="00B97965" w:rsidRPr="00E93D50" w:rsidTr="00B97965">
        <w:trPr>
          <w:trHeight w:val="20"/>
        </w:trPr>
        <w:tc>
          <w:tcPr>
            <w:tcW w:w="3085" w:type="dxa"/>
            <w:gridSpan w:val="2"/>
          </w:tcPr>
          <w:p w:rsidR="00B97965" w:rsidRPr="00E93D50" w:rsidRDefault="00B97965" w:rsidP="00B97965">
            <w:pPr>
              <w:tabs>
                <w:tab w:val="left" w:pos="5222"/>
              </w:tabs>
              <w:spacing w:line="240" w:lineRule="auto"/>
              <w:jc w:val="right"/>
              <w:rPr>
                <w:rFonts w:eastAsiaTheme="minorEastAsia" w:cstheme="majorBidi"/>
                <w:sz w:val="16"/>
                <w:szCs w:val="16"/>
              </w:rPr>
            </w:pPr>
            <w:r>
              <w:rPr>
                <w:rFonts w:eastAsiaTheme="minorEastAsia" w:cstheme="majorBidi"/>
                <w:sz w:val="16"/>
                <w:szCs w:val="16"/>
              </w:rPr>
              <w:t>Minimum log-posterior density</w:t>
            </w:r>
          </w:p>
        </w:tc>
        <w:tc>
          <w:tcPr>
            <w:tcW w:w="1488" w:type="dxa"/>
            <w:vAlign w:val="bottom"/>
          </w:tcPr>
          <w:p w:rsidR="00B97965" w:rsidRPr="00166B93" w:rsidRDefault="00B97965" w:rsidP="00B97965">
            <w:pPr>
              <w:spacing w:line="240" w:lineRule="auto"/>
              <w:jc w:val="right"/>
              <w:rPr>
                <w:rFonts w:cstheme="majorBidi"/>
                <w:color w:val="000000"/>
                <w:sz w:val="18"/>
                <w:szCs w:val="18"/>
              </w:rPr>
            </w:pPr>
          </w:p>
        </w:tc>
        <w:tc>
          <w:tcPr>
            <w:tcW w:w="1489" w:type="dxa"/>
            <w:vAlign w:val="bottom"/>
          </w:tcPr>
          <w:p w:rsidR="00B97965" w:rsidRPr="00166B93" w:rsidRDefault="00B97965" w:rsidP="00B97965">
            <w:pPr>
              <w:spacing w:line="240" w:lineRule="auto"/>
              <w:jc w:val="right"/>
              <w:rPr>
                <w:rFonts w:cstheme="majorBidi"/>
                <w:color w:val="000000"/>
                <w:sz w:val="18"/>
                <w:szCs w:val="18"/>
              </w:rPr>
            </w:pPr>
            <w:r>
              <w:rPr>
                <w:rFonts w:cstheme="majorBidi"/>
                <w:color w:val="000000"/>
                <w:sz w:val="18"/>
                <w:szCs w:val="18"/>
              </w:rPr>
              <w:t>1321.22</w:t>
            </w:r>
          </w:p>
        </w:tc>
        <w:tc>
          <w:tcPr>
            <w:tcW w:w="1488" w:type="dxa"/>
            <w:vAlign w:val="bottom"/>
          </w:tcPr>
          <w:p w:rsidR="00B97965" w:rsidRPr="00166B93" w:rsidRDefault="00B97965" w:rsidP="00B97965">
            <w:pPr>
              <w:spacing w:line="240" w:lineRule="auto"/>
              <w:jc w:val="right"/>
              <w:rPr>
                <w:rFonts w:cstheme="majorBidi"/>
                <w:color w:val="000000"/>
                <w:sz w:val="18"/>
                <w:szCs w:val="18"/>
              </w:rPr>
            </w:pPr>
            <w:r>
              <w:rPr>
                <w:rFonts w:cstheme="majorBidi"/>
                <w:color w:val="000000"/>
                <w:sz w:val="18"/>
                <w:szCs w:val="18"/>
              </w:rPr>
              <w:t>1321.22</w:t>
            </w:r>
          </w:p>
        </w:tc>
      </w:tr>
    </w:tbl>
    <w:p w:rsidR="00B97965" w:rsidRDefault="00B97965" w:rsidP="00B97965">
      <w:pPr>
        <w:rPr>
          <w:rFonts w:eastAsiaTheme="minorEastAsia"/>
        </w:rPr>
      </w:pPr>
    </w:p>
    <w:p w:rsidR="004843B2" w:rsidRDefault="004843B2" w:rsidP="00221DD6">
      <w:pPr>
        <w:tabs>
          <w:tab w:val="right" w:pos="540"/>
          <w:tab w:val="left" w:pos="720"/>
        </w:tabs>
        <w:spacing w:line="240" w:lineRule="auto"/>
        <w:ind w:left="720" w:hanging="720"/>
      </w:pPr>
    </w:p>
    <w:sectPr w:rsidR="004843B2" w:rsidSect="006A3B1E">
      <w:pgSz w:w="11906" w:h="16838"/>
      <w:pgMar w:top="1440" w:right="1440" w:bottom="1440"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2483" w:rsidRDefault="00BD2483" w:rsidP="00675A32">
      <w:r>
        <w:separator/>
      </w:r>
    </w:p>
  </w:endnote>
  <w:endnote w:type="continuationSeparator" w:id="0">
    <w:p w:rsidR="00BD2483" w:rsidRDefault="00BD2483" w:rsidP="00675A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Elephant">
    <w:panose1 w:val="02020904090505020303"/>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宋体">
    <w:altName w:val="Arial Unicode MS"/>
    <w:charset w:val="50"/>
    <w:family w:val="auto"/>
    <w:pitch w:val="variable"/>
    <w:sig w:usb0="00000000" w:usb1="00000000" w:usb2="0100040E" w:usb3="00000000" w:csb0="0004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6505"/>
      <w:docPartObj>
        <w:docPartGallery w:val="Page Numbers (Bottom of Page)"/>
        <w:docPartUnique/>
      </w:docPartObj>
    </w:sdtPr>
    <w:sdtContent>
      <w:p w:rsidR="00BD2483" w:rsidRDefault="00BD2483">
        <w:pPr>
          <w:pStyle w:val="Footer"/>
        </w:pPr>
        <w:fldSimple w:instr=" PAGE   \* MERGEFORMAT ">
          <w:r w:rsidR="004911B7">
            <w:rPr>
              <w:noProof/>
            </w:rPr>
            <w:t>22</w:t>
          </w:r>
        </w:fldSimple>
      </w:p>
    </w:sdtContent>
  </w:sdt>
  <w:p w:rsidR="00BD2483" w:rsidRDefault="00BD2483" w:rsidP="003E70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Default="00BD2483" w:rsidP="00274DBD">
    <w:pPr>
      <w:pStyle w:val="Footer"/>
      <w:spacing w:before="120"/>
    </w:pPr>
    <w:fldSimple w:instr=" PAGE   \* MERGEFORMAT ">
      <w:r w:rsidR="004911B7">
        <w:rPr>
          <w:noProof/>
        </w:rPr>
        <w:t>28</w:t>
      </w:r>
    </w:fldSimple>
  </w:p>
  <w:p w:rsidR="00BD2483" w:rsidRDefault="00BD2483" w:rsidP="004932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Default="00BD2483" w:rsidP="00675A32">
    <w:pPr>
      <w:pStyle w:val="Footer"/>
    </w:pPr>
    <w:fldSimple w:instr=" PAGE   \* MERGEFORMAT ">
      <w:r w:rsidR="004911B7">
        <w:rPr>
          <w:noProof/>
        </w:rPr>
        <w:t>78</w:t>
      </w:r>
    </w:fldSimple>
  </w:p>
  <w:p w:rsidR="00BD2483" w:rsidRDefault="00BD2483" w:rsidP="00675A3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50548"/>
      <w:docPartObj>
        <w:docPartGallery w:val="Page Numbers (Bottom of Page)"/>
        <w:docPartUnique/>
      </w:docPartObj>
    </w:sdtPr>
    <w:sdtContent>
      <w:p w:rsidR="00BD2483" w:rsidRDefault="00BD2483">
        <w:pPr>
          <w:pStyle w:val="Footer"/>
          <w:jc w:val="center"/>
        </w:pPr>
        <w:fldSimple w:instr=" PAGE   \* MERGEFORMAT ">
          <w:r w:rsidR="004911B7">
            <w:rPr>
              <w:noProof/>
            </w:rPr>
            <w:t>86</w:t>
          </w:r>
        </w:fldSimple>
      </w:p>
    </w:sdtContent>
  </w:sdt>
  <w:p w:rsidR="00BD2483" w:rsidRDefault="00BD248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8895"/>
      <w:docPartObj>
        <w:docPartGallery w:val="Page Numbers (Bottom of Page)"/>
        <w:docPartUnique/>
      </w:docPartObj>
    </w:sdtPr>
    <w:sdtContent>
      <w:p w:rsidR="00BD2483" w:rsidRDefault="00BD2483">
        <w:pPr>
          <w:pStyle w:val="Footer"/>
          <w:jc w:val="center"/>
        </w:pPr>
        <w:fldSimple w:instr=" PAGE   \* MERGEFORMAT ">
          <w:r w:rsidR="004911B7">
            <w:rPr>
              <w:noProof/>
            </w:rPr>
            <w:t>120</w:t>
          </w:r>
        </w:fldSimple>
      </w:p>
    </w:sdtContent>
  </w:sdt>
  <w:p w:rsidR="00BD2483" w:rsidRDefault="00BD248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28896"/>
      <w:docPartObj>
        <w:docPartGallery w:val="Page Numbers (Bottom of Page)"/>
        <w:docPartUnique/>
      </w:docPartObj>
    </w:sdtPr>
    <w:sdtContent>
      <w:p w:rsidR="00BD2483" w:rsidRDefault="00BD2483" w:rsidP="00C62F3A">
        <w:pPr>
          <w:pStyle w:val="Footer"/>
        </w:pPr>
        <w:fldSimple w:instr=" PAGE   \* MERGEFORMAT ">
          <w:r w:rsidR="004911B7">
            <w:rPr>
              <w:noProof/>
            </w:rPr>
            <w:t>219</w:t>
          </w:r>
        </w:fldSimple>
      </w:p>
    </w:sdtContent>
  </w:sdt>
  <w:p w:rsidR="00BD2483" w:rsidRDefault="00BD2483" w:rsidP="00C62F3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2758193"/>
      <w:docPartObj>
        <w:docPartGallery w:val="Page Numbers (Bottom of Page)"/>
        <w:docPartUnique/>
      </w:docPartObj>
    </w:sdtPr>
    <w:sdtContent>
      <w:p w:rsidR="00BD2483" w:rsidRDefault="00BD2483">
        <w:pPr>
          <w:pStyle w:val="Footer"/>
          <w:jc w:val="center"/>
        </w:pPr>
        <w:fldSimple w:instr=" PAGE   \* MERGEFORMAT ">
          <w:r w:rsidR="004911B7">
            <w:rPr>
              <w:noProof/>
            </w:rPr>
            <w:t>246</w:t>
          </w:r>
        </w:fldSimple>
      </w:p>
    </w:sdtContent>
  </w:sdt>
  <w:p w:rsidR="00BD2483" w:rsidRDefault="00BD248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7015"/>
      <w:docPartObj>
        <w:docPartGallery w:val="Page Numbers (Bottom of Page)"/>
        <w:docPartUnique/>
      </w:docPartObj>
    </w:sdtPr>
    <w:sdtContent>
      <w:p w:rsidR="00BD2483" w:rsidRDefault="00BD2483" w:rsidP="00B97965">
        <w:pPr>
          <w:pStyle w:val="Footer"/>
        </w:pPr>
        <w:fldSimple w:instr=" PAGE   \* MERGEFORMAT ">
          <w:r w:rsidR="004911B7">
            <w:rPr>
              <w:noProof/>
            </w:rPr>
            <w:t>296</w:t>
          </w:r>
        </w:fldSimple>
      </w:p>
    </w:sdtContent>
  </w:sdt>
  <w:p w:rsidR="00BD2483" w:rsidRDefault="00BD2483" w:rsidP="00B97965">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8817036"/>
      <w:docPartObj>
        <w:docPartGallery w:val="Page Numbers (Bottom of Page)"/>
        <w:docPartUnique/>
      </w:docPartObj>
    </w:sdtPr>
    <w:sdtContent>
      <w:p w:rsidR="00BD2483" w:rsidRDefault="00BD2483">
        <w:pPr>
          <w:pStyle w:val="Footer"/>
          <w:jc w:val="center"/>
        </w:pPr>
        <w:fldSimple w:instr=" PAGE   \* MERGEFORMAT ">
          <w:r w:rsidR="004911B7">
            <w:rPr>
              <w:noProof/>
            </w:rPr>
            <w:t>329</w:t>
          </w:r>
        </w:fldSimple>
      </w:p>
    </w:sdtContent>
  </w:sdt>
  <w:p w:rsidR="00BD2483" w:rsidRDefault="00BD24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2483" w:rsidRDefault="00BD2483" w:rsidP="00675A32">
      <w:r>
        <w:separator/>
      </w:r>
    </w:p>
  </w:footnote>
  <w:footnote w:type="continuationSeparator" w:id="0">
    <w:p w:rsidR="00BD2483" w:rsidRDefault="00BD2483" w:rsidP="00675A32">
      <w:r>
        <w:continuationSeparator/>
      </w:r>
    </w:p>
  </w:footnote>
  <w:footnote w:id="1">
    <w:p w:rsidR="00BD2483" w:rsidRPr="00454A3C" w:rsidRDefault="00BD2483">
      <w:pPr>
        <w:pStyle w:val="FootnoteText"/>
        <w:rPr>
          <w:lang w:val="en-GB"/>
        </w:rPr>
      </w:pPr>
      <w:r>
        <w:rPr>
          <w:rStyle w:val="FootnoteReference"/>
        </w:rPr>
        <w:footnoteRef/>
      </w:r>
      <w:r>
        <w:t xml:space="preserve"> </w:t>
      </w:r>
      <w:r w:rsidRPr="00454A3C">
        <w:t>A is very active disease, B is moderate activity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Pr="00B52A38" w:rsidRDefault="00BD2483" w:rsidP="00A14ADC">
    <w:pPr>
      <w:pStyle w:val="Header"/>
      <w:rPr>
        <w:lang w:bidi="ar-S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Pr="00481F5C" w:rsidRDefault="00BD2483" w:rsidP="00A14ADC">
    <w:pPr>
      <w:tabs>
        <w:tab w:val="left" w:pos="360"/>
        <w:tab w:val="left" w:pos="720"/>
        <w:tab w:val="left" w:pos="1080"/>
      </w:tabs>
      <w:spacing w:after="0" w:afterAutospacing="0" w:line="240" w:lineRule="auto"/>
      <w:rPr>
        <w:rFonts w:eastAsia="Times New Roman" w:cs="Times New Roman"/>
        <w:i/>
        <w:snapToGrid w:val="0"/>
        <w:lang w:bidi="ar-SA"/>
      </w:rPr>
    </w:pPr>
    <w:r w:rsidRPr="00481F5C">
      <w:rPr>
        <w:rFonts w:eastAsia="Times New Roman" w:cs="Times New Roman"/>
        <w:i/>
        <w:snapToGrid w:val="0"/>
        <w:lang w:bidi="ar-SA"/>
      </w:rPr>
      <w:t>Proceedings of the Operational Research Society Simulation Workshop 2012 (SW12)</w:t>
    </w:r>
  </w:p>
  <w:p w:rsidR="00BD2483" w:rsidRDefault="00BD2483" w:rsidP="00A14ADC">
    <w:pPr>
      <w:tabs>
        <w:tab w:val="left" w:pos="360"/>
        <w:tab w:val="left" w:pos="720"/>
        <w:tab w:val="left" w:pos="1080"/>
      </w:tabs>
      <w:spacing w:after="0" w:afterAutospacing="0" w:line="240" w:lineRule="auto"/>
      <w:rPr>
        <w:rFonts w:eastAsia="Times New Roman" w:cs="Times New Roman"/>
        <w:i/>
        <w:snapToGrid w:val="0"/>
        <w:lang w:bidi="ar-SA"/>
      </w:rPr>
    </w:pPr>
    <w:r w:rsidRPr="00481F5C">
      <w:rPr>
        <w:rFonts w:eastAsia="Times New Roman" w:cs="Times New Roman"/>
        <w:i/>
        <w:snapToGrid w:val="0"/>
        <w:lang w:bidi="ar-SA"/>
      </w:rPr>
      <w:t>B.Tjahjono, C. Heavey, S. Onggo, and D-J. van der Zee, eds.</w:t>
    </w:r>
  </w:p>
  <w:p w:rsidR="00BD2483" w:rsidRPr="00481F5C" w:rsidRDefault="00BD2483" w:rsidP="00A14ADC">
    <w:pPr>
      <w:tabs>
        <w:tab w:val="left" w:pos="360"/>
        <w:tab w:val="left" w:pos="720"/>
        <w:tab w:val="left" w:pos="1080"/>
      </w:tabs>
      <w:spacing w:after="0" w:afterAutospacing="0" w:line="240" w:lineRule="auto"/>
      <w:rPr>
        <w:rFonts w:eastAsia="Times New Roman" w:cs="Times New Roman"/>
        <w:i/>
        <w:snapToGrid w:val="0"/>
        <w:lang w:bidi="ar-S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Pr="00462288" w:rsidRDefault="00BD2483" w:rsidP="00B9796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483" w:rsidRPr="00481F5C" w:rsidRDefault="00BD2483" w:rsidP="00B97965">
    <w:pPr>
      <w:tabs>
        <w:tab w:val="left" w:pos="360"/>
        <w:tab w:val="left" w:pos="720"/>
        <w:tab w:val="left" w:pos="1080"/>
      </w:tabs>
      <w:spacing w:after="0" w:afterAutospacing="0" w:line="240" w:lineRule="auto"/>
      <w:rPr>
        <w:rFonts w:eastAsia="Times New Roman" w:cs="Times New Roman"/>
        <w:i/>
        <w:snapToGrid w:val="0"/>
        <w:lang w:bidi="ar-S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E60FAD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4648AF"/>
    <w:multiLevelType w:val="multilevel"/>
    <w:tmpl w:val="C0B682F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98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A63D8D"/>
    <w:multiLevelType w:val="hybridMultilevel"/>
    <w:tmpl w:val="EF2AA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971A0"/>
    <w:multiLevelType w:val="hybridMultilevel"/>
    <w:tmpl w:val="AE208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AC42FE"/>
    <w:multiLevelType w:val="hybridMultilevel"/>
    <w:tmpl w:val="B458458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
    <w:nsid w:val="154D5BD6"/>
    <w:multiLevelType w:val="hybridMultilevel"/>
    <w:tmpl w:val="FF669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70260D4"/>
    <w:multiLevelType w:val="hybridMultilevel"/>
    <w:tmpl w:val="E3E6774C"/>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E93A4A"/>
    <w:multiLevelType w:val="multilevel"/>
    <w:tmpl w:val="05003C60"/>
    <w:lvl w:ilvl="0">
      <w:start w:val="1"/>
      <w:numFmt w:val="decimal"/>
      <w:lvlText w:val="%1."/>
      <w:lvlJc w:val="left"/>
      <w:pPr>
        <w:ind w:left="360" w:hanging="360"/>
      </w:pPr>
      <w:rPr>
        <w:rFonts w:hint="default"/>
        <w:color w:val="FFFFFF" w:themeColor="background1"/>
      </w:rPr>
    </w:lvl>
    <w:lvl w:ilvl="1">
      <w:start w:val="1"/>
      <w:numFmt w:val="decimal"/>
      <w:suff w:val="nothing"/>
      <w:lvlText w:val="(%1.%2)"/>
      <w:lvlJc w:val="right"/>
      <w:pPr>
        <w:ind w:left="0" w:firstLine="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E944643"/>
    <w:multiLevelType w:val="hybridMultilevel"/>
    <w:tmpl w:val="6DB4F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F813E4"/>
    <w:multiLevelType w:val="multilevel"/>
    <w:tmpl w:val="05003C60"/>
    <w:lvl w:ilvl="0">
      <w:start w:val="1"/>
      <w:numFmt w:val="decimal"/>
      <w:lvlText w:val="%1."/>
      <w:lvlJc w:val="left"/>
      <w:pPr>
        <w:ind w:left="360" w:hanging="360"/>
      </w:pPr>
      <w:rPr>
        <w:rFonts w:hint="default"/>
        <w:color w:val="FFFFFF" w:themeColor="background1"/>
      </w:rPr>
    </w:lvl>
    <w:lvl w:ilvl="1">
      <w:start w:val="1"/>
      <w:numFmt w:val="decimal"/>
      <w:suff w:val="nothing"/>
      <w:lvlText w:val="(%1.%2)"/>
      <w:lvlJc w:val="right"/>
      <w:pPr>
        <w:ind w:left="0" w:firstLine="5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41B5119"/>
    <w:multiLevelType w:val="hybridMultilevel"/>
    <w:tmpl w:val="F0A6D86E"/>
    <w:lvl w:ilvl="0" w:tplc="6D921AD4">
      <w:start w:val="5"/>
      <w:numFmt w:val="bullet"/>
      <w:pStyle w:val="StyleBullet1"/>
      <w:lvlText w:val=""/>
      <w:lvlJc w:val="left"/>
      <w:pPr>
        <w:tabs>
          <w:tab w:val="num" w:pos="454"/>
        </w:tabs>
        <w:ind w:left="454" w:hanging="256"/>
      </w:pPr>
      <w:rPr>
        <w:rFonts w:ascii="Symbol" w:hAnsi="Symbol" w:cs="Elephant" w:hint="default"/>
        <w:b w:val="0"/>
        <w:i w:val="0"/>
        <w:color w:val="333333"/>
        <w:sz w:val="21"/>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C7C5A98"/>
    <w:multiLevelType w:val="multilevel"/>
    <w:tmpl w:val="BC7C9BAA"/>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2C863B4E"/>
    <w:multiLevelType w:val="hybridMultilevel"/>
    <w:tmpl w:val="DEB8C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DE5D57"/>
    <w:multiLevelType w:val="hybridMultilevel"/>
    <w:tmpl w:val="44225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A12EFC"/>
    <w:multiLevelType w:val="hybridMultilevel"/>
    <w:tmpl w:val="53C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5E263E"/>
    <w:multiLevelType w:val="hybridMultilevel"/>
    <w:tmpl w:val="B5AE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E2CC1"/>
    <w:multiLevelType w:val="hybridMultilevel"/>
    <w:tmpl w:val="61C8B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5B36E9"/>
    <w:multiLevelType w:val="multilevel"/>
    <w:tmpl w:val="08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4BEB3821"/>
    <w:multiLevelType w:val="hybridMultilevel"/>
    <w:tmpl w:val="0E7AA2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C452DE2"/>
    <w:multiLevelType w:val="hybridMultilevel"/>
    <w:tmpl w:val="DC9CDD1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0">
    <w:nsid w:val="4FFE1607"/>
    <w:multiLevelType w:val="hybridMultilevel"/>
    <w:tmpl w:val="9440C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B4C30E6"/>
    <w:multiLevelType w:val="hybridMultilevel"/>
    <w:tmpl w:val="455891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F4D4755"/>
    <w:multiLevelType w:val="hybridMultilevel"/>
    <w:tmpl w:val="91923202"/>
    <w:lvl w:ilvl="0" w:tplc="5742EC3C">
      <w:start w:val="1"/>
      <w:numFmt w:val="decimal"/>
      <w:lvlText w:val="%1."/>
      <w:lvlJc w:val="left"/>
      <w:pPr>
        <w:ind w:left="720" w:hanging="360"/>
      </w:pPr>
    </w:lvl>
    <w:lvl w:ilvl="1" w:tplc="492A3C46" w:tentative="1">
      <w:start w:val="1"/>
      <w:numFmt w:val="lowerLetter"/>
      <w:lvlText w:val="%2."/>
      <w:lvlJc w:val="left"/>
      <w:pPr>
        <w:ind w:left="1440" w:hanging="360"/>
      </w:pPr>
    </w:lvl>
    <w:lvl w:ilvl="2" w:tplc="C6B4771A" w:tentative="1">
      <w:start w:val="1"/>
      <w:numFmt w:val="lowerRoman"/>
      <w:lvlText w:val="%3."/>
      <w:lvlJc w:val="right"/>
      <w:pPr>
        <w:ind w:left="2160" w:hanging="180"/>
      </w:pPr>
    </w:lvl>
    <w:lvl w:ilvl="3" w:tplc="88C46252" w:tentative="1">
      <w:start w:val="1"/>
      <w:numFmt w:val="decimal"/>
      <w:lvlText w:val="%4."/>
      <w:lvlJc w:val="left"/>
      <w:pPr>
        <w:ind w:left="2880" w:hanging="360"/>
      </w:pPr>
    </w:lvl>
    <w:lvl w:ilvl="4" w:tplc="7B2001BE" w:tentative="1">
      <w:start w:val="1"/>
      <w:numFmt w:val="lowerLetter"/>
      <w:lvlText w:val="%5."/>
      <w:lvlJc w:val="left"/>
      <w:pPr>
        <w:ind w:left="3600" w:hanging="360"/>
      </w:pPr>
    </w:lvl>
    <w:lvl w:ilvl="5" w:tplc="2CEE1A32" w:tentative="1">
      <w:start w:val="1"/>
      <w:numFmt w:val="lowerRoman"/>
      <w:lvlText w:val="%6."/>
      <w:lvlJc w:val="right"/>
      <w:pPr>
        <w:ind w:left="4320" w:hanging="180"/>
      </w:pPr>
    </w:lvl>
    <w:lvl w:ilvl="6" w:tplc="6B145FC2" w:tentative="1">
      <w:start w:val="1"/>
      <w:numFmt w:val="decimal"/>
      <w:lvlText w:val="%7."/>
      <w:lvlJc w:val="left"/>
      <w:pPr>
        <w:ind w:left="5040" w:hanging="360"/>
      </w:pPr>
    </w:lvl>
    <w:lvl w:ilvl="7" w:tplc="F4D096E2" w:tentative="1">
      <w:start w:val="1"/>
      <w:numFmt w:val="lowerLetter"/>
      <w:lvlText w:val="%8."/>
      <w:lvlJc w:val="left"/>
      <w:pPr>
        <w:ind w:left="5760" w:hanging="360"/>
      </w:pPr>
    </w:lvl>
    <w:lvl w:ilvl="8" w:tplc="FEF6C23A" w:tentative="1">
      <w:start w:val="1"/>
      <w:numFmt w:val="lowerRoman"/>
      <w:lvlText w:val="%9."/>
      <w:lvlJc w:val="right"/>
      <w:pPr>
        <w:ind w:left="6480" w:hanging="180"/>
      </w:pPr>
    </w:lvl>
  </w:abstractNum>
  <w:abstractNum w:abstractNumId="23">
    <w:nsid w:val="6C23521F"/>
    <w:multiLevelType w:val="hybridMultilevel"/>
    <w:tmpl w:val="7B7CD5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5D65E3"/>
    <w:multiLevelType w:val="hybridMultilevel"/>
    <w:tmpl w:val="E92A7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D8D073E"/>
    <w:multiLevelType w:val="hybridMultilevel"/>
    <w:tmpl w:val="04C8E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E1E514B"/>
    <w:multiLevelType w:val="hybridMultilevel"/>
    <w:tmpl w:val="F272B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655713"/>
    <w:multiLevelType w:val="multilevel"/>
    <w:tmpl w:val="0809001D"/>
    <w:styleLink w:val="Style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010559A"/>
    <w:multiLevelType w:val="hybridMultilevel"/>
    <w:tmpl w:val="77D24B54"/>
    <w:lvl w:ilvl="0" w:tplc="EB469B8C">
      <w:start w:val="1"/>
      <w:numFmt w:val="decimal"/>
      <w:lvlText w:val="%1."/>
      <w:lvlJc w:val="left"/>
      <w:pPr>
        <w:ind w:left="720" w:hanging="360"/>
      </w:pPr>
    </w:lvl>
    <w:lvl w:ilvl="1" w:tplc="C4E4E5FC" w:tentative="1">
      <w:start w:val="1"/>
      <w:numFmt w:val="lowerLetter"/>
      <w:lvlText w:val="%2."/>
      <w:lvlJc w:val="left"/>
      <w:pPr>
        <w:ind w:left="1440" w:hanging="360"/>
      </w:pPr>
    </w:lvl>
    <w:lvl w:ilvl="2" w:tplc="90E4E96C" w:tentative="1">
      <w:start w:val="1"/>
      <w:numFmt w:val="lowerRoman"/>
      <w:lvlText w:val="%3."/>
      <w:lvlJc w:val="right"/>
      <w:pPr>
        <w:ind w:left="2160" w:hanging="180"/>
      </w:pPr>
    </w:lvl>
    <w:lvl w:ilvl="3" w:tplc="56682EAA" w:tentative="1">
      <w:start w:val="1"/>
      <w:numFmt w:val="decimal"/>
      <w:lvlText w:val="%4."/>
      <w:lvlJc w:val="left"/>
      <w:pPr>
        <w:ind w:left="2880" w:hanging="360"/>
      </w:pPr>
    </w:lvl>
    <w:lvl w:ilvl="4" w:tplc="97426958" w:tentative="1">
      <w:start w:val="1"/>
      <w:numFmt w:val="lowerLetter"/>
      <w:lvlText w:val="%5."/>
      <w:lvlJc w:val="left"/>
      <w:pPr>
        <w:ind w:left="3600" w:hanging="360"/>
      </w:pPr>
    </w:lvl>
    <w:lvl w:ilvl="5" w:tplc="E398C968" w:tentative="1">
      <w:start w:val="1"/>
      <w:numFmt w:val="lowerRoman"/>
      <w:lvlText w:val="%6."/>
      <w:lvlJc w:val="right"/>
      <w:pPr>
        <w:ind w:left="4320" w:hanging="180"/>
      </w:pPr>
    </w:lvl>
    <w:lvl w:ilvl="6" w:tplc="0FDA97EC" w:tentative="1">
      <w:start w:val="1"/>
      <w:numFmt w:val="decimal"/>
      <w:lvlText w:val="%7."/>
      <w:lvlJc w:val="left"/>
      <w:pPr>
        <w:ind w:left="5040" w:hanging="360"/>
      </w:pPr>
    </w:lvl>
    <w:lvl w:ilvl="7" w:tplc="E738EA44" w:tentative="1">
      <w:start w:val="1"/>
      <w:numFmt w:val="lowerLetter"/>
      <w:lvlText w:val="%8."/>
      <w:lvlJc w:val="left"/>
      <w:pPr>
        <w:ind w:left="5760" w:hanging="360"/>
      </w:pPr>
    </w:lvl>
    <w:lvl w:ilvl="8" w:tplc="C764C1BE" w:tentative="1">
      <w:start w:val="1"/>
      <w:numFmt w:val="lowerRoman"/>
      <w:lvlText w:val="%9."/>
      <w:lvlJc w:val="right"/>
      <w:pPr>
        <w:ind w:left="6480" w:hanging="180"/>
      </w:pPr>
    </w:lvl>
  </w:abstractNum>
  <w:abstractNum w:abstractNumId="29">
    <w:nsid w:val="70D32A48"/>
    <w:multiLevelType w:val="hybridMultilevel"/>
    <w:tmpl w:val="FB54722C"/>
    <w:lvl w:ilvl="0" w:tplc="0809000F">
      <w:start w:val="1"/>
      <w:numFmt w:val="decimal"/>
      <w:pStyle w:val="Bijlage"/>
      <w:lvlText w:val="Bijlage %1"/>
      <w:lvlJc w:val="left"/>
      <w:pPr>
        <w:tabs>
          <w:tab w:val="num" w:pos="1800"/>
        </w:tabs>
        <w:ind w:left="720" w:hanging="720"/>
      </w:pPr>
      <w:rPr>
        <w:rFonts w:ascii="Eras Medium ITC" w:hAnsi="Eras Medium ITC" w:hint="default"/>
        <w:b w:val="0"/>
        <w:i w:val="0"/>
        <w:color w:val="006487"/>
        <w:szCs w:val="3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0EA0CFB"/>
    <w:multiLevelType w:val="hybridMultilevel"/>
    <w:tmpl w:val="456E03F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
    <w:nsid w:val="765D2845"/>
    <w:multiLevelType w:val="hybridMultilevel"/>
    <w:tmpl w:val="1BC4A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047D30"/>
    <w:multiLevelType w:val="hybridMultilevel"/>
    <w:tmpl w:val="CDF83B9A"/>
    <w:lvl w:ilvl="0" w:tplc="08090001">
      <w:start w:val="1"/>
      <w:numFmt w:val="bullet"/>
      <w:lvlRestart w:val="0"/>
      <w:pStyle w:val="StyleBullet2"/>
      <w:lvlText w:val="-"/>
      <w:lvlJc w:val="left"/>
      <w:pPr>
        <w:tabs>
          <w:tab w:val="num" w:pos="737"/>
        </w:tabs>
        <w:ind w:left="737" w:hanging="283"/>
      </w:pPr>
      <w:rPr>
        <w:rFonts w:ascii="Arial" w:hAnsi="Arial" w:hint="default"/>
        <w:b w:val="0"/>
        <w:i w:val="0"/>
        <w:color w:val="333333"/>
        <w:sz w:val="21"/>
        <w:u w:val="none"/>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C5064E9"/>
    <w:multiLevelType w:val="multilevel"/>
    <w:tmpl w:val="080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E194A68"/>
    <w:multiLevelType w:val="hybridMultilevel"/>
    <w:tmpl w:val="74904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FED05C6"/>
    <w:multiLevelType w:val="hybridMultilevel"/>
    <w:tmpl w:val="697AE7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0"/>
  </w:num>
  <w:num w:numId="3">
    <w:abstractNumId w:val="20"/>
  </w:num>
  <w:num w:numId="4">
    <w:abstractNumId w:val="12"/>
  </w:num>
  <w:num w:numId="5">
    <w:abstractNumId w:val="34"/>
  </w:num>
  <w:num w:numId="6">
    <w:abstractNumId w:val="16"/>
  </w:num>
  <w:num w:numId="7">
    <w:abstractNumId w:val="19"/>
  </w:num>
  <w:num w:numId="8">
    <w:abstractNumId w:val="15"/>
  </w:num>
  <w:num w:numId="9">
    <w:abstractNumId w:val="8"/>
  </w:num>
  <w:num w:numId="10">
    <w:abstractNumId w:val="2"/>
  </w:num>
  <w:num w:numId="11">
    <w:abstractNumId w:val="31"/>
  </w:num>
  <w:num w:numId="12">
    <w:abstractNumId w:val="14"/>
  </w:num>
  <w:num w:numId="13">
    <w:abstractNumId w:val="23"/>
  </w:num>
  <w:num w:numId="14">
    <w:abstractNumId w:val="18"/>
  </w:num>
  <w:num w:numId="15">
    <w:abstractNumId w:val="29"/>
  </w:num>
  <w:num w:numId="16">
    <w:abstractNumId w:val="10"/>
  </w:num>
  <w:num w:numId="17">
    <w:abstractNumId w:val="32"/>
  </w:num>
  <w:num w:numId="18">
    <w:abstractNumId w:val="6"/>
  </w:num>
  <w:num w:numId="19">
    <w:abstractNumId w:val="3"/>
  </w:num>
  <w:num w:numId="20">
    <w:abstractNumId w:val="28"/>
  </w:num>
  <w:num w:numId="21">
    <w:abstractNumId w:val="30"/>
  </w:num>
  <w:num w:numId="22">
    <w:abstractNumId w:val="17"/>
  </w:num>
  <w:num w:numId="23">
    <w:abstractNumId w:val="33"/>
  </w:num>
  <w:num w:numId="24">
    <w:abstractNumId w:val="27"/>
  </w:num>
  <w:num w:numId="25">
    <w:abstractNumId w:val="5"/>
  </w:num>
  <w:num w:numId="26">
    <w:abstractNumId w:val="35"/>
  </w:num>
  <w:num w:numId="27">
    <w:abstractNumId w:val="24"/>
  </w:num>
  <w:num w:numId="28">
    <w:abstractNumId w:val="25"/>
  </w:num>
  <w:num w:numId="29">
    <w:abstractNumId w:val="1"/>
  </w:num>
  <w:num w:numId="30">
    <w:abstractNumId w:val="9"/>
  </w:num>
  <w:num w:numId="31">
    <w:abstractNumId w:val="4"/>
  </w:num>
  <w:num w:numId="32">
    <w:abstractNumId w:val="7"/>
  </w:num>
  <w:num w:numId="33">
    <w:abstractNumId w:val="26"/>
  </w:num>
  <w:num w:numId="34">
    <w:abstractNumId w:val="13"/>
  </w:num>
  <w:num w:numId="35">
    <w:abstractNumId w:val="22"/>
  </w:num>
  <w:num w:numId="36">
    <w:abstractNumId w:val="2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mirrorMargins/>
  <w:stylePaneFormatFilter w:val="3F01"/>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useFELayout/>
  </w:compat>
  <w:docVars>
    <w:docVar w:name="REFMGR.InstantFormat" w:val="&lt;InstantFormat&gt;&lt;Enabled&gt;1&lt;/Enabled&gt;&lt;ScanUnformatted&gt;1&lt;/ScanUnformatted&gt;&lt;ScanChanges&gt;1&lt;/ScanChanges&gt;&lt;/InstantFormat&gt;"/>
    <w:docVar w:name="REFMGR.Layout" w:val="&lt;Layout&gt;&lt;StartingRefnum&gt;Vancouver&lt;/StartingRefnum&gt;&lt;FontName&gt;Times New Roman&lt;/FontName&gt;&lt;FontSize&gt;9&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hapter - literature&lt;/item&gt;&lt;item&gt;Value based pricing&lt;/item&gt;&lt;item&gt;Natural history&lt;/item&gt;&lt;/Libraries&gt;&lt;/Databases&gt;"/>
  </w:docVars>
  <w:rsids>
    <w:rsidRoot w:val="006E6170"/>
    <w:rsid w:val="000004C3"/>
    <w:rsid w:val="00000AE8"/>
    <w:rsid w:val="000012D7"/>
    <w:rsid w:val="00004149"/>
    <w:rsid w:val="00006994"/>
    <w:rsid w:val="00011785"/>
    <w:rsid w:val="00012363"/>
    <w:rsid w:val="0001358D"/>
    <w:rsid w:val="00013F38"/>
    <w:rsid w:val="000147FD"/>
    <w:rsid w:val="000151C2"/>
    <w:rsid w:val="000155FF"/>
    <w:rsid w:val="00015744"/>
    <w:rsid w:val="000167EE"/>
    <w:rsid w:val="00016DBF"/>
    <w:rsid w:val="00016F0E"/>
    <w:rsid w:val="00017D46"/>
    <w:rsid w:val="00020BB5"/>
    <w:rsid w:val="0002162E"/>
    <w:rsid w:val="000218B5"/>
    <w:rsid w:val="0002250E"/>
    <w:rsid w:val="000240FA"/>
    <w:rsid w:val="0002414E"/>
    <w:rsid w:val="00024A09"/>
    <w:rsid w:val="00025071"/>
    <w:rsid w:val="00025CCF"/>
    <w:rsid w:val="00027C1C"/>
    <w:rsid w:val="00030045"/>
    <w:rsid w:val="000300D1"/>
    <w:rsid w:val="000317B4"/>
    <w:rsid w:val="00032B96"/>
    <w:rsid w:val="000338D8"/>
    <w:rsid w:val="00033D17"/>
    <w:rsid w:val="00033F8F"/>
    <w:rsid w:val="0003707E"/>
    <w:rsid w:val="00040FEE"/>
    <w:rsid w:val="00041032"/>
    <w:rsid w:val="00041667"/>
    <w:rsid w:val="000435DA"/>
    <w:rsid w:val="000454F1"/>
    <w:rsid w:val="000467E3"/>
    <w:rsid w:val="0004687B"/>
    <w:rsid w:val="00046A90"/>
    <w:rsid w:val="000471C4"/>
    <w:rsid w:val="000475B3"/>
    <w:rsid w:val="00051BDD"/>
    <w:rsid w:val="00052298"/>
    <w:rsid w:val="00053E69"/>
    <w:rsid w:val="00055965"/>
    <w:rsid w:val="00056EC6"/>
    <w:rsid w:val="00057059"/>
    <w:rsid w:val="00057ACC"/>
    <w:rsid w:val="00057E07"/>
    <w:rsid w:val="00060834"/>
    <w:rsid w:val="00061272"/>
    <w:rsid w:val="000619A9"/>
    <w:rsid w:val="00062477"/>
    <w:rsid w:val="00062B89"/>
    <w:rsid w:val="0006429A"/>
    <w:rsid w:val="00064701"/>
    <w:rsid w:val="00065169"/>
    <w:rsid w:val="00065519"/>
    <w:rsid w:val="000656A4"/>
    <w:rsid w:val="00065716"/>
    <w:rsid w:val="00066FF6"/>
    <w:rsid w:val="0007028E"/>
    <w:rsid w:val="00071BF5"/>
    <w:rsid w:val="00071D4B"/>
    <w:rsid w:val="000728E4"/>
    <w:rsid w:val="00073426"/>
    <w:rsid w:val="000738E7"/>
    <w:rsid w:val="000739B4"/>
    <w:rsid w:val="00073A10"/>
    <w:rsid w:val="00074794"/>
    <w:rsid w:val="00074FF4"/>
    <w:rsid w:val="0007792E"/>
    <w:rsid w:val="000801F6"/>
    <w:rsid w:val="000802AD"/>
    <w:rsid w:val="00085865"/>
    <w:rsid w:val="00085BC4"/>
    <w:rsid w:val="00086507"/>
    <w:rsid w:val="00086E62"/>
    <w:rsid w:val="00087603"/>
    <w:rsid w:val="00091648"/>
    <w:rsid w:val="0009469A"/>
    <w:rsid w:val="000958D5"/>
    <w:rsid w:val="00095B04"/>
    <w:rsid w:val="0009678F"/>
    <w:rsid w:val="00097172"/>
    <w:rsid w:val="00097A11"/>
    <w:rsid w:val="000A1491"/>
    <w:rsid w:val="000A17AE"/>
    <w:rsid w:val="000A1CF1"/>
    <w:rsid w:val="000A3E66"/>
    <w:rsid w:val="000A3F23"/>
    <w:rsid w:val="000A403C"/>
    <w:rsid w:val="000A5145"/>
    <w:rsid w:val="000A5548"/>
    <w:rsid w:val="000A62A0"/>
    <w:rsid w:val="000B03B4"/>
    <w:rsid w:val="000B0EDB"/>
    <w:rsid w:val="000B11EB"/>
    <w:rsid w:val="000B2FB7"/>
    <w:rsid w:val="000B3244"/>
    <w:rsid w:val="000B38F7"/>
    <w:rsid w:val="000B7C6E"/>
    <w:rsid w:val="000C4D78"/>
    <w:rsid w:val="000C5643"/>
    <w:rsid w:val="000D1923"/>
    <w:rsid w:val="000D1B76"/>
    <w:rsid w:val="000D2556"/>
    <w:rsid w:val="000D29D8"/>
    <w:rsid w:val="000D35EC"/>
    <w:rsid w:val="000D67BA"/>
    <w:rsid w:val="000D6DC4"/>
    <w:rsid w:val="000E0AEC"/>
    <w:rsid w:val="000E0C32"/>
    <w:rsid w:val="000E121A"/>
    <w:rsid w:val="000E1854"/>
    <w:rsid w:val="000E4F72"/>
    <w:rsid w:val="000E5284"/>
    <w:rsid w:val="000E5A8B"/>
    <w:rsid w:val="000E6712"/>
    <w:rsid w:val="000E7B35"/>
    <w:rsid w:val="000E7BC1"/>
    <w:rsid w:val="000E7F9A"/>
    <w:rsid w:val="000F0B2C"/>
    <w:rsid w:val="000F3AB2"/>
    <w:rsid w:val="000F3DFF"/>
    <w:rsid w:val="000F4AA8"/>
    <w:rsid w:val="000F5151"/>
    <w:rsid w:val="000F6DFC"/>
    <w:rsid w:val="000F72CB"/>
    <w:rsid w:val="000F7346"/>
    <w:rsid w:val="000F7F47"/>
    <w:rsid w:val="00100A9A"/>
    <w:rsid w:val="00101282"/>
    <w:rsid w:val="0010134B"/>
    <w:rsid w:val="00101F71"/>
    <w:rsid w:val="00102200"/>
    <w:rsid w:val="00103A65"/>
    <w:rsid w:val="00104356"/>
    <w:rsid w:val="00107300"/>
    <w:rsid w:val="0010755B"/>
    <w:rsid w:val="0010795A"/>
    <w:rsid w:val="001104C8"/>
    <w:rsid w:val="0011212E"/>
    <w:rsid w:val="001127DA"/>
    <w:rsid w:val="0011296E"/>
    <w:rsid w:val="0011462F"/>
    <w:rsid w:val="0011486C"/>
    <w:rsid w:val="001154DB"/>
    <w:rsid w:val="001155AD"/>
    <w:rsid w:val="00116968"/>
    <w:rsid w:val="00117265"/>
    <w:rsid w:val="001207A3"/>
    <w:rsid w:val="00121186"/>
    <w:rsid w:val="001226DD"/>
    <w:rsid w:val="001239C1"/>
    <w:rsid w:val="001239C9"/>
    <w:rsid w:val="00125CFE"/>
    <w:rsid w:val="00126BF2"/>
    <w:rsid w:val="00126F50"/>
    <w:rsid w:val="001270C4"/>
    <w:rsid w:val="00127A58"/>
    <w:rsid w:val="001307A5"/>
    <w:rsid w:val="00131DA1"/>
    <w:rsid w:val="00132F8C"/>
    <w:rsid w:val="00133105"/>
    <w:rsid w:val="0013370E"/>
    <w:rsid w:val="00134F56"/>
    <w:rsid w:val="0013509E"/>
    <w:rsid w:val="00135FEC"/>
    <w:rsid w:val="001361D7"/>
    <w:rsid w:val="00136704"/>
    <w:rsid w:val="00140815"/>
    <w:rsid w:val="00143BFE"/>
    <w:rsid w:val="00143E52"/>
    <w:rsid w:val="00146EFA"/>
    <w:rsid w:val="00147F1C"/>
    <w:rsid w:val="0015321E"/>
    <w:rsid w:val="001547ED"/>
    <w:rsid w:val="001551E9"/>
    <w:rsid w:val="00157A9F"/>
    <w:rsid w:val="001614AE"/>
    <w:rsid w:val="001637E4"/>
    <w:rsid w:val="00163DB0"/>
    <w:rsid w:val="00164F92"/>
    <w:rsid w:val="0016510D"/>
    <w:rsid w:val="00165850"/>
    <w:rsid w:val="00166E7A"/>
    <w:rsid w:val="0016789D"/>
    <w:rsid w:val="00167AA5"/>
    <w:rsid w:val="00170207"/>
    <w:rsid w:val="001702FC"/>
    <w:rsid w:val="00170DBC"/>
    <w:rsid w:val="0017698C"/>
    <w:rsid w:val="00177DE6"/>
    <w:rsid w:val="00177FD7"/>
    <w:rsid w:val="00183081"/>
    <w:rsid w:val="00190C8A"/>
    <w:rsid w:val="00193D63"/>
    <w:rsid w:val="00194259"/>
    <w:rsid w:val="0019532D"/>
    <w:rsid w:val="0019561E"/>
    <w:rsid w:val="001A02BB"/>
    <w:rsid w:val="001A0445"/>
    <w:rsid w:val="001A1071"/>
    <w:rsid w:val="001A1541"/>
    <w:rsid w:val="001A1797"/>
    <w:rsid w:val="001A1A3C"/>
    <w:rsid w:val="001A23A1"/>
    <w:rsid w:val="001A4AA9"/>
    <w:rsid w:val="001A5046"/>
    <w:rsid w:val="001B0D83"/>
    <w:rsid w:val="001B1FD3"/>
    <w:rsid w:val="001B26F1"/>
    <w:rsid w:val="001B48CE"/>
    <w:rsid w:val="001B4DC5"/>
    <w:rsid w:val="001B5162"/>
    <w:rsid w:val="001B7148"/>
    <w:rsid w:val="001B76D2"/>
    <w:rsid w:val="001B7B77"/>
    <w:rsid w:val="001C0467"/>
    <w:rsid w:val="001C1314"/>
    <w:rsid w:val="001C26F1"/>
    <w:rsid w:val="001C3490"/>
    <w:rsid w:val="001C46DD"/>
    <w:rsid w:val="001C595C"/>
    <w:rsid w:val="001C6FC1"/>
    <w:rsid w:val="001C72E7"/>
    <w:rsid w:val="001D0663"/>
    <w:rsid w:val="001D0CA4"/>
    <w:rsid w:val="001D0EBE"/>
    <w:rsid w:val="001D206F"/>
    <w:rsid w:val="001D20D0"/>
    <w:rsid w:val="001D3083"/>
    <w:rsid w:val="001D383F"/>
    <w:rsid w:val="001D42D0"/>
    <w:rsid w:val="001D4774"/>
    <w:rsid w:val="001D58E4"/>
    <w:rsid w:val="001D6628"/>
    <w:rsid w:val="001D6F9A"/>
    <w:rsid w:val="001D7274"/>
    <w:rsid w:val="001D79B4"/>
    <w:rsid w:val="001D7D54"/>
    <w:rsid w:val="001E1EB6"/>
    <w:rsid w:val="001E21C1"/>
    <w:rsid w:val="001E3503"/>
    <w:rsid w:val="001E6C97"/>
    <w:rsid w:val="001E7D3A"/>
    <w:rsid w:val="001F1AD6"/>
    <w:rsid w:val="001F3AFF"/>
    <w:rsid w:val="001F552E"/>
    <w:rsid w:val="001F5CE8"/>
    <w:rsid w:val="001F5F63"/>
    <w:rsid w:val="001F709F"/>
    <w:rsid w:val="001F746E"/>
    <w:rsid w:val="0020040A"/>
    <w:rsid w:val="00200793"/>
    <w:rsid w:val="00200D73"/>
    <w:rsid w:val="0020147D"/>
    <w:rsid w:val="00202611"/>
    <w:rsid w:val="00204C56"/>
    <w:rsid w:val="00206C7D"/>
    <w:rsid w:val="00206D50"/>
    <w:rsid w:val="00210698"/>
    <w:rsid w:val="002106C2"/>
    <w:rsid w:val="00211B2E"/>
    <w:rsid w:val="00211DD2"/>
    <w:rsid w:val="00212100"/>
    <w:rsid w:val="002134A8"/>
    <w:rsid w:val="002137C9"/>
    <w:rsid w:val="0021424F"/>
    <w:rsid w:val="00214F67"/>
    <w:rsid w:val="00215CDD"/>
    <w:rsid w:val="00216958"/>
    <w:rsid w:val="0021782B"/>
    <w:rsid w:val="00220EF0"/>
    <w:rsid w:val="0022107B"/>
    <w:rsid w:val="00221DD6"/>
    <w:rsid w:val="00223644"/>
    <w:rsid w:val="00223CD6"/>
    <w:rsid w:val="00223E9C"/>
    <w:rsid w:val="00224D46"/>
    <w:rsid w:val="002251C6"/>
    <w:rsid w:val="002273DA"/>
    <w:rsid w:val="00230A81"/>
    <w:rsid w:val="00230E6B"/>
    <w:rsid w:val="0023227A"/>
    <w:rsid w:val="0023236E"/>
    <w:rsid w:val="00233257"/>
    <w:rsid w:val="00234693"/>
    <w:rsid w:val="002367E4"/>
    <w:rsid w:val="00236C8F"/>
    <w:rsid w:val="00236FFC"/>
    <w:rsid w:val="00244577"/>
    <w:rsid w:val="00246498"/>
    <w:rsid w:val="00250468"/>
    <w:rsid w:val="0025087F"/>
    <w:rsid w:val="00254786"/>
    <w:rsid w:val="00254891"/>
    <w:rsid w:val="0025499F"/>
    <w:rsid w:val="002564E9"/>
    <w:rsid w:val="002566B5"/>
    <w:rsid w:val="00256B42"/>
    <w:rsid w:val="002571DC"/>
    <w:rsid w:val="00257A05"/>
    <w:rsid w:val="00257F2E"/>
    <w:rsid w:val="002601F3"/>
    <w:rsid w:val="00260870"/>
    <w:rsid w:val="002622B6"/>
    <w:rsid w:val="002623ED"/>
    <w:rsid w:val="002626BD"/>
    <w:rsid w:val="00264A2E"/>
    <w:rsid w:val="00267051"/>
    <w:rsid w:val="002706AC"/>
    <w:rsid w:val="00271141"/>
    <w:rsid w:val="002724AC"/>
    <w:rsid w:val="002733FB"/>
    <w:rsid w:val="002737EE"/>
    <w:rsid w:val="00274DBD"/>
    <w:rsid w:val="00275114"/>
    <w:rsid w:val="00275EFA"/>
    <w:rsid w:val="0027616B"/>
    <w:rsid w:val="002826BE"/>
    <w:rsid w:val="002826EE"/>
    <w:rsid w:val="00284C61"/>
    <w:rsid w:val="00284C9E"/>
    <w:rsid w:val="00284F2E"/>
    <w:rsid w:val="00285A91"/>
    <w:rsid w:val="00285D92"/>
    <w:rsid w:val="00286613"/>
    <w:rsid w:val="00287473"/>
    <w:rsid w:val="00287661"/>
    <w:rsid w:val="00290F24"/>
    <w:rsid w:val="00292B11"/>
    <w:rsid w:val="00293B27"/>
    <w:rsid w:val="0029420F"/>
    <w:rsid w:val="002963D3"/>
    <w:rsid w:val="002966AE"/>
    <w:rsid w:val="00296CE2"/>
    <w:rsid w:val="00296DCE"/>
    <w:rsid w:val="00297C4C"/>
    <w:rsid w:val="002A0788"/>
    <w:rsid w:val="002A0DB8"/>
    <w:rsid w:val="002A0F3D"/>
    <w:rsid w:val="002A1315"/>
    <w:rsid w:val="002A2E3A"/>
    <w:rsid w:val="002A301C"/>
    <w:rsid w:val="002A303F"/>
    <w:rsid w:val="002A4502"/>
    <w:rsid w:val="002A7925"/>
    <w:rsid w:val="002B03DE"/>
    <w:rsid w:val="002B0C8F"/>
    <w:rsid w:val="002B147C"/>
    <w:rsid w:val="002B187D"/>
    <w:rsid w:val="002B28EB"/>
    <w:rsid w:val="002B300E"/>
    <w:rsid w:val="002B3518"/>
    <w:rsid w:val="002B5A58"/>
    <w:rsid w:val="002B5C9D"/>
    <w:rsid w:val="002B7666"/>
    <w:rsid w:val="002C1547"/>
    <w:rsid w:val="002C2EB3"/>
    <w:rsid w:val="002C404F"/>
    <w:rsid w:val="002C60BB"/>
    <w:rsid w:val="002C732B"/>
    <w:rsid w:val="002D2728"/>
    <w:rsid w:val="002D3F66"/>
    <w:rsid w:val="002D4392"/>
    <w:rsid w:val="002D62B0"/>
    <w:rsid w:val="002D7181"/>
    <w:rsid w:val="002D772C"/>
    <w:rsid w:val="002D7B40"/>
    <w:rsid w:val="002E0E43"/>
    <w:rsid w:val="002E1550"/>
    <w:rsid w:val="002E42F6"/>
    <w:rsid w:val="002E50E9"/>
    <w:rsid w:val="002E6AD5"/>
    <w:rsid w:val="002E7F8A"/>
    <w:rsid w:val="002F176B"/>
    <w:rsid w:val="002F1C54"/>
    <w:rsid w:val="002F3FE1"/>
    <w:rsid w:val="002F424A"/>
    <w:rsid w:val="002F5523"/>
    <w:rsid w:val="002F605F"/>
    <w:rsid w:val="002F68F8"/>
    <w:rsid w:val="002F7724"/>
    <w:rsid w:val="002F7BF2"/>
    <w:rsid w:val="00301852"/>
    <w:rsid w:val="00301E96"/>
    <w:rsid w:val="00304391"/>
    <w:rsid w:val="003048AB"/>
    <w:rsid w:val="003072E4"/>
    <w:rsid w:val="0030783F"/>
    <w:rsid w:val="00307891"/>
    <w:rsid w:val="003106AD"/>
    <w:rsid w:val="00312C40"/>
    <w:rsid w:val="00312DB9"/>
    <w:rsid w:val="00313C99"/>
    <w:rsid w:val="003152D3"/>
    <w:rsid w:val="00316EDF"/>
    <w:rsid w:val="0031734F"/>
    <w:rsid w:val="003178FD"/>
    <w:rsid w:val="003179B4"/>
    <w:rsid w:val="0032007F"/>
    <w:rsid w:val="00320846"/>
    <w:rsid w:val="00326182"/>
    <w:rsid w:val="00326554"/>
    <w:rsid w:val="0032743E"/>
    <w:rsid w:val="00327887"/>
    <w:rsid w:val="00327F97"/>
    <w:rsid w:val="003334C6"/>
    <w:rsid w:val="00333AA1"/>
    <w:rsid w:val="00335158"/>
    <w:rsid w:val="0033649C"/>
    <w:rsid w:val="0033661C"/>
    <w:rsid w:val="00340319"/>
    <w:rsid w:val="0034075F"/>
    <w:rsid w:val="00341800"/>
    <w:rsid w:val="0034303C"/>
    <w:rsid w:val="003443C3"/>
    <w:rsid w:val="00344A47"/>
    <w:rsid w:val="003462F7"/>
    <w:rsid w:val="00346E4A"/>
    <w:rsid w:val="00347F12"/>
    <w:rsid w:val="003512CC"/>
    <w:rsid w:val="00351BBA"/>
    <w:rsid w:val="003536A7"/>
    <w:rsid w:val="0035507B"/>
    <w:rsid w:val="003560D9"/>
    <w:rsid w:val="00356513"/>
    <w:rsid w:val="003573B3"/>
    <w:rsid w:val="003608E3"/>
    <w:rsid w:val="003616DA"/>
    <w:rsid w:val="00361E25"/>
    <w:rsid w:val="00361E36"/>
    <w:rsid w:val="003622F6"/>
    <w:rsid w:val="00363F45"/>
    <w:rsid w:val="00363F97"/>
    <w:rsid w:val="003647A1"/>
    <w:rsid w:val="00365003"/>
    <w:rsid w:val="00366847"/>
    <w:rsid w:val="00367A30"/>
    <w:rsid w:val="003707CD"/>
    <w:rsid w:val="0037297C"/>
    <w:rsid w:val="00372BCF"/>
    <w:rsid w:val="00373353"/>
    <w:rsid w:val="0037358A"/>
    <w:rsid w:val="003746CD"/>
    <w:rsid w:val="00375486"/>
    <w:rsid w:val="00375DFB"/>
    <w:rsid w:val="00375E4E"/>
    <w:rsid w:val="00376EA1"/>
    <w:rsid w:val="003800F9"/>
    <w:rsid w:val="0038051B"/>
    <w:rsid w:val="00380E11"/>
    <w:rsid w:val="00382420"/>
    <w:rsid w:val="0038309D"/>
    <w:rsid w:val="00386852"/>
    <w:rsid w:val="00390874"/>
    <w:rsid w:val="00390DC7"/>
    <w:rsid w:val="00391D58"/>
    <w:rsid w:val="00391E98"/>
    <w:rsid w:val="00392091"/>
    <w:rsid w:val="003931F3"/>
    <w:rsid w:val="00394283"/>
    <w:rsid w:val="00395180"/>
    <w:rsid w:val="00395ED8"/>
    <w:rsid w:val="00396982"/>
    <w:rsid w:val="00396E04"/>
    <w:rsid w:val="00397582"/>
    <w:rsid w:val="003A1462"/>
    <w:rsid w:val="003A4399"/>
    <w:rsid w:val="003A6CA1"/>
    <w:rsid w:val="003A743B"/>
    <w:rsid w:val="003B0428"/>
    <w:rsid w:val="003B07ED"/>
    <w:rsid w:val="003B0B2A"/>
    <w:rsid w:val="003B0DE7"/>
    <w:rsid w:val="003B1246"/>
    <w:rsid w:val="003B2476"/>
    <w:rsid w:val="003B276F"/>
    <w:rsid w:val="003B3697"/>
    <w:rsid w:val="003B608F"/>
    <w:rsid w:val="003B68F2"/>
    <w:rsid w:val="003B6ABD"/>
    <w:rsid w:val="003B7004"/>
    <w:rsid w:val="003B7EB9"/>
    <w:rsid w:val="003C017E"/>
    <w:rsid w:val="003C12AA"/>
    <w:rsid w:val="003C5853"/>
    <w:rsid w:val="003C5ACA"/>
    <w:rsid w:val="003D21FA"/>
    <w:rsid w:val="003D3053"/>
    <w:rsid w:val="003D6EAE"/>
    <w:rsid w:val="003D6EC0"/>
    <w:rsid w:val="003D74C3"/>
    <w:rsid w:val="003D77CE"/>
    <w:rsid w:val="003E1773"/>
    <w:rsid w:val="003E4435"/>
    <w:rsid w:val="003E7038"/>
    <w:rsid w:val="003F0393"/>
    <w:rsid w:val="003F1032"/>
    <w:rsid w:val="003F6504"/>
    <w:rsid w:val="003F7FF1"/>
    <w:rsid w:val="00400430"/>
    <w:rsid w:val="0040291B"/>
    <w:rsid w:val="004043DF"/>
    <w:rsid w:val="00404482"/>
    <w:rsid w:val="0040460C"/>
    <w:rsid w:val="00406A49"/>
    <w:rsid w:val="00407999"/>
    <w:rsid w:val="00410700"/>
    <w:rsid w:val="00410BEF"/>
    <w:rsid w:val="00412D6D"/>
    <w:rsid w:val="004136A5"/>
    <w:rsid w:val="00413CA8"/>
    <w:rsid w:val="00413CEA"/>
    <w:rsid w:val="00416C98"/>
    <w:rsid w:val="00420ADE"/>
    <w:rsid w:val="00424955"/>
    <w:rsid w:val="004257D3"/>
    <w:rsid w:val="004267BD"/>
    <w:rsid w:val="00427C2A"/>
    <w:rsid w:val="00431ED4"/>
    <w:rsid w:val="00432A9A"/>
    <w:rsid w:val="00433502"/>
    <w:rsid w:val="004336A5"/>
    <w:rsid w:val="00434C44"/>
    <w:rsid w:val="004356FC"/>
    <w:rsid w:val="00436EEC"/>
    <w:rsid w:val="004374CA"/>
    <w:rsid w:val="004375EC"/>
    <w:rsid w:val="00441C08"/>
    <w:rsid w:val="00443152"/>
    <w:rsid w:val="00444CC1"/>
    <w:rsid w:val="00445404"/>
    <w:rsid w:val="00446490"/>
    <w:rsid w:val="0044720A"/>
    <w:rsid w:val="0045093E"/>
    <w:rsid w:val="00451638"/>
    <w:rsid w:val="00451EDF"/>
    <w:rsid w:val="00452D5F"/>
    <w:rsid w:val="00453A27"/>
    <w:rsid w:val="00453B8A"/>
    <w:rsid w:val="00454A3C"/>
    <w:rsid w:val="0045693E"/>
    <w:rsid w:val="00460990"/>
    <w:rsid w:val="00462B3B"/>
    <w:rsid w:val="00462E08"/>
    <w:rsid w:val="004631B7"/>
    <w:rsid w:val="004639E2"/>
    <w:rsid w:val="00466AD2"/>
    <w:rsid w:val="00470169"/>
    <w:rsid w:val="00471B63"/>
    <w:rsid w:val="004733BA"/>
    <w:rsid w:val="004734AC"/>
    <w:rsid w:val="004734F7"/>
    <w:rsid w:val="0047481D"/>
    <w:rsid w:val="0047576A"/>
    <w:rsid w:val="00475AD1"/>
    <w:rsid w:val="00476036"/>
    <w:rsid w:val="004773CC"/>
    <w:rsid w:val="004779C5"/>
    <w:rsid w:val="00477A6C"/>
    <w:rsid w:val="00481BA9"/>
    <w:rsid w:val="00482F9B"/>
    <w:rsid w:val="004843B2"/>
    <w:rsid w:val="00484F05"/>
    <w:rsid w:val="00485D30"/>
    <w:rsid w:val="00485D36"/>
    <w:rsid w:val="00486A32"/>
    <w:rsid w:val="004870CE"/>
    <w:rsid w:val="004911B7"/>
    <w:rsid w:val="00492393"/>
    <w:rsid w:val="004928EB"/>
    <w:rsid w:val="004928FB"/>
    <w:rsid w:val="0049322C"/>
    <w:rsid w:val="00493560"/>
    <w:rsid w:val="0049413E"/>
    <w:rsid w:val="00494203"/>
    <w:rsid w:val="00494995"/>
    <w:rsid w:val="00494E08"/>
    <w:rsid w:val="00495A27"/>
    <w:rsid w:val="0049680F"/>
    <w:rsid w:val="00497DAB"/>
    <w:rsid w:val="00497F4A"/>
    <w:rsid w:val="004A1BEA"/>
    <w:rsid w:val="004A1D77"/>
    <w:rsid w:val="004A2E25"/>
    <w:rsid w:val="004A3C64"/>
    <w:rsid w:val="004A5B58"/>
    <w:rsid w:val="004B1A14"/>
    <w:rsid w:val="004B20F9"/>
    <w:rsid w:val="004B3EA8"/>
    <w:rsid w:val="004B47CD"/>
    <w:rsid w:val="004B4F92"/>
    <w:rsid w:val="004B6977"/>
    <w:rsid w:val="004B72C1"/>
    <w:rsid w:val="004C068D"/>
    <w:rsid w:val="004C0BF9"/>
    <w:rsid w:val="004C2813"/>
    <w:rsid w:val="004C3AF3"/>
    <w:rsid w:val="004C53D1"/>
    <w:rsid w:val="004C60DB"/>
    <w:rsid w:val="004C7CF7"/>
    <w:rsid w:val="004D232A"/>
    <w:rsid w:val="004D321A"/>
    <w:rsid w:val="004D331A"/>
    <w:rsid w:val="004D6B58"/>
    <w:rsid w:val="004D73C2"/>
    <w:rsid w:val="004D7456"/>
    <w:rsid w:val="004D7951"/>
    <w:rsid w:val="004E0003"/>
    <w:rsid w:val="004E0322"/>
    <w:rsid w:val="004E062C"/>
    <w:rsid w:val="004E37AB"/>
    <w:rsid w:val="004E4F30"/>
    <w:rsid w:val="004E5789"/>
    <w:rsid w:val="004E5C7C"/>
    <w:rsid w:val="004E6DE2"/>
    <w:rsid w:val="004E70E9"/>
    <w:rsid w:val="004E7E58"/>
    <w:rsid w:val="004F05A3"/>
    <w:rsid w:val="004F0640"/>
    <w:rsid w:val="004F228E"/>
    <w:rsid w:val="004F2504"/>
    <w:rsid w:val="004F2596"/>
    <w:rsid w:val="004F2AE0"/>
    <w:rsid w:val="004F30C1"/>
    <w:rsid w:val="004F310A"/>
    <w:rsid w:val="004F4D0C"/>
    <w:rsid w:val="004F50C0"/>
    <w:rsid w:val="004F599F"/>
    <w:rsid w:val="005037D4"/>
    <w:rsid w:val="00503D38"/>
    <w:rsid w:val="0050455A"/>
    <w:rsid w:val="00504C6B"/>
    <w:rsid w:val="005059E1"/>
    <w:rsid w:val="005064DD"/>
    <w:rsid w:val="005065FC"/>
    <w:rsid w:val="00510C70"/>
    <w:rsid w:val="00513206"/>
    <w:rsid w:val="00514563"/>
    <w:rsid w:val="005164A2"/>
    <w:rsid w:val="00516DF4"/>
    <w:rsid w:val="00521509"/>
    <w:rsid w:val="00521E6A"/>
    <w:rsid w:val="005223F7"/>
    <w:rsid w:val="00523422"/>
    <w:rsid w:val="005249C5"/>
    <w:rsid w:val="00524EF5"/>
    <w:rsid w:val="00527615"/>
    <w:rsid w:val="00527C89"/>
    <w:rsid w:val="00530A91"/>
    <w:rsid w:val="005319D7"/>
    <w:rsid w:val="00533473"/>
    <w:rsid w:val="00536A1F"/>
    <w:rsid w:val="00542EA8"/>
    <w:rsid w:val="00543B3E"/>
    <w:rsid w:val="0054414F"/>
    <w:rsid w:val="005445E4"/>
    <w:rsid w:val="005456B3"/>
    <w:rsid w:val="00546346"/>
    <w:rsid w:val="00546DB7"/>
    <w:rsid w:val="0054795A"/>
    <w:rsid w:val="00550C4D"/>
    <w:rsid w:val="00551EBE"/>
    <w:rsid w:val="005526D2"/>
    <w:rsid w:val="00556317"/>
    <w:rsid w:val="005567E4"/>
    <w:rsid w:val="005609F2"/>
    <w:rsid w:val="00560EF3"/>
    <w:rsid w:val="005613E7"/>
    <w:rsid w:val="005651B7"/>
    <w:rsid w:val="00565BCE"/>
    <w:rsid w:val="00565E59"/>
    <w:rsid w:val="00565F59"/>
    <w:rsid w:val="005676B4"/>
    <w:rsid w:val="00572981"/>
    <w:rsid w:val="005742BB"/>
    <w:rsid w:val="0057592F"/>
    <w:rsid w:val="00576139"/>
    <w:rsid w:val="00577B7E"/>
    <w:rsid w:val="0058086E"/>
    <w:rsid w:val="00581768"/>
    <w:rsid w:val="00584E81"/>
    <w:rsid w:val="00585609"/>
    <w:rsid w:val="0058640C"/>
    <w:rsid w:val="0058677E"/>
    <w:rsid w:val="00586BCF"/>
    <w:rsid w:val="00590D1F"/>
    <w:rsid w:val="00590D99"/>
    <w:rsid w:val="00591312"/>
    <w:rsid w:val="00594218"/>
    <w:rsid w:val="005954F6"/>
    <w:rsid w:val="00595C0E"/>
    <w:rsid w:val="00595EBF"/>
    <w:rsid w:val="00597CF5"/>
    <w:rsid w:val="005A0D3F"/>
    <w:rsid w:val="005A1BDD"/>
    <w:rsid w:val="005A3BD7"/>
    <w:rsid w:val="005A4362"/>
    <w:rsid w:val="005A67C1"/>
    <w:rsid w:val="005A68AE"/>
    <w:rsid w:val="005A7969"/>
    <w:rsid w:val="005B0A80"/>
    <w:rsid w:val="005B40B4"/>
    <w:rsid w:val="005B4FE6"/>
    <w:rsid w:val="005B51A1"/>
    <w:rsid w:val="005B7CC0"/>
    <w:rsid w:val="005C168F"/>
    <w:rsid w:val="005C1747"/>
    <w:rsid w:val="005C19B4"/>
    <w:rsid w:val="005C2E0F"/>
    <w:rsid w:val="005C3806"/>
    <w:rsid w:val="005C768E"/>
    <w:rsid w:val="005C78C7"/>
    <w:rsid w:val="005D03AB"/>
    <w:rsid w:val="005D0A09"/>
    <w:rsid w:val="005D1881"/>
    <w:rsid w:val="005D1C66"/>
    <w:rsid w:val="005D24EE"/>
    <w:rsid w:val="005D65BA"/>
    <w:rsid w:val="005D7025"/>
    <w:rsid w:val="005D74B7"/>
    <w:rsid w:val="005D7ACB"/>
    <w:rsid w:val="005E0734"/>
    <w:rsid w:val="005E0AEF"/>
    <w:rsid w:val="005E31CE"/>
    <w:rsid w:val="005E3AF0"/>
    <w:rsid w:val="005E3F79"/>
    <w:rsid w:val="005E4256"/>
    <w:rsid w:val="005E4C69"/>
    <w:rsid w:val="005E543F"/>
    <w:rsid w:val="005F1913"/>
    <w:rsid w:val="005F2CA7"/>
    <w:rsid w:val="005F3123"/>
    <w:rsid w:val="005F413D"/>
    <w:rsid w:val="005F4A3F"/>
    <w:rsid w:val="005F7E36"/>
    <w:rsid w:val="00600494"/>
    <w:rsid w:val="006016F8"/>
    <w:rsid w:val="006018FD"/>
    <w:rsid w:val="0060198D"/>
    <w:rsid w:val="00603F3F"/>
    <w:rsid w:val="0060416F"/>
    <w:rsid w:val="006054B0"/>
    <w:rsid w:val="00605999"/>
    <w:rsid w:val="00606A30"/>
    <w:rsid w:val="00606F66"/>
    <w:rsid w:val="006074C8"/>
    <w:rsid w:val="00607D85"/>
    <w:rsid w:val="00611904"/>
    <w:rsid w:val="0061265F"/>
    <w:rsid w:val="00613A3E"/>
    <w:rsid w:val="006141C8"/>
    <w:rsid w:val="0061488A"/>
    <w:rsid w:val="0061512D"/>
    <w:rsid w:val="006175B1"/>
    <w:rsid w:val="00620231"/>
    <w:rsid w:val="006211CE"/>
    <w:rsid w:val="006219E3"/>
    <w:rsid w:val="00621AAA"/>
    <w:rsid w:val="00623D30"/>
    <w:rsid w:val="00623F38"/>
    <w:rsid w:val="00624D38"/>
    <w:rsid w:val="00625B73"/>
    <w:rsid w:val="006274CB"/>
    <w:rsid w:val="00630B2F"/>
    <w:rsid w:val="00632E18"/>
    <w:rsid w:val="006331AB"/>
    <w:rsid w:val="00633D3C"/>
    <w:rsid w:val="006344A6"/>
    <w:rsid w:val="0063477C"/>
    <w:rsid w:val="00640E32"/>
    <w:rsid w:val="00641AAD"/>
    <w:rsid w:val="00641B84"/>
    <w:rsid w:val="00641C45"/>
    <w:rsid w:val="006425C6"/>
    <w:rsid w:val="00642DD7"/>
    <w:rsid w:val="00643355"/>
    <w:rsid w:val="0064493C"/>
    <w:rsid w:val="00644959"/>
    <w:rsid w:val="006452F1"/>
    <w:rsid w:val="0064750D"/>
    <w:rsid w:val="00647CD1"/>
    <w:rsid w:val="00647F7E"/>
    <w:rsid w:val="00650635"/>
    <w:rsid w:val="00651F34"/>
    <w:rsid w:val="006523EE"/>
    <w:rsid w:val="0065247C"/>
    <w:rsid w:val="006533C0"/>
    <w:rsid w:val="0065362D"/>
    <w:rsid w:val="0065366F"/>
    <w:rsid w:val="00655FF4"/>
    <w:rsid w:val="006601D0"/>
    <w:rsid w:val="0066047A"/>
    <w:rsid w:val="00661F0B"/>
    <w:rsid w:val="00662583"/>
    <w:rsid w:val="00663898"/>
    <w:rsid w:val="006643AC"/>
    <w:rsid w:val="00664E03"/>
    <w:rsid w:val="00664EB9"/>
    <w:rsid w:val="006650D9"/>
    <w:rsid w:val="00666462"/>
    <w:rsid w:val="00667022"/>
    <w:rsid w:val="006670D6"/>
    <w:rsid w:val="0066710D"/>
    <w:rsid w:val="00667FE0"/>
    <w:rsid w:val="0067046E"/>
    <w:rsid w:val="0067106C"/>
    <w:rsid w:val="006728F8"/>
    <w:rsid w:val="00673B61"/>
    <w:rsid w:val="00675A32"/>
    <w:rsid w:val="006766BF"/>
    <w:rsid w:val="00676828"/>
    <w:rsid w:val="00680ED8"/>
    <w:rsid w:val="00681986"/>
    <w:rsid w:val="0068385D"/>
    <w:rsid w:val="006841BD"/>
    <w:rsid w:val="00684ECF"/>
    <w:rsid w:val="0068557B"/>
    <w:rsid w:val="00685AFD"/>
    <w:rsid w:val="00685BB9"/>
    <w:rsid w:val="0068656C"/>
    <w:rsid w:val="00687050"/>
    <w:rsid w:val="00687508"/>
    <w:rsid w:val="00690552"/>
    <w:rsid w:val="00690E07"/>
    <w:rsid w:val="00691A2F"/>
    <w:rsid w:val="00691A6A"/>
    <w:rsid w:val="00691F84"/>
    <w:rsid w:val="006972B6"/>
    <w:rsid w:val="00697422"/>
    <w:rsid w:val="00697753"/>
    <w:rsid w:val="006A18B7"/>
    <w:rsid w:val="006A35C1"/>
    <w:rsid w:val="006A38FE"/>
    <w:rsid w:val="006A3B1E"/>
    <w:rsid w:val="006A506E"/>
    <w:rsid w:val="006A67FB"/>
    <w:rsid w:val="006A73E0"/>
    <w:rsid w:val="006A746E"/>
    <w:rsid w:val="006A7A98"/>
    <w:rsid w:val="006B0746"/>
    <w:rsid w:val="006B182D"/>
    <w:rsid w:val="006B33E3"/>
    <w:rsid w:val="006B3BA9"/>
    <w:rsid w:val="006B4A51"/>
    <w:rsid w:val="006C292C"/>
    <w:rsid w:val="006C2BB1"/>
    <w:rsid w:val="006C4C45"/>
    <w:rsid w:val="006C54B8"/>
    <w:rsid w:val="006C67AC"/>
    <w:rsid w:val="006C71AE"/>
    <w:rsid w:val="006D0711"/>
    <w:rsid w:val="006D0864"/>
    <w:rsid w:val="006D0EAD"/>
    <w:rsid w:val="006D192A"/>
    <w:rsid w:val="006D4CE7"/>
    <w:rsid w:val="006D5AC2"/>
    <w:rsid w:val="006D613B"/>
    <w:rsid w:val="006D6900"/>
    <w:rsid w:val="006E1546"/>
    <w:rsid w:val="006E1A24"/>
    <w:rsid w:val="006E3638"/>
    <w:rsid w:val="006E4871"/>
    <w:rsid w:val="006E6170"/>
    <w:rsid w:val="006E6A56"/>
    <w:rsid w:val="006E6BE6"/>
    <w:rsid w:val="006E7935"/>
    <w:rsid w:val="006E7DDB"/>
    <w:rsid w:val="006F0F3D"/>
    <w:rsid w:val="006F1E6D"/>
    <w:rsid w:val="006F2122"/>
    <w:rsid w:val="006F24FA"/>
    <w:rsid w:val="006F2789"/>
    <w:rsid w:val="006F3B09"/>
    <w:rsid w:val="006F4125"/>
    <w:rsid w:val="006F46EE"/>
    <w:rsid w:val="006F562C"/>
    <w:rsid w:val="006F70BD"/>
    <w:rsid w:val="00700607"/>
    <w:rsid w:val="00702304"/>
    <w:rsid w:val="0070363B"/>
    <w:rsid w:val="007048B0"/>
    <w:rsid w:val="00704B95"/>
    <w:rsid w:val="00704C25"/>
    <w:rsid w:val="007062D0"/>
    <w:rsid w:val="00707873"/>
    <w:rsid w:val="00707D2A"/>
    <w:rsid w:val="007100B2"/>
    <w:rsid w:val="00710CC0"/>
    <w:rsid w:val="00710EA2"/>
    <w:rsid w:val="0071127D"/>
    <w:rsid w:val="007112D2"/>
    <w:rsid w:val="0071462A"/>
    <w:rsid w:val="007152DF"/>
    <w:rsid w:val="00716372"/>
    <w:rsid w:val="007171F5"/>
    <w:rsid w:val="00717FAF"/>
    <w:rsid w:val="007216F4"/>
    <w:rsid w:val="00721BE4"/>
    <w:rsid w:val="007222C9"/>
    <w:rsid w:val="00727272"/>
    <w:rsid w:val="007308C6"/>
    <w:rsid w:val="00731D1D"/>
    <w:rsid w:val="00732EDD"/>
    <w:rsid w:val="0073382C"/>
    <w:rsid w:val="007346E2"/>
    <w:rsid w:val="007349B0"/>
    <w:rsid w:val="00735D67"/>
    <w:rsid w:val="007362EC"/>
    <w:rsid w:val="00736835"/>
    <w:rsid w:val="00737697"/>
    <w:rsid w:val="00737EA0"/>
    <w:rsid w:val="00740688"/>
    <w:rsid w:val="007419B7"/>
    <w:rsid w:val="00742814"/>
    <w:rsid w:val="00744055"/>
    <w:rsid w:val="0074431D"/>
    <w:rsid w:val="007463A4"/>
    <w:rsid w:val="007478A6"/>
    <w:rsid w:val="0075179A"/>
    <w:rsid w:val="0075228D"/>
    <w:rsid w:val="007533B5"/>
    <w:rsid w:val="007536DB"/>
    <w:rsid w:val="007545B7"/>
    <w:rsid w:val="00754C60"/>
    <w:rsid w:val="00755350"/>
    <w:rsid w:val="00755B4A"/>
    <w:rsid w:val="007568A9"/>
    <w:rsid w:val="00756AFC"/>
    <w:rsid w:val="0075708C"/>
    <w:rsid w:val="007573AD"/>
    <w:rsid w:val="00757C92"/>
    <w:rsid w:val="00761A6E"/>
    <w:rsid w:val="00763BCF"/>
    <w:rsid w:val="007643C5"/>
    <w:rsid w:val="007658C9"/>
    <w:rsid w:val="00765E56"/>
    <w:rsid w:val="00766645"/>
    <w:rsid w:val="00766878"/>
    <w:rsid w:val="00766D0E"/>
    <w:rsid w:val="007674A1"/>
    <w:rsid w:val="0076780B"/>
    <w:rsid w:val="007679AD"/>
    <w:rsid w:val="007679CD"/>
    <w:rsid w:val="00767F4D"/>
    <w:rsid w:val="00771117"/>
    <w:rsid w:val="00771F02"/>
    <w:rsid w:val="00772C4A"/>
    <w:rsid w:val="00773524"/>
    <w:rsid w:val="00776017"/>
    <w:rsid w:val="00777035"/>
    <w:rsid w:val="00777596"/>
    <w:rsid w:val="00777A31"/>
    <w:rsid w:val="007802D7"/>
    <w:rsid w:val="00781EFC"/>
    <w:rsid w:val="007875DD"/>
    <w:rsid w:val="00787B03"/>
    <w:rsid w:val="00787BCC"/>
    <w:rsid w:val="00790328"/>
    <w:rsid w:val="00790D5C"/>
    <w:rsid w:val="00793E8B"/>
    <w:rsid w:val="007945F1"/>
    <w:rsid w:val="007953E4"/>
    <w:rsid w:val="00796D40"/>
    <w:rsid w:val="00797C37"/>
    <w:rsid w:val="00797F2D"/>
    <w:rsid w:val="007A2EEE"/>
    <w:rsid w:val="007A3379"/>
    <w:rsid w:val="007A4C95"/>
    <w:rsid w:val="007A5098"/>
    <w:rsid w:val="007A638B"/>
    <w:rsid w:val="007A6C17"/>
    <w:rsid w:val="007A78C6"/>
    <w:rsid w:val="007B1DCD"/>
    <w:rsid w:val="007B2020"/>
    <w:rsid w:val="007B4700"/>
    <w:rsid w:val="007B4810"/>
    <w:rsid w:val="007B4A87"/>
    <w:rsid w:val="007B4F8E"/>
    <w:rsid w:val="007B514D"/>
    <w:rsid w:val="007B5AD8"/>
    <w:rsid w:val="007B66BC"/>
    <w:rsid w:val="007B7460"/>
    <w:rsid w:val="007B75BC"/>
    <w:rsid w:val="007B7839"/>
    <w:rsid w:val="007B7CB6"/>
    <w:rsid w:val="007C15D3"/>
    <w:rsid w:val="007C1767"/>
    <w:rsid w:val="007C1B78"/>
    <w:rsid w:val="007C1BE9"/>
    <w:rsid w:val="007C1D71"/>
    <w:rsid w:val="007C1FB7"/>
    <w:rsid w:val="007C2FBD"/>
    <w:rsid w:val="007C4559"/>
    <w:rsid w:val="007C561B"/>
    <w:rsid w:val="007C66A0"/>
    <w:rsid w:val="007C678E"/>
    <w:rsid w:val="007D24A5"/>
    <w:rsid w:val="007D26BB"/>
    <w:rsid w:val="007D26CB"/>
    <w:rsid w:val="007D27B0"/>
    <w:rsid w:val="007D2958"/>
    <w:rsid w:val="007D329B"/>
    <w:rsid w:val="007D4FFD"/>
    <w:rsid w:val="007D7E5F"/>
    <w:rsid w:val="007E03E6"/>
    <w:rsid w:val="007E1C98"/>
    <w:rsid w:val="007E1E33"/>
    <w:rsid w:val="007E2F74"/>
    <w:rsid w:val="007E40CA"/>
    <w:rsid w:val="007E4141"/>
    <w:rsid w:val="007E53DD"/>
    <w:rsid w:val="007E5F7E"/>
    <w:rsid w:val="007E5FB0"/>
    <w:rsid w:val="007F0DE9"/>
    <w:rsid w:val="007F1AA1"/>
    <w:rsid w:val="007F1AFE"/>
    <w:rsid w:val="007F22C2"/>
    <w:rsid w:val="007F245F"/>
    <w:rsid w:val="007F258B"/>
    <w:rsid w:val="007F49FE"/>
    <w:rsid w:val="007F4A32"/>
    <w:rsid w:val="007F5C69"/>
    <w:rsid w:val="007F5E08"/>
    <w:rsid w:val="007F62D3"/>
    <w:rsid w:val="008005BD"/>
    <w:rsid w:val="00800613"/>
    <w:rsid w:val="00800F17"/>
    <w:rsid w:val="008012D3"/>
    <w:rsid w:val="00802252"/>
    <w:rsid w:val="008024B4"/>
    <w:rsid w:val="008032ED"/>
    <w:rsid w:val="00805266"/>
    <w:rsid w:val="00805D1A"/>
    <w:rsid w:val="008123EC"/>
    <w:rsid w:val="008134B7"/>
    <w:rsid w:val="0081424E"/>
    <w:rsid w:val="00814E9B"/>
    <w:rsid w:val="00815164"/>
    <w:rsid w:val="0081595C"/>
    <w:rsid w:val="00816546"/>
    <w:rsid w:val="008168AE"/>
    <w:rsid w:val="00820710"/>
    <w:rsid w:val="008210BB"/>
    <w:rsid w:val="00821703"/>
    <w:rsid w:val="00822C28"/>
    <w:rsid w:val="00822EA1"/>
    <w:rsid w:val="00831D29"/>
    <w:rsid w:val="00832727"/>
    <w:rsid w:val="0083443F"/>
    <w:rsid w:val="00837A6D"/>
    <w:rsid w:val="00841A43"/>
    <w:rsid w:val="008422E9"/>
    <w:rsid w:val="00843867"/>
    <w:rsid w:val="00844749"/>
    <w:rsid w:val="00844C6D"/>
    <w:rsid w:val="00844E69"/>
    <w:rsid w:val="00845BA0"/>
    <w:rsid w:val="008466DE"/>
    <w:rsid w:val="00850AED"/>
    <w:rsid w:val="00850DE4"/>
    <w:rsid w:val="008518A1"/>
    <w:rsid w:val="00853790"/>
    <w:rsid w:val="0085391A"/>
    <w:rsid w:val="00853BC7"/>
    <w:rsid w:val="0085418F"/>
    <w:rsid w:val="00854928"/>
    <w:rsid w:val="00856021"/>
    <w:rsid w:val="008562FA"/>
    <w:rsid w:val="00856B91"/>
    <w:rsid w:val="0086000C"/>
    <w:rsid w:val="0086193F"/>
    <w:rsid w:val="00863A21"/>
    <w:rsid w:val="00863C03"/>
    <w:rsid w:val="008648F6"/>
    <w:rsid w:val="00867A93"/>
    <w:rsid w:val="008704A2"/>
    <w:rsid w:val="00872529"/>
    <w:rsid w:val="00872539"/>
    <w:rsid w:val="00872944"/>
    <w:rsid w:val="008731E8"/>
    <w:rsid w:val="008732B3"/>
    <w:rsid w:val="00873C34"/>
    <w:rsid w:val="00876B7B"/>
    <w:rsid w:val="0087718E"/>
    <w:rsid w:val="00877C83"/>
    <w:rsid w:val="0088224F"/>
    <w:rsid w:val="008856D5"/>
    <w:rsid w:val="00886206"/>
    <w:rsid w:val="0088677E"/>
    <w:rsid w:val="00887B11"/>
    <w:rsid w:val="00890191"/>
    <w:rsid w:val="00890304"/>
    <w:rsid w:val="008905A5"/>
    <w:rsid w:val="00890656"/>
    <w:rsid w:val="0089097D"/>
    <w:rsid w:val="008912D1"/>
    <w:rsid w:val="0089349B"/>
    <w:rsid w:val="008934B6"/>
    <w:rsid w:val="0089420B"/>
    <w:rsid w:val="00894F9A"/>
    <w:rsid w:val="008967D3"/>
    <w:rsid w:val="008972AE"/>
    <w:rsid w:val="008978F8"/>
    <w:rsid w:val="008A17EA"/>
    <w:rsid w:val="008A1E55"/>
    <w:rsid w:val="008A32D9"/>
    <w:rsid w:val="008A46F8"/>
    <w:rsid w:val="008A5BCF"/>
    <w:rsid w:val="008A6249"/>
    <w:rsid w:val="008B14FE"/>
    <w:rsid w:val="008B1572"/>
    <w:rsid w:val="008B254C"/>
    <w:rsid w:val="008B411F"/>
    <w:rsid w:val="008B5B5E"/>
    <w:rsid w:val="008B6651"/>
    <w:rsid w:val="008B73DD"/>
    <w:rsid w:val="008C09DE"/>
    <w:rsid w:val="008C110C"/>
    <w:rsid w:val="008C162D"/>
    <w:rsid w:val="008C1CA1"/>
    <w:rsid w:val="008C2992"/>
    <w:rsid w:val="008C2D02"/>
    <w:rsid w:val="008C4FB9"/>
    <w:rsid w:val="008C53D3"/>
    <w:rsid w:val="008C73B9"/>
    <w:rsid w:val="008D3B71"/>
    <w:rsid w:val="008D41F2"/>
    <w:rsid w:val="008D497B"/>
    <w:rsid w:val="008D505E"/>
    <w:rsid w:val="008D5E51"/>
    <w:rsid w:val="008D6F82"/>
    <w:rsid w:val="008D7685"/>
    <w:rsid w:val="008D7B97"/>
    <w:rsid w:val="008E04BA"/>
    <w:rsid w:val="008E0CC3"/>
    <w:rsid w:val="008E359B"/>
    <w:rsid w:val="008E38CA"/>
    <w:rsid w:val="008E4AEC"/>
    <w:rsid w:val="008E7316"/>
    <w:rsid w:val="008E7370"/>
    <w:rsid w:val="008E7D9E"/>
    <w:rsid w:val="008F16AB"/>
    <w:rsid w:val="008F18BC"/>
    <w:rsid w:val="008F48E2"/>
    <w:rsid w:val="008F56EF"/>
    <w:rsid w:val="008F5C14"/>
    <w:rsid w:val="008F7457"/>
    <w:rsid w:val="008F7B21"/>
    <w:rsid w:val="009017E2"/>
    <w:rsid w:val="0090251C"/>
    <w:rsid w:val="00902EF1"/>
    <w:rsid w:val="0090393D"/>
    <w:rsid w:val="0090459C"/>
    <w:rsid w:val="009058D0"/>
    <w:rsid w:val="009074EF"/>
    <w:rsid w:val="00907F0D"/>
    <w:rsid w:val="00910131"/>
    <w:rsid w:val="00910163"/>
    <w:rsid w:val="009123FF"/>
    <w:rsid w:val="009124EE"/>
    <w:rsid w:val="00912A6B"/>
    <w:rsid w:val="00912F6C"/>
    <w:rsid w:val="009146A3"/>
    <w:rsid w:val="00916E62"/>
    <w:rsid w:val="00917B18"/>
    <w:rsid w:val="00922183"/>
    <w:rsid w:val="00923D6B"/>
    <w:rsid w:val="009261F6"/>
    <w:rsid w:val="00927797"/>
    <w:rsid w:val="0093103D"/>
    <w:rsid w:val="009315BD"/>
    <w:rsid w:val="009315DA"/>
    <w:rsid w:val="00931AE0"/>
    <w:rsid w:val="00934584"/>
    <w:rsid w:val="00936F48"/>
    <w:rsid w:val="0093772E"/>
    <w:rsid w:val="00937EDD"/>
    <w:rsid w:val="00937F6A"/>
    <w:rsid w:val="00941A81"/>
    <w:rsid w:val="00941B23"/>
    <w:rsid w:val="0094270B"/>
    <w:rsid w:val="00942F18"/>
    <w:rsid w:val="0094366B"/>
    <w:rsid w:val="00943BA9"/>
    <w:rsid w:val="0094562C"/>
    <w:rsid w:val="0094680B"/>
    <w:rsid w:val="00946F67"/>
    <w:rsid w:val="009474B9"/>
    <w:rsid w:val="00947E23"/>
    <w:rsid w:val="009514BE"/>
    <w:rsid w:val="009515EC"/>
    <w:rsid w:val="0095529C"/>
    <w:rsid w:val="009554D6"/>
    <w:rsid w:val="00957BD5"/>
    <w:rsid w:val="009600D1"/>
    <w:rsid w:val="009602B1"/>
    <w:rsid w:val="00960FB8"/>
    <w:rsid w:val="009618B6"/>
    <w:rsid w:val="00963384"/>
    <w:rsid w:val="00964084"/>
    <w:rsid w:val="009641CC"/>
    <w:rsid w:val="00965155"/>
    <w:rsid w:val="00965BC7"/>
    <w:rsid w:val="00966B04"/>
    <w:rsid w:val="00966D4F"/>
    <w:rsid w:val="00971395"/>
    <w:rsid w:val="009732B5"/>
    <w:rsid w:val="00974ED6"/>
    <w:rsid w:val="00974FC6"/>
    <w:rsid w:val="009759A9"/>
    <w:rsid w:val="00976B1D"/>
    <w:rsid w:val="00980B3C"/>
    <w:rsid w:val="00982818"/>
    <w:rsid w:val="0098349B"/>
    <w:rsid w:val="00983D2F"/>
    <w:rsid w:val="0098598F"/>
    <w:rsid w:val="00985C3B"/>
    <w:rsid w:val="00986F87"/>
    <w:rsid w:val="0098731F"/>
    <w:rsid w:val="00987F12"/>
    <w:rsid w:val="00987F79"/>
    <w:rsid w:val="00990B29"/>
    <w:rsid w:val="0099131A"/>
    <w:rsid w:val="009914C2"/>
    <w:rsid w:val="00993BA4"/>
    <w:rsid w:val="009957B5"/>
    <w:rsid w:val="00995D3C"/>
    <w:rsid w:val="00995E20"/>
    <w:rsid w:val="0099617E"/>
    <w:rsid w:val="00996558"/>
    <w:rsid w:val="00997397"/>
    <w:rsid w:val="00997E09"/>
    <w:rsid w:val="009A00B2"/>
    <w:rsid w:val="009A10A0"/>
    <w:rsid w:val="009A137E"/>
    <w:rsid w:val="009A18EE"/>
    <w:rsid w:val="009A247B"/>
    <w:rsid w:val="009A3C4B"/>
    <w:rsid w:val="009A3DF2"/>
    <w:rsid w:val="009A48D5"/>
    <w:rsid w:val="009A5835"/>
    <w:rsid w:val="009A675F"/>
    <w:rsid w:val="009A67FD"/>
    <w:rsid w:val="009A6A61"/>
    <w:rsid w:val="009B02C4"/>
    <w:rsid w:val="009B2620"/>
    <w:rsid w:val="009B2FAE"/>
    <w:rsid w:val="009B3CDC"/>
    <w:rsid w:val="009B3E2E"/>
    <w:rsid w:val="009B3FE8"/>
    <w:rsid w:val="009B51DE"/>
    <w:rsid w:val="009B5B9E"/>
    <w:rsid w:val="009B5CAA"/>
    <w:rsid w:val="009B69C8"/>
    <w:rsid w:val="009C039C"/>
    <w:rsid w:val="009C2E21"/>
    <w:rsid w:val="009C32EB"/>
    <w:rsid w:val="009C3B53"/>
    <w:rsid w:val="009C3F90"/>
    <w:rsid w:val="009C4954"/>
    <w:rsid w:val="009C4BFA"/>
    <w:rsid w:val="009C4D58"/>
    <w:rsid w:val="009C52A5"/>
    <w:rsid w:val="009C6983"/>
    <w:rsid w:val="009D1F0E"/>
    <w:rsid w:val="009D2F80"/>
    <w:rsid w:val="009D3F61"/>
    <w:rsid w:val="009D54A2"/>
    <w:rsid w:val="009D62EA"/>
    <w:rsid w:val="009E1EFA"/>
    <w:rsid w:val="009E207F"/>
    <w:rsid w:val="009E4085"/>
    <w:rsid w:val="009E6475"/>
    <w:rsid w:val="009F0B17"/>
    <w:rsid w:val="009F1F02"/>
    <w:rsid w:val="009F2E71"/>
    <w:rsid w:val="009F4405"/>
    <w:rsid w:val="009F501C"/>
    <w:rsid w:val="009F5DB9"/>
    <w:rsid w:val="009F66CE"/>
    <w:rsid w:val="009F712C"/>
    <w:rsid w:val="009F7B2C"/>
    <w:rsid w:val="00A01E4F"/>
    <w:rsid w:val="00A0268C"/>
    <w:rsid w:val="00A03F95"/>
    <w:rsid w:val="00A0491C"/>
    <w:rsid w:val="00A05199"/>
    <w:rsid w:val="00A056C0"/>
    <w:rsid w:val="00A05F66"/>
    <w:rsid w:val="00A07A23"/>
    <w:rsid w:val="00A07A2C"/>
    <w:rsid w:val="00A1049E"/>
    <w:rsid w:val="00A10E8D"/>
    <w:rsid w:val="00A12528"/>
    <w:rsid w:val="00A14ADC"/>
    <w:rsid w:val="00A225DF"/>
    <w:rsid w:val="00A22E3F"/>
    <w:rsid w:val="00A23C2F"/>
    <w:rsid w:val="00A247D0"/>
    <w:rsid w:val="00A251D5"/>
    <w:rsid w:val="00A27713"/>
    <w:rsid w:val="00A30435"/>
    <w:rsid w:val="00A30466"/>
    <w:rsid w:val="00A3075A"/>
    <w:rsid w:val="00A310B7"/>
    <w:rsid w:val="00A31173"/>
    <w:rsid w:val="00A31303"/>
    <w:rsid w:val="00A32729"/>
    <w:rsid w:val="00A332E0"/>
    <w:rsid w:val="00A3600B"/>
    <w:rsid w:val="00A364FA"/>
    <w:rsid w:val="00A40277"/>
    <w:rsid w:val="00A414ED"/>
    <w:rsid w:val="00A42376"/>
    <w:rsid w:val="00A42837"/>
    <w:rsid w:val="00A4393D"/>
    <w:rsid w:val="00A44A96"/>
    <w:rsid w:val="00A450D4"/>
    <w:rsid w:val="00A4521E"/>
    <w:rsid w:val="00A47D79"/>
    <w:rsid w:val="00A50D8C"/>
    <w:rsid w:val="00A516BA"/>
    <w:rsid w:val="00A52A3A"/>
    <w:rsid w:val="00A53097"/>
    <w:rsid w:val="00A564B0"/>
    <w:rsid w:val="00A57292"/>
    <w:rsid w:val="00A57F96"/>
    <w:rsid w:val="00A601AD"/>
    <w:rsid w:val="00A62527"/>
    <w:rsid w:val="00A62C3A"/>
    <w:rsid w:val="00A646F6"/>
    <w:rsid w:val="00A669B4"/>
    <w:rsid w:val="00A70532"/>
    <w:rsid w:val="00A70F02"/>
    <w:rsid w:val="00A7105E"/>
    <w:rsid w:val="00A73361"/>
    <w:rsid w:val="00A75226"/>
    <w:rsid w:val="00A767BA"/>
    <w:rsid w:val="00A76C13"/>
    <w:rsid w:val="00A80B8C"/>
    <w:rsid w:val="00A8172A"/>
    <w:rsid w:val="00A82507"/>
    <w:rsid w:val="00A825F2"/>
    <w:rsid w:val="00A82A36"/>
    <w:rsid w:val="00A82E88"/>
    <w:rsid w:val="00A84FA0"/>
    <w:rsid w:val="00A85109"/>
    <w:rsid w:val="00A87CF6"/>
    <w:rsid w:val="00A9011A"/>
    <w:rsid w:val="00A91FE1"/>
    <w:rsid w:val="00A92073"/>
    <w:rsid w:val="00A92CB9"/>
    <w:rsid w:val="00A94470"/>
    <w:rsid w:val="00AA054B"/>
    <w:rsid w:val="00AA0558"/>
    <w:rsid w:val="00AA38E0"/>
    <w:rsid w:val="00AA3B65"/>
    <w:rsid w:val="00AA4EFB"/>
    <w:rsid w:val="00AA5CA4"/>
    <w:rsid w:val="00AA6784"/>
    <w:rsid w:val="00AB0C55"/>
    <w:rsid w:val="00AB0EB5"/>
    <w:rsid w:val="00AB1AC0"/>
    <w:rsid w:val="00AB266B"/>
    <w:rsid w:val="00AB2DCD"/>
    <w:rsid w:val="00AB3772"/>
    <w:rsid w:val="00AB428B"/>
    <w:rsid w:val="00AB4C16"/>
    <w:rsid w:val="00AB4F8C"/>
    <w:rsid w:val="00AB5BAB"/>
    <w:rsid w:val="00AB69D6"/>
    <w:rsid w:val="00AC2238"/>
    <w:rsid w:val="00AC2ADD"/>
    <w:rsid w:val="00AC3837"/>
    <w:rsid w:val="00AC3CB4"/>
    <w:rsid w:val="00AC51D8"/>
    <w:rsid w:val="00AC53B1"/>
    <w:rsid w:val="00AC56B2"/>
    <w:rsid w:val="00AC579B"/>
    <w:rsid w:val="00AC5FCB"/>
    <w:rsid w:val="00AC6452"/>
    <w:rsid w:val="00AC6781"/>
    <w:rsid w:val="00AD0503"/>
    <w:rsid w:val="00AD1550"/>
    <w:rsid w:val="00AD17A8"/>
    <w:rsid w:val="00AD1F34"/>
    <w:rsid w:val="00AD2E56"/>
    <w:rsid w:val="00AD3583"/>
    <w:rsid w:val="00AD4F98"/>
    <w:rsid w:val="00AD4FBF"/>
    <w:rsid w:val="00AD501E"/>
    <w:rsid w:val="00AD5D1B"/>
    <w:rsid w:val="00AD5F5B"/>
    <w:rsid w:val="00AD6009"/>
    <w:rsid w:val="00AD71C4"/>
    <w:rsid w:val="00AD7A2C"/>
    <w:rsid w:val="00AE0160"/>
    <w:rsid w:val="00AE2312"/>
    <w:rsid w:val="00AE3D16"/>
    <w:rsid w:val="00AE53C6"/>
    <w:rsid w:val="00AE5848"/>
    <w:rsid w:val="00AE5A3C"/>
    <w:rsid w:val="00AF00AD"/>
    <w:rsid w:val="00AF15B7"/>
    <w:rsid w:val="00AF36F7"/>
    <w:rsid w:val="00B00D02"/>
    <w:rsid w:val="00B0148C"/>
    <w:rsid w:val="00B01552"/>
    <w:rsid w:val="00B016EA"/>
    <w:rsid w:val="00B01F87"/>
    <w:rsid w:val="00B024AC"/>
    <w:rsid w:val="00B029FA"/>
    <w:rsid w:val="00B03AE0"/>
    <w:rsid w:val="00B07104"/>
    <w:rsid w:val="00B07D68"/>
    <w:rsid w:val="00B12325"/>
    <w:rsid w:val="00B124B6"/>
    <w:rsid w:val="00B12FDB"/>
    <w:rsid w:val="00B136E1"/>
    <w:rsid w:val="00B14804"/>
    <w:rsid w:val="00B153BB"/>
    <w:rsid w:val="00B16306"/>
    <w:rsid w:val="00B175E3"/>
    <w:rsid w:val="00B20E6E"/>
    <w:rsid w:val="00B2125F"/>
    <w:rsid w:val="00B236E5"/>
    <w:rsid w:val="00B239AC"/>
    <w:rsid w:val="00B2486E"/>
    <w:rsid w:val="00B25027"/>
    <w:rsid w:val="00B30BC9"/>
    <w:rsid w:val="00B311A6"/>
    <w:rsid w:val="00B31621"/>
    <w:rsid w:val="00B326B9"/>
    <w:rsid w:val="00B33546"/>
    <w:rsid w:val="00B3453E"/>
    <w:rsid w:val="00B34C1E"/>
    <w:rsid w:val="00B35654"/>
    <w:rsid w:val="00B43C6F"/>
    <w:rsid w:val="00B44433"/>
    <w:rsid w:val="00B4450B"/>
    <w:rsid w:val="00B46C95"/>
    <w:rsid w:val="00B47306"/>
    <w:rsid w:val="00B5014E"/>
    <w:rsid w:val="00B50E2F"/>
    <w:rsid w:val="00B515F6"/>
    <w:rsid w:val="00B52710"/>
    <w:rsid w:val="00B5271B"/>
    <w:rsid w:val="00B539E9"/>
    <w:rsid w:val="00B54392"/>
    <w:rsid w:val="00B54AD9"/>
    <w:rsid w:val="00B55869"/>
    <w:rsid w:val="00B56487"/>
    <w:rsid w:val="00B57A41"/>
    <w:rsid w:val="00B62310"/>
    <w:rsid w:val="00B6253B"/>
    <w:rsid w:val="00B62FFB"/>
    <w:rsid w:val="00B63868"/>
    <w:rsid w:val="00B66DA1"/>
    <w:rsid w:val="00B71AFD"/>
    <w:rsid w:val="00B834BA"/>
    <w:rsid w:val="00B83880"/>
    <w:rsid w:val="00B867B6"/>
    <w:rsid w:val="00B92D09"/>
    <w:rsid w:val="00B933F5"/>
    <w:rsid w:val="00B9358A"/>
    <w:rsid w:val="00B93E63"/>
    <w:rsid w:val="00B947BC"/>
    <w:rsid w:val="00B9521C"/>
    <w:rsid w:val="00B95B69"/>
    <w:rsid w:val="00B96BBB"/>
    <w:rsid w:val="00B9721E"/>
    <w:rsid w:val="00B978C1"/>
    <w:rsid w:val="00B97965"/>
    <w:rsid w:val="00BA1B0C"/>
    <w:rsid w:val="00BA6639"/>
    <w:rsid w:val="00BA6C1E"/>
    <w:rsid w:val="00BB340B"/>
    <w:rsid w:val="00BB5EB6"/>
    <w:rsid w:val="00BB7DB1"/>
    <w:rsid w:val="00BC2C77"/>
    <w:rsid w:val="00BC63FE"/>
    <w:rsid w:val="00BC788C"/>
    <w:rsid w:val="00BD0277"/>
    <w:rsid w:val="00BD1444"/>
    <w:rsid w:val="00BD1ACB"/>
    <w:rsid w:val="00BD2483"/>
    <w:rsid w:val="00BD2B60"/>
    <w:rsid w:val="00BD35CE"/>
    <w:rsid w:val="00BD700B"/>
    <w:rsid w:val="00BD79E5"/>
    <w:rsid w:val="00BE02B6"/>
    <w:rsid w:val="00BE0357"/>
    <w:rsid w:val="00BE16B5"/>
    <w:rsid w:val="00BE342F"/>
    <w:rsid w:val="00BE457B"/>
    <w:rsid w:val="00BE54D3"/>
    <w:rsid w:val="00BE70CA"/>
    <w:rsid w:val="00BF12F7"/>
    <w:rsid w:val="00BF6A1E"/>
    <w:rsid w:val="00BF765C"/>
    <w:rsid w:val="00C01347"/>
    <w:rsid w:val="00C027E3"/>
    <w:rsid w:val="00C03306"/>
    <w:rsid w:val="00C055E3"/>
    <w:rsid w:val="00C059BD"/>
    <w:rsid w:val="00C05CE5"/>
    <w:rsid w:val="00C060BE"/>
    <w:rsid w:val="00C06EBE"/>
    <w:rsid w:val="00C06FD3"/>
    <w:rsid w:val="00C07A64"/>
    <w:rsid w:val="00C101DB"/>
    <w:rsid w:val="00C11E10"/>
    <w:rsid w:val="00C1223D"/>
    <w:rsid w:val="00C13133"/>
    <w:rsid w:val="00C14D31"/>
    <w:rsid w:val="00C177AC"/>
    <w:rsid w:val="00C179CF"/>
    <w:rsid w:val="00C21FF3"/>
    <w:rsid w:val="00C224BD"/>
    <w:rsid w:val="00C225B6"/>
    <w:rsid w:val="00C22FD3"/>
    <w:rsid w:val="00C23ED2"/>
    <w:rsid w:val="00C2434B"/>
    <w:rsid w:val="00C24A17"/>
    <w:rsid w:val="00C2646F"/>
    <w:rsid w:val="00C2678E"/>
    <w:rsid w:val="00C26CB4"/>
    <w:rsid w:val="00C273C3"/>
    <w:rsid w:val="00C27A9B"/>
    <w:rsid w:val="00C30A51"/>
    <w:rsid w:val="00C30B84"/>
    <w:rsid w:val="00C30C45"/>
    <w:rsid w:val="00C31B0C"/>
    <w:rsid w:val="00C327C4"/>
    <w:rsid w:val="00C32A4C"/>
    <w:rsid w:val="00C33398"/>
    <w:rsid w:val="00C3366A"/>
    <w:rsid w:val="00C33D65"/>
    <w:rsid w:val="00C34FF6"/>
    <w:rsid w:val="00C379D6"/>
    <w:rsid w:val="00C40D40"/>
    <w:rsid w:val="00C41083"/>
    <w:rsid w:val="00C419FD"/>
    <w:rsid w:val="00C43214"/>
    <w:rsid w:val="00C43B41"/>
    <w:rsid w:val="00C43BA0"/>
    <w:rsid w:val="00C46E81"/>
    <w:rsid w:val="00C50080"/>
    <w:rsid w:val="00C51E84"/>
    <w:rsid w:val="00C52096"/>
    <w:rsid w:val="00C53517"/>
    <w:rsid w:val="00C535FB"/>
    <w:rsid w:val="00C60047"/>
    <w:rsid w:val="00C61222"/>
    <w:rsid w:val="00C61275"/>
    <w:rsid w:val="00C62F3A"/>
    <w:rsid w:val="00C64414"/>
    <w:rsid w:val="00C6582C"/>
    <w:rsid w:val="00C65848"/>
    <w:rsid w:val="00C663B0"/>
    <w:rsid w:val="00C664C5"/>
    <w:rsid w:val="00C67A27"/>
    <w:rsid w:val="00C67DD2"/>
    <w:rsid w:val="00C706D1"/>
    <w:rsid w:val="00C725EF"/>
    <w:rsid w:val="00C7370F"/>
    <w:rsid w:val="00C73944"/>
    <w:rsid w:val="00C73BEA"/>
    <w:rsid w:val="00C74BBC"/>
    <w:rsid w:val="00C75B81"/>
    <w:rsid w:val="00C76C92"/>
    <w:rsid w:val="00C773CD"/>
    <w:rsid w:val="00C777B0"/>
    <w:rsid w:val="00C8267F"/>
    <w:rsid w:val="00C83E4B"/>
    <w:rsid w:val="00C841AD"/>
    <w:rsid w:val="00C85A28"/>
    <w:rsid w:val="00C919AE"/>
    <w:rsid w:val="00C91DDE"/>
    <w:rsid w:val="00C929C5"/>
    <w:rsid w:val="00C93601"/>
    <w:rsid w:val="00C96DB3"/>
    <w:rsid w:val="00C976B0"/>
    <w:rsid w:val="00CA026F"/>
    <w:rsid w:val="00CA0E97"/>
    <w:rsid w:val="00CA2623"/>
    <w:rsid w:val="00CA36F5"/>
    <w:rsid w:val="00CA4479"/>
    <w:rsid w:val="00CA7E56"/>
    <w:rsid w:val="00CA7E85"/>
    <w:rsid w:val="00CB2784"/>
    <w:rsid w:val="00CB2925"/>
    <w:rsid w:val="00CB2E3A"/>
    <w:rsid w:val="00CB5AEF"/>
    <w:rsid w:val="00CB70BF"/>
    <w:rsid w:val="00CB7531"/>
    <w:rsid w:val="00CC17B0"/>
    <w:rsid w:val="00CC1D1D"/>
    <w:rsid w:val="00CC24D3"/>
    <w:rsid w:val="00CC3393"/>
    <w:rsid w:val="00CC520D"/>
    <w:rsid w:val="00CC5267"/>
    <w:rsid w:val="00CC5DC3"/>
    <w:rsid w:val="00CC5DD9"/>
    <w:rsid w:val="00CC625D"/>
    <w:rsid w:val="00CD16C3"/>
    <w:rsid w:val="00CD33F3"/>
    <w:rsid w:val="00CD3A34"/>
    <w:rsid w:val="00CD42AE"/>
    <w:rsid w:val="00CD4B3D"/>
    <w:rsid w:val="00CD4E0C"/>
    <w:rsid w:val="00CD5A24"/>
    <w:rsid w:val="00CE0DAC"/>
    <w:rsid w:val="00CE1998"/>
    <w:rsid w:val="00CE3D96"/>
    <w:rsid w:val="00CE7EAE"/>
    <w:rsid w:val="00CE7ECB"/>
    <w:rsid w:val="00CF0EC9"/>
    <w:rsid w:val="00CF1780"/>
    <w:rsid w:val="00CF17D0"/>
    <w:rsid w:val="00CF5707"/>
    <w:rsid w:val="00CF69BF"/>
    <w:rsid w:val="00CF7EBE"/>
    <w:rsid w:val="00D0049C"/>
    <w:rsid w:val="00D0340D"/>
    <w:rsid w:val="00D038AC"/>
    <w:rsid w:val="00D03C84"/>
    <w:rsid w:val="00D0522C"/>
    <w:rsid w:val="00D06664"/>
    <w:rsid w:val="00D0676B"/>
    <w:rsid w:val="00D07C17"/>
    <w:rsid w:val="00D10AD1"/>
    <w:rsid w:val="00D11C28"/>
    <w:rsid w:val="00D1327B"/>
    <w:rsid w:val="00D13CD1"/>
    <w:rsid w:val="00D15F02"/>
    <w:rsid w:val="00D22788"/>
    <w:rsid w:val="00D239B7"/>
    <w:rsid w:val="00D2457A"/>
    <w:rsid w:val="00D2476D"/>
    <w:rsid w:val="00D24BB7"/>
    <w:rsid w:val="00D24F7D"/>
    <w:rsid w:val="00D26C78"/>
    <w:rsid w:val="00D300F9"/>
    <w:rsid w:val="00D30CD3"/>
    <w:rsid w:val="00D34A5E"/>
    <w:rsid w:val="00D36410"/>
    <w:rsid w:val="00D37C75"/>
    <w:rsid w:val="00D37F8E"/>
    <w:rsid w:val="00D40F82"/>
    <w:rsid w:val="00D41DA6"/>
    <w:rsid w:val="00D42130"/>
    <w:rsid w:val="00D4348D"/>
    <w:rsid w:val="00D43E0B"/>
    <w:rsid w:val="00D4478A"/>
    <w:rsid w:val="00D45B21"/>
    <w:rsid w:val="00D45C81"/>
    <w:rsid w:val="00D471B1"/>
    <w:rsid w:val="00D4731A"/>
    <w:rsid w:val="00D524EE"/>
    <w:rsid w:val="00D538A8"/>
    <w:rsid w:val="00D54E09"/>
    <w:rsid w:val="00D551BA"/>
    <w:rsid w:val="00D55C0E"/>
    <w:rsid w:val="00D564FB"/>
    <w:rsid w:val="00D5774A"/>
    <w:rsid w:val="00D578D8"/>
    <w:rsid w:val="00D6216E"/>
    <w:rsid w:val="00D627EF"/>
    <w:rsid w:val="00D62A4D"/>
    <w:rsid w:val="00D62C81"/>
    <w:rsid w:val="00D62CEF"/>
    <w:rsid w:val="00D62E04"/>
    <w:rsid w:val="00D62E3C"/>
    <w:rsid w:val="00D63590"/>
    <w:rsid w:val="00D64BC1"/>
    <w:rsid w:val="00D6514A"/>
    <w:rsid w:val="00D6517B"/>
    <w:rsid w:val="00D65DCE"/>
    <w:rsid w:val="00D6734F"/>
    <w:rsid w:val="00D7051E"/>
    <w:rsid w:val="00D738A2"/>
    <w:rsid w:val="00D73B5F"/>
    <w:rsid w:val="00D73B66"/>
    <w:rsid w:val="00D75B60"/>
    <w:rsid w:val="00D770DA"/>
    <w:rsid w:val="00D778B2"/>
    <w:rsid w:val="00D80C36"/>
    <w:rsid w:val="00D812AB"/>
    <w:rsid w:val="00D81373"/>
    <w:rsid w:val="00D840F7"/>
    <w:rsid w:val="00D85A58"/>
    <w:rsid w:val="00D86AC2"/>
    <w:rsid w:val="00D86AD7"/>
    <w:rsid w:val="00D903C8"/>
    <w:rsid w:val="00D90854"/>
    <w:rsid w:val="00D93858"/>
    <w:rsid w:val="00D93CAA"/>
    <w:rsid w:val="00D94DA3"/>
    <w:rsid w:val="00D956F3"/>
    <w:rsid w:val="00D95945"/>
    <w:rsid w:val="00D96D6F"/>
    <w:rsid w:val="00D96DB4"/>
    <w:rsid w:val="00D97C39"/>
    <w:rsid w:val="00DA0529"/>
    <w:rsid w:val="00DA0920"/>
    <w:rsid w:val="00DA53C3"/>
    <w:rsid w:val="00DA5643"/>
    <w:rsid w:val="00DA5A33"/>
    <w:rsid w:val="00DA696E"/>
    <w:rsid w:val="00DA7669"/>
    <w:rsid w:val="00DA78AE"/>
    <w:rsid w:val="00DB0891"/>
    <w:rsid w:val="00DB1A6D"/>
    <w:rsid w:val="00DB30DD"/>
    <w:rsid w:val="00DB3D6B"/>
    <w:rsid w:val="00DB731C"/>
    <w:rsid w:val="00DC0EDA"/>
    <w:rsid w:val="00DC1473"/>
    <w:rsid w:val="00DC14AF"/>
    <w:rsid w:val="00DC1D70"/>
    <w:rsid w:val="00DC2F68"/>
    <w:rsid w:val="00DC6572"/>
    <w:rsid w:val="00DC7841"/>
    <w:rsid w:val="00DD08F2"/>
    <w:rsid w:val="00DD0FEF"/>
    <w:rsid w:val="00DD286C"/>
    <w:rsid w:val="00DD3003"/>
    <w:rsid w:val="00DD5102"/>
    <w:rsid w:val="00DD6E64"/>
    <w:rsid w:val="00DD7B85"/>
    <w:rsid w:val="00DE05DA"/>
    <w:rsid w:val="00DE3FCC"/>
    <w:rsid w:val="00DF07F9"/>
    <w:rsid w:val="00DF0BD5"/>
    <w:rsid w:val="00DF14BD"/>
    <w:rsid w:val="00DF302A"/>
    <w:rsid w:val="00DF44CC"/>
    <w:rsid w:val="00DF4893"/>
    <w:rsid w:val="00DF4DA8"/>
    <w:rsid w:val="00DF7A80"/>
    <w:rsid w:val="00E016CE"/>
    <w:rsid w:val="00E0272A"/>
    <w:rsid w:val="00E02B9C"/>
    <w:rsid w:val="00E02EBB"/>
    <w:rsid w:val="00E04F01"/>
    <w:rsid w:val="00E052A6"/>
    <w:rsid w:val="00E07808"/>
    <w:rsid w:val="00E07A76"/>
    <w:rsid w:val="00E10172"/>
    <w:rsid w:val="00E117D6"/>
    <w:rsid w:val="00E137A0"/>
    <w:rsid w:val="00E13E70"/>
    <w:rsid w:val="00E13EF3"/>
    <w:rsid w:val="00E142F1"/>
    <w:rsid w:val="00E1577E"/>
    <w:rsid w:val="00E1650B"/>
    <w:rsid w:val="00E16659"/>
    <w:rsid w:val="00E16707"/>
    <w:rsid w:val="00E21284"/>
    <w:rsid w:val="00E22E6A"/>
    <w:rsid w:val="00E23011"/>
    <w:rsid w:val="00E24FBA"/>
    <w:rsid w:val="00E250B2"/>
    <w:rsid w:val="00E25576"/>
    <w:rsid w:val="00E25680"/>
    <w:rsid w:val="00E26B5D"/>
    <w:rsid w:val="00E3052A"/>
    <w:rsid w:val="00E32BDF"/>
    <w:rsid w:val="00E33418"/>
    <w:rsid w:val="00E368B4"/>
    <w:rsid w:val="00E400A4"/>
    <w:rsid w:val="00E4116C"/>
    <w:rsid w:val="00E41730"/>
    <w:rsid w:val="00E437F4"/>
    <w:rsid w:val="00E44217"/>
    <w:rsid w:val="00E44A19"/>
    <w:rsid w:val="00E46DAE"/>
    <w:rsid w:val="00E47145"/>
    <w:rsid w:val="00E479BE"/>
    <w:rsid w:val="00E47A32"/>
    <w:rsid w:val="00E506E7"/>
    <w:rsid w:val="00E50B16"/>
    <w:rsid w:val="00E51A68"/>
    <w:rsid w:val="00E51D6F"/>
    <w:rsid w:val="00E532F3"/>
    <w:rsid w:val="00E53D5D"/>
    <w:rsid w:val="00E5556D"/>
    <w:rsid w:val="00E555ED"/>
    <w:rsid w:val="00E55E29"/>
    <w:rsid w:val="00E55EB7"/>
    <w:rsid w:val="00E56CCF"/>
    <w:rsid w:val="00E601DE"/>
    <w:rsid w:val="00E6025B"/>
    <w:rsid w:val="00E62AE7"/>
    <w:rsid w:val="00E636E8"/>
    <w:rsid w:val="00E6495E"/>
    <w:rsid w:val="00E65343"/>
    <w:rsid w:val="00E66EA1"/>
    <w:rsid w:val="00E66FDF"/>
    <w:rsid w:val="00E6724E"/>
    <w:rsid w:val="00E6775C"/>
    <w:rsid w:val="00E71D1F"/>
    <w:rsid w:val="00E729BA"/>
    <w:rsid w:val="00E72CA6"/>
    <w:rsid w:val="00E73BE5"/>
    <w:rsid w:val="00E73C4C"/>
    <w:rsid w:val="00E755E2"/>
    <w:rsid w:val="00E7576E"/>
    <w:rsid w:val="00E75CE9"/>
    <w:rsid w:val="00E80705"/>
    <w:rsid w:val="00E82702"/>
    <w:rsid w:val="00E83677"/>
    <w:rsid w:val="00E83D30"/>
    <w:rsid w:val="00E84EA4"/>
    <w:rsid w:val="00E856EE"/>
    <w:rsid w:val="00E85980"/>
    <w:rsid w:val="00E87053"/>
    <w:rsid w:val="00E908B4"/>
    <w:rsid w:val="00E90B39"/>
    <w:rsid w:val="00E9114C"/>
    <w:rsid w:val="00E91E80"/>
    <w:rsid w:val="00E94D16"/>
    <w:rsid w:val="00E9543F"/>
    <w:rsid w:val="00E95690"/>
    <w:rsid w:val="00E958ED"/>
    <w:rsid w:val="00E96524"/>
    <w:rsid w:val="00E96A8A"/>
    <w:rsid w:val="00E97A0C"/>
    <w:rsid w:val="00EA0A42"/>
    <w:rsid w:val="00EA1FBD"/>
    <w:rsid w:val="00EA237E"/>
    <w:rsid w:val="00EA5A05"/>
    <w:rsid w:val="00EA6A69"/>
    <w:rsid w:val="00EA743C"/>
    <w:rsid w:val="00EB0286"/>
    <w:rsid w:val="00EB0734"/>
    <w:rsid w:val="00EB4F6D"/>
    <w:rsid w:val="00EB56CB"/>
    <w:rsid w:val="00EB59C1"/>
    <w:rsid w:val="00EB5F70"/>
    <w:rsid w:val="00EB6DF4"/>
    <w:rsid w:val="00EC19FE"/>
    <w:rsid w:val="00EC23F3"/>
    <w:rsid w:val="00EC3496"/>
    <w:rsid w:val="00EC5480"/>
    <w:rsid w:val="00EC7062"/>
    <w:rsid w:val="00ED0980"/>
    <w:rsid w:val="00ED3FB6"/>
    <w:rsid w:val="00ED4602"/>
    <w:rsid w:val="00ED62B4"/>
    <w:rsid w:val="00ED6761"/>
    <w:rsid w:val="00ED7934"/>
    <w:rsid w:val="00EE0290"/>
    <w:rsid w:val="00EE074D"/>
    <w:rsid w:val="00EE17E9"/>
    <w:rsid w:val="00EE1982"/>
    <w:rsid w:val="00EE2E22"/>
    <w:rsid w:val="00EE3395"/>
    <w:rsid w:val="00EE654A"/>
    <w:rsid w:val="00EE6557"/>
    <w:rsid w:val="00EE6857"/>
    <w:rsid w:val="00EF173E"/>
    <w:rsid w:val="00EF2900"/>
    <w:rsid w:val="00EF2AC6"/>
    <w:rsid w:val="00EF42CE"/>
    <w:rsid w:val="00EF4A9F"/>
    <w:rsid w:val="00EF4F45"/>
    <w:rsid w:val="00EF597F"/>
    <w:rsid w:val="00EF59F7"/>
    <w:rsid w:val="00EF69DD"/>
    <w:rsid w:val="00EF6EA7"/>
    <w:rsid w:val="00EF7D5D"/>
    <w:rsid w:val="00F01AA4"/>
    <w:rsid w:val="00F0444E"/>
    <w:rsid w:val="00F04539"/>
    <w:rsid w:val="00F05FA7"/>
    <w:rsid w:val="00F07258"/>
    <w:rsid w:val="00F1267C"/>
    <w:rsid w:val="00F12F58"/>
    <w:rsid w:val="00F14471"/>
    <w:rsid w:val="00F146AF"/>
    <w:rsid w:val="00F1769F"/>
    <w:rsid w:val="00F17E78"/>
    <w:rsid w:val="00F204E0"/>
    <w:rsid w:val="00F20C9D"/>
    <w:rsid w:val="00F215C7"/>
    <w:rsid w:val="00F253E5"/>
    <w:rsid w:val="00F2762B"/>
    <w:rsid w:val="00F27A30"/>
    <w:rsid w:val="00F27DE9"/>
    <w:rsid w:val="00F331D3"/>
    <w:rsid w:val="00F34045"/>
    <w:rsid w:val="00F3438C"/>
    <w:rsid w:val="00F37100"/>
    <w:rsid w:val="00F37308"/>
    <w:rsid w:val="00F40F95"/>
    <w:rsid w:val="00F412C3"/>
    <w:rsid w:val="00F44407"/>
    <w:rsid w:val="00F449FA"/>
    <w:rsid w:val="00F44DD3"/>
    <w:rsid w:val="00F456A4"/>
    <w:rsid w:val="00F46B32"/>
    <w:rsid w:val="00F47479"/>
    <w:rsid w:val="00F50FB2"/>
    <w:rsid w:val="00F51031"/>
    <w:rsid w:val="00F518E3"/>
    <w:rsid w:val="00F54207"/>
    <w:rsid w:val="00F548DC"/>
    <w:rsid w:val="00F552ED"/>
    <w:rsid w:val="00F57325"/>
    <w:rsid w:val="00F611E7"/>
    <w:rsid w:val="00F61226"/>
    <w:rsid w:val="00F6180B"/>
    <w:rsid w:val="00F61C10"/>
    <w:rsid w:val="00F62C88"/>
    <w:rsid w:val="00F62C93"/>
    <w:rsid w:val="00F63CF4"/>
    <w:rsid w:val="00F6410D"/>
    <w:rsid w:val="00F6548D"/>
    <w:rsid w:val="00F66420"/>
    <w:rsid w:val="00F6664B"/>
    <w:rsid w:val="00F67A95"/>
    <w:rsid w:val="00F7051B"/>
    <w:rsid w:val="00F7152E"/>
    <w:rsid w:val="00F73467"/>
    <w:rsid w:val="00F74FD6"/>
    <w:rsid w:val="00F75C86"/>
    <w:rsid w:val="00F856F4"/>
    <w:rsid w:val="00F857DE"/>
    <w:rsid w:val="00F85B65"/>
    <w:rsid w:val="00F85D2D"/>
    <w:rsid w:val="00F86BE9"/>
    <w:rsid w:val="00F8732D"/>
    <w:rsid w:val="00F918A2"/>
    <w:rsid w:val="00F927AD"/>
    <w:rsid w:val="00F92D7C"/>
    <w:rsid w:val="00F934F7"/>
    <w:rsid w:val="00F936B2"/>
    <w:rsid w:val="00F93FF8"/>
    <w:rsid w:val="00F9435E"/>
    <w:rsid w:val="00FA253F"/>
    <w:rsid w:val="00FA28B8"/>
    <w:rsid w:val="00FA2BE7"/>
    <w:rsid w:val="00FA363D"/>
    <w:rsid w:val="00FA4062"/>
    <w:rsid w:val="00FA40E5"/>
    <w:rsid w:val="00FA69E6"/>
    <w:rsid w:val="00FA7199"/>
    <w:rsid w:val="00FB069B"/>
    <w:rsid w:val="00FB096A"/>
    <w:rsid w:val="00FB3232"/>
    <w:rsid w:val="00FB40BB"/>
    <w:rsid w:val="00FB4603"/>
    <w:rsid w:val="00FB70D5"/>
    <w:rsid w:val="00FB7552"/>
    <w:rsid w:val="00FB7FA6"/>
    <w:rsid w:val="00FC126E"/>
    <w:rsid w:val="00FC2882"/>
    <w:rsid w:val="00FC2A86"/>
    <w:rsid w:val="00FC5568"/>
    <w:rsid w:val="00FC5CFB"/>
    <w:rsid w:val="00FC5FDB"/>
    <w:rsid w:val="00FC61FD"/>
    <w:rsid w:val="00FC6794"/>
    <w:rsid w:val="00FD0FB7"/>
    <w:rsid w:val="00FD18C9"/>
    <w:rsid w:val="00FD2BD3"/>
    <w:rsid w:val="00FD3A92"/>
    <w:rsid w:val="00FD5028"/>
    <w:rsid w:val="00FD637C"/>
    <w:rsid w:val="00FD7435"/>
    <w:rsid w:val="00FD7AAB"/>
    <w:rsid w:val="00FE0816"/>
    <w:rsid w:val="00FE0D8C"/>
    <w:rsid w:val="00FE1073"/>
    <w:rsid w:val="00FE1C17"/>
    <w:rsid w:val="00FE7800"/>
    <w:rsid w:val="00FE7941"/>
    <w:rsid w:val="00FF0168"/>
    <w:rsid w:val="00FF0A38"/>
    <w:rsid w:val="00FF1D16"/>
    <w:rsid w:val="00FF3976"/>
    <w:rsid w:val="00FF47E4"/>
    <w:rsid w:val="00FF6E81"/>
    <w:rsid w:val="00FF7CDE"/>
  </w:rsids>
  <m:mathPr>
    <m:mathFont m:val="Cambria Math"/>
    <m:brkBin m:val="before"/>
    <m:brkBinSub m:val="--"/>
    <m:smallFrac m:val="off"/>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A0558"/>
    <w:pPr>
      <w:spacing w:after="100" w:afterAutospacing="1" w:line="360" w:lineRule="auto"/>
    </w:pPr>
    <w:rPr>
      <w:rFonts w:ascii="Times New Roman" w:hAnsi="Times New Roman"/>
      <w:sz w:val="22"/>
      <w:lang w:eastAsia="en-US" w:bidi="en-US"/>
    </w:rPr>
  </w:style>
  <w:style w:type="paragraph" w:styleId="Heading1">
    <w:name w:val="heading 1"/>
    <w:basedOn w:val="Normal"/>
    <w:next w:val="Normal"/>
    <w:link w:val="Heading1Char"/>
    <w:uiPriority w:val="9"/>
    <w:qFormat/>
    <w:rsid w:val="008731E8"/>
    <w:pPr>
      <w:numPr>
        <w:numId w:val="1"/>
      </w:numPr>
      <w:spacing w:before="240" w:after="0" w:afterAutospacing="0"/>
      <w:ind w:left="573" w:hanging="431"/>
      <w:outlineLvl w:val="0"/>
    </w:pPr>
    <w:rPr>
      <w:b/>
      <w:bCs/>
      <w:caps/>
      <w:color w:val="000000" w:themeColor="text1"/>
      <w:spacing w:val="15"/>
      <w:sz w:val="24"/>
      <w:szCs w:val="24"/>
    </w:rPr>
  </w:style>
  <w:style w:type="paragraph" w:styleId="Heading2">
    <w:name w:val="heading 2"/>
    <w:basedOn w:val="Normal"/>
    <w:next w:val="Normal"/>
    <w:link w:val="Heading2Char"/>
    <w:uiPriority w:val="9"/>
    <w:qFormat/>
    <w:rsid w:val="00890304"/>
    <w:pPr>
      <w:numPr>
        <w:ilvl w:val="1"/>
        <w:numId w:val="1"/>
      </w:num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before="360" w:after="360"/>
      <w:outlineLvl w:val="1"/>
    </w:pPr>
    <w:rPr>
      <w:caps/>
      <w:spacing w:val="15"/>
      <w:szCs w:val="22"/>
    </w:rPr>
  </w:style>
  <w:style w:type="paragraph" w:styleId="Heading3">
    <w:name w:val="heading 3"/>
    <w:basedOn w:val="Normal"/>
    <w:next w:val="Normal"/>
    <w:link w:val="Heading3Char"/>
    <w:uiPriority w:val="9"/>
    <w:qFormat/>
    <w:rsid w:val="00AA0558"/>
    <w:pPr>
      <w:numPr>
        <w:ilvl w:val="2"/>
        <w:numId w:val="1"/>
      </w:numPr>
      <w:spacing w:before="300"/>
      <w:outlineLvl w:val="2"/>
    </w:pPr>
    <w:rPr>
      <w:caps/>
      <w:color w:val="000000" w:themeColor="text1"/>
      <w:spacing w:val="15"/>
      <w:szCs w:val="22"/>
    </w:rPr>
  </w:style>
  <w:style w:type="paragraph" w:styleId="Heading4">
    <w:name w:val="heading 4"/>
    <w:basedOn w:val="Normal"/>
    <w:next w:val="Normal"/>
    <w:link w:val="Heading4Char"/>
    <w:uiPriority w:val="9"/>
    <w:qFormat/>
    <w:rsid w:val="00AA0558"/>
    <w:pPr>
      <w:numPr>
        <w:ilvl w:val="3"/>
        <w:numId w:val="1"/>
      </w:numPr>
      <w:spacing w:before="300"/>
      <w:outlineLvl w:val="3"/>
    </w:pPr>
    <w:rPr>
      <w:caps/>
      <w:spacing w:val="10"/>
      <w:szCs w:val="22"/>
    </w:rPr>
  </w:style>
  <w:style w:type="paragraph" w:styleId="Heading5">
    <w:name w:val="heading 5"/>
    <w:basedOn w:val="Normal"/>
    <w:next w:val="Normal"/>
    <w:link w:val="Heading5Char"/>
    <w:uiPriority w:val="9"/>
    <w:qFormat/>
    <w:rsid w:val="00AD3583"/>
    <w:pPr>
      <w:numPr>
        <w:ilvl w:val="4"/>
        <w:numId w:val="1"/>
      </w:numPr>
      <w:spacing w:before="300"/>
      <w:outlineLvl w:val="4"/>
    </w:pPr>
    <w:rPr>
      <w:caps/>
      <w:spacing w:val="10"/>
      <w:szCs w:val="22"/>
    </w:rPr>
  </w:style>
  <w:style w:type="paragraph" w:styleId="Heading6">
    <w:name w:val="heading 6"/>
    <w:basedOn w:val="Normal"/>
    <w:next w:val="Normal"/>
    <w:link w:val="Heading6Char"/>
    <w:uiPriority w:val="9"/>
    <w:qFormat/>
    <w:rsid w:val="000F7F47"/>
    <w:pPr>
      <w:numPr>
        <w:ilvl w:val="5"/>
        <w:numId w:val="1"/>
      </w:numPr>
      <w:pBdr>
        <w:bottom w:val="dotted" w:sz="6" w:space="1" w:color="4F81BD"/>
      </w:pBdr>
      <w:spacing w:before="300"/>
      <w:outlineLvl w:val="5"/>
    </w:pPr>
    <w:rPr>
      <w:caps/>
      <w:color w:val="365F91"/>
      <w:spacing w:val="10"/>
      <w:szCs w:val="22"/>
    </w:rPr>
  </w:style>
  <w:style w:type="paragraph" w:styleId="Heading7">
    <w:name w:val="heading 7"/>
    <w:basedOn w:val="Normal"/>
    <w:next w:val="Normal"/>
    <w:link w:val="Heading7Char"/>
    <w:uiPriority w:val="9"/>
    <w:qFormat/>
    <w:rsid w:val="000F7F47"/>
    <w:pPr>
      <w:numPr>
        <w:ilvl w:val="6"/>
        <w:numId w:val="1"/>
      </w:numPr>
      <w:spacing w:before="300"/>
      <w:outlineLvl w:val="6"/>
    </w:pPr>
    <w:rPr>
      <w:caps/>
      <w:color w:val="365F91"/>
      <w:spacing w:val="10"/>
      <w:szCs w:val="22"/>
    </w:rPr>
  </w:style>
  <w:style w:type="paragraph" w:styleId="Heading8">
    <w:name w:val="heading 8"/>
    <w:basedOn w:val="Normal"/>
    <w:next w:val="Normal"/>
    <w:link w:val="Heading8Char"/>
    <w:uiPriority w:val="9"/>
    <w:qFormat/>
    <w:rsid w:val="000F7F47"/>
    <w:pPr>
      <w:numPr>
        <w:ilvl w:val="7"/>
        <w:numId w:val="1"/>
      </w:numPr>
      <w:spacing w:before="300"/>
      <w:outlineLvl w:val="7"/>
    </w:pPr>
    <w:rPr>
      <w:caps/>
      <w:spacing w:val="10"/>
      <w:sz w:val="18"/>
      <w:szCs w:val="18"/>
    </w:rPr>
  </w:style>
  <w:style w:type="paragraph" w:styleId="Heading9">
    <w:name w:val="heading 9"/>
    <w:basedOn w:val="Normal"/>
    <w:next w:val="Normal"/>
    <w:link w:val="Heading9Char"/>
    <w:uiPriority w:val="9"/>
    <w:qFormat/>
    <w:rsid w:val="000F7F47"/>
    <w:pPr>
      <w:numPr>
        <w:ilvl w:val="8"/>
        <w:numId w:val="1"/>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234693"/>
    <w:pPr>
      <w:keepNext/>
      <w:spacing w:after="0" w:afterAutospacing="0"/>
    </w:pPr>
    <w:rPr>
      <w:b/>
      <w:bCs/>
      <w:sz w:val="18"/>
      <w:szCs w:val="16"/>
    </w:rPr>
  </w:style>
  <w:style w:type="table" w:styleId="TableGrid">
    <w:name w:val="Table Grid"/>
    <w:basedOn w:val="TableNormal"/>
    <w:uiPriority w:val="59"/>
    <w:rsid w:val="00D43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malAligned">
    <w:name w:val="Decimal Aligned"/>
    <w:basedOn w:val="Normal"/>
    <w:uiPriority w:val="40"/>
    <w:qFormat/>
    <w:rsid w:val="00661F0B"/>
    <w:pPr>
      <w:tabs>
        <w:tab w:val="decimal" w:pos="360"/>
      </w:tabs>
    </w:pPr>
    <w:rPr>
      <w:b/>
      <w:bCs/>
    </w:rPr>
  </w:style>
  <w:style w:type="paragraph" w:styleId="FootnoteText">
    <w:name w:val="footnote text"/>
    <w:basedOn w:val="Normal"/>
    <w:link w:val="FootnoteTextChar"/>
    <w:uiPriority w:val="99"/>
    <w:unhideWhenUsed/>
    <w:rsid w:val="00136704"/>
    <w:pPr>
      <w:spacing w:line="240" w:lineRule="auto"/>
    </w:pPr>
    <w:rPr>
      <w:lang w:val="en-US"/>
    </w:rPr>
  </w:style>
  <w:style w:type="character" w:customStyle="1" w:styleId="FootnoteTextChar">
    <w:name w:val="Footnote Text Char"/>
    <w:basedOn w:val="DefaultParagraphFont"/>
    <w:link w:val="FootnoteText"/>
    <w:uiPriority w:val="99"/>
    <w:rsid w:val="00136704"/>
    <w:rPr>
      <w:rFonts w:ascii="Calibri" w:eastAsia="SimSun" w:hAnsi="Calibri" w:cs="Arial"/>
      <w:lang w:val="en-US" w:eastAsia="en-US"/>
    </w:rPr>
  </w:style>
  <w:style w:type="character" w:styleId="SubtleEmphasis">
    <w:name w:val="Subtle Emphasis"/>
    <w:uiPriority w:val="19"/>
    <w:qFormat/>
    <w:rsid w:val="000F7F47"/>
    <w:rPr>
      <w:i/>
      <w:iCs/>
      <w:color w:val="243F60"/>
    </w:rPr>
  </w:style>
  <w:style w:type="table" w:customStyle="1" w:styleId="LightShading-Accent11">
    <w:name w:val="Light Shading - Accent 11"/>
    <w:basedOn w:val="TableNormal"/>
    <w:uiPriority w:val="60"/>
    <w:rsid w:val="0013670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TableNormal"/>
    <w:uiPriority w:val="61"/>
    <w:rsid w:val="00136704"/>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3670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itle">
    <w:name w:val="Title"/>
    <w:basedOn w:val="Normal"/>
    <w:next w:val="Normal"/>
    <w:link w:val="TitleChar"/>
    <w:uiPriority w:val="10"/>
    <w:qFormat/>
    <w:rsid w:val="007D26BB"/>
    <w:pPr>
      <w:spacing w:before="720"/>
      <w:jc w:val="center"/>
    </w:pPr>
    <w:rPr>
      <w:caps/>
      <w:color w:val="000000" w:themeColor="text1"/>
      <w:spacing w:val="10"/>
      <w:kern w:val="28"/>
      <w:sz w:val="40"/>
      <w:szCs w:val="52"/>
      <w:u w:val="single"/>
    </w:rPr>
  </w:style>
  <w:style w:type="character" w:customStyle="1" w:styleId="TitleChar">
    <w:name w:val="Title Char"/>
    <w:basedOn w:val="DefaultParagraphFont"/>
    <w:link w:val="Title"/>
    <w:uiPriority w:val="10"/>
    <w:rsid w:val="007D26BB"/>
    <w:rPr>
      <w:caps/>
      <w:color w:val="000000" w:themeColor="text1"/>
      <w:spacing w:val="10"/>
      <w:kern w:val="28"/>
      <w:sz w:val="40"/>
      <w:szCs w:val="52"/>
      <w:u w:val="single"/>
      <w:lang w:eastAsia="en-US" w:bidi="en-US"/>
    </w:rPr>
  </w:style>
  <w:style w:type="character" w:customStyle="1" w:styleId="Heading1Char">
    <w:name w:val="Heading 1 Char"/>
    <w:basedOn w:val="DefaultParagraphFont"/>
    <w:link w:val="Heading1"/>
    <w:uiPriority w:val="9"/>
    <w:rsid w:val="008731E8"/>
    <w:rPr>
      <w:rFonts w:ascii="Times New Roman" w:hAnsi="Times New Roman"/>
      <w:b/>
      <w:bCs/>
      <w:caps/>
      <w:color w:val="000000" w:themeColor="text1"/>
      <w:spacing w:val="15"/>
      <w:sz w:val="24"/>
      <w:szCs w:val="24"/>
      <w:lang w:eastAsia="en-US" w:bidi="en-US"/>
    </w:rPr>
  </w:style>
  <w:style w:type="character" w:customStyle="1" w:styleId="Heading2Char">
    <w:name w:val="Heading 2 Char"/>
    <w:basedOn w:val="DefaultParagraphFont"/>
    <w:link w:val="Heading2"/>
    <w:uiPriority w:val="9"/>
    <w:rsid w:val="00890304"/>
    <w:rPr>
      <w:rFonts w:ascii="Times New Roman" w:hAnsi="Times New Roman"/>
      <w:caps/>
      <w:spacing w:val="15"/>
      <w:sz w:val="22"/>
      <w:szCs w:val="22"/>
      <w:lang w:eastAsia="en-US" w:bidi="en-US"/>
    </w:rPr>
  </w:style>
  <w:style w:type="character" w:styleId="FootnoteReference">
    <w:name w:val="footnote reference"/>
    <w:basedOn w:val="DefaultParagraphFont"/>
    <w:uiPriority w:val="99"/>
    <w:unhideWhenUsed/>
    <w:rsid w:val="00AB69D6"/>
    <w:rPr>
      <w:vertAlign w:val="superscript"/>
    </w:rPr>
  </w:style>
  <w:style w:type="character" w:styleId="IntenseEmphasis">
    <w:name w:val="Intense Emphasis"/>
    <w:uiPriority w:val="21"/>
    <w:qFormat/>
    <w:rsid w:val="000F7F47"/>
    <w:rPr>
      <w:b/>
      <w:bCs/>
      <w:caps/>
      <w:color w:val="243F60"/>
      <w:spacing w:val="10"/>
    </w:rPr>
  </w:style>
  <w:style w:type="paragraph" w:customStyle="1" w:styleId="ListParagraph1">
    <w:name w:val="List Paragraph1"/>
    <w:aliases w:val="Table text"/>
    <w:basedOn w:val="Normal"/>
    <w:uiPriority w:val="34"/>
    <w:qFormat/>
    <w:rsid w:val="00767F4D"/>
    <w:pPr>
      <w:spacing w:after="0" w:afterAutospacing="0" w:line="240" w:lineRule="auto"/>
      <w:contextualSpacing/>
    </w:pPr>
    <w:rPr>
      <w:sz w:val="18"/>
    </w:rPr>
  </w:style>
  <w:style w:type="paragraph" w:styleId="Subtitle">
    <w:name w:val="Subtitle"/>
    <w:basedOn w:val="DecimalAligned"/>
    <w:next w:val="Normal"/>
    <w:link w:val="SubtitleChar"/>
    <w:uiPriority w:val="11"/>
    <w:qFormat/>
    <w:rsid w:val="000E5A8B"/>
    <w:pPr>
      <w:spacing w:before="120" w:after="120"/>
    </w:pPr>
    <w:rPr>
      <w:b w:val="0"/>
      <w:bCs w:val="0"/>
      <w:color w:val="1F497D"/>
      <w:sz w:val="28"/>
      <w:szCs w:val="28"/>
    </w:rPr>
  </w:style>
  <w:style w:type="character" w:customStyle="1" w:styleId="SubtitleChar">
    <w:name w:val="Subtitle Char"/>
    <w:basedOn w:val="DefaultParagraphFont"/>
    <w:link w:val="Subtitle"/>
    <w:uiPriority w:val="11"/>
    <w:rsid w:val="000E5A8B"/>
    <w:rPr>
      <w:color w:val="1F497D"/>
      <w:sz w:val="28"/>
      <w:szCs w:val="28"/>
      <w:lang w:eastAsia="en-US" w:bidi="en-US"/>
    </w:rPr>
  </w:style>
  <w:style w:type="character" w:customStyle="1" w:styleId="Heading3Char">
    <w:name w:val="Heading 3 Char"/>
    <w:basedOn w:val="DefaultParagraphFont"/>
    <w:link w:val="Heading3"/>
    <w:uiPriority w:val="9"/>
    <w:rsid w:val="00AA0558"/>
    <w:rPr>
      <w:rFonts w:ascii="Times New Roman" w:hAnsi="Times New Roman"/>
      <w:caps/>
      <w:color w:val="000000" w:themeColor="text1"/>
      <w:spacing w:val="15"/>
      <w:sz w:val="22"/>
      <w:szCs w:val="22"/>
      <w:lang w:eastAsia="en-US" w:bidi="en-US"/>
    </w:rPr>
  </w:style>
  <w:style w:type="character" w:customStyle="1" w:styleId="Heading4Char">
    <w:name w:val="Heading 4 Char"/>
    <w:basedOn w:val="DefaultParagraphFont"/>
    <w:link w:val="Heading4"/>
    <w:uiPriority w:val="9"/>
    <w:rsid w:val="00AA0558"/>
    <w:rPr>
      <w:rFonts w:ascii="Times New Roman" w:hAnsi="Times New Roman"/>
      <w:caps/>
      <w:spacing w:val="10"/>
      <w:sz w:val="22"/>
      <w:szCs w:val="22"/>
      <w:lang w:eastAsia="en-US" w:bidi="en-US"/>
    </w:rPr>
  </w:style>
  <w:style w:type="character" w:customStyle="1" w:styleId="Heading5Char">
    <w:name w:val="Heading 5 Char"/>
    <w:basedOn w:val="DefaultParagraphFont"/>
    <w:link w:val="Heading5"/>
    <w:uiPriority w:val="9"/>
    <w:rsid w:val="00AD3583"/>
    <w:rPr>
      <w:rFonts w:ascii="Times New Roman" w:hAnsi="Times New Roman"/>
      <w:caps/>
      <w:spacing w:val="10"/>
      <w:sz w:val="22"/>
      <w:szCs w:val="22"/>
      <w:lang w:eastAsia="en-US" w:bidi="en-US"/>
    </w:rPr>
  </w:style>
  <w:style w:type="character" w:customStyle="1" w:styleId="Heading6Char">
    <w:name w:val="Heading 6 Char"/>
    <w:basedOn w:val="DefaultParagraphFont"/>
    <w:link w:val="Heading6"/>
    <w:uiPriority w:val="9"/>
    <w:rsid w:val="000F7F47"/>
    <w:rPr>
      <w:rFonts w:ascii="Times New Roman" w:hAnsi="Times New Roman"/>
      <w:caps/>
      <w:color w:val="365F91"/>
      <w:spacing w:val="10"/>
      <w:sz w:val="22"/>
      <w:szCs w:val="22"/>
      <w:lang w:eastAsia="en-US" w:bidi="en-US"/>
    </w:rPr>
  </w:style>
  <w:style w:type="character" w:customStyle="1" w:styleId="Heading7Char">
    <w:name w:val="Heading 7 Char"/>
    <w:basedOn w:val="DefaultParagraphFont"/>
    <w:link w:val="Heading7"/>
    <w:uiPriority w:val="9"/>
    <w:rsid w:val="000F7F47"/>
    <w:rPr>
      <w:rFonts w:ascii="Times New Roman" w:hAnsi="Times New Roman"/>
      <w:caps/>
      <w:color w:val="365F91"/>
      <w:spacing w:val="10"/>
      <w:sz w:val="22"/>
      <w:szCs w:val="22"/>
      <w:lang w:eastAsia="en-US" w:bidi="en-US"/>
    </w:rPr>
  </w:style>
  <w:style w:type="character" w:customStyle="1" w:styleId="Heading8Char">
    <w:name w:val="Heading 8 Char"/>
    <w:basedOn w:val="DefaultParagraphFont"/>
    <w:link w:val="Heading8"/>
    <w:uiPriority w:val="9"/>
    <w:rsid w:val="000F7F47"/>
    <w:rPr>
      <w:rFonts w:ascii="Times New Roman" w:hAnsi="Times New Roman"/>
      <w:caps/>
      <w:spacing w:val="10"/>
      <w:sz w:val="18"/>
      <w:szCs w:val="18"/>
      <w:lang w:eastAsia="en-US" w:bidi="en-US"/>
    </w:rPr>
  </w:style>
  <w:style w:type="character" w:customStyle="1" w:styleId="Heading9Char">
    <w:name w:val="Heading 9 Char"/>
    <w:basedOn w:val="DefaultParagraphFont"/>
    <w:link w:val="Heading9"/>
    <w:uiPriority w:val="9"/>
    <w:rsid w:val="000F7F47"/>
    <w:rPr>
      <w:rFonts w:ascii="Times New Roman" w:hAnsi="Times New Roman"/>
      <w:i/>
      <w:caps/>
      <w:spacing w:val="10"/>
      <w:sz w:val="18"/>
      <w:szCs w:val="18"/>
      <w:lang w:eastAsia="en-US" w:bidi="en-US"/>
    </w:rPr>
  </w:style>
  <w:style w:type="character" w:styleId="Strong">
    <w:name w:val="Strong"/>
    <w:uiPriority w:val="22"/>
    <w:qFormat/>
    <w:rsid w:val="000F7F47"/>
    <w:rPr>
      <w:b/>
      <w:bCs/>
    </w:rPr>
  </w:style>
  <w:style w:type="character" w:styleId="Emphasis">
    <w:name w:val="Emphasis"/>
    <w:uiPriority w:val="20"/>
    <w:qFormat/>
    <w:rsid w:val="00234693"/>
    <w:rPr>
      <w:spacing w:val="5"/>
      <w:sz w:val="24"/>
      <w:szCs w:val="24"/>
    </w:rPr>
  </w:style>
  <w:style w:type="paragraph" w:styleId="NoSpacing">
    <w:name w:val="No Spacing"/>
    <w:basedOn w:val="Normal"/>
    <w:link w:val="NoSpacingChar"/>
    <w:uiPriority w:val="1"/>
    <w:qFormat/>
    <w:rsid w:val="000F7F47"/>
    <w:pPr>
      <w:spacing w:line="240" w:lineRule="auto"/>
    </w:pPr>
  </w:style>
  <w:style w:type="character" w:customStyle="1" w:styleId="NoSpacingChar">
    <w:name w:val="No Spacing Char"/>
    <w:basedOn w:val="DefaultParagraphFont"/>
    <w:link w:val="NoSpacing"/>
    <w:uiPriority w:val="1"/>
    <w:rsid w:val="000F7F47"/>
    <w:rPr>
      <w:sz w:val="20"/>
      <w:szCs w:val="20"/>
    </w:rPr>
  </w:style>
  <w:style w:type="paragraph" w:styleId="Quote">
    <w:name w:val="Quote"/>
    <w:basedOn w:val="Normal"/>
    <w:next w:val="Normal"/>
    <w:link w:val="QuoteChar"/>
    <w:uiPriority w:val="29"/>
    <w:qFormat/>
    <w:rsid w:val="000F7F47"/>
    <w:rPr>
      <w:i/>
      <w:iCs/>
    </w:rPr>
  </w:style>
  <w:style w:type="character" w:customStyle="1" w:styleId="QuoteChar">
    <w:name w:val="Quote Char"/>
    <w:basedOn w:val="DefaultParagraphFont"/>
    <w:link w:val="Quote"/>
    <w:uiPriority w:val="29"/>
    <w:rsid w:val="000F7F47"/>
    <w:rPr>
      <w:i/>
      <w:iCs/>
      <w:sz w:val="20"/>
      <w:szCs w:val="20"/>
    </w:rPr>
  </w:style>
  <w:style w:type="paragraph" w:styleId="IntenseQuote">
    <w:name w:val="Intense Quote"/>
    <w:basedOn w:val="Normal"/>
    <w:next w:val="Normal"/>
    <w:link w:val="IntenseQuoteChar"/>
    <w:uiPriority w:val="30"/>
    <w:qFormat/>
    <w:rsid w:val="000F7F47"/>
    <w:pPr>
      <w:pBdr>
        <w:top w:val="single" w:sz="4" w:space="10" w:color="4F81BD"/>
        <w:left w:val="single" w:sz="4" w:space="10" w:color="4F81BD"/>
      </w:pBdr>
      <w:ind w:left="1296" w:right="1152"/>
      <w:jc w:val="both"/>
    </w:pPr>
    <w:rPr>
      <w:i/>
      <w:iCs/>
      <w:color w:val="4F81BD"/>
    </w:rPr>
  </w:style>
  <w:style w:type="character" w:customStyle="1" w:styleId="IntenseQuoteChar">
    <w:name w:val="Intense Quote Char"/>
    <w:basedOn w:val="DefaultParagraphFont"/>
    <w:link w:val="IntenseQuote"/>
    <w:uiPriority w:val="30"/>
    <w:rsid w:val="000F7F47"/>
    <w:rPr>
      <w:i/>
      <w:iCs/>
      <w:color w:val="4F81BD"/>
      <w:sz w:val="20"/>
      <w:szCs w:val="20"/>
    </w:rPr>
  </w:style>
  <w:style w:type="character" w:styleId="SubtleReference">
    <w:name w:val="Subtle Reference"/>
    <w:uiPriority w:val="31"/>
    <w:qFormat/>
    <w:rsid w:val="000F7F47"/>
    <w:rPr>
      <w:b/>
      <w:bCs/>
      <w:color w:val="4F81BD"/>
    </w:rPr>
  </w:style>
  <w:style w:type="character" w:styleId="IntenseReference">
    <w:name w:val="Intense Reference"/>
    <w:uiPriority w:val="32"/>
    <w:qFormat/>
    <w:rsid w:val="000F7F47"/>
    <w:rPr>
      <w:b/>
      <w:bCs/>
      <w:i/>
      <w:iCs/>
      <w:caps/>
      <w:color w:val="4F81BD"/>
    </w:rPr>
  </w:style>
  <w:style w:type="character" w:styleId="BookTitle">
    <w:name w:val="Book Title"/>
    <w:uiPriority w:val="33"/>
    <w:qFormat/>
    <w:rsid w:val="000F7F47"/>
    <w:rPr>
      <w:b/>
      <w:bCs/>
      <w:i/>
      <w:iCs/>
      <w:spacing w:val="9"/>
    </w:rPr>
  </w:style>
  <w:style w:type="paragraph" w:styleId="TOCHeading">
    <w:name w:val="TOC Heading"/>
    <w:basedOn w:val="Heading1"/>
    <w:next w:val="Normal"/>
    <w:uiPriority w:val="39"/>
    <w:qFormat/>
    <w:rsid w:val="000F7F47"/>
    <w:pPr>
      <w:outlineLvl w:val="9"/>
    </w:pPr>
  </w:style>
  <w:style w:type="paragraph" w:styleId="BalloonText">
    <w:name w:val="Balloon Text"/>
    <w:basedOn w:val="Normal"/>
    <w:link w:val="BalloonTextChar"/>
    <w:uiPriority w:val="99"/>
    <w:unhideWhenUsed/>
    <w:rsid w:val="00661F0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61F0B"/>
    <w:rPr>
      <w:rFonts w:ascii="Tahoma" w:hAnsi="Tahoma" w:cs="Tahoma"/>
      <w:sz w:val="16"/>
      <w:szCs w:val="16"/>
    </w:rPr>
  </w:style>
  <w:style w:type="paragraph" w:styleId="TOC1">
    <w:name w:val="toc 1"/>
    <w:basedOn w:val="Normal"/>
    <w:next w:val="Normal"/>
    <w:autoRedefine/>
    <w:uiPriority w:val="39"/>
    <w:unhideWhenUsed/>
    <w:qFormat/>
    <w:rsid w:val="002251C6"/>
    <w:pPr>
      <w:tabs>
        <w:tab w:val="left" w:pos="400"/>
        <w:tab w:val="right" w:leader="dot" w:pos="9016"/>
      </w:tabs>
      <w:spacing w:before="360" w:after="0"/>
    </w:pPr>
    <w:rPr>
      <w:rFonts w:cstheme="majorHAnsi"/>
      <w:b/>
      <w:bCs/>
      <w:caps/>
      <w:sz w:val="24"/>
      <w:szCs w:val="24"/>
    </w:rPr>
  </w:style>
  <w:style w:type="paragraph" w:styleId="TOC2">
    <w:name w:val="toc 2"/>
    <w:basedOn w:val="Normal"/>
    <w:next w:val="Normal"/>
    <w:autoRedefine/>
    <w:uiPriority w:val="39"/>
    <w:unhideWhenUsed/>
    <w:qFormat/>
    <w:rsid w:val="002251C6"/>
    <w:pPr>
      <w:spacing w:before="240" w:after="0"/>
    </w:pPr>
    <w:rPr>
      <w:rFonts w:cstheme="minorHAnsi"/>
      <w:b/>
      <w:bCs/>
    </w:rPr>
  </w:style>
  <w:style w:type="character" w:styleId="Hyperlink">
    <w:name w:val="Hyperlink"/>
    <w:basedOn w:val="DefaultParagraphFont"/>
    <w:uiPriority w:val="99"/>
    <w:unhideWhenUsed/>
    <w:rsid w:val="000147FD"/>
    <w:rPr>
      <w:color w:val="0000FF"/>
      <w:u w:val="single"/>
    </w:rPr>
  </w:style>
  <w:style w:type="paragraph" w:styleId="TOC3">
    <w:name w:val="toc 3"/>
    <w:basedOn w:val="Normal"/>
    <w:next w:val="Normal"/>
    <w:autoRedefine/>
    <w:uiPriority w:val="39"/>
    <w:unhideWhenUsed/>
    <w:qFormat/>
    <w:rsid w:val="002251C6"/>
    <w:pPr>
      <w:spacing w:after="0"/>
      <w:ind w:left="200"/>
    </w:pPr>
    <w:rPr>
      <w:rFonts w:cstheme="minorHAnsi"/>
      <w:sz w:val="21"/>
    </w:rPr>
  </w:style>
  <w:style w:type="paragraph" w:styleId="Header">
    <w:name w:val="header"/>
    <w:basedOn w:val="Normal"/>
    <w:link w:val="HeaderChar"/>
    <w:uiPriority w:val="99"/>
    <w:unhideWhenUsed/>
    <w:rsid w:val="000147FD"/>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0147FD"/>
    <w:rPr>
      <w:sz w:val="20"/>
      <w:szCs w:val="20"/>
      <w:lang w:val="en-GB"/>
    </w:rPr>
  </w:style>
  <w:style w:type="paragraph" w:styleId="Footer">
    <w:name w:val="footer"/>
    <w:basedOn w:val="Normal"/>
    <w:link w:val="FooterChar"/>
    <w:uiPriority w:val="99"/>
    <w:unhideWhenUsed/>
    <w:rsid w:val="000147FD"/>
    <w:pPr>
      <w:tabs>
        <w:tab w:val="center" w:pos="4513"/>
        <w:tab w:val="right" w:pos="9026"/>
      </w:tabs>
      <w:spacing w:line="240" w:lineRule="auto"/>
    </w:pPr>
  </w:style>
  <w:style w:type="character" w:customStyle="1" w:styleId="FooterChar">
    <w:name w:val="Footer Char"/>
    <w:basedOn w:val="DefaultParagraphFont"/>
    <w:link w:val="Footer"/>
    <w:uiPriority w:val="99"/>
    <w:rsid w:val="000147FD"/>
    <w:rPr>
      <w:sz w:val="20"/>
      <w:szCs w:val="20"/>
      <w:lang w:val="en-GB"/>
    </w:rPr>
  </w:style>
  <w:style w:type="paragraph" w:styleId="ListParagraph">
    <w:name w:val="List Paragraph"/>
    <w:basedOn w:val="Normal"/>
    <w:uiPriority w:val="34"/>
    <w:qFormat/>
    <w:rsid w:val="000E0AEC"/>
    <w:pPr>
      <w:ind w:left="720"/>
      <w:contextualSpacing/>
    </w:pPr>
  </w:style>
  <w:style w:type="character" w:styleId="PlaceholderText">
    <w:name w:val="Placeholder Text"/>
    <w:basedOn w:val="DefaultParagraphFont"/>
    <w:uiPriority w:val="99"/>
    <w:semiHidden/>
    <w:rsid w:val="00157A9F"/>
    <w:rPr>
      <w:color w:val="808080"/>
    </w:rPr>
  </w:style>
  <w:style w:type="character" w:styleId="CommentReference">
    <w:name w:val="annotation reference"/>
    <w:basedOn w:val="DefaultParagraphFont"/>
    <w:uiPriority w:val="99"/>
    <w:rsid w:val="00877C83"/>
    <w:rPr>
      <w:rFonts w:cs="Times New Roman"/>
      <w:sz w:val="16"/>
      <w:szCs w:val="16"/>
    </w:rPr>
  </w:style>
  <w:style w:type="paragraph" w:styleId="CommentText">
    <w:name w:val="annotation text"/>
    <w:basedOn w:val="Normal"/>
    <w:link w:val="CommentTextChar"/>
    <w:uiPriority w:val="99"/>
    <w:rsid w:val="00877C83"/>
    <w:pPr>
      <w:spacing w:after="200" w:afterAutospacing="0" w:line="240" w:lineRule="auto"/>
    </w:pPr>
    <w:rPr>
      <w:rFonts w:eastAsia="Calibri" w:cs="Times New Roman"/>
      <w:lang w:bidi="ar-SA"/>
    </w:rPr>
  </w:style>
  <w:style w:type="character" w:customStyle="1" w:styleId="CommentTextChar">
    <w:name w:val="Comment Text Char"/>
    <w:basedOn w:val="DefaultParagraphFont"/>
    <w:link w:val="CommentText"/>
    <w:uiPriority w:val="99"/>
    <w:rsid w:val="00877C83"/>
    <w:rPr>
      <w:rFonts w:eastAsia="Calibri" w:cs="Times New Roman"/>
      <w:lang w:eastAsia="en-US"/>
    </w:rPr>
  </w:style>
  <w:style w:type="paragraph" w:styleId="CommentSubject">
    <w:name w:val="annotation subject"/>
    <w:basedOn w:val="CommentText"/>
    <w:next w:val="CommentText"/>
    <w:link w:val="CommentSubjectChar"/>
    <w:uiPriority w:val="99"/>
    <w:rsid w:val="00877C83"/>
    <w:rPr>
      <w:b/>
      <w:bCs/>
    </w:rPr>
  </w:style>
  <w:style w:type="character" w:customStyle="1" w:styleId="CommentSubjectChar">
    <w:name w:val="Comment Subject Char"/>
    <w:basedOn w:val="CommentTextChar"/>
    <w:link w:val="CommentSubject"/>
    <w:uiPriority w:val="99"/>
    <w:rsid w:val="00877C83"/>
    <w:rPr>
      <w:b/>
      <w:bCs/>
    </w:rPr>
  </w:style>
  <w:style w:type="paragraph" w:styleId="NormalWeb">
    <w:name w:val="Normal (Web)"/>
    <w:basedOn w:val="Normal"/>
    <w:uiPriority w:val="99"/>
    <w:unhideWhenUsed/>
    <w:rsid w:val="00877C83"/>
    <w:pPr>
      <w:spacing w:before="100" w:beforeAutospacing="1" w:line="240" w:lineRule="auto"/>
    </w:pPr>
    <w:rPr>
      <w:rFonts w:eastAsia="Times New Roman" w:cs="Times New Roman"/>
      <w:sz w:val="24"/>
      <w:szCs w:val="24"/>
      <w:lang w:eastAsia="zh-CN" w:bidi="ar-SA"/>
    </w:rPr>
  </w:style>
  <w:style w:type="paragraph" w:styleId="ListBullet">
    <w:name w:val="List Bullet"/>
    <w:basedOn w:val="Normal"/>
    <w:uiPriority w:val="99"/>
    <w:unhideWhenUsed/>
    <w:rsid w:val="00877C83"/>
    <w:pPr>
      <w:numPr>
        <w:numId w:val="2"/>
      </w:numPr>
      <w:spacing w:after="200" w:afterAutospacing="0"/>
      <w:contextualSpacing/>
    </w:pPr>
    <w:rPr>
      <w:rFonts w:eastAsia="Calibri" w:cs="Times New Roman"/>
      <w:lang w:bidi="ar-SA"/>
    </w:rPr>
  </w:style>
  <w:style w:type="paragraph" w:styleId="TOC4">
    <w:name w:val="toc 4"/>
    <w:basedOn w:val="Normal"/>
    <w:next w:val="Normal"/>
    <w:autoRedefine/>
    <w:uiPriority w:val="39"/>
    <w:unhideWhenUsed/>
    <w:rsid w:val="000A3F23"/>
    <w:pPr>
      <w:spacing w:after="0"/>
      <w:ind w:left="400"/>
    </w:pPr>
    <w:rPr>
      <w:rFonts w:asciiTheme="minorHAnsi" w:hAnsiTheme="minorHAnsi" w:cstheme="minorHAnsi"/>
    </w:rPr>
  </w:style>
  <w:style w:type="paragraph" w:styleId="TOC5">
    <w:name w:val="toc 5"/>
    <w:basedOn w:val="Normal"/>
    <w:next w:val="Normal"/>
    <w:autoRedefine/>
    <w:uiPriority w:val="39"/>
    <w:unhideWhenUsed/>
    <w:rsid w:val="000A3F23"/>
    <w:pPr>
      <w:spacing w:after="0"/>
      <w:ind w:left="600"/>
    </w:pPr>
    <w:rPr>
      <w:rFonts w:asciiTheme="minorHAnsi" w:hAnsiTheme="minorHAnsi" w:cstheme="minorHAnsi"/>
    </w:rPr>
  </w:style>
  <w:style w:type="paragraph" w:styleId="TOC6">
    <w:name w:val="toc 6"/>
    <w:basedOn w:val="Normal"/>
    <w:next w:val="Normal"/>
    <w:autoRedefine/>
    <w:uiPriority w:val="39"/>
    <w:unhideWhenUsed/>
    <w:rsid w:val="000A3F23"/>
    <w:pPr>
      <w:spacing w:after="0"/>
      <w:ind w:left="800"/>
    </w:pPr>
    <w:rPr>
      <w:rFonts w:asciiTheme="minorHAnsi" w:hAnsiTheme="minorHAnsi" w:cstheme="minorHAnsi"/>
    </w:rPr>
  </w:style>
  <w:style w:type="paragraph" w:styleId="TOC7">
    <w:name w:val="toc 7"/>
    <w:basedOn w:val="Normal"/>
    <w:next w:val="Normal"/>
    <w:autoRedefine/>
    <w:uiPriority w:val="39"/>
    <w:unhideWhenUsed/>
    <w:rsid w:val="000A3F23"/>
    <w:pPr>
      <w:spacing w:after="0"/>
      <w:ind w:left="1000"/>
    </w:pPr>
    <w:rPr>
      <w:rFonts w:asciiTheme="minorHAnsi" w:hAnsiTheme="minorHAnsi" w:cstheme="minorHAnsi"/>
    </w:rPr>
  </w:style>
  <w:style w:type="paragraph" w:styleId="TOC8">
    <w:name w:val="toc 8"/>
    <w:basedOn w:val="Normal"/>
    <w:next w:val="Normal"/>
    <w:autoRedefine/>
    <w:uiPriority w:val="39"/>
    <w:unhideWhenUsed/>
    <w:rsid w:val="000A3F23"/>
    <w:pPr>
      <w:spacing w:after="0"/>
      <w:ind w:left="1200"/>
    </w:pPr>
    <w:rPr>
      <w:rFonts w:asciiTheme="minorHAnsi" w:hAnsiTheme="minorHAnsi" w:cstheme="minorHAnsi"/>
    </w:rPr>
  </w:style>
  <w:style w:type="paragraph" w:styleId="TOC9">
    <w:name w:val="toc 9"/>
    <w:basedOn w:val="Normal"/>
    <w:next w:val="Normal"/>
    <w:autoRedefine/>
    <w:uiPriority w:val="39"/>
    <w:unhideWhenUsed/>
    <w:rsid w:val="000A3F23"/>
    <w:pPr>
      <w:spacing w:after="0"/>
      <w:ind w:left="1400"/>
    </w:pPr>
    <w:rPr>
      <w:rFonts w:asciiTheme="minorHAnsi" w:hAnsiTheme="minorHAnsi" w:cstheme="minorHAnsi"/>
    </w:rPr>
  </w:style>
  <w:style w:type="paragraph" w:styleId="TableofFigures">
    <w:name w:val="table of figures"/>
    <w:basedOn w:val="Normal"/>
    <w:next w:val="Normal"/>
    <w:uiPriority w:val="99"/>
    <w:unhideWhenUsed/>
    <w:rsid w:val="008C4FB9"/>
    <w:pPr>
      <w:spacing w:after="0"/>
    </w:pPr>
  </w:style>
  <w:style w:type="paragraph" w:styleId="EndnoteText">
    <w:name w:val="endnote text"/>
    <w:basedOn w:val="Normal"/>
    <w:link w:val="EndnoteTextChar"/>
    <w:uiPriority w:val="99"/>
    <w:semiHidden/>
    <w:unhideWhenUsed/>
    <w:rsid w:val="00485D36"/>
    <w:pPr>
      <w:spacing w:after="0" w:line="240" w:lineRule="auto"/>
    </w:pPr>
    <w:rPr>
      <w:sz w:val="20"/>
    </w:rPr>
  </w:style>
  <w:style w:type="character" w:customStyle="1" w:styleId="EndnoteTextChar">
    <w:name w:val="Endnote Text Char"/>
    <w:basedOn w:val="DefaultParagraphFont"/>
    <w:link w:val="EndnoteText"/>
    <w:uiPriority w:val="99"/>
    <w:semiHidden/>
    <w:rsid w:val="00485D36"/>
    <w:rPr>
      <w:rFonts w:ascii="Times New Roman" w:hAnsi="Times New Roman"/>
      <w:lang w:eastAsia="en-US" w:bidi="en-US"/>
    </w:rPr>
  </w:style>
  <w:style w:type="character" w:styleId="EndnoteReference">
    <w:name w:val="endnote reference"/>
    <w:basedOn w:val="DefaultParagraphFont"/>
    <w:uiPriority w:val="99"/>
    <w:semiHidden/>
    <w:unhideWhenUsed/>
    <w:rsid w:val="00485D36"/>
    <w:rPr>
      <w:vertAlign w:val="superscript"/>
    </w:rPr>
  </w:style>
  <w:style w:type="paragraph" w:customStyle="1" w:styleId="Bijlage">
    <w:name w:val="Bijlage"/>
    <w:basedOn w:val="Normal"/>
    <w:next w:val="Normal"/>
    <w:semiHidden/>
    <w:rsid w:val="006074C8"/>
    <w:pPr>
      <w:pageBreakBefore/>
      <w:numPr>
        <w:numId w:val="15"/>
      </w:numPr>
      <w:tabs>
        <w:tab w:val="left" w:pos="1134"/>
      </w:tabs>
      <w:spacing w:after="240" w:afterAutospacing="0"/>
      <w:outlineLvl w:val="3"/>
    </w:pPr>
    <w:rPr>
      <w:rFonts w:ascii="Eras Medium ITC" w:eastAsia="Times New Roman" w:hAnsi="Eras Medium ITC" w:cs="Times New Roman"/>
      <w:i/>
      <w:color w:val="CC0000"/>
      <w:sz w:val="40"/>
      <w:lang w:val="en-US" w:eastAsia="nl-NL" w:bidi="ar-SA"/>
    </w:rPr>
  </w:style>
  <w:style w:type="paragraph" w:customStyle="1" w:styleId="StyleBullet2">
    <w:name w:val="StyleBullet2"/>
    <w:basedOn w:val="Normal"/>
    <w:rsid w:val="006074C8"/>
    <w:pPr>
      <w:numPr>
        <w:numId w:val="17"/>
      </w:numPr>
      <w:tabs>
        <w:tab w:val="left" w:pos="454"/>
      </w:tabs>
      <w:spacing w:after="0" w:afterAutospacing="0" w:line="360" w:lineRule="atLeast"/>
      <w:ind w:left="738" w:hanging="284"/>
    </w:pPr>
    <w:rPr>
      <w:rFonts w:ascii="Arial" w:eastAsia="Times New Roman" w:hAnsi="Arial" w:cs="Times New Roman"/>
      <w:color w:val="333333"/>
      <w:sz w:val="21"/>
      <w:lang w:val="en-US" w:eastAsia="nl-NL" w:bidi="ar-SA"/>
    </w:rPr>
  </w:style>
  <w:style w:type="paragraph" w:customStyle="1" w:styleId="StyleBullet1">
    <w:name w:val="StyleBullet1"/>
    <w:basedOn w:val="Normal"/>
    <w:rsid w:val="006074C8"/>
    <w:pPr>
      <w:numPr>
        <w:numId w:val="16"/>
      </w:numPr>
      <w:tabs>
        <w:tab w:val="left" w:pos="198"/>
      </w:tabs>
      <w:spacing w:after="0" w:afterAutospacing="0" w:line="360" w:lineRule="atLeast"/>
      <w:ind w:left="453" w:hanging="255"/>
    </w:pPr>
    <w:rPr>
      <w:rFonts w:ascii="Arial" w:eastAsia="Times New Roman" w:hAnsi="Arial" w:cs="Times New Roman"/>
      <w:color w:val="333333"/>
      <w:sz w:val="21"/>
      <w:lang w:val="en-US" w:eastAsia="nl-NL" w:bidi="ar-SA"/>
    </w:rPr>
  </w:style>
  <w:style w:type="paragraph" w:customStyle="1" w:styleId="StyleTOC">
    <w:name w:val="StyleTOC"/>
    <w:basedOn w:val="Normal"/>
    <w:next w:val="Normal"/>
    <w:rsid w:val="006074C8"/>
    <w:pPr>
      <w:spacing w:after="0" w:afterAutospacing="0" w:line="780" w:lineRule="atLeast"/>
    </w:pPr>
    <w:rPr>
      <w:rFonts w:ascii="Arial" w:eastAsia="Times New Roman" w:hAnsi="Arial" w:cs="Times New Roman"/>
      <w:b/>
      <w:color w:val="333333"/>
      <w:sz w:val="50"/>
      <w:lang w:val="en-US" w:eastAsia="nl-NL" w:bidi="ar-SA"/>
    </w:rPr>
  </w:style>
  <w:style w:type="character" w:customStyle="1" w:styleId="BodyText2Char">
    <w:name w:val="Body Text 2 Char"/>
    <w:basedOn w:val="DefaultParagraphFont"/>
    <w:link w:val="BodyText2"/>
    <w:semiHidden/>
    <w:rsid w:val="006074C8"/>
    <w:rPr>
      <w:rFonts w:ascii="Gill Sans MT" w:eastAsia="Times New Roman" w:hAnsi="Gill Sans MT" w:cs="Times New Roman"/>
      <w:color w:val="006487"/>
      <w:sz w:val="14"/>
      <w:lang w:val="en-US" w:eastAsia="en-US"/>
    </w:rPr>
  </w:style>
  <w:style w:type="paragraph" w:styleId="BodyText2">
    <w:name w:val="Body Text 2"/>
    <w:basedOn w:val="Normal"/>
    <w:link w:val="BodyText2Char"/>
    <w:semiHidden/>
    <w:rsid w:val="006074C8"/>
    <w:pPr>
      <w:overflowPunct w:val="0"/>
      <w:autoSpaceDE w:val="0"/>
      <w:autoSpaceDN w:val="0"/>
      <w:adjustRightInd w:val="0"/>
      <w:spacing w:after="120" w:afterAutospacing="0" w:line="240" w:lineRule="auto"/>
      <w:ind w:left="340" w:hanging="340"/>
      <w:textAlignment w:val="baseline"/>
    </w:pPr>
    <w:rPr>
      <w:rFonts w:ascii="Gill Sans MT" w:eastAsia="Times New Roman" w:hAnsi="Gill Sans MT" w:cs="Times New Roman"/>
      <w:color w:val="006487"/>
      <w:sz w:val="14"/>
      <w:lang w:val="en-US" w:bidi="ar-SA"/>
    </w:rPr>
  </w:style>
  <w:style w:type="character" w:customStyle="1" w:styleId="BodyText2Char1">
    <w:name w:val="Body Text 2 Char1"/>
    <w:basedOn w:val="DefaultParagraphFont"/>
    <w:link w:val="BodyText2"/>
    <w:uiPriority w:val="99"/>
    <w:semiHidden/>
    <w:rsid w:val="006074C8"/>
    <w:rPr>
      <w:rFonts w:ascii="Times New Roman" w:hAnsi="Times New Roman"/>
      <w:sz w:val="22"/>
      <w:lang w:eastAsia="en-US" w:bidi="en-US"/>
    </w:rPr>
  </w:style>
  <w:style w:type="character" w:styleId="PageNumber">
    <w:name w:val="page number"/>
    <w:basedOn w:val="DefaultParagraphFont"/>
    <w:rsid w:val="006074C8"/>
    <w:rPr>
      <w:rFonts w:ascii="Arial" w:hAnsi="Arial"/>
      <w:sz w:val="16"/>
    </w:rPr>
  </w:style>
  <w:style w:type="paragraph" w:customStyle="1" w:styleId="VoorbladLinks">
    <w:name w:val="VoorbladLinks"/>
    <w:basedOn w:val="Normal"/>
    <w:rsid w:val="006074C8"/>
    <w:pPr>
      <w:spacing w:after="0" w:afterAutospacing="0" w:line="260" w:lineRule="atLeast"/>
    </w:pPr>
    <w:rPr>
      <w:rFonts w:ascii="Arial" w:eastAsia="Times New Roman" w:hAnsi="Arial" w:cs="Times New Roman"/>
      <w:color w:val="000000"/>
      <w:sz w:val="16"/>
      <w:szCs w:val="24"/>
      <w:lang w:val="en-US" w:bidi="ar-SA"/>
    </w:rPr>
  </w:style>
  <w:style w:type="paragraph" w:customStyle="1" w:styleId="StyleIntro">
    <w:name w:val="StyleIntro"/>
    <w:basedOn w:val="Normal"/>
    <w:rsid w:val="006074C8"/>
    <w:pPr>
      <w:pBdr>
        <w:left w:val="single" w:sz="48" w:space="6" w:color="F3F3F3"/>
      </w:pBdr>
      <w:shd w:val="clear" w:color="auto" w:fill="F3F3F3"/>
      <w:spacing w:after="0" w:afterAutospacing="0" w:line="380" w:lineRule="atLeast"/>
      <w:ind w:left="284"/>
    </w:pPr>
    <w:rPr>
      <w:rFonts w:ascii="Arial" w:eastAsia="Times New Roman" w:hAnsi="Arial" w:cs="Times New Roman"/>
      <w:b/>
      <w:color w:val="333333"/>
      <w:sz w:val="21"/>
      <w:szCs w:val="24"/>
      <w:lang w:val="en-US" w:bidi="ar-SA"/>
    </w:rPr>
  </w:style>
  <w:style w:type="paragraph" w:customStyle="1" w:styleId="StyleTitle">
    <w:name w:val="StyleTitle"/>
    <w:basedOn w:val="Normal"/>
    <w:next w:val="Normal"/>
    <w:rsid w:val="006074C8"/>
    <w:pPr>
      <w:spacing w:after="0" w:afterAutospacing="0" w:line="420" w:lineRule="atLeast"/>
    </w:pPr>
    <w:rPr>
      <w:rFonts w:ascii="Arial" w:eastAsia="Times New Roman" w:hAnsi="Arial"/>
      <w:b/>
      <w:color w:val="333333"/>
      <w:sz w:val="40"/>
      <w:szCs w:val="24"/>
      <w:lang w:val="en-US" w:bidi="ar-SA"/>
    </w:rPr>
  </w:style>
  <w:style w:type="paragraph" w:customStyle="1" w:styleId="VoorbladRechts">
    <w:name w:val="VoorbladRechts"/>
    <w:basedOn w:val="Normal"/>
    <w:rsid w:val="006074C8"/>
    <w:pPr>
      <w:spacing w:after="0" w:afterAutospacing="0" w:line="260" w:lineRule="atLeast"/>
    </w:pPr>
    <w:rPr>
      <w:rFonts w:ascii="Arial" w:eastAsia="Times New Roman" w:hAnsi="Arial" w:cs="Times New Roman"/>
      <w:b/>
      <w:color w:val="333333"/>
      <w:sz w:val="21"/>
      <w:szCs w:val="24"/>
      <w:lang w:val="en-US" w:bidi="ar-SA"/>
    </w:rPr>
  </w:style>
  <w:style w:type="paragraph" w:customStyle="1" w:styleId="Disclaimer">
    <w:name w:val="Disclaimer"/>
    <w:basedOn w:val="Normal"/>
    <w:rsid w:val="006074C8"/>
    <w:pPr>
      <w:autoSpaceDE w:val="0"/>
      <w:autoSpaceDN w:val="0"/>
      <w:adjustRightInd w:val="0"/>
      <w:spacing w:after="0" w:afterAutospacing="0" w:line="240" w:lineRule="exact"/>
    </w:pPr>
    <w:rPr>
      <w:rFonts w:ascii="Arial" w:eastAsia="Times New Roman" w:hAnsi="Arial" w:cs="ArialMT"/>
      <w:color w:val="000000"/>
      <w:sz w:val="16"/>
      <w:szCs w:val="16"/>
      <w:lang w:val="en-US" w:eastAsia="nl-NL" w:bidi="ar-SA"/>
    </w:rPr>
  </w:style>
  <w:style w:type="paragraph" w:customStyle="1" w:styleId="Level3Text">
    <w:name w:val="Level3Text"/>
    <w:basedOn w:val="Normal"/>
    <w:rsid w:val="006074C8"/>
    <w:pPr>
      <w:spacing w:after="0" w:afterAutospacing="0" w:line="260" w:lineRule="atLeast"/>
      <w:ind w:left="567"/>
    </w:pPr>
    <w:rPr>
      <w:rFonts w:ascii="Arial" w:eastAsia="Times New Roman" w:hAnsi="Arial" w:cs="Times New Roman"/>
      <w:color w:val="000000"/>
      <w:sz w:val="21"/>
      <w:szCs w:val="24"/>
      <w:lang w:val="en-US" w:bidi="ar-SA"/>
    </w:rPr>
  </w:style>
  <w:style w:type="paragraph" w:customStyle="1" w:styleId="StyleSubtitle">
    <w:name w:val="StyleSubtitle"/>
    <w:basedOn w:val="Normal"/>
    <w:rsid w:val="006074C8"/>
    <w:pPr>
      <w:spacing w:after="0" w:afterAutospacing="0" w:line="260" w:lineRule="atLeast"/>
    </w:pPr>
    <w:rPr>
      <w:rFonts w:ascii="Arial" w:eastAsia="Times New Roman" w:hAnsi="Arial" w:cs="Times New Roman"/>
      <w:b/>
      <w:color w:val="333333"/>
      <w:sz w:val="21"/>
      <w:szCs w:val="24"/>
      <w:lang w:val="en-US" w:bidi="ar-SA"/>
    </w:rPr>
  </w:style>
  <w:style w:type="paragraph" w:customStyle="1" w:styleId="Tussentekstje">
    <w:name w:val="Tussentekstje"/>
    <w:basedOn w:val="Normal"/>
    <w:next w:val="Normal"/>
    <w:rsid w:val="006074C8"/>
    <w:pPr>
      <w:shd w:val="clear" w:color="auto" w:fill="F3F3F3"/>
      <w:spacing w:after="0" w:afterAutospacing="0" w:line="20" w:lineRule="exact"/>
    </w:pPr>
    <w:rPr>
      <w:rFonts w:ascii="Arial" w:eastAsia="Times New Roman" w:hAnsi="Arial" w:cs="Times New Roman"/>
      <w:color w:val="000000"/>
      <w:sz w:val="2"/>
      <w:szCs w:val="24"/>
      <w:lang w:val="en-US" w:bidi="ar-SA"/>
    </w:rPr>
  </w:style>
  <w:style w:type="character" w:customStyle="1" w:styleId="highlight">
    <w:name w:val="highlight"/>
    <w:basedOn w:val="DefaultParagraphFont"/>
    <w:rsid w:val="006074C8"/>
  </w:style>
  <w:style w:type="numbering" w:customStyle="1" w:styleId="Style1">
    <w:name w:val="Style1"/>
    <w:uiPriority w:val="99"/>
    <w:rsid w:val="006074C8"/>
    <w:pPr>
      <w:numPr>
        <w:numId w:val="22"/>
      </w:numPr>
    </w:pPr>
  </w:style>
  <w:style w:type="numbering" w:customStyle="1" w:styleId="Style2">
    <w:name w:val="Style2"/>
    <w:uiPriority w:val="99"/>
    <w:rsid w:val="006074C8"/>
    <w:pPr>
      <w:numPr>
        <w:numId w:val="23"/>
      </w:numPr>
    </w:pPr>
  </w:style>
  <w:style w:type="numbering" w:customStyle="1" w:styleId="Style3">
    <w:name w:val="Style3"/>
    <w:uiPriority w:val="99"/>
    <w:rsid w:val="006074C8"/>
    <w:pPr>
      <w:numPr>
        <w:numId w:val="24"/>
      </w:numPr>
    </w:pPr>
  </w:style>
</w:styles>
</file>

<file path=word/webSettings.xml><?xml version="1.0" encoding="utf-8"?>
<w:webSettings xmlns:r="http://schemas.openxmlformats.org/officeDocument/2006/relationships" xmlns:w="http://schemas.openxmlformats.org/wordprocessingml/2006/main">
  <w:divs>
    <w:div w:id="53548672">
      <w:bodyDiv w:val="1"/>
      <w:marLeft w:val="0"/>
      <w:marRight w:val="0"/>
      <w:marTop w:val="0"/>
      <w:marBottom w:val="0"/>
      <w:divBdr>
        <w:top w:val="none" w:sz="0" w:space="0" w:color="auto"/>
        <w:left w:val="none" w:sz="0" w:space="0" w:color="auto"/>
        <w:bottom w:val="none" w:sz="0" w:space="0" w:color="auto"/>
        <w:right w:val="none" w:sz="0" w:space="0" w:color="auto"/>
      </w:divBdr>
    </w:div>
    <w:div w:id="210507411">
      <w:bodyDiv w:val="1"/>
      <w:marLeft w:val="0"/>
      <w:marRight w:val="0"/>
      <w:marTop w:val="0"/>
      <w:marBottom w:val="0"/>
      <w:divBdr>
        <w:top w:val="none" w:sz="0" w:space="0" w:color="auto"/>
        <w:left w:val="none" w:sz="0" w:space="0" w:color="auto"/>
        <w:bottom w:val="none" w:sz="0" w:space="0" w:color="auto"/>
        <w:right w:val="none" w:sz="0" w:space="0" w:color="auto"/>
      </w:divBdr>
    </w:div>
    <w:div w:id="218178667">
      <w:bodyDiv w:val="1"/>
      <w:marLeft w:val="0"/>
      <w:marRight w:val="0"/>
      <w:marTop w:val="0"/>
      <w:marBottom w:val="0"/>
      <w:divBdr>
        <w:top w:val="none" w:sz="0" w:space="0" w:color="auto"/>
        <w:left w:val="none" w:sz="0" w:space="0" w:color="auto"/>
        <w:bottom w:val="none" w:sz="0" w:space="0" w:color="auto"/>
        <w:right w:val="none" w:sz="0" w:space="0" w:color="auto"/>
      </w:divBdr>
    </w:div>
    <w:div w:id="269550232">
      <w:bodyDiv w:val="1"/>
      <w:marLeft w:val="0"/>
      <w:marRight w:val="0"/>
      <w:marTop w:val="0"/>
      <w:marBottom w:val="0"/>
      <w:divBdr>
        <w:top w:val="none" w:sz="0" w:space="0" w:color="auto"/>
        <w:left w:val="none" w:sz="0" w:space="0" w:color="auto"/>
        <w:bottom w:val="none" w:sz="0" w:space="0" w:color="auto"/>
        <w:right w:val="none" w:sz="0" w:space="0" w:color="auto"/>
      </w:divBdr>
    </w:div>
    <w:div w:id="281805869">
      <w:bodyDiv w:val="1"/>
      <w:marLeft w:val="0"/>
      <w:marRight w:val="0"/>
      <w:marTop w:val="0"/>
      <w:marBottom w:val="0"/>
      <w:divBdr>
        <w:top w:val="none" w:sz="0" w:space="0" w:color="auto"/>
        <w:left w:val="none" w:sz="0" w:space="0" w:color="auto"/>
        <w:bottom w:val="none" w:sz="0" w:space="0" w:color="auto"/>
        <w:right w:val="none" w:sz="0" w:space="0" w:color="auto"/>
      </w:divBdr>
    </w:div>
    <w:div w:id="426778509">
      <w:bodyDiv w:val="1"/>
      <w:marLeft w:val="0"/>
      <w:marRight w:val="0"/>
      <w:marTop w:val="0"/>
      <w:marBottom w:val="0"/>
      <w:divBdr>
        <w:top w:val="none" w:sz="0" w:space="0" w:color="auto"/>
        <w:left w:val="none" w:sz="0" w:space="0" w:color="auto"/>
        <w:bottom w:val="none" w:sz="0" w:space="0" w:color="auto"/>
        <w:right w:val="none" w:sz="0" w:space="0" w:color="auto"/>
      </w:divBdr>
      <w:divsChild>
        <w:div w:id="1138304667">
          <w:marLeft w:val="199"/>
          <w:marRight w:val="0"/>
          <w:marTop w:val="0"/>
          <w:marBottom w:val="0"/>
          <w:divBdr>
            <w:top w:val="single" w:sz="12" w:space="0" w:color="6C9D30"/>
            <w:left w:val="single" w:sz="2" w:space="0" w:color="2E2E2E"/>
            <w:bottom w:val="single" w:sz="2" w:space="0" w:color="2E2E2E"/>
            <w:right w:val="single" w:sz="2" w:space="0" w:color="2E2E2E"/>
          </w:divBdr>
          <w:divsChild>
            <w:div w:id="270404270">
              <w:marLeft w:val="0"/>
              <w:marRight w:val="0"/>
              <w:marTop w:val="10"/>
              <w:marBottom w:val="0"/>
              <w:divBdr>
                <w:top w:val="none" w:sz="0" w:space="0" w:color="auto"/>
                <w:left w:val="none" w:sz="0" w:space="0" w:color="auto"/>
                <w:bottom w:val="none" w:sz="0" w:space="0" w:color="auto"/>
                <w:right w:val="none" w:sz="0" w:space="0" w:color="auto"/>
              </w:divBdr>
              <w:divsChild>
                <w:div w:id="1796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92668">
      <w:bodyDiv w:val="1"/>
      <w:marLeft w:val="0"/>
      <w:marRight w:val="0"/>
      <w:marTop w:val="0"/>
      <w:marBottom w:val="0"/>
      <w:divBdr>
        <w:top w:val="none" w:sz="0" w:space="0" w:color="auto"/>
        <w:left w:val="none" w:sz="0" w:space="0" w:color="auto"/>
        <w:bottom w:val="none" w:sz="0" w:space="0" w:color="auto"/>
        <w:right w:val="none" w:sz="0" w:space="0" w:color="auto"/>
      </w:divBdr>
      <w:divsChild>
        <w:div w:id="2046372551">
          <w:marLeft w:val="0"/>
          <w:marRight w:val="0"/>
          <w:marTop w:val="0"/>
          <w:marBottom w:val="0"/>
          <w:divBdr>
            <w:top w:val="none" w:sz="0" w:space="0" w:color="auto"/>
            <w:left w:val="none" w:sz="0" w:space="0" w:color="auto"/>
            <w:bottom w:val="none" w:sz="0" w:space="0" w:color="auto"/>
            <w:right w:val="none" w:sz="0" w:space="0" w:color="auto"/>
          </w:divBdr>
          <w:divsChild>
            <w:div w:id="255403631">
              <w:marLeft w:val="0"/>
              <w:marRight w:val="0"/>
              <w:marTop w:val="0"/>
              <w:marBottom w:val="0"/>
              <w:divBdr>
                <w:top w:val="none" w:sz="0" w:space="0" w:color="auto"/>
                <w:left w:val="none" w:sz="0" w:space="0" w:color="auto"/>
                <w:bottom w:val="none" w:sz="0" w:space="0" w:color="auto"/>
                <w:right w:val="none" w:sz="0" w:space="0" w:color="auto"/>
              </w:divBdr>
              <w:divsChild>
                <w:div w:id="15766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48232">
      <w:bodyDiv w:val="1"/>
      <w:marLeft w:val="0"/>
      <w:marRight w:val="0"/>
      <w:marTop w:val="0"/>
      <w:marBottom w:val="0"/>
      <w:divBdr>
        <w:top w:val="none" w:sz="0" w:space="0" w:color="auto"/>
        <w:left w:val="none" w:sz="0" w:space="0" w:color="auto"/>
        <w:bottom w:val="none" w:sz="0" w:space="0" w:color="auto"/>
        <w:right w:val="none" w:sz="0" w:space="0" w:color="auto"/>
      </w:divBdr>
    </w:div>
    <w:div w:id="584341832">
      <w:bodyDiv w:val="1"/>
      <w:marLeft w:val="0"/>
      <w:marRight w:val="0"/>
      <w:marTop w:val="0"/>
      <w:marBottom w:val="0"/>
      <w:divBdr>
        <w:top w:val="none" w:sz="0" w:space="0" w:color="auto"/>
        <w:left w:val="none" w:sz="0" w:space="0" w:color="auto"/>
        <w:bottom w:val="none" w:sz="0" w:space="0" w:color="auto"/>
        <w:right w:val="none" w:sz="0" w:space="0" w:color="auto"/>
      </w:divBdr>
    </w:div>
    <w:div w:id="619184747">
      <w:bodyDiv w:val="1"/>
      <w:marLeft w:val="0"/>
      <w:marRight w:val="0"/>
      <w:marTop w:val="0"/>
      <w:marBottom w:val="0"/>
      <w:divBdr>
        <w:top w:val="none" w:sz="0" w:space="0" w:color="auto"/>
        <w:left w:val="none" w:sz="0" w:space="0" w:color="auto"/>
        <w:bottom w:val="none" w:sz="0" w:space="0" w:color="auto"/>
        <w:right w:val="none" w:sz="0" w:space="0" w:color="auto"/>
      </w:divBdr>
    </w:div>
    <w:div w:id="644164019">
      <w:bodyDiv w:val="1"/>
      <w:marLeft w:val="0"/>
      <w:marRight w:val="0"/>
      <w:marTop w:val="0"/>
      <w:marBottom w:val="0"/>
      <w:divBdr>
        <w:top w:val="none" w:sz="0" w:space="0" w:color="auto"/>
        <w:left w:val="none" w:sz="0" w:space="0" w:color="auto"/>
        <w:bottom w:val="none" w:sz="0" w:space="0" w:color="auto"/>
        <w:right w:val="none" w:sz="0" w:space="0" w:color="auto"/>
      </w:divBdr>
    </w:div>
    <w:div w:id="693919403">
      <w:bodyDiv w:val="1"/>
      <w:marLeft w:val="0"/>
      <w:marRight w:val="0"/>
      <w:marTop w:val="0"/>
      <w:marBottom w:val="0"/>
      <w:divBdr>
        <w:top w:val="none" w:sz="0" w:space="0" w:color="auto"/>
        <w:left w:val="none" w:sz="0" w:space="0" w:color="auto"/>
        <w:bottom w:val="none" w:sz="0" w:space="0" w:color="auto"/>
        <w:right w:val="none" w:sz="0" w:space="0" w:color="auto"/>
      </w:divBdr>
    </w:div>
    <w:div w:id="757945797">
      <w:bodyDiv w:val="1"/>
      <w:marLeft w:val="0"/>
      <w:marRight w:val="0"/>
      <w:marTop w:val="0"/>
      <w:marBottom w:val="0"/>
      <w:divBdr>
        <w:top w:val="none" w:sz="0" w:space="0" w:color="auto"/>
        <w:left w:val="none" w:sz="0" w:space="0" w:color="auto"/>
        <w:bottom w:val="none" w:sz="0" w:space="0" w:color="auto"/>
        <w:right w:val="none" w:sz="0" w:space="0" w:color="auto"/>
      </w:divBdr>
    </w:div>
    <w:div w:id="942229788">
      <w:bodyDiv w:val="1"/>
      <w:marLeft w:val="0"/>
      <w:marRight w:val="0"/>
      <w:marTop w:val="0"/>
      <w:marBottom w:val="0"/>
      <w:divBdr>
        <w:top w:val="none" w:sz="0" w:space="0" w:color="auto"/>
        <w:left w:val="none" w:sz="0" w:space="0" w:color="auto"/>
        <w:bottom w:val="none" w:sz="0" w:space="0" w:color="auto"/>
        <w:right w:val="none" w:sz="0" w:space="0" w:color="auto"/>
      </w:divBdr>
      <w:divsChild>
        <w:div w:id="1826823648">
          <w:marLeft w:val="0"/>
          <w:marRight w:val="0"/>
          <w:marTop w:val="0"/>
          <w:marBottom w:val="0"/>
          <w:divBdr>
            <w:top w:val="none" w:sz="0" w:space="0" w:color="auto"/>
            <w:left w:val="none" w:sz="0" w:space="0" w:color="auto"/>
            <w:bottom w:val="none" w:sz="0" w:space="0" w:color="auto"/>
            <w:right w:val="none" w:sz="0" w:space="0" w:color="auto"/>
          </w:divBdr>
          <w:divsChild>
            <w:div w:id="224879669">
              <w:marLeft w:val="0"/>
              <w:marRight w:val="0"/>
              <w:marTop w:val="0"/>
              <w:marBottom w:val="0"/>
              <w:divBdr>
                <w:top w:val="none" w:sz="0" w:space="0" w:color="auto"/>
                <w:left w:val="none" w:sz="0" w:space="0" w:color="auto"/>
                <w:bottom w:val="none" w:sz="0" w:space="0" w:color="auto"/>
                <w:right w:val="none" w:sz="0" w:space="0" w:color="auto"/>
              </w:divBdr>
              <w:divsChild>
                <w:div w:id="214318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5390">
      <w:bodyDiv w:val="1"/>
      <w:marLeft w:val="0"/>
      <w:marRight w:val="0"/>
      <w:marTop w:val="0"/>
      <w:marBottom w:val="0"/>
      <w:divBdr>
        <w:top w:val="none" w:sz="0" w:space="0" w:color="auto"/>
        <w:left w:val="none" w:sz="0" w:space="0" w:color="auto"/>
        <w:bottom w:val="none" w:sz="0" w:space="0" w:color="auto"/>
        <w:right w:val="none" w:sz="0" w:space="0" w:color="auto"/>
      </w:divBdr>
    </w:div>
    <w:div w:id="1002784658">
      <w:bodyDiv w:val="1"/>
      <w:marLeft w:val="0"/>
      <w:marRight w:val="0"/>
      <w:marTop w:val="0"/>
      <w:marBottom w:val="0"/>
      <w:divBdr>
        <w:top w:val="none" w:sz="0" w:space="0" w:color="auto"/>
        <w:left w:val="none" w:sz="0" w:space="0" w:color="auto"/>
        <w:bottom w:val="none" w:sz="0" w:space="0" w:color="auto"/>
        <w:right w:val="none" w:sz="0" w:space="0" w:color="auto"/>
      </w:divBdr>
    </w:div>
    <w:div w:id="1043020938">
      <w:bodyDiv w:val="1"/>
      <w:marLeft w:val="0"/>
      <w:marRight w:val="0"/>
      <w:marTop w:val="0"/>
      <w:marBottom w:val="0"/>
      <w:divBdr>
        <w:top w:val="none" w:sz="0" w:space="0" w:color="auto"/>
        <w:left w:val="none" w:sz="0" w:space="0" w:color="auto"/>
        <w:bottom w:val="none" w:sz="0" w:space="0" w:color="auto"/>
        <w:right w:val="none" w:sz="0" w:space="0" w:color="auto"/>
      </w:divBdr>
    </w:div>
    <w:div w:id="1140925867">
      <w:bodyDiv w:val="1"/>
      <w:marLeft w:val="0"/>
      <w:marRight w:val="0"/>
      <w:marTop w:val="0"/>
      <w:marBottom w:val="0"/>
      <w:divBdr>
        <w:top w:val="none" w:sz="0" w:space="0" w:color="auto"/>
        <w:left w:val="none" w:sz="0" w:space="0" w:color="auto"/>
        <w:bottom w:val="none" w:sz="0" w:space="0" w:color="auto"/>
        <w:right w:val="none" w:sz="0" w:space="0" w:color="auto"/>
      </w:divBdr>
    </w:div>
    <w:div w:id="1170024424">
      <w:bodyDiv w:val="1"/>
      <w:marLeft w:val="0"/>
      <w:marRight w:val="0"/>
      <w:marTop w:val="0"/>
      <w:marBottom w:val="0"/>
      <w:divBdr>
        <w:top w:val="none" w:sz="0" w:space="0" w:color="auto"/>
        <w:left w:val="none" w:sz="0" w:space="0" w:color="auto"/>
        <w:bottom w:val="none" w:sz="0" w:space="0" w:color="auto"/>
        <w:right w:val="none" w:sz="0" w:space="0" w:color="auto"/>
      </w:divBdr>
    </w:div>
    <w:div w:id="1185440426">
      <w:bodyDiv w:val="1"/>
      <w:marLeft w:val="0"/>
      <w:marRight w:val="0"/>
      <w:marTop w:val="0"/>
      <w:marBottom w:val="0"/>
      <w:divBdr>
        <w:top w:val="none" w:sz="0" w:space="0" w:color="auto"/>
        <w:left w:val="none" w:sz="0" w:space="0" w:color="auto"/>
        <w:bottom w:val="none" w:sz="0" w:space="0" w:color="auto"/>
        <w:right w:val="none" w:sz="0" w:space="0" w:color="auto"/>
      </w:divBdr>
    </w:div>
    <w:div w:id="1193768224">
      <w:bodyDiv w:val="1"/>
      <w:marLeft w:val="0"/>
      <w:marRight w:val="0"/>
      <w:marTop w:val="0"/>
      <w:marBottom w:val="0"/>
      <w:divBdr>
        <w:top w:val="none" w:sz="0" w:space="0" w:color="auto"/>
        <w:left w:val="none" w:sz="0" w:space="0" w:color="auto"/>
        <w:bottom w:val="none" w:sz="0" w:space="0" w:color="auto"/>
        <w:right w:val="none" w:sz="0" w:space="0" w:color="auto"/>
      </w:divBdr>
    </w:div>
    <w:div w:id="1320235740">
      <w:bodyDiv w:val="1"/>
      <w:marLeft w:val="0"/>
      <w:marRight w:val="0"/>
      <w:marTop w:val="0"/>
      <w:marBottom w:val="0"/>
      <w:divBdr>
        <w:top w:val="none" w:sz="0" w:space="0" w:color="auto"/>
        <w:left w:val="none" w:sz="0" w:space="0" w:color="auto"/>
        <w:bottom w:val="none" w:sz="0" w:space="0" w:color="auto"/>
        <w:right w:val="none" w:sz="0" w:space="0" w:color="auto"/>
      </w:divBdr>
    </w:div>
    <w:div w:id="1349527540">
      <w:bodyDiv w:val="1"/>
      <w:marLeft w:val="0"/>
      <w:marRight w:val="0"/>
      <w:marTop w:val="0"/>
      <w:marBottom w:val="0"/>
      <w:divBdr>
        <w:top w:val="none" w:sz="0" w:space="0" w:color="auto"/>
        <w:left w:val="none" w:sz="0" w:space="0" w:color="auto"/>
        <w:bottom w:val="none" w:sz="0" w:space="0" w:color="auto"/>
        <w:right w:val="none" w:sz="0" w:space="0" w:color="auto"/>
      </w:divBdr>
      <w:divsChild>
        <w:div w:id="598760073">
          <w:marLeft w:val="0"/>
          <w:marRight w:val="0"/>
          <w:marTop w:val="0"/>
          <w:marBottom w:val="0"/>
          <w:divBdr>
            <w:top w:val="none" w:sz="0" w:space="0" w:color="auto"/>
            <w:left w:val="none" w:sz="0" w:space="0" w:color="auto"/>
            <w:bottom w:val="none" w:sz="0" w:space="0" w:color="auto"/>
            <w:right w:val="none" w:sz="0" w:space="0" w:color="auto"/>
          </w:divBdr>
        </w:div>
        <w:div w:id="1605919339">
          <w:marLeft w:val="0"/>
          <w:marRight w:val="0"/>
          <w:marTop w:val="0"/>
          <w:marBottom w:val="0"/>
          <w:divBdr>
            <w:top w:val="none" w:sz="0" w:space="0" w:color="auto"/>
            <w:left w:val="none" w:sz="0" w:space="0" w:color="auto"/>
            <w:bottom w:val="none" w:sz="0" w:space="0" w:color="auto"/>
            <w:right w:val="none" w:sz="0" w:space="0" w:color="auto"/>
          </w:divBdr>
        </w:div>
      </w:divsChild>
    </w:div>
    <w:div w:id="1430154503">
      <w:bodyDiv w:val="1"/>
      <w:marLeft w:val="0"/>
      <w:marRight w:val="0"/>
      <w:marTop w:val="0"/>
      <w:marBottom w:val="0"/>
      <w:divBdr>
        <w:top w:val="none" w:sz="0" w:space="0" w:color="auto"/>
        <w:left w:val="none" w:sz="0" w:space="0" w:color="auto"/>
        <w:bottom w:val="none" w:sz="0" w:space="0" w:color="auto"/>
        <w:right w:val="none" w:sz="0" w:space="0" w:color="auto"/>
      </w:divBdr>
    </w:div>
    <w:div w:id="1442217218">
      <w:bodyDiv w:val="1"/>
      <w:marLeft w:val="0"/>
      <w:marRight w:val="0"/>
      <w:marTop w:val="0"/>
      <w:marBottom w:val="0"/>
      <w:divBdr>
        <w:top w:val="none" w:sz="0" w:space="0" w:color="auto"/>
        <w:left w:val="none" w:sz="0" w:space="0" w:color="auto"/>
        <w:bottom w:val="none" w:sz="0" w:space="0" w:color="auto"/>
        <w:right w:val="none" w:sz="0" w:space="0" w:color="auto"/>
      </w:divBdr>
    </w:div>
    <w:div w:id="1451507968">
      <w:bodyDiv w:val="1"/>
      <w:marLeft w:val="0"/>
      <w:marRight w:val="0"/>
      <w:marTop w:val="0"/>
      <w:marBottom w:val="0"/>
      <w:divBdr>
        <w:top w:val="none" w:sz="0" w:space="0" w:color="auto"/>
        <w:left w:val="none" w:sz="0" w:space="0" w:color="auto"/>
        <w:bottom w:val="none" w:sz="0" w:space="0" w:color="auto"/>
        <w:right w:val="none" w:sz="0" w:space="0" w:color="auto"/>
      </w:divBdr>
    </w:div>
    <w:div w:id="1485967755">
      <w:bodyDiv w:val="1"/>
      <w:marLeft w:val="0"/>
      <w:marRight w:val="0"/>
      <w:marTop w:val="0"/>
      <w:marBottom w:val="0"/>
      <w:divBdr>
        <w:top w:val="none" w:sz="0" w:space="0" w:color="auto"/>
        <w:left w:val="none" w:sz="0" w:space="0" w:color="auto"/>
        <w:bottom w:val="none" w:sz="0" w:space="0" w:color="auto"/>
        <w:right w:val="none" w:sz="0" w:space="0" w:color="auto"/>
      </w:divBdr>
    </w:div>
    <w:div w:id="1509439418">
      <w:bodyDiv w:val="1"/>
      <w:marLeft w:val="0"/>
      <w:marRight w:val="0"/>
      <w:marTop w:val="0"/>
      <w:marBottom w:val="0"/>
      <w:divBdr>
        <w:top w:val="none" w:sz="0" w:space="0" w:color="auto"/>
        <w:left w:val="none" w:sz="0" w:space="0" w:color="auto"/>
        <w:bottom w:val="none" w:sz="0" w:space="0" w:color="auto"/>
        <w:right w:val="none" w:sz="0" w:space="0" w:color="auto"/>
      </w:divBdr>
    </w:div>
    <w:div w:id="1540168432">
      <w:bodyDiv w:val="1"/>
      <w:marLeft w:val="0"/>
      <w:marRight w:val="0"/>
      <w:marTop w:val="0"/>
      <w:marBottom w:val="0"/>
      <w:divBdr>
        <w:top w:val="none" w:sz="0" w:space="0" w:color="auto"/>
        <w:left w:val="none" w:sz="0" w:space="0" w:color="auto"/>
        <w:bottom w:val="none" w:sz="0" w:space="0" w:color="auto"/>
        <w:right w:val="none" w:sz="0" w:space="0" w:color="auto"/>
      </w:divBdr>
    </w:div>
    <w:div w:id="1645115521">
      <w:bodyDiv w:val="1"/>
      <w:marLeft w:val="0"/>
      <w:marRight w:val="0"/>
      <w:marTop w:val="0"/>
      <w:marBottom w:val="0"/>
      <w:divBdr>
        <w:top w:val="none" w:sz="0" w:space="0" w:color="auto"/>
        <w:left w:val="none" w:sz="0" w:space="0" w:color="auto"/>
        <w:bottom w:val="none" w:sz="0" w:space="0" w:color="auto"/>
        <w:right w:val="none" w:sz="0" w:space="0" w:color="auto"/>
      </w:divBdr>
    </w:div>
    <w:div w:id="1714768353">
      <w:bodyDiv w:val="1"/>
      <w:marLeft w:val="0"/>
      <w:marRight w:val="0"/>
      <w:marTop w:val="0"/>
      <w:marBottom w:val="0"/>
      <w:divBdr>
        <w:top w:val="none" w:sz="0" w:space="0" w:color="auto"/>
        <w:left w:val="none" w:sz="0" w:space="0" w:color="auto"/>
        <w:bottom w:val="none" w:sz="0" w:space="0" w:color="auto"/>
        <w:right w:val="none" w:sz="0" w:space="0" w:color="auto"/>
      </w:divBdr>
    </w:div>
    <w:div w:id="1733625134">
      <w:bodyDiv w:val="1"/>
      <w:marLeft w:val="0"/>
      <w:marRight w:val="0"/>
      <w:marTop w:val="0"/>
      <w:marBottom w:val="0"/>
      <w:divBdr>
        <w:top w:val="none" w:sz="0" w:space="0" w:color="auto"/>
        <w:left w:val="none" w:sz="0" w:space="0" w:color="auto"/>
        <w:bottom w:val="none" w:sz="0" w:space="0" w:color="auto"/>
        <w:right w:val="none" w:sz="0" w:space="0" w:color="auto"/>
      </w:divBdr>
    </w:div>
    <w:div w:id="1734544196">
      <w:bodyDiv w:val="1"/>
      <w:marLeft w:val="0"/>
      <w:marRight w:val="0"/>
      <w:marTop w:val="0"/>
      <w:marBottom w:val="0"/>
      <w:divBdr>
        <w:top w:val="none" w:sz="0" w:space="0" w:color="auto"/>
        <w:left w:val="none" w:sz="0" w:space="0" w:color="auto"/>
        <w:bottom w:val="none" w:sz="0" w:space="0" w:color="auto"/>
        <w:right w:val="none" w:sz="0" w:space="0" w:color="auto"/>
      </w:divBdr>
    </w:div>
    <w:div w:id="1773471932">
      <w:bodyDiv w:val="1"/>
      <w:marLeft w:val="0"/>
      <w:marRight w:val="0"/>
      <w:marTop w:val="0"/>
      <w:marBottom w:val="0"/>
      <w:divBdr>
        <w:top w:val="none" w:sz="0" w:space="0" w:color="auto"/>
        <w:left w:val="none" w:sz="0" w:space="0" w:color="auto"/>
        <w:bottom w:val="none" w:sz="0" w:space="0" w:color="auto"/>
        <w:right w:val="none" w:sz="0" w:space="0" w:color="auto"/>
      </w:divBdr>
    </w:div>
    <w:div w:id="1779325272">
      <w:bodyDiv w:val="1"/>
      <w:marLeft w:val="0"/>
      <w:marRight w:val="0"/>
      <w:marTop w:val="0"/>
      <w:marBottom w:val="0"/>
      <w:divBdr>
        <w:top w:val="none" w:sz="0" w:space="0" w:color="auto"/>
        <w:left w:val="none" w:sz="0" w:space="0" w:color="auto"/>
        <w:bottom w:val="none" w:sz="0" w:space="0" w:color="auto"/>
        <w:right w:val="none" w:sz="0" w:space="0" w:color="auto"/>
      </w:divBdr>
    </w:div>
    <w:div w:id="1812163896">
      <w:bodyDiv w:val="1"/>
      <w:marLeft w:val="0"/>
      <w:marRight w:val="0"/>
      <w:marTop w:val="0"/>
      <w:marBottom w:val="0"/>
      <w:divBdr>
        <w:top w:val="none" w:sz="0" w:space="0" w:color="auto"/>
        <w:left w:val="none" w:sz="0" w:space="0" w:color="auto"/>
        <w:bottom w:val="none" w:sz="0" w:space="0" w:color="auto"/>
        <w:right w:val="none" w:sz="0" w:space="0" w:color="auto"/>
      </w:divBdr>
    </w:div>
    <w:div w:id="1970625146">
      <w:bodyDiv w:val="1"/>
      <w:marLeft w:val="0"/>
      <w:marRight w:val="0"/>
      <w:marTop w:val="0"/>
      <w:marBottom w:val="0"/>
      <w:divBdr>
        <w:top w:val="none" w:sz="0" w:space="0" w:color="auto"/>
        <w:left w:val="none" w:sz="0" w:space="0" w:color="auto"/>
        <w:bottom w:val="none" w:sz="0" w:space="0" w:color="auto"/>
        <w:right w:val="none" w:sz="0" w:space="0" w:color="auto"/>
      </w:divBdr>
    </w:div>
    <w:div w:id="2021620914">
      <w:bodyDiv w:val="1"/>
      <w:marLeft w:val="0"/>
      <w:marRight w:val="0"/>
      <w:marTop w:val="0"/>
      <w:marBottom w:val="0"/>
      <w:divBdr>
        <w:top w:val="none" w:sz="0" w:space="0" w:color="auto"/>
        <w:left w:val="none" w:sz="0" w:space="0" w:color="auto"/>
        <w:bottom w:val="none" w:sz="0" w:space="0" w:color="auto"/>
        <w:right w:val="none" w:sz="0" w:space="0" w:color="auto"/>
      </w:divBdr>
    </w:div>
    <w:div w:id="2039499877">
      <w:bodyDiv w:val="1"/>
      <w:marLeft w:val="0"/>
      <w:marRight w:val="0"/>
      <w:marTop w:val="0"/>
      <w:marBottom w:val="0"/>
      <w:divBdr>
        <w:top w:val="none" w:sz="0" w:space="0" w:color="auto"/>
        <w:left w:val="none" w:sz="0" w:space="0" w:color="auto"/>
        <w:bottom w:val="none" w:sz="0" w:space="0" w:color="auto"/>
        <w:right w:val="none" w:sz="0" w:space="0" w:color="auto"/>
      </w:divBdr>
    </w:div>
    <w:div w:id="2085255557">
      <w:bodyDiv w:val="1"/>
      <w:marLeft w:val="0"/>
      <w:marRight w:val="0"/>
      <w:marTop w:val="0"/>
      <w:marBottom w:val="0"/>
      <w:divBdr>
        <w:top w:val="none" w:sz="0" w:space="0" w:color="auto"/>
        <w:left w:val="none" w:sz="0" w:space="0" w:color="auto"/>
        <w:bottom w:val="none" w:sz="0" w:space="0" w:color="auto"/>
        <w:right w:val="none" w:sz="0" w:space="0" w:color="auto"/>
      </w:divBdr>
    </w:div>
    <w:div w:id="2124182054">
      <w:bodyDiv w:val="1"/>
      <w:marLeft w:val="0"/>
      <w:marRight w:val="0"/>
      <w:marTop w:val="0"/>
      <w:marBottom w:val="0"/>
      <w:divBdr>
        <w:top w:val="none" w:sz="0" w:space="0" w:color="auto"/>
        <w:left w:val="none" w:sz="0" w:space="0" w:color="auto"/>
        <w:bottom w:val="none" w:sz="0" w:space="0" w:color="auto"/>
        <w:right w:val="none" w:sz="0" w:space="0" w:color="auto"/>
      </w:divBdr>
      <w:divsChild>
        <w:div w:id="751194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wmf"/><Relationship Id="rId26" Type="http://schemas.openxmlformats.org/officeDocument/2006/relationships/image" Target="media/image14.emf"/><Relationship Id="rId39" Type="http://schemas.openxmlformats.org/officeDocument/2006/relationships/image" Target="media/image25.wmf"/><Relationship Id="rId21" Type="http://schemas.openxmlformats.org/officeDocument/2006/relationships/footer" Target="footer4.xml"/><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emf"/><Relationship Id="rId55" Type="http://schemas.openxmlformats.org/officeDocument/2006/relationships/image" Target="media/image41.wmf"/><Relationship Id="rId63" Type="http://schemas.openxmlformats.org/officeDocument/2006/relationships/hyperlink" Target="http://www.fda.gov/" TargetMode="External"/><Relationship Id="rId68" Type="http://schemas.openxmlformats.org/officeDocument/2006/relationships/hyperlink" Target="http://www" TargetMode="External"/><Relationship Id="rId76" Type="http://schemas.openxmlformats.org/officeDocument/2006/relationships/hyperlink" Target="http://cran.r-project.org/web/packages/numDeriv/index.html" TargetMode="External"/><Relationship Id="rId84" Type="http://schemas.openxmlformats.org/officeDocument/2006/relationships/image" Target="media/image48.wmf"/><Relationship Id="rId89" Type="http://schemas.openxmlformats.org/officeDocument/2006/relationships/image" Target="media/image53.wmf"/><Relationship Id="rId7" Type="http://schemas.openxmlformats.org/officeDocument/2006/relationships/endnotes" Target="endnotes.xml"/><Relationship Id="rId71" Type="http://schemas.openxmlformats.org/officeDocument/2006/relationships/hyperlink" Target="http://www.nice.org.uk/nicemedia/live/13307/56490/56490.pdf" TargetMode="External"/><Relationship Id="rId92" Type="http://schemas.openxmlformats.org/officeDocument/2006/relationships/image" Target="media/image55.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png"/><Relationship Id="rId11" Type="http://schemas.openxmlformats.org/officeDocument/2006/relationships/image" Target="media/image2.wmf"/><Relationship Id="rId24" Type="http://schemas.openxmlformats.org/officeDocument/2006/relationships/image" Target="media/image12.wmf"/><Relationship Id="rId32" Type="http://schemas.openxmlformats.org/officeDocument/2006/relationships/image" Target="media/image19.e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hyperlink" Target="http://www.fda.gov/drugs/resourcesforyou/consumers/ucm143534.htm" TargetMode="External"/><Relationship Id="rId74" Type="http://schemas.openxmlformats.org/officeDocument/2006/relationships/hyperlink" Target="http://www.nicedsu.org.uk/Utilities-TSD-series(2391676).htm" TargetMode="External"/><Relationship Id="rId79" Type="http://schemas.openxmlformats.org/officeDocument/2006/relationships/header" Target="header3.xml"/><Relationship Id="rId87" Type="http://schemas.openxmlformats.org/officeDocument/2006/relationships/image" Target="media/image51.wmf"/><Relationship Id="rId5" Type="http://schemas.openxmlformats.org/officeDocument/2006/relationships/webSettings" Target="webSettings.xml"/><Relationship Id="rId61" Type="http://schemas.openxmlformats.org/officeDocument/2006/relationships/image" Target="media/image45.emf"/><Relationship Id="rId82" Type="http://schemas.openxmlformats.org/officeDocument/2006/relationships/footer" Target="footer9.xml"/><Relationship Id="rId90" Type="http://schemas.openxmlformats.org/officeDocument/2006/relationships/image" Target="media/image54.wmf"/><Relationship Id="rId95" Type="http://schemas.openxmlformats.org/officeDocument/2006/relationships/theme" Target="theme/theme1.xml"/><Relationship Id="rId19" Type="http://schemas.openxmlformats.org/officeDocument/2006/relationships/image" Target="media/image8.wmf"/><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footer" Target="footer5.xml"/><Relationship Id="rId30" Type="http://schemas.openxmlformats.org/officeDocument/2006/relationships/image" Target="media/image17.e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64" Type="http://schemas.openxmlformats.org/officeDocument/2006/relationships/hyperlink" Target="http://www.ema.europa.eu/ema/index.jsp?curl=pages/about_us/general/general_content_000091.jsp&amp;mid=WC0b01ac0580028a42" TargetMode="External"/><Relationship Id="rId69" Type="http://schemas.openxmlformats.org/officeDocument/2006/relationships/hyperlink" Target="http://www.ich.org/products/guidelines/efficacy/efficacy-single/article/the-extent-of-population-exposure-to-assess-clinical-safety-for-drugs-intended-for-long-term-treatme.html" TargetMode="External"/><Relationship Id="rId77" Type="http://schemas.openxmlformats.org/officeDocument/2006/relationships/hyperlink" Target="http://www.clinicaltrials.gov" TargetMode="External"/><Relationship Id="rId8" Type="http://schemas.openxmlformats.org/officeDocument/2006/relationships/footer" Target="footer1.xml"/><Relationship Id="rId51" Type="http://schemas.openxmlformats.org/officeDocument/2006/relationships/image" Target="media/image37.wmf"/><Relationship Id="rId72" Type="http://schemas.openxmlformats.org/officeDocument/2006/relationships/hyperlink" Target="http://guidance.nice.org.uk/TAG/273/Consultation/DraftGuidance" TargetMode="External"/><Relationship Id="rId80" Type="http://schemas.openxmlformats.org/officeDocument/2006/relationships/header" Target="header4.xml"/><Relationship Id="rId85" Type="http://schemas.openxmlformats.org/officeDocument/2006/relationships/image" Target="media/image49.emf"/><Relationship Id="rId93" Type="http://schemas.openxmlformats.org/officeDocument/2006/relationships/image" Target="media/image56.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footer" Target="footer6.xml"/><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header" Target="header1.xml"/><Relationship Id="rId67" Type="http://schemas.openxmlformats.org/officeDocument/2006/relationships/hyperlink" Target="http://www.ema.europa.eu/pdfs/human/ewp/60404009en.pdf" TargetMode="External"/><Relationship Id="rId20" Type="http://schemas.openxmlformats.org/officeDocument/2006/relationships/image" Target="media/image9.wmf"/><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6.jpeg"/><Relationship Id="rId70" Type="http://schemas.openxmlformats.org/officeDocument/2006/relationships/hyperlink" Target="http://apps.webofknowledge.com/UA_GeneralSearch_input.do?product=UA&amp;search_mode=GeneralSearch&amp;SID=W1OdbeobKOEanf4EaMp&amp;preferencesSaved=" TargetMode="External"/><Relationship Id="rId75" Type="http://schemas.openxmlformats.org/officeDocument/2006/relationships/hyperlink" Target="http://www.shef.ac.uk/wrgrid/iceberg" TargetMode="External"/><Relationship Id="rId83" Type="http://schemas.openxmlformats.org/officeDocument/2006/relationships/image" Target="media/image47.wmf"/><Relationship Id="rId88" Type="http://schemas.openxmlformats.org/officeDocument/2006/relationships/image" Target="media/image52.wmf"/><Relationship Id="rId9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image" Target="media/image1.wmf"/><Relationship Id="rId31" Type="http://schemas.openxmlformats.org/officeDocument/2006/relationships/image" Target="media/image18.w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header" Target="header2.xml"/><Relationship Id="rId65" Type="http://schemas.openxmlformats.org/officeDocument/2006/relationships/hyperlink" Target="http://www.nice.org.uk/" TargetMode="External"/><Relationship Id="rId73" Type="http://schemas.openxmlformats.org/officeDocument/2006/relationships/hyperlink" Target="http://www.ons.gov.uk/ons/publications/re-reference-tables.html?edition=tcm%3A77-224936" TargetMode="External"/><Relationship Id="rId78" Type="http://schemas.openxmlformats.org/officeDocument/2006/relationships/footer" Target="footer7.xml"/><Relationship Id="rId81" Type="http://schemas.openxmlformats.org/officeDocument/2006/relationships/footer" Target="footer8.xml"/><Relationship Id="rId86" Type="http://schemas.openxmlformats.org/officeDocument/2006/relationships/image" Target="media/image50.wmf"/><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linicaltrial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B1450-C9D6-483E-8BDE-3405F73E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343</Pages>
  <Words>296081</Words>
  <Characters>1687668</Characters>
  <Application>Microsoft Office Word</Application>
  <DocSecurity>0</DocSecurity>
  <Lines>14063</Lines>
  <Paragraphs>3959</Paragraphs>
  <ScaleCrop>false</ScaleCrop>
  <HeadingPairs>
    <vt:vector size="2" baseType="variant">
      <vt:variant>
        <vt:lpstr>Title</vt:lpstr>
      </vt:variant>
      <vt:variant>
        <vt:i4>1</vt:i4>
      </vt:variant>
    </vt:vector>
  </HeadingPairs>
  <TitlesOfParts>
    <vt:vector size="1" baseType="lpstr">
      <vt:lpstr>Literature Review</vt:lpstr>
    </vt:vector>
  </TitlesOfParts>
  <Company>T2 Scientific</Company>
  <LinksUpToDate>false</LinksUpToDate>
  <CharactersWithSpaces>1979790</CharactersWithSpaces>
  <SharedDoc>false</SharedDoc>
  <HLinks>
    <vt:vector size="84" baseType="variant">
      <vt:variant>
        <vt:i4>3538988</vt:i4>
      </vt:variant>
      <vt:variant>
        <vt:i4>132</vt:i4>
      </vt:variant>
      <vt:variant>
        <vt:i4>0</vt:i4>
      </vt:variant>
      <vt:variant>
        <vt:i4>5</vt:i4>
      </vt:variant>
      <vt:variant>
        <vt:lpwstr>http://www.clinicaltrials.gov/</vt:lpwstr>
      </vt:variant>
      <vt:variant>
        <vt:lpwstr/>
      </vt:variant>
      <vt:variant>
        <vt:i4>1769534</vt:i4>
      </vt:variant>
      <vt:variant>
        <vt:i4>74</vt:i4>
      </vt:variant>
      <vt:variant>
        <vt:i4>0</vt:i4>
      </vt:variant>
      <vt:variant>
        <vt:i4>5</vt:i4>
      </vt:variant>
      <vt:variant>
        <vt:lpwstr/>
      </vt:variant>
      <vt:variant>
        <vt:lpwstr>_Toc254595199</vt:lpwstr>
      </vt:variant>
      <vt:variant>
        <vt:i4>1769534</vt:i4>
      </vt:variant>
      <vt:variant>
        <vt:i4>68</vt:i4>
      </vt:variant>
      <vt:variant>
        <vt:i4>0</vt:i4>
      </vt:variant>
      <vt:variant>
        <vt:i4>5</vt:i4>
      </vt:variant>
      <vt:variant>
        <vt:lpwstr/>
      </vt:variant>
      <vt:variant>
        <vt:lpwstr>_Toc254595198</vt:lpwstr>
      </vt:variant>
      <vt:variant>
        <vt:i4>1769534</vt:i4>
      </vt:variant>
      <vt:variant>
        <vt:i4>62</vt:i4>
      </vt:variant>
      <vt:variant>
        <vt:i4>0</vt:i4>
      </vt:variant>
      <vt:variant>
        <vt:i4>5</vt:i4>
      </vt:variant>
      <vt:variant>
        <vt:lpwstr/>
      </vt:variant>
      <vt:variant>
        <vt:lpwstr>_Toc254595197</vt:lpwstr>
      </vt:variant>
      <vt:variant>
        <vt:i4>1769534</vt:i4>
      </vt:variant>
      <vt:variant>
        <vt:i4>56</vt:i4>
      </vt:variant>
      <vt:variant>
        <vt:i4>0</vt:i4>
      </vt:variant>
      <vt:variant>
        <vt:i4>5</vt:i4>
      </vt:variant>
      <vt:variant>
        <vt:lpwstr/>
      </vt:variant>
      <vt:variant>
        <vt:lpwstr>_Toc254595196</vt:lpwstr>
      </vt:variant>
      <vt:variant>
        <vt:i4>1769534</vt:i4>
      </vt:variant>
      <vt:variant>
        <vt:i4>50</vt:i4>
      </vt:variant>
      <vt:variant>
        <vt:i4>0</vt:i4>
      </vt:variant>
      <vt:variant>
        <vt:i4>5</vt:i4>
      </vt:variant>
      <vt:variant>
        <vt:lpwstr/>
      </vt:variant>
      <vt:variant>
        <vt:lpwstr>_Toc254595195</vt:lpwstr>
      </vt:variant>
      <vt:variant>
        <vt:i4>1769534</vt:i4>
      </vt:variant>
      <vt:variant>
        <vt:i4>44</vt:i4>
      </vt:variant>
      <vt:variant>
        <vt:i4>0</vt:i4>
      </vt:variant>
      <vt:variant>
        <vt:i4>5</vt:i4>
      </vt:variant>
      <vt:variant>
        <vt:lpwstr/>
      </vt:variant>
      <vt:variant>
        <vt:lpwstr>_Toc254595194</vt:lpwstr>
      </vt:variant>
      <vt:variant>
        <vt:i4>1769534</vt:i4>
      </vt:variant>
      <vt:variant>
        <vt:i4>38</vt:i4>
      </vt:variant>
      <vt:variant>
        <vt:i4>0</vt:i4>
      </vt:variant>
      <vt:variant>
        <vt:i4>5</vt:i4>
      </vt:variant>
      <vt:variant>
        <vt:lpwstr/>
      </vt:variant>
      <vt:variant>
        <vt:lpwstr>_Toc254595193</vt:lpwstr>
      </vt:variant>
      <vt:variant>
        <vt:i4>1769534</vt:i4>
      </vt:variant>
      <vt:variant>
        <vt:i4>32</vt:i4>
      </vt:variant>
      <vt:variant>
        <vt:i4>0</vt:i4>
      </vt:variant>
      <vt:variant>
        <vt:i4>5</vt:i4>
      </vt:variant>
      <vt:variant>
        <vt:lpwstr/>
      </vt:variant>
      <vt:variant>
        <vt:lpwstr>_Toc254595192</vt:lpwstr>
      </vt:variant>
      <vt:variant>
        <vt:i4>1769534</vt:i4>
      </vt:variant>
      <vt:variant>
        <vt:i4>26</vt:i4>
      </vt:variant>
      <vt:variant>
        <vt:i4>0</vt:i4>
      </vt:variant>
      <vt:variant>
        <vt:i4>5</vt:i4>
      </vt:variant>
      <vt:variant>
        <vt:lpwstr/>
      </vt:variant>
      <vt:variant>
        <vt:lpwstr>_Toc254595191</vt:lpwstr>
      </vt:variant>
      <vt:variant>
        <vt:i4>1769534</vt:i4>
      </vt:variant>
      <vt:variant>
        <vt:i4>20</vt:i4>
      </vt:variant>
      <vt:variant>
        <vt:i4>0</vt:i4>
      </vt:variant>
      <vt:variant>
        <vt:i4>5</vt:i4>
      </vt:variant>
      <vt:variant>
        <vt:lpwstr/>
      </vt:variant>
      <vt:variant>
        <vt:lpwstr>_Toc254595190</vt:lpwstr>
      </vt:variant>
      <vt:variant>
        <vt:i4>1703998</vt:i4>
      </vt:variant>
      <vt:variant>
        <vt:i4>14</vt:i4>
      </vt:variant>
      <vt:variant>
        <vt:i4>0</vt:i4>
      </vt:variant>
      <vt:variant>
        <vt:i4>5</vt:i4>
      </vt:variant>
      <vt:variant>
        <vt:lpwstr/>
      </vt:variant>
      <vt:variant>
        <vt:lpwstr>_Toc254595189</vt:lpwstr>
      </vt:variant>
      <vt:variant>
        <vt:i4>1703998</vt:i4>
      </vt:variant>
      <vt:variant>
        <vt:i4>8</vt:i4>
      </vt:variant>
      <vt:variant>
        <vt:i4>0</vt:i4>
      </vt:variant>
      <vt:variant>
        <vt:i4>5</vt:i4>
      </vt:variant>
      <vt:variant>
        <vt:lpwstr/>
      </vt:variant>
      <vt:variant>
        <vt:lpwstr>_Toc254595188</vt:lpwstr>
      </vt:variant>
      <vt:variant>
        <vt:i4>1703998</vt:i4>
      </vt:variant>
      <vt:variant>
        <vt:i4>2</vt:i4>
      </vt:variant>
      <vt:variant>
        <vt:i4>0</vt:i4>
      </vt:variant>
      <vt:variant>
        <vt:i4>5</vt:i4>
      </vt:variant>
      <vt:variant>
        <vt:lpwstr/>
      </vt:variant>
      <vt:variant>
        <vt:lpwstr>_Toc254595187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Literature Review</dc:title>
  <dc:creator>T2 Scientific</dc:creator>
  <cp:keywords>disease damage model patient sle</cp:keywords>
  <dc:description>Patients. Disease Activity Model_x000d_Disease Activity_x000d_Disease activity_x000d_Organ Damage</dc:description>
  <cp:lastModifiedBy>Penny Watson</cp:lastModifiedBy>
  <cp:revision>13</cp:revision>
  <cp:lastPrinted>2013-08-22T10:57:00Z</cp:lastPrinted>
  <dcterms:created xsi:type="dcterms:W3CDTF">2014-01-29T17:19:00Z</dcterms:created>
  <dcterms:modified xsi:type="dcterms:W3CDTF">2014-02-06T17:06:00Z</dcterms:modified>
</cp:coreProperties>
</file>